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6196E">
      <w:pPr>
        <w:pStyle w:val="5"/>
        <w:keepNext w:val="0"/>
        <w:keepLines w:val="0"/>
        <w:pageBreakBefore w:val="0"/>
        <w:widowControl w:val="0"/>
        <w:kinsoku/>
        <w:wordWrap/>
        <w:overflowPunct/>
        <w:topLinePunct w:val="0"/>
        <w:autoSpaceDE w:val="0"/>
        <w:autoSpaceDN w:val="0"/>
        <w:bidi w:val="0"/>
        <w:adjustRightInd w:val="0"/>
        <w:snapToGrid/>
        <w:spacing w:line="700" w:lineRule="exact"/>
        <w:ind w:firstLine="0"/>
        <w:jc w:val="center"/>
        <w:textAlignment w:val="auto"/>
        <w:rPr>
          <w:rFonts w:hint="eastAsia" w:ascii="宋体" w:hAnsi="宋体" w:eastAsia="宋体" w:cs="宋体"/>
          <w:b/>
          <w:color w:val="auto"/>
          <w:sz w:val="48"/>
          <w:szCs w:val="48"/>
          <w:highlight w:val="none"/>
          <w:lang w:val="en-US" w:eastAsia="zh-CN"/>
        </w:rPr>
      </w:pPr>
      <w:r>
        <w:rPr>
          <w:rFonts w:hint="eastAsia" w:hAnsi="宋体" w:cs="宋体"/>
          <w:b/>
          <w:color w:val="auto"/>
          <w:sz w:val="48"/>
          <w:szCs w:val="48"/>
          <w:highlight w:val="none"/>
          <w:lang w:val="en-US" w:eastAsia="zh-CN"/>
        </w:rPr>
        <w:t>喀什市国土空间总体规划（2025-2035年）修编（含经开区）项目</w:t>
      </w:r>
    </w:p>
    <w:p w14:paraId="0CF31812">
      <w:pPr>
        <w:pStyle w:val="5"/>
        <w:keepNext w:val="0"/>
        <w:keepLines w:val="0"/>
        <w:pageBreakBefore w:val="0"/>
        <w:widowControl w:val="0"/>
        <w:kinsoku/>
        <w:wordWrap/>
        <w:overflowPunct/>
        <w:topLinePunct w:val="0"/>
        <w:autoSpaceDE w:val="0"/>
        <w:autoSpaceDN w:val="0"/>
        <w:bidi w:val="0"/>
        <w:adjustRightInd w:val="0"/>
        <w:snapToGrid/>
        <w:spacing w:line="1200" w:lineRule="auto"/>
        <w:ind w:firstLine="0"/>
        <w:jc w:val="center"/>
        <w:textAlignment w:val="auto"/>
        <w:rPr>
          <w:rFonts w:hint="default"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eastAsia="zh-CN"/>
        </w:rPr>
        <w:t>项目编号：</w:t>
      </w:r>
      <w:r>
        <w:rPr>
          <w:rFonts w:hint="eastAsia" w:hAnsi="宋体" w:cs="宋体"/>
          <w:b/>
          <w:color w:val="auto"/>
          <w:sz w:val="48"/>
          <w:szCs w:val="48"/>
          <w:highlight w:val="none"/>
          <w:lang w:val="en-US" w:eastAsia="zh-CN"/>
        </w:rPr>
        <w:t>XJJC(CG)202602</w:t>
      </w:r>
    </w:p>
    <w:p w14:paraId="5554949A">
      <w:pPr>
        <w:pStyle w:val="6"/>
        <w:ind w:left="0" w:leftChars="0" w:firstLine="0" w:firstLineChars="0"/>
        <w:rPr>
          <w:color w:val="auto"/>
          <w:highlight w:val="none"/>
        </w:rPr>
      </w:pPr>
    </w:p>
    <w:p w14:paraId="772F64E4">
      <w:pPr>
        <w:pStyle w:val="25"/>
        <w:rPr>
          <w:color w:val="auto"/>
          <w:highlight w:val="none"/>
        </w:rPr>
      </w:pPr>
    </w:p>
    <w:p w14:paraId="3650B1F0">
      <w:pPr>
        <w:pStyle w:val="25"/>
        <w:rPr>
          <w:color w:val="auto"/>
          <w:highlight w:val="none"/>
        </w:rPr>
      </w:pPr>
    </w:p>
    <w:p w14:paraId="3EF9C258">
      <w:pPr>
        <w:pStyle w:val="25"/>
        <w:rPr>
          <w:color w:val="auto"/>
          <w:highlight w:val="none"/>
        </w:rPr>
      </w:pPr>
    </w:p>
    <w:p w14:paraId="1A040C08">
      <w:pPr>
        <w:pStyle w:val="25"/>
        <w:rPr>
          <w:color w:val="auto"/>
          <w:highlight w:val="none"/>
        </w:rPr>
      </w:pPr>
    </w:p>
    <w:p w14:paraId="5DCDB4EE">
      <w:pPr>
        <w:pStyle w:val="5"/>
        <w:spacing w:line="720" w:lineRule="auto"/>
        <w:jc w:val="center"/>
        <w:rPr>
          <w:rFonts w:hint="eastAsia" w:hAnsi="宋体" w:cs="宋体"/>
          <w:b/>
          <w:color w:val="auto"/>
          <w:sz w:val="52"/>
          <w:szCs w:val="52"/>
          <w:highlight w:val="none"/>
        </w:rPr>
      </w:pPr>
      <w:r>
        <w:rPr>
          <w:rFonts w:hint="eastAsia" w:hAnsi="宋体" w:cs="宋体"/>
          <w:b/>
          <w:color w:val="auto"/>
          <w:sz w:val="56"/>
          <w:szCs w:val="56"/>
          <w:highlight w:val="none"/>
        </w:rPr>
        <w:t>招</w:t>
      </w:r>
    </w:p>
    <w:p w14:paraId="120DB6B0">
      <w:pPr>
        <w:pStyle w:val="5"/>
        <w:spacing w:line="720" w:lineRule="auto"/>
        <w:jc w:val="center"/>
        <w:rPr>
          <w:rFonts w:hint="eastAsia" w:hAnsi="宋体" w:cs="宋体"/>
          <w:b/>
          <w:color w:val="auto"/>
          <w:sz w:val="56"/>
          <w:szCs w:val="56"/>
          <w:highlight w:val="none"/>
        </w:rPr>
      </w:pPr>
      <w:r>
        <w:rPr>
          <w:rFonts w:hint="eastAsia" w:hAnsi="宋体" w:cs="宋体"/>
          <w:b/>
          <w:color w:val="auto"/>
          <w:sz w:val="56"/>
          <w:szCs w:val="56"/>
          <w:highlight w:val="none"/>
        </w:rPr>
        <w:t>标</w:t>
      </w:r>
    </w:p>
    <w:p w14:paraId="2F6ECE87">
      <w:pPr>
        <w:pStyle w:val="5"/>
        <w:spacing w:line="720" w:lineRule="auto"/>
        <w:jc w:val="center"/>
        <w:rPr>
          <w:rFonts w:hint="eastAsia" w:hAnsi="宋体" w:cs="宋体"/>
          <w:b/>
          <w:color w:val="auto"/>
          <w:sz w:val="56"/>
          <w:szCs w:val="56"/>
          <w:highlight w:val="none"/>
        </w:rPr>
      </w:pPr>
      <w:r>
        <w:rPr>
          <w:rFonts w:hint="eastAsia" w:hAnsi="宋体" w:cs="宋体"/>
          <w:b/>
          <w:color w:val="auto"/>
          <w:sz w:val="56"/>
          <w:szCs w:val="56"/>
          <w:highlight w:val="none"/>
        </w:rPr>
        <w:t>文</w:t>
      </w:r>
    </w:p>
    <w:p w14:paraId="19D8D441">
      <w:pPr>
        <w:pStyle w:val="5"/>
        <w:spacing w:line="720" w:lineRule="auto"/>
        <w:jc w:val="center"/>
        <w:rPr>
          <w:rFonts w:hint="eastAsia" w:hAnsi="宋体" w:cs="宋体"/>
          <w:b/>
          <w:color w:val="auto"/>
          <w:sz w:val="56"/>
          <w:szCs w:val="56"/>
          <w:highlight w:val="none"/>
        </w:rPr>
      </w:pPr>
      <w:r>
        <w:rPr>
          <w:rFonts w:hint="eastAsia" w:hAnsi="宋体" w:cs="宋体"/>
          <w:b/>
          <w:color w:val="auto"/>
          <w:sz w:val="56"/>
          <w:szCs w:val="56"/>
          <w:highlight w:val="none"/>
        </w:rPr>
        <w:t>件</w:t>
      </w:r>
    </w:p>
    <w:p w14:paraId="6C9A2E7E">
      <w:pPr>
        <w:ind w:left="0" w:leftChars="0" w:firstLine="0" w:firstLineChars="0"/>
        <w:rPr>
          <w:rFonts w:hint="eastAsia"/>
          <w:highlight w:val="none"/>
        </w:rPr>
      </w:pPr>
    </w:p>
    <w:p w14:paraId="6A27914B">
      <w:pPr>
        <w:pStyle w:val="5"/>
        <w:ind w:left="0" w:leftChars="0" w:firstLine="0" w:firstLineChars="0"/>
        <w:rPr>
          <w:rFonts w:hint="eastAsia"/>
          <w:color w:val="auto"/>
          <w:highlight w:val="none"/>
        </w:rPr>
      </w:pPr>
    </w:p>
    <w:p w14:paraId="6C220E0D">
      <w:pPr>
        <w:pStyle w:val="5"/>
        <w:ind w:left="0" w:leftChars="0" w:firstLine="0" w:firstLineChars="0"/>
        <w:rPr>
          <w:rFonts w:hint="eastAsia"/>
          <w:color w:val="auto"/>
          <w:highlight w:val="none"/>
        </w:rPr>
      </w:pPr>
    </w:p>
    <w:p w14:paraId="5AC15136">
      <w:pPr>
        <w:pStyle w:val="5"/>
        <w:ind w:left="0" w:leftChars="0" w:firstLine="0" w:firstLineChars="0"/>
        <w:rPr>
          <w:rFonts w:hint="eastAsia"/>
          <w:color w:val="auto"/>
          <w:highlight w:val="none"/>
        </w:rPr>
      </w:pPr>
    </w:p>
    <w:p w14:paraId="3924E90B">
      <w:pPr>
        <w:spacing w:line="360" w:lineRule="auto"/>
        <w:jc w:val="left"/>
        <w:rPr>
          <w:rFonts w:hint="eastAsia" w:ascii="宋体" w:hAnsi="宋体" w:cs="宋体"/>
          <w:b/>
          <w:bCs/>
          <w:color w:val="auto"/>
          <w:sz w:val="30"/>
          <w:highlight w:val="none"/>
          <w:lang w:eastAsia="zh-CN"/>
        </w:rPr>
      </w:pPr>
      <w:r>
        <w:rPr>
          <w:rFonts w:hint="eastAsia" w:ascii="宋体" w:hAnsi="宋体" w:cs="宋体"/>
          <w:b/>
          <w:bCs/>
          <w:color w:val="auto"/>
          <w:sz w:val="30"/>
          <w:highlight w:val="none"/>
        </w:rPr>
        <w:t>招   标   人</w:t>
      </w:r>
      <w:r>
        <w:rPr>
          <w:rFonts w:hint="eastAsia" w:ascii="宋体" w:hAnsi="宋体" w:cs="宋体"/>
          <w:b/>
          <w:bCs/>
          <w:color w:val="auto"/>
          <w:sz w:val="30"/>
          <w:highlight w:val="none"/>
          <w:lang w:eastAsia="zh-CN"/>
        </w:rPr>
        <w:t>：</w:t>
      </w:r>
      <w:r>
        <w:rPr>
          <w:rFonts w:hint="eastAsia" w:ascii="宋体" w:hAnsi="宋体" w:cs="宋体"/>
          <w:b/>
          <w:bCs/>
          <w:color w:val="auto"/>
          <w:sz w:val="30"/>
          <w:highlight w:val="none"/>
          <w:lang w:val="en-US" w:eastAsia="zh-CN"/>
        </w:rPr>
        <w:t>喀什市自然资源局</w:t>
      </w:r>
    </w:p>
    <w:p w14:paraId="61780F71">
      <w:pPr>
        <w:spacing w:line="360" w:lineRule="auto"/>
        <w:jc w:val="left"/>
        <w:rPr>
          <w:rFonts w:hint="eastAsia" w:ascii="宋体" w:hAnsi="宋体" w:cs="宋体"/>
          <w:b/>
          <w:bCs/>
          <w:color w:val="auto"/>
          <w:sz w:val="30"/>
          <w:highlight w:val="none"/>
          <w:lang w:eastAsia="zh-CN"/>
        </w:rPr>
      </w:pPr>
      <w:r>
        <w:rPr>
          <w:rFonts w:hint="eastAsia" w:ascii="宋体" w:hAnsi="宋体" w:cs="宋体"/>
          <w:b/>
          <w:bCs/>
          <w:color w:val="auto"/>
          <w:sz w:val="30"/>
          <w:highlight w:val="none"/>
          <w:lang w:eastAsia="zh-CN"/>
        </w:rPr>
        <w:t>采购代理机构：新疆锦程项目管理有限公司</w:t>
      </w:r>
    </w:p>
    <w:p w14:paraId="548A552F">
      <w:pPr>
        <w:spacing w:line="360" w:lineRule="auto"/>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lang w:eastAsia="zh-CN"/>
        </w:rPr>
        <w:t>代理机构地址：</w:t>
      </w:r>
      <w:r>
        <w:rPr>
          <w:rFonts w:hint="eastAsia" w:ascii="宋体" w:hAnsi="宋体" w:cs="宋体"/>
          <w:b/>
          <w:bCs/>
          <w:color w:val="auto"/>
          <w:sz w:val="30"/>
          <w:highlight w:val="none"/>
          <w:lang w:val="en-US" w:eastAsia="zh-CN"/>
        </w:rPr>
        <w:t>喀什市深咖东苑B12号楼2012室</w:t>
      </w:r>
    </w:p>
    <w:p w14:paraId="11A67E33">
      <w:pPr>
        <w:spacing w:line="360" w:lineRule="auto"/>
        <w:jc w:val="left"/>
        <w:rPr>
          <w:rFonts w:hint="eastAsia" w:ascii="宋体" w:hAnsi="宋体" w:cs="宋体"/>
          <w:b/>
          <w:bCs/>
          <w:color w:val="auto"/>
          <w:sz w:val="30"/>
          <w:highlight w:val="none"/>
          <w:lang w:eastAsia="zh-CN"/>
        </w:rPr>
      </w:pPr>
      <w:r>
        <w:rPr>
          <w:rFonts w:hint="eastAsia" w:ascii="宋体" w:hAnsi="宋体" w:cs="宋体"/>
          <w:b/>
          <w:bCs/>
          <w:color w:val="auto"/>
          <w:sz w:val="30"/>
          <w:highlight w:val="none"/>
          <w:lang w:eastAsia="zh-CN"/>
        </w:rPr>
        <w:t>联   系   人：</w:t>
      </w:r>
      <w:r>
        <w:rPr>
          <w:rFonts w:hint="eastAsia" w:ascii="宋体" w:hAnsi="宋体" w:cs="宋体"/>
          <w:b/>
          <w:bCs/>
          <w:color w:val="auto"/>
          <w:sz w:val="30"/>
          <w:highlight w:val="none"/>
          <w:lang w:val="en-US" w:eastAsia="zh-CN"/>
        </w:rPr>
        <w:t>程立宇</w:t>
      </w:r>
    </w:p>
    <w:p w14:paraId="1264F5F7">
      <w:pPr>
        <w:spacing w:line="360" w:lineRule="auto"/>
        <w:jc w:val="left"/>
        <w:rPr>
          <w:rFonts w:hint="eastAsia" w:ascii="宋体" w:hAnsi="宋体" w:cs="宋体"/>
          <w:b/>
          <w:bCs/>
          <w:color w:val="auto"/>
          <w:sz w:val="30"/>
          <w:highlight w:val="none"/>
          <w:lang w:eastAsia="zh-CN"/>
        </w:rPr>
      </w:pPr>
      <w:r>
        <w:rPr>
          <w:rFonts w:hint="eastAsia" w:ascii="宋体" w:hAnsi="宋体" w:cs="宋体"/>
          <w:b/>
          <w:bCs/>
          <w:color w:val="auto"/>
          <w:sz w:val="30"/>
          <w:highlight w:val="none"/>
          <w:lang w:eastAsia="zh-CN"/>
        </w:rPr>
        <w:t>联  系 电 话：</w:t>
      </w:r>
      <w:r>
        <w:rPr>
          <w:rFonts w:hint="eastAsia" w:ascii="宋体" w:hAnsi="宋体" w:cs="宋体"/>
          <w:b/>
          <w:bCs/>
          <w:color w:val="auto"/>
          <w:sz w:val="30"/>
          <w:highlight w:val="none"/>
          <w:lang w:val="en-US" w:eastAsia="zh-CN"/>
        </w:rPr>
        <w:t>13031291492</w:t>
      </w:r>
    </w:p>
    <w:p w14:paraId="443B15A5">
      <w:pPr>
        <w:spacing w:line="360" w:lineRule="auto"/>
        <w:jc w:val="left"/>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 xml:space="preserve"> </w:t>
      </w:r>
    </w:p>
    <w:p w14:paraId="53B9C495">
      <w:pPr>
        <w:spacing w:line="600" w:lineRule="exact"/>
        <w:jc w:val="center"/>
        <w:rPr>
          <w:rFonts w:hint="eastAsia" w:ascii="宋体" w:hAnsi="宋体" w:cs="宋体"/>
          <w:b/>
          <w:bCs/>
          <w:color w:val="auto"/>
          <w:sz w:val="30"/>
          <w:szCs w:val="30"/>
          <w:highlight w:val="none"/>
          <w:u w:val="none"/>
        </w:rPr>
      </w:pPr>
      <w:r>
        <w:rPr>
          <w:rFonts w:hint="eastAsia" w:ascii="宋体" w:hAnsi="宋体" w:cs="宋体"/>
          <w:b/>
          <w:bCs/>
          <w:color w:val="auto"/>
          <w:sz w:val="30"/>
          <w:szCs w:val="30"/>
          <w:highlight w:val="none"/>
          <w:u w:val="none"/>
        </w:rPr>
        <w:t>发  出 日 期：202</w:t>
      </w:r>
      <w:r>
        <w:rPr>
          <w:rFonts w:hint="eastAsia" w:ascii="宋体" w:hAnsi="宋体" w:cs="宋体"/>
          <w:b/>
          <w:bCs/>
          <w:color w:val="auto"/>
          <w:sz w:val="30"/>
          <w:szCs w:val="30"/>
          <w:highlight w:val="none"/>
          <w:u w:val="none"/>
          <w:lang w:val="en-US" w:eastAsia="zh-CN"/>
        </w:rPr>
        <w:t>6</w:t>
      </w:r>
      <w:r>
        <w:rPr>
          <w:rFonts w:hint="eastAsia" w:ascii="宋体" w:hAnsi="宋体" w:cs="宋体"/>
          <w:b/>
          <w:bCs/>
          <w:color w:val="auto"/>
          <w:sz w:val="30"/>
          <w:szCs w:val="30"/>
          <w:highlight w:val="none"/>
          <w:u w:val="none"/>
        </w:rPr>
        <w:t>年</w:t>
      </w:r>
      <w:r>
        <w:rPr>
          <w:rFonts w:hint="eastAsia" w:ascii="宋体" w:hAnsi="宋体" w:cs="宋体"/>
          <w:b/>
          <w:bCs/>
          <w:color w:val="auto"/>
          <w:sz w:val="30"/>
          <w:szCs w:val="30"/>
          <w:highlight w:val="none"/>
          <w:u w:val="none"/>
          <w:lang w:val="en-US" w:eastAsia="zh-CN"/>
        </w:rPr>
        <w:t>4</w:t>
      </w:r>
      <w:r>
        <w:rPr>
          <w:rFonts w:hint="eastAsia" w:ascii="宋体" w:hAnsi="宋体" w:cs="宋体"/>
          <w:b/>
          <w:bCs/>
          <w:color w:val="auto"/>
          <w:sz w:val="30"/>
          <w:szCs w:val="30"/>
          <w:highlight w:val="none"/>
          <w:u w:val="none"/>
        </w:rPr>
        <w:t>月</w:t>
      </w:r>
    </w:p>
    <w:p w14:paraId="602C7317">
      <w:pPr>
        <w:spacing w:line="240" w:lineRule="atLeast"/>
        <w:ind w:left="1079" w:leftChars="257" w:hanging="540"/>
        <w:jc w:val="center"/>
        <w:rPr>
          <w:rFonts w:hint="eastAsia" w:ascii="宋体" w:hAnsi="宋体" w:cs="宋体"/>
          <w:b/>
          <w:color w:val="auto"/>
          <w:sz w:val="52"/>
          <w:highlight w:val="none"/>
        </w:rPr>
      </w:pPr>
      <w:r>
        <w:rPr>
          <w:rFonts w:hint="eastAsia" w:ascii="宋体" w:hAnsi="宋体" w:cs="宋体"/>
          <w:b/>
          <w:color w:val="auto"/>
          <w:sz w:val="52"/>
          <w:highlight w:val="none"/>
        </w:rPr>
        <w:br w:type="page"/>
      </w:r>
    </w:p>
    <w:p w14:paraId="4BDCCFB5">
      <w:pPr>
        <w:spacing w:line="240" w:lineRule="atLeast"/>
        <w:ind w:left="1079" w:leftChars="257" w:hanging="540"/>
        <w:jc w:val="center"/>
        <w:rPr>
          <w:rFonts w:hint="eastAsia" w:ascii="宋体" w:hAnsi="宋体" w:cs="宋体"/>
          <w:b/>
          <w:color w:val="auto"/>
          <w:sz w:val="52"/>
          <w:highlight w:val="none"/>
        </w:rPr>
      </w:pPr>
    </w:p>
    <w:p w14:paraId="2CEAA45B">
      <w:pPr>
        <w:spacing w:line="240" w:lineRule="atLeast"/>
        <w:ind w:left="1079" w:leftChars="257" w:hanging="540"/>
        <w:jc w:val="center"/>
        <w:rPr>
          <w:rFonts w:hint="eastAsia" w:ascii="宋体" w:hAnsi="宋体" w:cs="宋体"/>
          <w:b/>
          <w:color w:val="auto"/>
          <w:sz w:val="52"/>
          <w:highlight w:val="none"/>
        </w:rPr>
      </w:pPr>
    </w:p>
    <w:p w14:paraId="6FBF4030">
      <w:pPr>
        <w:spacing w:line="240" w:lineRule="atLeast"/>
        <w:ind w:left="1079" w:leftChars="257" w:hanging="540"/>
        <w:jc w:val="center"/>
        <w:rPr>
          <w:rFonts w:hint="eastAsia" w:ascii="宋体" w:hAnsi="宋体" w:cs="宋体"/>
          <w:b/>
          <w:color w:val="auto"/>
          <w:sz w:val="52"/>
          <w:highlight w:val="none"/>
        </w:rPr>
      </w:pPr>
    </w:p>
    <w:p w14:paraId="12E95529">
      <w:pPr>
        <w:spacing w:line="240" w:lineRule="atLeast"/>
        <w:ind w:left="1079" w:leftChars="257" w:hanging="540"/>
        <w:jc w:val="center"/>
        <w:rPr>
          <w:rFonts w:hint="eastAsia" w:ascii="宋体" w:hAnsi="宋体" w:cs="宋体"/>
          <w:b/>
          <w:color w:val="auto"/>
          <w:sz w:val="52"/>
          <w:highlight w:val="none"/>
        </w:rPr>
      </w:pPr>
    </w:p>
    <w:p w14:paraId="0C002CFE">
      <w:pPr>
        <w:spacing w:line="240" w:lineRule="atLeast"/>
        <w:ind w:left="1079" w:leftChars="257" w:hanging="540"/>
        <w:jc w:val="center"/>
        <w:rPr>
          <w:rFonts w:hint="eastAsia" w:ascii="宋体" w:hAnsi="宋体" w:cs="宋体"/>
          <w:b/>
          <w:color w:val="auto"/>
          <w:sz w:val="52"/>
          <w:highlight w:val="none"/>
        </w:rPr>
      </w:pPr>
    </w:p>
    <w:p w14:paraId="191D3E5D">
      <w:pPr>
        <w:spacing w:line="240" w:lineRule="atLeast"/>
        <w:ind w:left="1079" w:leftChars="257" w:hanging="540"/>
        <w:jc w:val="center"/>
        <w:rPr>
          <w:rFonts w:hint="eastAsia" w:ascii="宋体" w:hAnsi="宋体" w:cs="宋体"/>
          <w:b/>
          <w:color w:val="auto"/>
          <w:sz w:val="52"/>
          <w:highlight w:val="none"/>
        </w:rPr>
      </w:pPr>
    </w:p>
    <w:p w14:paraId="43923387">
      <w:pPr>
        <w:spacing w:line="240" w:lineRule="atLeast"/>
        <w:ind w:left="1079" w:leftChars="257" w:hanging="540"/>
        <w:jc w:val="center"/>
        <w:rPr>
          <w:rFonts w:hint="eastAsia" w:ascii="宋体" w:hAnsi="宋体" w:cs="宋体"/>
          <w:b/>
          <w:color w:val="auto"/>
          <w:sz w:val="52"/>
          <w:highlight w:val="none"/>
        </w:rPr>
      </w:pPr>
    </w:p>
    <w:p w14:paraId="50AC7B78">
      <w:pPr>
        <w:spacing w:line="240" w:lineRule="atLeast"/>
        <w:ind w:left="1079" w:leftChars="257" w:hanging="540"/>
        <w:jc w:val="center"/>
        <w:rPr>
          <w:rFonts w:hint="eastAsia" w:ascii="宋体" w:hAnsi="宋体" w:cs="宋体"/>
          <w:b/>
          <w:color w:val="auto"/>
          <w:sz w:val="52"/>
          <w:highlight w:val="none"/>
        </w:rPr>
      </w:pPr>
    </w:p>
    <w:p w14:paraId="6313317D">
      <w:pPr>
        <w:spacing w:line="240" w:lineRule="atLeast"/>
        <w:ind w:left="1079" w:leftChars="257" w:hanging="540"/>
        <w:jc w:val="center"/>
        <w:rPr>
          <w:rFonts w:hint="eastAsia" w:ascii="宋体" w:hAnsi="宋体" w:cs="宋体"/>
          <w:b/>
          <w:color w:val="auto"/>
          <w:sz w:val="52"/>
          <w:highlight w:val="none"/>
        </w:rPr>
      </w:pPr>
    </w:p>
    <w:p w14:paraId="16E12BD8">
      <w:pPr>
        <w:spacing w:line="240" w:lineRule="atLeast"/>
        <w:ind w:left="1079" w:leftChars="257" w:hanging="540"/>
        <w:jc w:val="center"/>
        <w:rPr>
          <w:rFonts w:hint="eastAsia" w:ascii="宋体" w:hAnsi="宋体" w:cs="宋体"/>
          <w:b/>
          <w:color w:val="auto"/>
          <w:sz w:val="52"/>
          <w:highlight w:val="none"/>
        </w:rPr>
      </w:pPr>
    </w:p>
    <w:p w14:paraId="77CE2109">
      <w:pPr>
        <w:spacing w:line="240" w:lineRule="atLeast"/>
        <w:ind w:left="1079" w:leftChars="257" w:hanging="540"/>
        <w:jc w:val="center"/>
        <w:rPr>
          <w:rFonts w:hint="eastAsia" w:ascii="宋体" w:hAnsi="宋体" w:cs="宋体"/>
          <w:b/>
          <w:color w:val="auto"/>
          <w:sz w:val="52"/>
          <w:highlight w:val="none"/>
        </w:rPr>
      </w:pPr>
    </w:p>
    <w:p w14:paraId="043000B0">
      <w:pPr>
        <w:spacing w:line="240" w:lineRule="atLeast"/>
        <w:ind w:left="1079" w:leftChars="257" w:hanging="540"/>
        <w:jc w:val="center"/>
        <w:rPr>
          <w:rFonts w:hint="eastAsia" w:ascii="宋体" w:hAnsi="宋体" w:cs="宋体"/>
          <w:b/>
          <w:color w:val="auto"/>
          <w:sz w:val="52"/>
          <w:highlight w:val="none"/>
        </w:rPr>
      </w:pPr>
    </w:p>
    <w:p w14:paraId="32C2F358">
      <w:pPr>
        <w:spacing w:line="240" w:lineRule="atLeast"/>
        <w:rPr>
          <w:rFonts w:hint="eastAsia" w:ascii="宋体" w:hAnsi="宋体" w:cs="宋体"/>
          <w:b/>
          <w:color w:val="auto"/>
          <w:sz w:val="52"/>
          <w:highlight w:val="none"/>
        </w:rPr>
      </w:pPr>
    </w:p>
    <w:p w14:paraId="076F8FE8">
      <w:pPr>
        <w:pStyle w:val="5"/>
        <w:rPr>
          <w:rFonts w:hint="eastAsia"/>
          <w:color w:val="auto"/>
          <w:highlight w:val="none"/>
        </w:rPr>
      </w:pPr>
    </w:p>
    <w:p w14:paraId="7237E9AA">
      <w:pPr>
        <w:spacing w:line="240" w:lineRule="atLeast"/>
        <w:ind w:left="1079" w:leftChars="257" w:hanging="540"/>
        <w:jc w:val="center"/>
        <w:rPr>
          <w:rFonts w:hint="eastAsia" w:ascii="宋体" w:hAnsi="宋体" w:cs="宋体"/>
          <w:b/>
          <w:color w:val="auto"/>
          <w:sz w:val="32"/>
          <w:highlight w:val="none"/>
        </w:rPr>
      </w:pPr>
      <w:bookmarkStart w:id="0" w:name="_Toc25817"/>
      <w:bookmarkStart w:id="1" w:name="_Toc22782"/>
      <w:bookmarkStart w:id="2" w:name="_Toc17230"/>
      <w:bookmarkStart w:id="3" w:name="_Toc216582804"/>
      <w:r>
        <w:rPr>
          <w:rFonts w:hint="eastAsia" w:ascii="宋体" w:hAnsi="宋体" w:cs="宋体"/>
          <w:b/>
          <w:color w:val="auto"/>
          <w:sz w:val="32"/>
          <w:highlight w:val="none"/>
        </w:rPr>
        <w:t>目  录</w:t>
      </w:r>
    </w:p>
    <w:p w14:paraId="35C84C22">
      <w:pPr>
        <w:spacing w:line="360" w:lineRule="auto"/>
        <w:ind w:left="1079" w:leftChars="257" w:hanging="540"/>
        <w:jc w:val="center"/>
        <w:rPr>
          <w:rFonts w:hint="eastAsia" w:ascii="宋体" w:hAnsi="宋体" w:cs="宋体"/>
          <w:b/>
          <w:color w:val="auto"/>
          <w:sz w:val="32"/>
          <w:highlight w:val="none"/>
        </w:rPr>
      </w:pPr>
    </w:p>
    <w:p w14:paraId="1B21FE0B">
      <w:pPr>
        <w:pStyle w:val="23"/>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TOC \o "1-3" \h \z \u </w:instrText>
      </w:r>
      <w:r>
        <w:rPr>
          <w:rFonts w:hint="eastAsia" w:ascii="宋体" w:hAnsi="宋体" w:cs="宋体"/>
          <w:b/>
          <w:bCs/>
          <w:color w:val="auto"/>
          <w:kern w:val="0"/>
          <w:sz w:val="24"/>
          <w:highlight w:val="none"/>
        </w:rPr>
        <w:fldChar w:fldCharType="separate"/>
      </w: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_Toc25817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第1章   投标人须知</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cs="宋体"/>
          <w:b/>
          <w:bCs/>
          <w:color w:val="auto"/>
          <w:kern w:val="0"/>
          <w:sz w:val="24"/>
          <w:highlight w:val="none"/>
        </w:rPr>
        <w:fldChar w:fldCharType="end"/>
      </w:r>
    </w:p>
    <w:p w14:paraId="204F411E">
      <w:pPr>
        <w:pStyle w:val="28"/>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_Toc22145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一   总 则</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cs="宋体"/>
          <w:b/>
          <w:bCs/>
          <w:color w:val="auto"/>
          <w:kern w:val="0"/>
          <w:sz w:val="24"/>
          <w:highlight w:val="none"/>
        </w:rPr>
        <w:fldChar w:fldCharType="end"/>
      </w:r>
    </w:p>
    <w:p w14:paraId="632C1739">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_Toc5999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1.采购人、采购代理机构及投标人</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1</w:t>
      </w:r>
      <w:r>
        <w:rPr>
          <w:rFonts w:hint="eastAsia" w:ascii="宋体" w:hAnsi="宋体" w:cs="宋体"/>
          <w:b/>
          <w:bCs/>
          <w:color w:val="auto"/>
          <w:kern w:val="0"/>
          <w:sz w:val="24"/>
          <w:highlight w:val="none"/>
        </w:rPr>
        <w:fldChar w:fldCharType="end"/>
      </w:r>
    </w:p>
    <w:p w14:paraId="563C3470">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_Toc4322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2.资金来源</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_Toc4322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1</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70F9507F">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_Toc13828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3.投标费用</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_Toc13828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1</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37C2977E">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_Toc32665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4.适用法律</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_Toc32665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1</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096A3998">
      <w:pPr>
        <w:pStyle w:val="28"/>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_Toc28572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二   招标文件</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_Toc28572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59E2A9B6">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_Toc4671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5.招标文件构成</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_Toc4671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79C80BE2">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_Toc1922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6.招标文件的澄清与修改</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_Toc1922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4C715D5C">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_Toc12448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7.投标截止时间的顺延</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_Toc12448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31C25ABD">
      <w:pPr>
        <w:pStyle w:val="28"/>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_Toc31039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三   投标文件的编制</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_Toc31039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2EBB65CC">
      <w:pPr>
        <w:pStyle w:val="14"/>
        <w:tabs>
          <w:tab w:val="right" w:pos="3600"/>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_Toc30570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8.</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t>投标范围及投标文件中标准和计量单位的使用</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_Toc30570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6E3B2C46">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_Toc18692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9.投标文件构成</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_Toc18692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2</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72C3F7C9">
      <w:pPr>
        <w:pStyle w:val="14"/>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lang w:eastAsia="zh-CN"/>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_Toc13143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10.</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t>证明投标标的的合格性和符合招标文件规定的技术文件</w:t>
      </w:r>
      <w:r>
        <w:rPr>
          <w:rFonts w:hint="eastAsia" w:ascii="宋体" w:hAnsi="宋体" w:cs="宋体"/>
          <w:b/>
          <w:bCs/>
          <w:color w:val="auto"/>
          <w:kern w:val="0"/>
          <w:sz w:val="24"/>
          <w:highlight w:val="none"/>
        </w:rPr>
        <w:fldChar w:fldCharType="end"/>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3</w:t>
      </w:r>
    </w:p>
    <w:p w14:paraId="30B1DC1B">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_Toc19624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11.投标报价</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_Toc19624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3</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4FF17A86">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_Toc22212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12.投标保证金</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_Toc22212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3</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714B3C29">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_Toc22901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13.投标有效期</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_Toc22901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4</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30D3F99F">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_Toc17609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14.投标文件的签署及规定</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_Toc17609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4</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10405CAA">
      <w:pPr>
        <w:pStyle w:val="28"/>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_Toc25925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四   投标文件的递交</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PAGEREF _Toc25925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4</w:t>
      </w:r>
      <w:r>
        <w:rPr>
          <w:rFonts w:hint="eastAsia" w:ascii="宋体" w:hAnsi="宋体" w:cs="宋体"/>
          <w:b/>
          <w:bCs/>
          <w:color w:val="auto"/>
          <w:sz w:val="24"/>
          <w:szCs w:val="32"/>
          <w:highlight w:val="none"/>
        </w:rPr>
        <w:fldChar w:fldCharType="end"/>
      </w:r>
      <w:r>
        <w:rPr>
          <w:rFonts w:hint="eastAsia" w:ascii="宋体" w:hAnsi="宋体" w:cs="宋体"/>
          <w:b/>
          <w:bCs/>
          <w:color w:val="auto"/>
          <w:kern w:val="0"/>
          <w:sz w:val="24"/>
          <w:highlight w:val="none"/>
        </w:rPr>
        <w:fldChar w:fldCharType="end"/>
      </w:r>
    </w:p>
    <w:p w14:paraId="0B8897D9">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_Toc26195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15.投标文件的密封和标记</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cs="宋体"/>
          <w:b/>
          <w:bCs/>
          <w:color w:val="auto"/>
          <w:kern w:val="0"/>
          <w:sz w:val="24"/>
          <w:highlight w:val="none"/>
        </w:rPr>
        <w:fldChar w:fldCharType="end"/>
      </w:r>
    </w:p>
    <w:p w14:paraId="4DEB7EF3">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_Toc24017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16.投标截止</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cs="宋体"/>
          <w:b/>
          <w:bCs/>
          <w:color w:val="auto"/>
          <w:kern w:val="0"/>
          <w:sz w:val="24"/>
          <w:highlight w:val="none"/>
        </w:rPr>
        <w:fldChar w:fldCharType="end"/>
      </w:r>
    </w:p>
    <w:p w14:paraId="6DA8C88C">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_Toc24785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17.投标文件的接收、修改与撤回</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cs="宋体"/>
          <w:b/>
          <w:bCs/>
          <w:color w:val="auto"/>
          <w:kern w:val="0"/>
          <w:sz w:val="24"/>
          <w:highlight w:val="none"/>
        </w:rPr>
        <w:fldChar w:fldCharType="end"/>
      </w:r>
    </w:p>
    <w:p w14:paraId="5BF23785">
      <w:pPr>
        <w:pStyle w:val="28"/>
        <w:tabs>
          <w:tab w:val="right" w:leader="dot" w:pos="8312"/>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_Toc20246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五   开标及评标</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t>5</w:t>
      </w:r>
      <w:r>
        <w:rPr>
          <w:rFonts w:hint="eastAsia" w:ascii="宋体" w:hAnsi="宋体" w:cs="宋体"/>
          <w:b/>
          <w:bCs/>
          <w:color w:val="auto"/>
          <w:kern w:val="0"/>
          <w:sz w:val="24"/>
          <w:highlight w:val="none"/>
        </w:rPr>
        <w:fldChar w:fldCharType="end"/>
      </w:r>
    </w:p>
    <w:p w14:paraId="64EF1A4E">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_Toc17257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18. 开标</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t>5</w:t>
      </w:r>
      <w:r>
        <w:rPr>
          <w:rFonts w:hint="eastAsia" w:ascii="宋体" w:hAnsi="宋体" w:cs="宋体"/>
          <w:b/>
          <w:bCs/>
          <w:color w:val="auto"/>
          <w:kern w:val="0"/>
          <w:sz w:val="24"/>
          <w:highlight w:val="none"/>
        </w:rPr>
        <w:fldChar w:fldCharType="end"/>
      </w:r>
    </w:p>
    <w:p w14:paraId="0DEA7AEF">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_Toc31290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19.资格审查及组建评标委员会</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cs="宋体"/>
          <w:b/>
          <w:bCs/>
          <w:color w:val="auto"/>
          <w:kern w:val="0"/>
          <w:sz w:val="24"/>
          <w:highlight w:val="none"/>
        </w:rPr>
        <w:fldChar w:fldCharType="end"/>
      </w:r>
    </w:p>
    <w:p w14:paraId="00FFEC61">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_Toc26332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20.投标文件符合性审查与澄清</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cs="宋体"/>
          <w:b/>
          <w:bCs/>
          <w:color w:val="auto"/>
          <w:kern w:val="0"/>
          <w:sz w:val="24"/>
          <w:highlight w:val="none"/>
        </w:rPr>
        <w:fldChar w:fldCharType="end"/>
      </w:r>
    </w:p>
    <w:p w14:paraId="6ADFB65E">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_Toc18529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21.投标偏离</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cs="宋体"/>
          <w:b/>
          <w:bCs/>
          <w:color w:val="auto"/>
          <w:kern w:val="0"/>
          <w:sz w:val="24"/>
          <w:highlight w:val="none"/>
        </w:rPr>
        <w:fldChar w:fldCharType="end"/>
      </w:r>
    </w:p>
    <w:p w14:paraId="0EF5C669">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_Toc23936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22.投标无效</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6</w:t>
      </w:r>
      <w:r>
        <w:rPr>
          <w:rFonts w:hint="eastAsia" w:ascii="宋体" w:hAnsi="宋体" w:cs="宋体"/>
          <w:b/>
          <w:bCs/>
          <w:color w:val="auto"/>
          <w:kern w:val="0"/>
          <w:sz w:val="24"/>
          <w:highlight w:val="none"/>
        </w:rPr>
        <w:fldChar w:fldCharType="end"/>
      </w:r>
    </w:p>
    <w:p w14:paraId="3824C176">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_Toc8521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23.比较与评价</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cs="宋体"/>
          <w:b/>
          <w:bCs/>
          <w:color w:val="auto"/>
          <w:kern w:val="0"/>
          <w:sz w:val="24"/>
          <w:highlight w:val="none"/>
        </w:rPr>
        <w:fldChar w:fldCharType="end"/>
      </w:r>
    </w:p>
    <w:p w14:paraId="09A26BDF">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_Toc31728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24.废标</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cs="宋体"/>
          <w:b/>
          <w:bCs/>
          <w:color w:val="auto"/>
          <w:kern w:val="0"/>
          <w:sz w:val="24"/>
          <w:highlight w:val="none"/>
        </w:rPr>
        <w:fldChar w:fldCharType="end"/>
      </w:r>
    </w:p>
    <w:p w14:paraId="1934B958">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_Toc11175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25.保密原则</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7</w:t>
      </w:r>
      <w:r>
        <w:rPr>
          <w:rFonts w:hint="eastAsia" w:ascii="宋体" w:hAnsi="宋体" w:cs="宋体"/>
          <w:b/>
          <w:bCs/>
          <w:color w:val="auto"/>
          <w:kern w:val="0"/>
          <w:sz w:val="24"/>
          <w:highlight w:val="none"/>
        </w:rPr>
        <w:fldChar w:fldCharType="end"/>
      </w:r>
    </w:p>
    <w:p w14:paraId="48D16407">
      <w:pPr>
        <w:pStyle w:val="28"/>
        <w:tabs>
          <w:tab w:val="right" w:leader="dot" w:pos="8312"/>
        </w:tabs>
        <w:spacing w:line="360" w:lineRule="auto"/>
        <w:rPr>
          <w:rFonts w:hint="eastAsia" w:ascii="宋体" w:hAnsi="宋体" w:eastAsia="宋体" w:cs="宋体"/>
          <w:b/>
          <w:bCs/>
          <w:color w:val="auto"/>
          <w:sz w:val="24"/>
          <w:szCs w:val="32"/>
          <w:highlight w:val="none"/>
          <w:lang w:eastAsia="zh-CN"/>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_Toc2153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六   确定中标</w:t>
      </w:r>
      <w:r>
        <w:rPr>
          <w:rFonts w:hint="eastAsia" w:ascii="宋体" w:hAnsi="宋体" w:cs="宋体"/>
          <w:b/>
          <w:bCs/>
          <w:color w:val="auto"/>
          <w:sz w:val="24"/>
          <w:szCs w:val="32"/>
          <w:highlight w:val="none"/>
        </w:rPr>
        <w:tab/>
      </w:r>
      <w:r>
        <w:rPr>
          <w:rFonts w:hint="eastAsia" w:ascii="宋体" w:hAnsi="宋体" w:cs="宋体"/>
          <w:b/>
          <w:bCs/>
          <w:color w:val="auto"/>
          <w:kern w:val="0"/>
          <w:sz w:val="24"/>
          <w:highlight w:val="none"/>
        </w:rPr>
        <w:fldChar w:fldCharType="end"/>
      </w:r>
      <w:r>
        <w:rPr>
          <w:rFonts w:hint="eastAsia" w:ascii="宋体" w:hAnsi="宋体" w:cs="宋体"/>
          <w:b/>
          <w:bCs/>
          <w:color w:val="auto"/>
          <w:kern w:val="0"/>
          <w:sz w:val="24"/>
          <w:highlight w:val="none"/>
          <w:lang w:val="en-US" w:eastAsia="zh-CN"/>
        </w:rPr>
        <w:t>7</w:t>
      </w:r>
    </w:p>
    <w:p w14:paraId="75A0C577">
      <w:pPr>
        <w:pStyle w:val="14"/>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eastAsia="zh-CN"/>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_Toc28066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26.中标候选人的确定原则及标准</w:t>
      </w:r>
      <w:r>
        <w:rPr>
          <w:rFonts w:hint="eastAsia" w:ascii="宋体" w:hAnsi="宋体" w:cs="宋体"/>
          <w:b/>
          <w:bCs/>
          <w:color w:val="auto"/>
          <w:sz w:val="24"/>
          <w:szCs w:val="32"/>
          <w:highlight w:val="none"/>
        </w:rPr>
        <w:tab/>
      </w:r>
      <w:r>
        <w:rPr>
          <w:rFonts w:hint="eastAsia" w:ascii="宋体" w:hAnsi="宋体" w:cs="宋体"/>
          <w:b/>
          <w:bCs/>
          <w:color w:val="auto"/>
          <w:kern w:val="0"/>
          <w:sz w:val="24"/>
          <w:highlight w:val="none"/>
        </w:rPr>
        <w:fldChar w:fldCharType="end"/>
      </w:r>
      <w:r>
        <w:rPr>
          <w:rFonts w:hint="eastAsia" w:ascii="宋体" w:hAnsi="宋体" w:cs="宋体"/>
          <w:b/>
          <w:bCs/>
          <w:color w:val="auto"/>
          <w:kern w:val="0"/>
          <w:sz w:val="24"/>
          <w:highlight w:val="none"/>
          <w:lang w:val="en-US" w:eastAsia="zh-CN"/>
        </w:rPr>
        <w:t>7</w:t>
      </w:r>
    </w:p>
    <w:p w14:paraId="58BAECE7">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_Toc19950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27.确定中标候选人和中标人</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203C56CB">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_Toc13782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28.采购任务取消</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06194B24">
      <w:pPr>
        <w:pStyle w:val="14"/>
        <w:tabs>
          <w:tab w:val="right" w:leader="dot" w:pos="8312"/>
          <w:tab w:val="clear" w:pos="1260"/>
          <w:tab w:val="clear" w:pos="8630"/>
        </w:tabs>
        <w:spacing w:line="360" w:lineRule="auto"/>
        <w:rPr>
          <w:rFonts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_Toc31142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29.中标通知书和招标结果通知书</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20129BB4">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_Toc14795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30.签订合同</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1F847CCC">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_Toc7188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31.履约保证金</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4AA5F64E">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_Toc31936 </w:instrText>
      </w:r>
      <w:r>
        <w:rPr>
          <w:rFonts w:hint="eastAsia" w:ascii="宋体" w:hAnsi="宋体" w:cs="宋体"/>
          <w:b/>
          <w:bCs/>
          <w:color w:val="auto"/>
          <w:kern w:val="0"/>
          <w:sz w:val="24"/>
          <w:highlight w:val="none"/>
        </w:rPr>
        <w:fldChar w:fldCharType="separate"/>
      </w:r>
      <w:r>
        <w:rPr>
          <w:rFonts w:hint="eastAsia" w:ascii="宋体" w:hAnsi="宋体" w:cs="宋体"/>
          <w:b/>
          <w:bCs/>
          <w:color w:val="auto"/>
          <w:sz w:val="24"/>
          <w:szCs w:val="32"/>
          <w:highlight w:val="none"/>
        </w:rPr>
        <w:t>32.中标服务费</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8</w:t>
      </w:r>
      <w:r>
        <w:rPr>
          <w:rFonts w:hint="eastAsia" w:ascii="宋体" w:hAnsi="宋体" w:cs="宋体"/>
          <w:b/>
          <w:bCs/>
          <w:color w:val="auto"/>
          <w:kern w:val="0"/>
          <w:sz w:val="24"/>
          <w:highlight w:val="none"/>
        </w:rPr>
        <w:fldChar w:fldCharType="end"/>
      </w:r>
    </w:p>
    <w:p w14:paraId="7754C573">
      <w:pPr>
        <w:pStyle w:val="14"/>
        <w:tabs>
          <w:tab w:val="right" w:leader="dot" w:pos="8312"/>
          <w:tab w:val="clear" w:pos="1260"/>
          <w:tab w:val="clear" w:pos="8630"/>
        </w:tabs>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_Toc13588 </w:instrText>
      </w:r>
      <w:r>
        <w:rPr>
          <w:rFonts w:hint="eastAsia" w:ascii="宋体" w:hAnsi="宋体" w:cs="宋体"/>
          <w:b/>
          <w:bCs/>
          <w:color w:val="auto"/>
          <w:kern w:val="0"/>
          <w:sz w:val="24"/>
          <w:highlight w:val="none"/>
        </w:rPr>
        <w:fldChar w:fldCharType="separate"/>
      </w:r>
      <w:r>
        <w:rPr>
          <w:rFonts w:hint="eastAsia" w:ascii="宋体" w:hAnsi="宋体" w:cs="宋体"/>
          <w:b/>
          <w:bCs/>
          <w:color w:val="auto"/>
          <w:kern w:val="0"/>
          <w:sz w:val="24"/>
          <w:highlight w:val="none"/>
        </w:rPr>
        <w:t>33.政府采购信用担保</w:t>
      </w:r>
      <w:r>
        <w:rPr>
          <w:rFonts w:hint="eastAsia" w:ascii="宋体" w:hAnsi="宋体" w:cs="宋体"/>
          <w:b/>
          <w:bCs/>
          <w:color w:val="auto"/>
          <w:kern w:val="0"/>
          <w:sz w:val="24"/>
          <w:highlight w:val="none"/>
        </w:rPr>
        <w:tab/>
      </w:r>
      <w:r>
        <w:rPr>
          <w:rFonts w:hint="eastAsia" w:ascii="宋体" w:hAnsi="宋体" w:cs="宋体"/>
          <w:b/>
          <w:bCs/>
          <w:color w:val="auto"/>
          <w:kern w:val="0"/>
          <w:sz w:val="24"/>
          <w:highlight w:val="none"/>
          <w:lang w:val="en-US" w:eastAsia="zh-CN"/>
        </w:rPr>
        <w:t>8</w:t>
      </w:r>
      <w:r>
        <w:rPr>
          <w:rFonts w:hint="eastAsia" w:ascii="宋体" w:hAnsi="宋体" w:cs="宋体"/>
          <w:b/>
          <w:bCs/>
          <w:color w:val="auto"/>
          <w:kern w:val="0"/>
          <w:sz w:val="24"/>
          <w:highlight w:val="none"/>
        </w:rPr>
        <w:fldChar w:fldCharType="end"/>
      </w:r>
    </w:p>
    <w:p w14:paraId="22DD279D">
      <w:pPr>
        <w:pStyle w:val="14"/>
        <w:tabs>
          <w:tab w:val="right" w:leader="dot" w:pos="8312"/>
          <w:tab w:val="clear" w:pos="1260"/>
          <w:tab w:val="clear" w:pos="8630"/>
        </w:tabs>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_Toc27198 </w:instrText>
      </w:r>
      <w:r>
        <w:rPr>
          <w:rFonts w:hint="eastAsia" w:ascii="宋体" w:hAnsi="宋体" w:cs="宋体"/>
          <w:b/>
          <w:bCs/>
          <w:color w:val="auto"/>
          <w:kern w:val="0"/>
          <w:sz w:val="24"/>
          <w:highlight w:val="none"/>
        </w:rPr>
        <w:fldChar w:fldCharType="separate"/>
      </w:r>
      <w:r>
        <w:rPr>
          <w:rFonts w:hint="eastAsia" w:ascii="宋体" w:hAnsi="宋体" w:cs="宋体"/>
          <w:b/>
          <w:bCs/>
          <w:color w:val="auto"/>
          <w:kern w:val="0"/>
          <w:sz w:val="24"/>
          <w:highlight w:val="none"/>
        </w:rPr>
        <w:t>34.廉洁自律规定</w:t>
      </w:r>
      <w:r>
        <w:rPr>
          <w:rFonts w:hint="eastAsia" w:ascii="宋体" w:hAnsi="宋体" w:cs="宋体"/>
          <w:b/>
          <w:bCs/>
          <w:color w:val="auto"/>
          <w:kern w:val="0"/>
          <w:sz w:val="24"/>
          <w:highlight w:val="none"/>
        </w:rPr>
        <w:tab/>
      </w:r>
      <w:r>
        <w:rPr>
          <w:rFonts w:hint="eastAsia" w:ascii="宋体" w:hAnsi="宋体" w:cs="宋体"/>
          <w:b/>
          <w:bCs/>
          <w:color w:val="auto"/>
          <w:kern w:val="0"/>
          <w:sz w:val="24"/>
          <w:highlight w:val="none"/>
          <w:lang w:val="en-US" w:eastAsia="zh-CN"/>
        </w:rPr>
        <w:t>8</w:t>
      </w:r>
      <w:r>
        <w:rPr>
          <w:rFonts w:hint="eastAsia" w:ascii="宋体" w:hAnsi="宋体" w:cs="宋体"/>
          <w:b/>
          <w:bCs/>
          <w:color w:val="auto"/>
          <w:kern w:val="0"/>
          <w:sz w:val="24"/>
          <w:highlight w:val="none"/>
        </w:rPr>
        <w:fldChar w:fldCharType="end"/>
      </w:r>
    </w:p>
    <w:p w14:paraId="3A41CA2B">
      <w:pPr>
        <w:pStyle w:val="14"/>
        <w:tabs>
          <w:tab w:val="right" w:leader="dot" w:pos="8312"/>
          <w:tab w:val="clear" w:pos="1260"/>
          <w:tab w:val="clear" w:pos="8630"/>
        </w:tabs>
        <w:spacing w:line="360" w:lineRule="auto"/>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_Toc10437 </w:instrText>
      </w:r>
      <w:r>
        <w:rPr>
          <w:rFonts w:hint="eastAsia" w:ascii="宋体" w:hAnsi="宋体" w:cs="宋体"/>
          <w:b/>
          <w:bCs/>
          <w:color w:val="auto"/>
          <w:kern w:val="0"/>
          <w:sz w:val="24"/>
          <w:highlight w:val="none"/>
        </w:rPr>
        <w:fldChar w:fldCharType="separate"/>
      </w:r>
      <w:r>
        <w:rPr>
          <w:rFonts w:hint="eastAsia" w:ascii="宋体" w:hAnsi="宋体" w:cs="宋体"/>
          <w:b/>
          <w:bCs/>
          <w:color w:val="auto"/>
          <w:kern w:val="0"/>
          <w:sz w:val="24"/>
          <w:highlight w:val="none"/>
        </w:rPr>
        <w:t>35.人员回避</w:t>
      </w:r>
      <w:r>
        <w:rPr>
          <w:rFonts w:hint="eastAsia" w:ascii="宋体" w:hAnsi="宋体" w:cs="宋体"/>
          <w:b/>
          <w:bCs/>
          <w:color w:val="auto"/>
          <w:kern w:val="0"/>
          <w:sz w:val="24"/>
          <w:highlight w:val="none"/>
        </w:rPr>
        <w:tab/>
      </w:r>
      <w:r>
        <w:rPr>
          <w:rFonts w:hint="eastAsia" w:ascii="宋体" w:hAnsi="宋体" w:cs="宋体"/>
          <w:b/>
          <w:bCs/>
          <w:color w:val="auto"/>
          <w:kern w:val="0"/>
          <w:sz w:val="24"/>
          <w:highlight w:val="none"/>
          <w:lang w:val="en-US" w:eastAsia="zh-CN"/>
        </w:rPr>
        <w:t>9</w:t>
      </w:r>
      <w:r>
        <w:rPr>
          <w:rFonts w:hint="eastAsia" w:ascii="宋体" w:hAnsi="宋体" w:cs="宋体"/>
          <w:b/>
          <w:bCs/>
          <w:color w:val="auto"/>
          <w:kern w:val="0"/>
          <w:sz w:val="24"/>
          <w:highlight w:val="none"/>
        </w:rPr>
        <w:fldChar w:fldCharType="end"/>
      </w:r>
    </w:p>
    <w:p w14:paraId="7186E422">
      <w:pPr>
        <w:pStyle w:val="14"/>
        <w:tabs>
          <w:tab w:val="right" w:leader="dot" w:pos="8312"/>
          <w:tab w:val="clear" w:pos="1260"/>
          <w:tab w:val="clear" w:pos="8630"/>
        </w:tabs>
        <w:spacing w:line="360" w:lineRule="auto"/>
        <w:rPr>
          <w:rFonts w:hint="eastAsia" w:ascii="宋体" w:hAnsi="宋体" w:cs="宋体"/>
          <w:b/>
          <w:bCs/>
          <w:color w:val="auto"/>
          <w:sz w:val="24"/>
          <w:szCs w:val="32"/>
          <w:highlight w:val="none"/>
        </w:rPr>
      </w:pPr>
      <w:r>
        <w:rPr>
          <w:rFonts w:hint="eastAsia" w:ascii="宋体" w:hAnsi="宋体" w:cs="宋体"/>
          <w:b/>
          <w:bCs/>
          <w:color w:val="auto"/>
          <w:kern w:val="0"/>
          <w:sz w:val="24"/>
          <w:highlight w:val="none"/>
        </w:rPr>
        <w:fldChar w:fldCharType="begin"/>
      </w:r>
      <w:r>
        <w:rPr>
          <w:rFonts w:hint="eastAsia" w:ascii="宋体" w:hAnsi="宋体" w:cs="宋体"/>
          <w:b/>
          <w:bCs/>
          <w:color w:val="auto"/>
          <w:kern w:val="0"/>
          <w:sz w:val="24"/>
          <w:highlight w:val="none"/>
        </w:rPr>
        <w:instrText xml:space="preserve"> HYPERLINK \l _Toc10700 </w:instrText>
      </w:r>
      <w:r>
        <w:rPr>
          <w:rFonts w:hint="eastAsia" w:ascii="宋体" w:hAnsi="宋体" w:cs="宋体"/>
          <w:b/>
          <w:bCs/>
          <w:color w:val="auto"/>
          <w:kern w:val="0"/>
          <w:sz w:val="24"/>
          <w:highlight w:val="none"/>
        </w:rPr>
        <w:fldChar w:fldCharType="separate"/>
      </w:r>
      <w:r>
        <w:rPr>
          <w:rFonts w:hint="eastAsia" w:ascii="宋体" w:hAnsi="宋体" w:cs="宋体"/>
          <w:b/>
          <w:bCs/>
          <w:color w:val="auto"/>
          <w:kern w:val="0"/>
          <w:sz w:val="24"/>
          <w:highlight w:val="none"/>
        </w:rPr>
        <w:t>36.质疑与接收</w:t>
      </w:r>
      <w:r>
        <w:rPr>
          <w:rFonts w:hint="eastAsia" w:ascii="宋体" w:hAnsi="宋体" w:cs="宋体"/>
          <w:b/>
          <w:bCs/>
          <w:color w:val="auto"/>
          <w:kern w:val="0"/>
          <w:sz w:val="24"/>
          <w:highlight w:val="none"/>
        </w:rPr>
        <w:tab/>
      </w:r>
      <w:r>
        <w:rPr>
          <w:rFonts w:hint="eastAsia" w:ascii="宋体" w:hAnsi="宋体" w:cs="宋体"/>
          <w:b/>
          <w:bCs/>
          <w:color w:val="auto"/>
          <w:kern w:val="0"/>
          <w:sz w:val="24"/>
          <w:highlight w:val="none"/>
          <w:lang w:val="en-US" w:eastAsia="zh-CN"/>
        </w:rPr>
        <w:t>9</w:t>
      </w:r>
      <w:r>
        <w:rPr>
          <w:rFonts w:hint="eastAsia" w:ascii="宋体" w:hAnsi="宋体" w:cs="宋体"/>
          <w:b/>
          <w:bCs/>
          <w:color w:val="auto"/>
          <w:kern w:val="0"/>
          <w:sz w:val="24"/>
          <w:highlight w:val="none"/>
        </w:rPr>
        <w:fldChar w:fldCharType="end"/>
      </w:r>
    </w:p>
    <w:p w14:paraId="40EA2AB6">
      <w:pPr>
        <w:pStyle w:val="28"/>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_Toc19692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第2章 投标文件格式</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t>1</w:t>
      </w:r>
      <w:r>
        <w:rPr>
          <w:rFonts w:hint="eastAsia" w:ascii="宋体" w:hAnsi="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6</w:t>
      </w:r>
    </w:p>
    <w:p w14:paraId="473C0886">
      <w:pPr>
        <w:pStyle w:val="28"/>
        <w:tabs>
          <w:tab w:val="right" w:leader="dot" w:pos="8312"/>
        </w:tabs>
        <w:spacing w:line="360" w:lineRule="auto"/>
        <w:rPr>
          <w:rFonts w:hint="default"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_Toc20439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w:t>
      </w:r>
      <w:r>
        <w:rPr>
          <w:rFonts w:hint="eastAsia" w:ascii="宋体" w:hAnsi="宋体" w:cs="宋体"/>
          <w:b/>
          <w:bCs/>
          <w:color w:val="auto"/>
          <w:sz w:val="24"/>
          <w:szCs w:val="32"/>
          <w:highlight w:val="none"/>
          <w:lang w:val="en-US" w:eastAsia="zh-CN"/>
        </w:rPr>
        <w:t>3</w:t>
      </w:r>
      <w:r>
        <w:rPr>
          <w:rFonts w:hint="eastAsia" w:ascii="宋体" w:hAnsi="宋体" w:cs="宋体"/>
          <w:b/>
          <w:bCs/>
          <w:color w:val="auto"/>
          <w:sz w:val="24"/>
          <w:szCs w:val="32"/>
          <w:highlight w:val="none"/>
        </w:rPr>
        <w:t xml:space="preserve">章 </w:t>
      </w:r>
      <w:r>
        <w:rPr>
          <w:rFonts w:hint="eastAsia" w:ascii="宋体" w:hAnsi="宋体" w:cs="宋体"/>
          <w:b/>
          <w:bCs/>
          <w:color w:val="auto"/>
          <w:sz w:val="24"/>
          <w:szCs w:val="32"/>
          <w:highlight w:val="none"/>
          <w:lang w:eastAsia="zh-CN"/>
        </w:rPr>
        <w:t>招标公告</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40</w:t>
      </w:r>
    </w:p>
    <w:p w14:paraId="6E2B8023">
      <w:pPr>
        <w:pStyle w:val="28"/>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_Toc22779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w:t>
      </w:r>
      <w:r>
        <w:rPr>
          <w:rFonts w:hint="eastAsia" w:ascii="宋体" w:hAnsi="宋体" w:cs="宋体"/>
          <w:b/>
          <w:bCs/>
          <w:color w:val="auto"/>
          <w:sz w:val="24"/>
          <w:szCs w:val="32"/>
          <w:highlight w:val="none"/>
          <w:lang w:val="en-US" w:eastAsia="zh-CN"/>
        </w:rPr>
        <w:t>4</w:t>
      </w:r>
      <w:r>
        <w:rPr>
          <w:rFonts w:hint="eastAsia" w:ascii="宋体" w:hAnsi="宋体" w:cs="宋体"/>
          <w:b/>
          <w:bCs/>
          <w:color w:val="auto"/>
          <w:sz w:val="24"/>
          <w:szCs w:val="32"/>
          <w:highlight w:val="none"/>
        </w:rPr>
        <w:t>章 投标人须知资料表</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2</w:t>
      </w:r>
    </w:p>
    <w:p w14:paraId="2032B8FE">
      <w:pPr>
        <w:pStyle w:val="28"/>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_Toc23331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w:t>
      </w:r>
      <w:r>
        <w:rPr>
          <w:rFonts w:hint="eastAsia" w:ascii="宋体" w:hAnsi="宋体" w:cs="宋体"/>
          <w:b/>
          <w:bCs/>
          <w:color w:val="auto"/>
          <w:sz w:val="24"/>
          <w:szCs w:val="32"/>
          <w:highlight w:val="none"/>
          <w:lang w:val="en-US" w:eastAsia="zh-CN"/>
        </w:rPr>
        <w:t>5</w:t>
      </w:r>
      <w:r>
        <w:rPr>
          <w:rFonts w:hint="eastAsia" w:ascii="宋体" w:hAnsi="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服务</w:t>
      </w:r>
      <w:r>
        <w:rPr>
          <w:rFonts w:hint="eastAsia" w:ascii="宋体" w:hAnsi="宋体" w:eastAsia="宋体" w:cs="宋体"/>
          <w:b/>
          <w:bCs/>
          <w:color w:val="auto"/>
          <w:sz w:val="24"/>
          <w:szCs w:val="32"/>
          <w:highlight w:val="none"/>
        </w:rPr>
        <w:t>需求</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w:t>
      </w:r>
      <w:r>
        <w:rPr>
          <w:rFonts w:hint="eastAsia" w:ascii="宋体" w:hAnsi="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4</w:t>
      </w:r>
    </w:p>
    <w:p w14:paraId="5B70D54F">
      <w:pPr>
        <w:pStyle w:val="28"/>
        <w:tabs>
          <w:tab w:val="right" w:leader="dot" w:pos="8312"/>
        </w:tabs>
        <w:spacing w:line="360" w:lineRule="auto"/>
        <w:rPr>
          <w:rFonts w:hint="default" w:ascii="宋体" w:hAnsi="宋体" w:eastAsia="宋体" w:cs="宋体"/>
          <w:b/>
          <w:bCs/>
          <w:color w:val="auto"/>
          <w:sz w:val="24"/>
          <w:szCs w:val="32"/>
          <w:highlight w:val="none"/>
          <w:lang w:val="en-US" w:eastAsia="zh-CN"/>
        </w:rPr>
      </w:pPr>
      <w:r>
        <w:rPr>
          <w:rFonts w:hint="eastAsia" w:ascii="宋体" w:hAnsi="宋体" w:cs="宋体"/>
          <w:b/>
          <w:bCs/>
          <w:color w:val="auto"/>
          <w:sz w:val="24"/>
          <w:szCs w:val="32"/>
          <w:highlight w:val="none"/>
        </w:rPr>
        <w:fldChar w:fldCharType="begin"/>
      </w:r>
      <w:r>
        <w:rPr>
          <w:rFonts w:hint="eastAsia" w:ascii="宋体" w:hAnsi="宋体" w:cs="宋体"/>
          <w:b/>
          <w:bCs/>
          <w:color w:val="auto"/>
          <w:sz w:val="24"/>
          <w:szCs w:val="32"/>
          <w:highlight w:val="none"/>
        </w:rPr>
        <w:instrText xml:space="preserve"> HYPERLINK \l _Toc4337 </w:instrText>
      </w:r>
      <w:r>
        <w:rPr>
          <w:rFonts w:hint="eastAsia" w:ascii="宋体" w:hAnsi="宋体" w:cs="宋体"/>
          <w:b/>
          <w:bCs/>
          <w:color w:val="auto"/>
          <w:sz w:val="24"/>
          <w:szCs w:val="32"/>
          <w:highlight w:val="none"/>
        </w:rPr>
        <w:fldChar w:fldCharType="separate"/>
      </w:r>
      <w:r>
        <w:rPr>
          <w:rFonts w:hint="eastAsia" w:ascii="宋体" w:hAnsi="宋体" w:cs="宋体"/>
          <w:b/>
          <w:bCs/>
          <w:color w:val="auto"/>
          <w:sz w:val="24"/>
          <w:szCs w:val="32"/>
          <w:highlight w:val="none"/>
        </w:rPr>
        <w:t>第</w:t>
      </w:r>
      <w:r>
        <w:rPr>
          <w:rFonts w:hint="eastAsia" w:ascii="宋体" w:hAnsi="宋体" w:cs="宋体"/>
          <w:b/>
          <w:bCs/>
          <w:color w:val="auto"/>
          <w:sz w:val="24"/>
          <w:szCs w:val="32"/>
          <w:highlight w:val="none"/>
          <w:lang w:val="en-US" w:eastAsia="zh-CN"/>
        </w:rPr>
        <w:t>6</w:t>
      </w:r>
      <w:r>
        <w:rPr>
          <w:rFonts w:hint="eastAsia" w:ascii="宋体" w:hAnsi="宋体" w:cs="宋体"/>
          <w:b/>
          <w:bCs/>
          <w:color w:val="auto"/>
          <w:sz w:val="24"/>
          <w:szCs w:val="32"/>
          <w:highlight w:val="none"/>
        </w:rPr>
        <w:t>章 评标方法和标准</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46</w:t>
      </w:r>
    </w:p>
    <w:p w14:paraId="383E6A29">
      <w:pPr>
        <w:pStyle w:val="28"/>
        <w:tabs>
          <w:tab w:val="right" w:leader="dot" w:pos="8312"/>
        </w:tabs>
        <w:spacing w:line="360" w:lineRule="auto"/>
        <w:rPr>
          <w:rFonts w:hint="default" w:ascii="宋体" w:hAnsi="宋体" w:eastAsia="宋体" w:cs="宋体"/>
          <w:b/>
          <w:bCs/>
          <w:color w:val="auto"/>
          <w:sz w:val="24"/>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74" w:right="1701" w:bottom="1474" w:left="1701" w:header="851" w:footer="992" w:gutter="0"/>
          <w:pgNumType w:start="1"/>
          <w:cols w:space="720" w:num="1"/>
          <w:docGrid w:type="linesAndChars" w:linePitch="312" w:charSpace="0"/>
        </w:sectPr>
      </w:pPr>
      <w:r>
        <w:rPr>
          <w:rFonts w:hint="eastAsia" w:ascii="宋体" w:hAnsi="宋体" w:cs="宋体"/>
          <w:b/>
          <w:bCs/>
          <w:color w:val="auto"/>
          <w:sz w:val="24"/>
          <w:szCs w:val="32"/>
          <w:highlight w:val="none"/>
        </w:rPr>
        <w:t>第</w:t>
      </w:r>
      <w:r>
        <w:rPr>
          <w:rFonts w:hint="eastAsia" w:ascii="宋体" w:hAnsi="宋体" w:cs="宋体"/>
          <w:b/>
          <w:bCs/>
          <w:color w:val="auto"/>
          <w:sz w:val="24"/>
          <w:szCs w:val="32"/>
          <w:highlight w:val="none"/>
          <w:lang w:val="en-US" w:eastAsia="zh-CN"/>
        </w:rPr>
        <w:t>7</w:t>
      </w:r>
      <w:r>
        <w:rPr>
          <w:rFonts w:hint="eastAsia" w:ascii="宋体" w:hAnsi="宋体" w:cs="宋体"/>
          <w:b/>
          <w:bCs/>
          <w:color w:val="auto"/>
          <w:sz w:val="24"/>
          <w:szCs w:val="32"/>
          <w:highlight w:val="none"/>
        </w:rPr>
        <w:t>章</w:t>
      </w:r>
      <w:r>
        <w:rPr>
          <w:rFonts w:hint="eastAsia" w:ascii="宋体" w:hAnsi="宋体" w:cs="宋体"/>
          <w:b/>
          <w:bCs/>
          <w:color w:val="auto"/>
          <w:sz w:val="24"/>
          <w:szCs w:val="32"/>
          <w:highlight w:val="none"/>
          <w:lang w:val="en-US" w:eastAsia="zh-CN"/>
        </w:rPr>
        <w:t xml:space="preserve"> </w:t>
      </w:r>
      <w:r>
        <w:rPr>
          <w:rFonts w:hint="eastAsia" w:ascii="宋体" w:hAnsi="宋体" w:cs="宋体"/>
          <w:b/>
          <w:bCs/>
          <w:color w:val="auto"/>
          <w:sz w:val="24"/>
          <w:szCs w:val="32"/>
          <w:highlight w:val="none"/>
        </w:rPr>
        <w:t>政府采购合同</w:t>
      </w:r>
      <w:r>
        <w:rPr>
          <w:rFonts w:hint="eastAsia" w:ascii="宋体" w:hAnsi="宋体" w:cs="宋体"/>
          <w:b/>
          <w:bCs/>
          <w:color w:val="auto"/>
          <w:sz w:val="24"/>
          <w:szCs w:val="32"/>
          <w:highlight w:val="none"/>
        </w:rPr>
        <w:tab/>
      </w:r>
      <w:r>
        <w:rPr>
          <w:rFonts w:hint="eastAsia" w:ascii="宋体" w:hAnsi="宋体" w:cs="宋体"/>
          <w:b/>
          <w:bCs/>
          <w:color w:val="auto"/>
          <w:sz w:val="24"/>
          <w:szCs w:val="32"/>
          <w:highlight w:val="none"/>
          <w:lang w:val="en-US" w:eastAsia="zh-CN"/>
        </w:rPr>
        <w:t>5</w:t>
      </w:r>
      <w:r>
        <w:rPr>
          <w:rFonts w:hint="eastAsia" w:ascii="宋体" w:hAnsi="宋体" w:cs="宋体"/>
          <w:b/>
          <w:bCs/>
          <w:color w:val="auto"/>
          <w:sz w:val="24"/>
          <w:szCs w:val="32"/>
          <w:highlight w:val="none"/>
        </w:rPr>
        <w:fldChar w:fldCharType="end"/>
      </w:r>
      <w:r>
        <w:rPr>
          <w:rFonts w:hint="eastAsia" w:ascii="宋体" w:hAnsi="宋体" w:cs="宋体"/>
          <w:b/>
          <w:bCs/>
          <w:color w:val="auto"/>
          <w:sz w:val="24"/>
          <w:szCs w:val="32"/>
          <w:highlight w:val="none"/>
          <w:lang w:val="en-US" w:eastAsia="zh-CN"/>
        </w:rPr>
        <w:t>4</w:t>
      </w:r>
    </w:p>
    <w:p w14:paraId="1EE74B0D">
      <w:pPr>
        <w:pStyle w:val="2"/>
        <w:numPr>
          <w:ilvl w:val="0"/>
          <w:numId w:val="2"/>
        </w:numPr>
        <w:tabs>
          <w:tab w:val="left" w:pos="0"/>
          <w:tab w:val="clear" w:pos="3134"/>
        </w:tabs>
        <w:spacing w:before="0" w:after="0" w:line="360" w:lineRule="auto"/>
        <w:ind w:left="4020" w:leftChars="0" w:hanging="3134" w:firstLineChars="0"/>
        <w:rPr>
          <w:rFonts w:hint="eastAsia" w:hAnsi="宋体" w:cs="宋体"/>
          <w:color w:val="auto"/>
          <w:highlight w:val="none"/>
        </w:rPr>
      </w:pPr>
      <w:r>
        <w:rPr>
          <w:rFonts w:hint="eastAsia" w:hAnsi="宋体" w:cs="宋体"/>
          <w:bCs/>
          <w:color w:val="auto"/>
          <w:kern w:val="0"/>
          <w:sz w:val="40"/>
          <w:szCs w:val="24"/>
          <w:highlight w:val="none"/>
        </w:rPr>
        <w:fldChar w:fldCharType="end"/>
      </w:r>
      <w:bookmarkStart w:id="4" w:name="_Toc515647756"/>
      <w:r>
        <w:rPr>
          <w:rFonts w:hint="eastAsia" w:hAnsi="宋体" w:cs="宋体"/>
          <w:color w:val="auto"/>
          <w:highlight w:val="none"/>
        </w:rPr>
        <w:t>投标人须知</w:t>
      </w:r>
      <w:bookmarkEnd w:id="0"/>
      <w:bookmarkEnd w:id="1"/>
      <w:bookmarkEnd w:id="2"/>
      <w:bookmarkEnd w:id="3"/>
      <w:bookmarkEnd w:id="4"/>
    </w:p>
    <w:p w14:paraId="67FD0743">
      <w:pPr>
        <w:pStyle w:val="3"/>
        <w:keepNext/>
        <w:keepLines/>
        <w:pageBreakBefore w:val="0"/>
        <w:widowControl w:val="0"/>
        <w:kinsoku/>
        <w:wordWrap/>
        <w:overflowPunct/>
        <w:topLinePunct w:val="0"/>
        <w:autoSpaceDE w:val="0"/>
        <w:autoSpaceDN w:val="0"/>
        <w:bidi w:val="0"/>
        <w:adjustRightInd w:val="0"/>
        <w:snapToGrid/>
        <w:spacing w:before="0" w:line="360" w:lineRule="auto"/>
        <w:ind w:left="539" w:leftChars="257" w:firstLine="0"/>
        <w:textAlignment w:val="auto"/>
        <w:rPr>
          <w:rFonts w:hint="eastAsia" w:ascii="宋体" w:hAnsi="宋体" w:eastAsia="宋体" w:cs="宋体"/>
          <w:color w:val="auto"/>
          <w:sz w:val="28"/>
          <w:szCs w:val="28"/>
          <w:highlight w:val="none"/>
        </w:rPr>
      </w:pPr>
      <w:bookmarkStart w:id="5" w:name="_Toc216582805"/>
      <w:bookmarkStart w:id="6" w:name="_Toc520356143"/>
      <w:bookmarkStart w:id="7" w:name="_Toc515647757"/>
      <w:bookmarkStart w:id="8" w:name="_Toc21015"/>
      <w:bookmarkStart w:id="9" w:name="_Toc21215"/>
      <w:bookmarkStart w:id="10" w:name="_Toc2214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w:t>
      </w:r>
      <w:r>
        <w:rPr>
          <w:rFonts w:hint="eastAsia" w:ascii="宋体" w:hAnsi="宋体" w:eastAsia="宋体" w:cs="宋体"/>
          <w:color w:val="auto"/>
          <w:sz w:val="28"/>
          <w:szCs w:val="28"/>
          <w:highlight w:val="none"/>
        </w:rPr>
        <w:t xml:space="preserve"> 则</w:t>
      </w:r>
      <w:bookmarkEnd w:id="8"/>
      <w:bookmarkEnd w:id="9"/>
      <w:bookmarkEnd w:id="10"/>
    </w:p>
    <w:p w14:paraId="2D0AD314">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1" w:name="_Toc520356144"/>
      <w:bookmarkStart w:id="12" w:name="_Toc518923061"/>
      <w:bookmarkStart w:id="13" w:name="_Toc12013"/>
      <w:r>
        <w:rPr>
          <w:rFonts w:hint="eastAsia" w:hAnsi="宋体" w:cs="宋体"/>
          <w:color w:val="auto"/>
          <w:highlight w:val="none"/>
          <w:u w:val="none"/>
        </w:rPr>
        <w:t>1.采购人、采购代理机构及</w:t>
      </w:r>
      <w:bookmarkEnd w:id="11"/>
      <w:r>
        <w:rPr>
          <w:rFonts w:hint="eastAsia" w:hAnsi="宋体" w:cs="宋体"/>
          <w:color w:val="auto"/>
          <w:highlight w:val="none"/>
          <w:u w:val="none"/>
        </w:rPr>
        <w:t>投标人</w:t>
      </w:r>
      <w:bookmarkEnd w:id="12"/>
      <w:bookmarkEnd w:id="13"/>
    </w:p>
    <w:p w14:paraId="5D586E9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1.1     </w:t>
      </w:r>
      <w:r>
        <w:rPr>
          <w:rFonts w:hint="eastAsia" w:ascii="宋体" w:hAnsi="宋体" w:cs="宋体"/>
          <w:color w:val="auto"/>
          <w:sz w:val="24"/>
          <w:highlight w:val="none"/>
        </w:rPr>
        <w:t>采购人：是指依法开展政府采购活动的国家机关、事业单位、团体组织。</w:t>
      </w:r>
    </w:p>
    <w:p w14:paraId="6724E600">
      <w:pPr>
        <w:pageBreakBefore w:val="0"/>
        <w:widowControl w:val="0"/>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rPr>
        <w:t>本项目的采购人见</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w:t>
      </w:r>
    </w:p>
    <w:p w14:paraId="008A563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1.2     </w:t>
      </w:r>
      <w:r>
        <w:rPr>
          <w:rFonts w:hint="eastAsia" w:ascii="宋体" w:hAnsi="宋体" w:cs="宋体"/>
          <w:color w:val="auto"/>
          <w:sz w:val="24"/>
          <w:highlight w:val="none"/>
        </w:rPr>
        <w:t>采购代理机构：是指集中采购机构或从事采购代理业务的社会中介机构。本项目的采购代理机构见</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w:t>
      </w:r>
    </w:p>
    <w:p w14:paraId="527DBA1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1.3     </w:t>
      </w:r>
      <w:r>
        <w:rPr>
          <w:rFonts w:hint="eastAsia" w:ascii="宋体" w:hAnsi="宋体" w:cs="宋体"/>
          <w:color w:val="auto"/>
          <w:sz w:val="24"/>
          <w:highlight w:val="none"/>
        </w:rPr>
        <w:t>投标人：是指向采购人提供货物、工程或者服务的法人、非法人组织或者自然人。本项目的投标人须满足以下条件：</w:t>
      </w:r>
    </w:p>
    <w:p w14:paraId="35995E1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1.3.1</w:t>
      </w:r>
      <w:r>
        <w:rPr>
          <w:rFonts w:hint="eastAsia" w:ascii="宋体" w:hAnsi="宋体" w:cs="宋体"/>
          <w:color w:val="auto"/>
          <w:sz w:val="24"/>
          <w:highlight w:val="none"/>
        </w:rPr>
        <w:tab/>
      </w:r>
      <w:r>
        <w:rPr>
          <w:rFonts w:hint="eastAsia" w:ascii="宋体" w:hAnsi="宋体" w:cs="宋体"/>
          <w:color w:val="auto"/>
          <w:sz w:val="24"/>
          <w:highlight w:val="none"/>
        </w:rPr>
        <w:t>在中华人民共和国境内注册，能够独立承担民事责任，有生产或供应能力的本国供应商。</w:t>
      </w:r>
    </w:p>
    <w:p w14:paraId="2F20C1C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1.3.2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具备《中华人民共和国政府采购法》第二十二条关于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条件的规定，遵守本项目采购人本级和上级财政部门政府采购的有关规定。</w:t>
      </w:r>
    </w:p>
    <w:p w14:paraId="3B1323C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1.3.3   以采购代理机构认可的方式获得了本项目的招标文件。</w:t>
      </w:r>
    </w:p>
    <w:p w14:paraId="03A9B59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1.3.4   符合</w:t>
      </w:r>
      <w:r>
        <w:rPr>
          <w:rFonts w:hint="eastAsia" w:ascii="宋体" w:hAnsi="宋体" w:cs="宋体"/>
          <w:color w:val="auto"/>
          <w:sz w:val="24"/>
          <w:highlight w:val="none"/>
          <w:u w:val="single"/>
        </w:rPr>
        <w:t>投标人须知资料</w:t>
      </w:r>
      <w:r>
        <w:rPr>
          <w:rFonts w:hint="eastAsia" w:ascii="宋体" w:hAnsi="宋体" w:cs="宋体"/>
          <w:color w:val="auto"/>
          <w:sz w:val="24"/>
          <w:highlight w:val="none"/>
        </w:rPr>
        <w:t>表中规定的其他要求。</w:t>
      </w:r>
    </w:p>
    <w:p w14:paraId="44CD3D0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1.3.5   若</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中写明专门面向中小企业采购的，如投标人为非中小企业，其投标将被认定为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3F16CC0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1.4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b/>
          <w:bCs/>
          <w:color w:val="auto"/>
          <w:sz w:val="24"/>
          <w:highlight w:val="none"/>
        </w:rPr>
        <w:t>本项目</w:t>
      </w:r>
      <w:r>
        <w:rPr>
          <w:rFonts w:hint="eastAsia" w:ascii="宋体" w:hAnsi="宋体" w:cs="宋体"/>
          <w:b/>
          <w:bCs/>
          <w:color w:val="auto"/>
          <w:sz w:val="24"/>
          <w:highlight w:val="none"/>
          <w:lang w:val="en-US" w:eastAsia="zh-CN"/>
        </w:rPr>
        <w:t>不</w:t>
      </w:r>
      <w:r>
        <w:rPr>
          <w:rFonts w:hint="eastAsia" w:ascii="宋体" w:hAnsi="宋体" w:cs="宋体"/>
          <w:b/>
          <w:bCs/>
          <w:color w:val="auto"/>
          <w:sz w:val="24"/>
          <w:highlight w:val="none"/>
        </w:rPr>
        <w:t>允许联合体投标</w:t>
      </w:r>
      <w:r>
        <w:rPr>
          <w:rFonts w:hint="eastAsia" w:ascii="宋体" w:hAnsi="宋体" w:cs="宋体"/>
          <w:color w:val="auto"/>
          <w:sz w:val="24"/>
          <w:highlight w:val="none"/>
        </w:rPr>
        <w:t>；</w:t>
      </w:r>
    </w:p>
    <w:p w14:paraId="4AD895D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1.5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单位负责人为同一人或者存在直接控股、管理关系的不同</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，其相关投标将被认定为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6FCB91F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1.6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为本项目提供过整体设计、规范编制或者项目管理、监理、检测等服务的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，不得再参加本项目上述服务以外的其他采购活动。否则其投标将被认定为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6BEC971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ab/>
      </w:r>
      <w:r>
        <w:rPr>
          <w:rFonts w:hint="eastAsia" w:ascii="仿宋_GB2312" w:hAnsi="宋体" w:eastAsia="仿宋_GB2312"/>
          <w:sz w:val="24"/>
        </w:rPr>
        <w:t>投标人在投标过程中不得向采购人提供或给予影响其正常决策行为的</w:t>
      </w:r>
      <w:r>
        <w:rPr>
          <w:rFonts w:ascii="仿宋_GB2312" w:hAnsi="宋体" w:eastAsia="仿宋_GB2312"/>
          <w:sz w:val="24"/>
        </w:rPr>
        <w:t>任何</w:t>
      </w:r>
      <w:r>
        <w:rPr>
          <w:rFonts w:hint="eastAsia" w:ascii="仿宋_GB2312" w:hAnsi="宋体" w:eastAsia="仿宋_GB2312"/>
          <w:sz w:val="24"/>
        </w:rPr>
        <w:t>有</w:t>
      </w:r>
      <w:r>
        <w:rPr>
          <w:rFonts w:ascii="仿宋_GB2312" w:hAnsi="宋体" w:eastAsia="仿宋_GB2312"/>
          <w:sz w:val="24"/>
        </w:rPr>
        <w:t>价值物品</w:t>
      </w:r>
      <w:r>
        <w:rPr>
          <w:rFonts w:hint="eastAsia" w:ascii="仿宋_GB2312" w:hAnsi="宋体" w:eastAsia="仿宋_GB2312"/>
          <w:sz w:val="24"/>
        </w:rPr>
        <w:t>或</w:t>
      </w:r>
      <w:r>
        <w:rPr>
          <w:rFonts w:ascii="仿宋_GB2312" w:hAnsi="宋体" w:eastAsia="仿宋_GB2312"/>
          <w:sz w:val="24"/>
        </w:rPr>
        <w:t>服务</w:t>
      </w:r>
      <w:r>
        <w:rPr>
          <w:rFonts w:hint="eastAsia" w:ascii="仿宋_GB2312" w:hAnsi="宋体" w:eastAsia="仿宋_GB2312"/>
          <w:sz w:val="24"/>
        </w:rPr>
        <w:t>。一经发现，</w:t>
      </w:r>
      <w:r>
        <w:rPr>
          <w:rFonts w:hint="eastAsia" w:ascii="宋体" w:hAnsi="宋体" w:cs="宋体"/>
          <w:color w:val="auto"/>
          <w:sz w:val="24"/>
          <w:highlight w:val="none"/>
        </w:rPr>
        <w:t>其将被认定为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4E87068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4" w:name="_Toc515647759"/>
      <w:bookmarkStart w:id="15" w:name="_Toc12139"/>
      <w:bookmarkStart w:id="16" w:name="_Toc4322"/>
      <w:bookmarkStart w:id="17" w:name="_Toc5286"/>
      <w:r>
        <w:rPr>
          <w:rFonts w:hint="eastAsia" w:hAnsi="宋体" w:cs="宋体"/>
          <w:color w:val="auto"/>
          <w:highlight w:val="none"/>
          <w:u w:val="none"/>
        </w:rPr>
        <w:t>2.资金来源</w:t>
      </w:r>
      <w:bookmarkEnd w:id="14"/>
      <w:bookmarkEnd w:id="15"/>
      <w:bookmarkEnd w:id="16"/>
      <w:bookmarkEnd w:id="17"/>
    </w:p>
    <w:p w14:paraId="2BED43C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r>
        <w:rPr>
          <w:rFonts w:hint="eastAsia" w:ascii="宋体" w:hAnsi="宋体" w:cs="宋体"/>
          <w:color w:val="auto"/>
          <w:sz w:val="24"/>
          <w:highlight w:val="none"/>
        </w:rPr>
        <w:t>。</w:t>
      </w:r>
    </w:p>
    <w:p w14:paraId="503F6C3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2.2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项目预算金额和分项或分包最高限价</w:t>
      </w:r>
      <w:r>
        <w:rPr>
          <w:rFonts w:hint="eastAsia" w:ascii="宋体" w:hAnsi="宋体" w:cs="宋体"/>
          <w:color w:val="auto"/>
          <w:sz w:val="24"/>
          <w:highlight w:val="none"/>
          <w:u w:val="single"/>
        </w:rPr>
        <w:t>见投标人须知资料表</w:t>
      </w:r>
      <w:r>
        <w:rPr>
          <w:rFonts w:hint="eastAsia" w:ascii="宋体" w:hAnsi="宋体" w:cs="宋体"/>
          <w:color w:val="auto"/>
          <w:sz w:val="24"/>
          <w:highlight w:val="none"/>
        </w:rPr>
        <w:t>。</w:t>
      </w:r>
    </w:p>
    <w:p w14:paraId="45B225E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2.3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投标人报价超过招标文件规定的预算金额或者分项、分包最高限价的，其投标将被认定为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2B13527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8" w:name="_Toc13828"/>
      <w:bookmarkStart w:id="19" w:name="_Toc515647760"/>
      <w:bookmarkStart w:id="20" w:name="_Toc20526"/>
      <w:bookmarkStart w:id="21" w:name="_Toc520356145"/>
      <w:bookmarkStart w:id="22" w:name="_Toc15936"/>
      <w:r>
        <w:rPr>
          <w:rFonts w:hint="eastAsia" w:hAnsi="宋体" w:cs="宋体"/>
          <w:color w:val="auto"/>
          <w:highlight w:val="none"/>
          <w:u w:val="none"/>
        </w:rPr>
        <w:t>3.投标费用</w:t>
      </w:r>
      <w:bookmarkEnd w:id="18"/>
      <w:bookmarkEnd w:id="19"/>
      <w:bookmarkEnd w:id="20"/>
      <w:bookmarkEnd w:id="21"/>
      <w:bookmarkEnd w:id="22"/>
    </w:p>
    <w:p w14:paraId="60B989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cs="宋体"/>
          <w:color w:val="auto"/>
          <w:sz w:val="24"/>
          <w:highlight w:val="none"/>
        </w:rPr>
        <w:tab/>
      </w:r>
      <w:r>
        <w:rPr>
          <w:rFonts w:hint="eastAsia" w:ascii="宋体" w:hAnsi="宋体" w:cs="宋体"/>
          <w:color w:val="auto"/>
          <w:sz w:val="24"/>
          <w:highlight w:val="none"/>
        </w:rPr>
        <w:t>不论投标的结果如何，投标人应承担所有与准备和参加投标有关的费用。</w:t>
      </w:r>
    </w:p>
    <w:p w14:paraId="1745F667">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3" w:name="_Toc515647761"/>
      <w:bookmarkStart w:id="24" w:name="_Toc4463"/>
      <w:bookmarkStart w:id="25" w:name="_Toc32665"/>
      <w:bookmarkStart w:id="26" w:name="_Toc6116"/>
      <w:r>
        <w:rPr>
          <w:rFonts w:hint="eastAsia" w:hAnsi="宋体" w:cs="宋体"/>
          <w:color w:val="auto"/>
          <w:highlight w:val="none"/>
          <w:u w:val="none"/>
        </w:rPr>
        <w:t>4.适用法律</w:t>
      </w:r>
      <w:bookmarkEnd w:id="23"/>
      <w:bookmarkEnd w:id="24"/>
      <w:bookmarkEnd w:id="25"/>
      <w:bookmarkEnd w:id="26"/>
    </w:p>
    <w:p w14:paraId="5F4C017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3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eastAsia="宋体" w:cs="宋体"/>
          <w:color w:val="auto"/>
          <w:sz w:val="24"/>
          <w:highlight w:val="none"/>
        </w:rPr>
        <w:t>本项目采购人、采购代理机构、投标人、评标委员会的相关行为均受《中华人民共和国政府采购法</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中华人民共和国政府采购法实施条例》、中华人民共和国财政部令第87 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政府采购货物和服务招标报价管理办法及本项目本级和上级财政部门政府采购有关规定的约束， 其权利受到上述法律法规的保护。</w:t>
      </w:r>
    </w:p>
    <w:p w14:paraId="1600BBE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p>
    <w:p w14:paraId="70514890">
      <w:pPr>
        <w:pStyle w:val="3"/>
        <w:pageBreakBefore w:val="0"/>
        <w:widowControl w:val="0"/>
        <w:kinsoku/>
        <w:wordWrap/>
        <w:overflowPunct/>
        <w:topLinePunct w:val="0"/>
        <w:bidi w:val="0"/>
        <w:snapToGrid/>
        <w:spacing w:before="0" w:line="360" w:lineRule="auto"/>
        <w:ind w:left="1120" w:leftChars="0" w:hanging="1120" w:hangingChars="400"/>
        <w:textAlignment w:val="auto"/>
        <w:rPr>
          <w:rFonts w:hint="eastAsia" w:hAnsi="宋体" w:cs="宋体"/>
          <w:color w:val="auto"/>
          <w:highlight w:val="none"/>
        </w:rPr>
      </w:pPr>
      <w:bookmarkStart w:id="27" w:name="_Toc4365"/>
      <w:bookmarkStart w:id="28" w:name="_Toc515647762"/>
      <w:bookmarkStart w:id="29" w:name="_Toc28572"/>
      <w:bookmarkStart w:id="30" w:name="_Toc216582806"/>
      <w:bookmarkStart w:id="31" w:name="_Toc21566"/>
      <w:bookmarkStart w:id="32" w:name="_Toc520356146"/>
      <w:r>
        <w:rPr>
          <w:rFonts w:hint="eastAsia" w:ascii="宋体" w:hAnsi="宋体" w:eastAsia="宋体" w:cs="宋体"/>
          <w:color w:val="auto"/>
          <w:sz w:val="28"/>
          <w:highlight w:val="none"/>
        </w:rPr>
        <w:t>二   招标文件</w:t>
      </w:r>
      <w:bookmarkEnd w:id="27"/>
      <w:bookmarkEnd w:id="28"/>
      <w:bookmarkEnd w:id="29"/>
      <w:bookmarkEnd w:id="30"/>
      <w:bookmarkEnd w:id="31"/>
      <w:bookmarkEnd w:id="32"/>
    </w:p>
    <w:p w14:paraId="067FC1B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33" w:name="_Toc4671"/>
      <w:bookmarkStart w:id="34" w:name="_Toc14084"/>
      <w:bookmarkStart w:id="35" w:name="_Toc25743"/>
      <w:bookmarkStart w:id="36" w:name="_Toc520356147"/>
      <w:bookmarkStart w:id="37" w:name="_Toc515647763"/>
      <w:r>
        <w:rPr>
          <w:rFonts w:hint="eastAsia" w:hAnsi="宋体" w:cs="宋体"/>
          <w:color w:val="auto"/>
          <w:highlight w:val="none"/>
          <w:u w:val="none"/>
        </w:rPr>
        <w:t>5.招标文件构成</w:t>
      </w:r>
      <w:bookmarkEnd w:id="33"/>
      <w:bookmarkEnd w:id="34"/>
      <w:bookmarkEnd w:id="35"/>
      <w:bookmarkEnd w:id="36"/>
      <w:bookmarkEnd w:id="37"/>
    </w:p>
    <w:p w14:paraId="292D92D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5.1</w:t>
      </w:r>
      <w:r>
        <w:rPr>
          <w:rFonts w:hint="eastAsia" w:ascii="仿宋_GB2312" w:hAnsi="宋体" w:eastAsia="仿宋_GB2312"/>
          <w:sz w:val="24"/>
          <w:highlight w:val="none"/>
        </w:rPr>
        <w:tab/>
      </w:r>
      <w:r>
        <w:rPr>
          <w:rFonts w:hint="eastAsia" w:ascii="宋体" w:hAnsi="宋体" w:cs="宋体"/>
          <w:color w:val="auto"/>
          <w:sz w:val="24"/>
          <w:highlight w:val="none"/>
        </w:rPr>
        <w:t>招标文件分为三册共7章，内容如下：</w:t>
      </w:r>
    </w:p>
    <w:p w14:paraId="42603AD9">
      <w:pPr>
        <w:pageBreakBefore w:val="0"/>
        <w:widowControl w:val="0"/>
        <w:numPr>
          <w:ilvl w:val="0"/>
          <w:numId w:val="0"/>
        </w:numPr>
        <w:tabs>
          <w:tab w:val="left" w:pos="0"/>
        </w:tabs>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第1章</w:t>
      </w:r>
      <w:r>
        <w:rPr>
          <w:rFonts w:hint="eastAsia" w:ascii="宋体" w:hAnsi="宋体" w:cs="宋体"/>
          <w:color w:val="auto"/>
          <w:sz w:val="24"/>
          <w:highlight w:val="none"/>
        </w:rPr>
        <w:t xml:space="preserve"> 投标人须知</w:t>
      </w:r>
    </w:p>
    <w:p w14:paraId="4FC781EC">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第2章</w:t>
      </w:r>
      <w:r>
        <w:rPr>
          <w:rFonts w:hint="eastAsia" w:ascii="宋体" w:hAnsi="宋体" w:cs="宋体"/>
          <w:color w:val="auto"/>
          <w:sz w:val="24"/>
          <w:highlight w:val="none"/>
        </w:rPr>
        <w:t xml:space="preserve"> 投标文件格式</w:t>
      </w:r>
    </w:p>
    <w:p w14:paraId="285DD357">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第3章</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招标公告</w:t>
      </w:r>
    </w:p>
    <w:p w14:paraId="01B7FC41">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第4章</w:t>
      </w:r>
      <w:r>
        <w:rPr>
          <w:rFonts w:hint="eastAsia" w:ascii="宋体" w:hAnsi="宋体" w:cs="宋体"/>
          <w:color w:val="auto"/>
          <w:sz w:val="24"/>
          <w:highlight w:val="none"/>
        </w:rPr>
        <w:t xml:space="preserve"> 投标人须知资料表</w:t>
      </w:r>
    </w:p>
    <w:p w14:paraId="47EB30B5">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第5章</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需求</w:t>
      </w:r>
    </w:p>
    <w:p w14:paraId="027B5463">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第6章</w:t>
      </w:r>
      <w:r>
        <w:rPr>
          <w:rFonts w:hint="eastAsia" w:ascii="宋体" w:hAnsi="宋体" w:cs="宋体"/>
          <w:color w:val="auto"/>
          <w:sz w:val="24"/>
          <w:highlight w:val="none"/>
        </w:rPr>
        <w:t xml:space="preserve"> 评标方法和标准</w:t>
      </w:r>
    </w:p>
    <w:p w14:paraId="134174C5">
      <w:pPr>
        <w:pageBreakBefore w:val="0"/>
        <w:widowControl w:val="0"/>
        <w:numPr>
          <w:ilvl w:val="0"/>
          <w:numId w:val="0"/>
        </w:numPr>
        <w:kinsoku/>
        <w:wordWrap/>
        <w:overflowPunct/>
        <w:topLinePunct w:val="0"/>
        <w:bidi w:val="0"/>
        <w:snapToGrid/>
        <w:spacing w:line="240" w:lineRule="atLeast"/>
        <w:ind w:firstLine="960" w:firstLineChars="40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第7章</w:t>
      </w:r>
      <w:r>
        <w:rPr>
          <w:rFonts w:hint="eastAsia" w:ascii="宋体" w:hAnsi="宋体" w:cs="宋体"/>
          <w:color w:val="auto"/>
          <w:sz w:val="24"/>
          <w:highlight w:val="none"/>
        </w:rPr>
        <w:t xml:space="preserve"> 政府采购合同格式</w:t>
      </w:r>
    </w:p>
    <w:p w14:paraId="4F0F31E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5.2</w:t>
      </w:r>
      <w:r>
        <w:rPr>
          <w:rFonts w:hint="eastAsia" w:ascii="宋体" w:hAnsi="宋体" w:cs="宋体"/>
          <w:color w:val="auto"/>
          <w:sz w:val="24"/>
          <w:highlight w:val="none"/>
        </w:rPr>
        <w:tab/>
      </w:r>
      <w:r>
        <w:rPr>
          <w:rFonts w:hint="eastAsia" w:ascii="宋体" w:hAnsi="宋体" w:cs="宋体"/>
          <w:color w:val="auto"/>
          <w:sz w:val="24"/>
          <w:highlight w:val="none"/>
        </w:rPr>
        <w:t>如本文件的前后内容不一致，以最后描述为准。</w:t>
      </w:r>
    </w:p>
    <w:p w14:paraId="5DE7053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5.3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492E1883">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38" w:name="_Toc520356148"/>
      <w:bookmarkStart w:id="39" w:name="_Toc515904805"/>
      <w:bookmarkStart w:id="40" w:name="_Toc9232"/>
      <w:bookmarkStart w:id="41" w:name="_Toc1922"/>
      <w:bookmarkStart w:id="42" w:name="_Toc26044"/>
      <w:r>
        <w:rPr>
          <w:rFonts w:hint="eastAsia" w:hAnsi="宋体" w:cs="宋体"/>
          <w:color w:val="auto"/>
          <w:highlight w:val="none"/>
          <w:u w:val="none"/>
        </w:rPr>
        <w:t>6.招标文件的澄清</w:t>
      </w:r>
      <w:bookmarkEnd w:id="38"/>
      <w:bookmarkEnd w:id="39"/>
      <w:r>
        <w:rPr>
          <w:rFonts w:hint="eastAsia" w:hAnsi="宋体" w:cs="宋体"/>
          <w:color w:val="auto"/>
          <w:highlight w:val="none"/>
          <w:u w:val="none"/>
        </w:rPr>
        <w:t>与修改</w:t>
      </w:r>
      <w:bookmarkEnd w:id="40"/>
      <w:bookmarkEnd w:id="41"/>
      <w:bookmarkEnd w:id="42"/>
    </w:p>
    <w:p w14:paraId="06AD4FCE">
      <w:pPr>
        <w:pStyle w:val="5"/>
        <w:pageBreakBefore w:val="0"/>
        <w:widowControl w:val="0"/>
        <w:kinsoku/>
        <w:wordWrap/>
        <w:overflowPunct/>
        <w:topLinePunct w:val="0"/>
        <w:bidi w:val="0"/>
        <w:snapToGrid/>
        <w:ind w:left="960" w:leftChars="0" w:hanging="960" w:hangingChars="400"/>
        <w:textAlignment w:val="auto"/>
        <w:rPr>
          <w:rFonts w:hint="eastAsia" w:hAnsi="宋体" w:cs="宋体"/>
          <w:color w:val="auto"/>
          <w:szCs w:val="24"/>
          <w:highlight w:val="none"/>
        </w:rPr>
      </w:pPr>
      <w:r>
        <w:rPr>
          <w:rFonts w:hint="eastAsia" w:hAnsi="宋体" w:cs="宋体"/>
          <w:color w:val="auto"/>
          <w:szCs w:val="24"/>
          <w:highlight w:val="none"/>
        </w:rPr>
        <w:t xml:space="preserve">6.1   </w:t>
      </w:r>
      <w:r>
        <w:rPr>
          <w:rFonts w:hint="eastAsia" w:hAnsi="宋体" w:cs="宋体"/>
          <w:color w:val="auto"/>
          <w:szCs w:val="24"/>
          <w:highlight w:val="none"/>
          <w:lang w:val="en-US" w:eastAsia="zh-CN"/>
        </w:rPr>
        <w:t xml:space="preserve"> </w:t>
      </w:r>
      <w:r>
        <w:rPr>
          <w:rFonts w:hint="eastAsia" w:hAnsi="宋体" w:cs="宋体"/>
          <w:color w:val="auto"/>
          <w:szCs w:val="24"/>
          <w:highlight w:val="none"/>
        </w:rPr>
        <w:t xml:space="preserve"> 为了保证对招标文件的澄清和修改满足法律的时限要求，任何要求对招标文件进行澄清的投标人，均应在投标截止期十五日前，以书面形式将澄清要求通知采购人或采购代理机构。</w:t>
      </w:r>
    </w:p>
    <w:p w14:paraId="06427457">
      <w:pPr>
        <w:pStyle w:val="5"/>
        <w:pageBreakBefore w:val="0"/>
        <w:widowControl w:val="0"/>
        <w:kinsoku/>
        <w:wordWrap/>
        <w:overflowPunct/>
        <w:topLinePunct w:val="0"/>
        <w:bidi w:val="0"/>
        <w:snapToGrid/>
        <w:ind w:left="960" w:leftChars="0" w:hanging="960" w:hangingChars="400"/>
        <w:textAlignment w:val="auto"/>
        <w:rPr>
          <w:rFonts w:hint="eastAsia" w:hAnsi="宋体" w:cs="宋体"/>
          <w:color w:val="auto"/>
          <w:szCs w:val="24"/>
          <w:highlight w:val="none"/>
        </w:rPr>
      </w:pPr>
      <w:bookmarkStart w:id="43" w:name="_Toc515904806"/>
      <w:bookmarkStart w:id="44" w:name="_Ref467378678"/>
      <w:bookmarkStart w:id="45" w:name="_Toc520356149"/>
      <w:r>
        <w:rPr>
          <w:rFonts w:hint="eastAsia" w:hAnsi="宋体" w:cs="宋体"/>
          <w:color w:val="auto"/>
          <w:szCs w:val="24"/>
          <w:highlight w:val="none"/>
        </w:rPr>
        <w:t>6.2</w:t>
      </w:r>
      <w:r>
        <w:rPr>
          <w:rFonts w:hint="eastAsia" w:hAnsi="宋体" w:cs="宋体"/>
          <w:color w:val="auto"/>
          <w:szCs w:val="24"/>
          <w:highlight w:val="none"/>
        </w:rPr>
        <w:tab/>
      </w:r>
      <w:r>
        <w:rPr>
          <w:rFonts w:hint="eastAsia" w:hAnsi="宋体" w:cs="宋体"/>
          <w:color w:val="auto"/>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14:paraId="183CC48A">
      <w:pPr>
        <w:pStyle w:val="5"/>
        <w:pageBreakBefore w:val="0"/>
        <w:widowControl w:val="0"/>
        <w:kinsoku/>
        <w:wordWrap/>
        <w:overflowPunct/>
        <w:topLinePunct w:val="0"/>
        <w:bidi w:val="0"/>
        <w:snapToGrid/>
        <w:ind w:left="960" w:leftChars="0" w:hanging="960" w:hangingChars="400"/>
        <w:textAlignment w:val="auto"/>
        <w:rPr>
          <w:rFonts w:hint="eastAsia" w:hAnsi="宋体" w:cs="宋体"/>
          <w:color w:val="auto"/>
          <w:szCs w:val="24"/>
          <w:highlight w:val="none"/>
        </w:rPr>
      </w:pPr>
      <w:r>
        <w:rPr>
          <w:rFonts w:hint="eastAsia" w:hAnsi="宋体" w:cs="宋体"/>
          <w:color w:val="auto"/>
          <w:szCs w:val="24"/>
          <w:highlight w:val="none"/>
        </w:rPr>
        <w:t>6.3</w:t>
      </w:r>
      <w:r>
        <w:rPr>
          <w:rFonts w:hint="eastAsia" w:hAnsi="宋体" w:cs="宋体"/>
          <w:color w:val="auto"/>
          <w:szCs w:val="24"/>
          <w:highlight w:val="none"/>
        </w:rPr>
        <w:tab/>
      </w:r>
      <w:r>
        <w:rPr>
          <w:rFonts w:hint="eastAsia" w:hAnsi="宋体" w:cs="宋体"/>
          <w:color w:val="auto"/>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14:paraId="5759E400">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46" w:name="_Toc12448"/>
      <w:bookmarkStart w:id="47" w:name="_Toc25635"/>
      <w:bookmarkStart w:id="48" w:name="_Toc14569"/>
      <w:r>
        <w:rPr>
          <w:rFonts w:hint="eastAsia" w:hAnsi="宋体" w:cs="宋体"/>
          <w:color w:val="auto"/>
          <w:highlight w:val="none"/>
          <w:u w:val="none"/>
        </w:rPr>
        <w:t>7</w:t>
      </w:r>
      <w:bookmarkEnd w:id="43"/>
      <w:bookmarkEnd w:id="44"/>
      <w:bookmarkEnd w:id="45"/>
      <w:r>
        <w:rPr>
          <w:rFonts w:hint="eastAsia" w:hAnsi="宋体" w:cs="宋体"/>
          <w:color w:val="auto"/>
          <w:highlight w:val="none"/>
          <w:u w:val="none"/>
        </w:rPr>
        <w:t>.投标截止时间的顺延</w:t>
      </w:r>
      <w:bookmarkEnd w:id="46"/>
      <w:bookmarkEnd w:id="47"/>
      <w:bookmarkEnd w:id="48"/>
    </w:p>
    <w:p w14:paraId="261D4CB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为使投标人准备投标时有足够的时间对招标文件的澄清或者修改部分进行研究，采购人将依法决定是否顺延投标截止时间。</w:t>
      </w:r>
    </w:p>
    <w:p w14:paraId="4A6F3C3F">
      <w:pPr>
        <w:pStyle w:val="3"/>
        <w:pageBreakBefore w:val="0"/>
        <w:widowControl w:val="0"/>
        <w:tabs>
          <w:tab w:val="left" w:pos="900"/>
        </w:tabs>
        <w:kinsoku/>
        <w:wordWrap/>
        <w:overflowPunct/>
        <w:topLinePunct w:val="0"/>
        <w:bidi w:val="0"/>
        <w:snapToGrid/>
        <w:spacing w:before="0" w:line="360" w:lineRule="auto"/>
        <w:ind w:left="1120" w:leftChars="0" w:hanging="1120" w:hangingChars="400"/>
        <w:textAlignment w:val="auto"/>
        <w:rPr>
          <w:rFonts w:hint="eastAsia" w:hAnsi="宋体" w:cs="宋体"/>
          <w:color w:val="auto"/>
          <w:highlight w:val="none"/>
        </w:rPr>
      </w:pPr>
      <w:bookmarkStart w:id="49" w:name="_Toc516367020"/>
      <w:bookmarkStart w:id="50" w:name="_Toc520356150"/>
      <w:bookmarkStart w:id="51" w:name="_Toc216582807"/>
      <w:bookmarkStart w:id="52" w:name="_Toc515647766"/>
      <w:bookmarkStart w:id="53" w:name="_Toc30808"/>
      <w:bookmarkStart w:id="54" w:name="_Toc31039"/>
      <w:bookmarkStart w:id="55" w:name="_Toc7636"/>
      <w:r>
        <w:rPr>
          <w:rFonts w:hint="eastAsia" w:ascii="宋体" w:hAnsi="宋体" w:eastAsia="宋体" w:cs="宋体"/>
          <w:color w:val="auto"/>
          <w:sz w:val="28"/>
          <w:highlight w:val="none"/>
        </w:rPr>
        <w:t>三   投标文件</w:t>
      </w:r>
      <w:bookmarkEnd w:id="49"/>
      <w:r>
        <w:rPr>
          <w:rFonts w:hint="eastAsia" w:ascii="宋体" w:hAnsi="宋体" w:eastAsia="宋体" w:cs="宋体"/>
          <w:color w:val="auto"/>
          <w:sz w:val="28"/>
          <w:highlight w:val="none"/>
        </w:rPr>
        <w:t>的编制</w:t>
      </w:r>
      <w:bookmarkEnd w:id="50"/>
      <w:bookmarkEnd w:id="51"/>
      <w:bookmarkEnd w:id="52"/>
      <w:bookmarkEnd w:id="53"/>
      <w:bookmarkEnd w:id="54"/>
      <w:bookmarkEnd w:id="55"/>
    </w:p>
    <w:p w14:paraId="34ED7512">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b/>
          <w:bCs/>
          <w:color w:val="auto"/>
          <w:kern w:val="2"/>
          <w:sz w:val="24"/>
          <w:szCs w:val="24"/>
          <w:highlight w:val="none"/>
          <w:u w:val="none"/>
          <w:lang w:val="en-US" w:eastAsia="zh-CN" w:bidi="ar-SA"/>
        </w:rPr>
      </w:pPr>
      <w:bookmarkStart w:id="56" w:name="_Toc30570"/>
      <w:bookmarkStart w:id="57" w:name="_Toc520356151"/>
      <w:bookmarkStart w:id="58" w:name="_Toc515647767"/>
      <w:bookmarkStart w:id="59" w:name="_Toc3553"/>
      <w:bookmarkStart w:id="60" w:name="_Toc516367021"/>
      <w:bookmarkStart w:id="61" w:name="_Toc7786"/>
      <w:r>
        <w:rPr>
          <w:rFonts w:hint="eastAsia" w:hAnsi="宋体" w:cs="宋体"/>
          <w:color w:val="auto"/>
          <w:highlight w:val="none"/>
          <w:u w:val="none"/>
        </w:rPr>
        <w:t>8.</w:t>
      </w:r>
      <w:r>
        <w:rPr>
          <w:rFonts w:hint="eastAsia" w:ascii="宋体" w:hAnsi="宋体" w:eastAsia="宋体" w:cs="宋体"/>
          <w:b/>
          <w:bCs/>
          <w:color w:val="auto"/>
          <w:kern w:val="2"/>
          <w:sz w:val="24"/>
          <w:szCs w:val="24"/>
          <w:highlight w:val="none"/>
          <w:u w:val="none"/>
          <w:lang w:val="en-US" w:eastAsia="zh-CN" w:bidi="ar-SA"/>
        </w:rPr>
        <w:t>投标范围及投标文件中标准和计量单位的使用</w:t>
      </w:r>
      <w:bookmarkEnd w:id="56"/>
      <w:bookmarkEnd w:id="57"/>
      <w:bookmarkEnd w:id="58"/>
      <w:bookmarkEnd w:id="59"/>
      <w:bookmarkEnd w:id="60"/>
      <w:bookmarkEnd w:id="61"/>
    </w:p>
    <w:p w14:paraId="747B4E2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8.1</w:t>
      </w:r>
      <w:r>
        <w:rPr>
          <w:rFonts w:hint="eastAsia" w:ascii="宋体" w:hAnsi="宋体" w:cs="宋体"/>
          <w:color w:val="auto"/>
          <w:sz w:val="24"/>
          <w:highlight w:val="none"/>
        </w:rPr>
        <w:tab/>
      </w:r>
      <w:r>
        <w:rPr>
          <w:rFonts w:hint="eastAsia" w:ascii="宋体" w:hAnsi="宋体" w:cs="宋体"/>
          <w:color w:val="auto"/>
          <w:sz w:val="24"/>
          <w:highlight w:val="none"/>
        </w:rPr>
        <w:t>项目有分包的，投标人可对招标文件其中某一个或几个分包进行投标，除非在</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中另有规定。</w:t>
      </w:r>
    </w:p>
    <w:p w14:paraId="6ACE686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8.2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投标人应当对所投分包招标文件中“服务需求”所列的所有服务内容进行投标，如仅响应分包中的部分内容，其投标将被认定为</w:t>
      </w:r>
      <w:r>
        <w:rPr>
          <w:rFonts w:hint="eastAsia" w:ascii="宋体" w:hAnsi="宋体" w:eastAsia="宋体" w:cs="宋体"/>
          <w:b/>
          <w:bCs/>
          <w:color w:val="auto"/>
          <w:sz w:val="24"/>
          <w:highlight w:val="none"/>
          <w:u w:val="none"/>
        </w:rPr>
        <w:t>投标无效</w:t>
      </w:r>
      <w:r>
        <w:rPr>
          <w:rFonts w:hint="eastAsia" w:ascii="宋体" w:hAnsi="宋体" w:eastAsia="宋体" w:cs="宋体"/>
          <w:color w:val="auto"/>
          <w:sz w:val="24"/>
          <w:highlight w:val="none"/>
        </w:rPr>
        <w:t>。</w:t>
      </w:r>
    </w:p>
    <w:p w14:paraId="0FDBA43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无论招标文件第5章服务需求中是否要求，投标人所投服务均应符合国家强制性标准。</w:t>
      </w:r>
    </w:p>
    <w:p w14:paraId="66CF899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除招标文件中有特殊要求外，投标文件中所使用的计量单位，应采用中华人民共和国法定计量单位。</w:t>
      </w:r>
    </w:p>
    <w:p w14:paraId="1D58521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rPr>
      </w:pPr>
      <w:bookmarkStart w:id="62" w:name="_Ref467306676"/>
      <w:bookmarkStart w:id="63" w:name="_Ref467306195"/>
      <w:bookmarkStart w:id="64" w:name="_Toc516367022"/>
      <w:bookmarkStart w:id="65" w:name="_Toc520356152"/>
      <w:bookmarkStart w:id="66" w:name="_Toc28307"/>
      <w:bookmarkStart w:id="67" w:name="_Toc18692"/>
      <w:bookmarkStart w:id="68" w:name="_Toc10364"/>
      <w:bookmarkStart w:id="69" w:name="_Toc515647768"/>
      <w:r>
        <w:rPr>
          <w:rFonts w:hint="eastAsia" w:ascii="宋体" w:hAnsi="宋体" w:eastAsia="宋体" w:cs="宋体"/>
          <w:b/>
          <w:bCs/>
          <w:color w:val="auto"/>
          <w:sz w:val="24"/>
          <w:highlight w:val="none"/>
        </w:rPr>
        <w:t>9.投标文件</w:t>
      </w:r>
      <w:bookmarkEnd w:id="62"/>
      <w:bookmarkEnd w:id="63"/>
      <w:bookmarkEnd w:id="64"/>
      <w:r>
        <w:rPr>
          <w:rFonts w:hint="eastAsia" w:ascii="宋体" w:hAnsi="宋体" w:eastAsia="宋体" w:cs="宋体"/>
          <w:b/>
          <w:bCs/>
          <w:color w:val="auto"/>
          <w:sz w:val="24"/>
          <w:highlight w:val="none"/>
        </w:rPr>
        <w:t>构成</w:t>
      </w:r>
      <w:bookmarkEnd w:id="65"/>
      <w:bookmarkEnd w:id="66"/>
      <w:bookmarkEnd w:id="67"/>
      <w:bookmarkEnd w:id="68"/>
      <w:bookmarkEnd w:id="69"/>
    </w:p>
    <w:p w14:paraId="5514D0A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lang w:val="en-US" w:eastAsia="zh-CN"/>
        </w:rPr>
      </w:pPr>
      <w:bookmarkStart w:id="70" w:name="_Ref467052588"/>
      <w:r>
        <w:rPr>
          <w:rFonts w:hint="eastAsia" w:ascii="宋体" w:hAnsi="宋体" w:eastAsia="宋体" w:cs="宋体"/>
          <w:color w:val="auto"/>
          <w:sz w:val="24"/>
          <w:highlight w:val="none"/>
        </w:rPr>
        <w:t xml:space="preserve">9.1    </w:t>
      </w:r>
      <w:r>
        <w:rPr>
          <w:rFonts w:hint="eastAsia" w:ascii="宋体" w:hAnsi="宋体" w:cs="宋体"/>
          <w:color w:val="auto"/>
          <w:sz w:val="24"/>
          <w:highlight w:val="none"/>
          <w:lang w:val="en-US" w:eastAsia="zh-CN"/>
        </w:rPr>
        <w:t xml:space="preserve"> </w:t>
      </w:r>
      <w:r>
        <w:rPr>
          <w:rFonts w:hint="eastAsia" w:ascii="宋体" w:hAnsi="宋体" w:eastAsia="宋体" w:cs="宋体"/>
          <w:b/>
          <w:bCs/>
          <w:color w:val="FF0000"/>
          <w:sz w:val="24"/>
          <w:highlight w:val="none"/>
        </w:rPr>
        <w:t>投标人应完整地按</w:t>
      </w:r>
      <w:r>
        <w:rPr>
          <w:rFonts w:hint="eastAsia" w:ascii="宋体" w:hAnsi="宋体" w:eastAsia="宋体" w:cs="宋体"/>
          <w:b/>
          <w:bCs/>
          <w:color w:val="FF0000"/>
          <w:sz w:val="24"/>
          <w:highlight w:val="none"/>
          <w:lang w:val="en-US" w:eastAsia="zh-CN"/>
        </w:rPr>
        <w:t>磋商</w:t>
      </w:r>
      <w:r>
        <w:rPr>
          <w:rFonts w:hint="eastAsia" w:ascii="宋体" w:hAnsi="宋体" w:eastAsia="宋体" w:cs="宋体"/>
          <w:b/>
          <w:bCs/>
          <w:color w:val="FF0000"/>
          <w:sz w:val="24"/>
          <w:highlight w:val="none"/>
        </w:rPr>
        <w:t>文件提供的</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文件格式及要求编写</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 xml:space="preserve">文件， </w:t>
      </w:r>
      <w:r>
        <w:rPr>
          <w:rFonts w:hint="eastAsia" w:ascii="宋体" w:hAnsi="宋体" w:eastAsia="宋体" w:cs="宋体"/>
          <w:b/>
          <w:bCs/>
          <w:color w:val="FF0000"/>
          <w:sz w:val="24"/>
          <w:highlight w:val="none"/>
          <w:lang w:val="en-US" w:eastAsia="zh-CN"/>
        </w:rPr>
        <w:t>响应</w:t>
      </w:r>
      <w:r>
        <w:rPr>
          <w:rFonts w:hint="eastAsia" w:ascii="宋体" w:hAnsi="宋体" w:eastAsia="宋体" w:cs="宋体"/>
          <w:b/>
          <w:bCs/>
          <w:color w:val="FF0000"/>
          <w:sz w:val="24"/>
          <w:highlight w:val="none"/>
        </w:rPr>
        <w:t>文件应包括“ 开标一览表及资格证明文件” 和“ 商务及技术文件” 两部分。</w:t>
      </w:r>
    </w:p>
    <w:p w14:paraId="67915AB2">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9.2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上述文件应按照招标文件规定的格式填写、签署和盖章。</w:t>
      </w:r>
    </w:p>
    <w:bookmarkEnd w:id="70"/>
    <w:p w14:paraId="08158EAB">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lang w:eastAsia="zh-CN"/>
        </w:rPr>
      </w:pPr>
      <w:bookmarkStart w:id="71" w:name="_Toc516367023"/>
      <w:bookmarkStart w:id="72" w:name="_Toc508185920"/>
      <w:bookmarkStart w:id="73" w:name="_Toc2671"/>
      <w:bookmarkStart w:id="74" w:name="_Toc520356153"/>
      <w:bookmarkStart w:id="75" w:name="_Toc518923072"/>
      <w:bookmarkStart w:id="76" w:name="_Toc19624"/>
      <w:bookmarkStart w:id="77" w:name="_Toc23231"/>
      <w:bookmarkStart w:id="78" w:name="_Toc2248"/>
      <w:bookmarkStart w:id="79" w:name="_Toc515647770"/>
      <w:bookmarkStart w:id="80" w:name="_Toc520356155"/>
      <w:r>
        <w:rPr>
          <w:rFonts w:hint="eastAsia" w:ascii="宋体" w:hAnsi="宋体" w:eastAsia="宋体" w:cs="宋体"/>
          <w:color w:val="auto"/>
          <w:highlight w:val="none"/>
          <w:u w:val="none"/>
        </w:rPr>
        <w:t>10.证明投标标的的合格性和符合招标文件规定的</w:t>
      </w:r>
      <w:bookmarkEnd w:id="71"/>
      <w:bookmarkEnd w:id="72"/>
      <w:bookmarkEnd w:id="73"/>
      <w:bookmarkEnd w:id="74"/>
      <w:bookmarkEnd w:id="75"/>
      <w:r>
        <w:rPr>
          <w:rFonts w:hint="eastAsia" w:hAnsi="宋体" w:eastAsia="宋体" w:cs="宋体"/>
          <w:color w:val="auto"/>
          <w:highlight w:val="none"/>
          <w:u w:val="none"/>
          <w:lang w:eastAsia="zh-CN"/>
        </w:rPr>
        <w:t>投标文件</w:t>
      </w:r>
    </w:p>
    <w:p w14:paraId="2011D4E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投标人应提交证明文件，证明其投标内容符合招标文件规定。该证明文件是投标文件的一部分。</w:t>
      </w:r>
    </w:p>
    <w:p w14:paraId="780EDCB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81"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81"/>
      <w:r>
        <w:rPr>
          <w:rFonts w:hint="eastAsia" w:ascii="宋体" w:hAnsi="宋体" w:eastAsia="宋体" w:cs="宋体"/>
          <w:color w:val="auto"/>
          <w:sz w:val="24"/>
          <w:highlight w:val="none"/>
        </w:rPr>
        <w:t>。</w:t>
      </w:r>
    </w:p>
    <w:bookmarkEnd w:id="76"/>
    <w:bookmarkEnd w:id="77"/>
    <w:bookmarkEnd w:id="78"/>
    <w:bookmarkEnd w:id="79"/>
    <w:bookmarkEnd w:id="80"/>
    <w:p w14:paraId="365E39BA">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bookmarkStart w:id="82" w:name="_Toc8529"/>
      <w:bookmarkStart w:id="83" w:name="_Toc518923073"/>
      <w:bookmarkStart w:id="84" w:name="_Toc17788"/>
      <w:bookmarkStart w:id="85" w:name="_Ref467306513"/>
      <w:bookmarkStart w:id="86" w:name="_Toc520356156"/>
      <w:bookmarkStart w:id="87" w:name="_Toc22212"/>
      <w:bookmarkStart w:id="88" w:name="_Toc515647771"/>
      <w:bookmarkStart w:id="89" w:name="_Toc11514"/>
      <w:r>
        <w:rPr>
          <w:rFonts w:hint="eastAsia" w:ascii="宋体" w:hAnsi="宋体" w:eastAsia="宋体" w:cs="宋体"/>
          <w:color w:val="auto"/>
          <w:highlight w:val="none"/>
          <w:u w:val="none"/>
        </w:rPr>
        <w:t>11.投标报价</w:t>
      </w:r>
      <w:bookmarkEnd w:id="82"/>
      <w:bookmarkEnd w:id="83"/>
    </w:p>
    <w:p w14:paraId="30BCC8F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7E4AA93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投标人应在投标分项报价表上标明分项服务的价格（如适用）和总价，并由法定代表人或其委托代理人签署。</w:t>
      </w:r>
    </w:p>
    <w:p w14:paraId="41880B7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采购人不接受具有附加条件的报价。</w:t>
      </w:r>
    </w:p>
    <w:p w14:paraId="208A601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投标人所报的各分项投标报价在合同履行过程中是固定不变的，不得以任何理由予以变更。任何包含价格调整要求的投标，将被认定为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58FC7F9">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r>
        <w:rPr>
          <w:rFonts w:hint="eastAsia" w:hAnsi="宋体" w:cs="宋体"/>
          <w:color w:val="auto"/>
          <w:highlight w:val="none"/>
          <w:u w:val="none"/>
        </w:rPr>
        <w:t>12.投标保证金</w:t>
      </w:r>
      <w:bookmarkEnd w:id="84"/>
      <w:bookmarkEnd w:id="85"/>
      <w:bookmarkEnd w:id="86"/>
      <w:bookmarkEnd w:id="87"/>
      <w:bookmarkEnd w:id="88"/>
      <w:bookmarkEnd w:id="89"/>
    </w:p>
    <w:p w14:paraId="1033A1A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bookmarkStart w:id="90" w:name="_Ref467306302"/>
      <w:r>
        <w:rPr>
          <w:rFonts w:hint="eastAsia" w:ascii="宋体" w:hAnsi="宋体" w:cs="宋体"/>
          <w:color w:val="auto"/>
          <w:sz w:val="24"/>
          <w:highlight w:val="none"/>
        </w:rPr>
        <w:t>12.1</w:t>
      </w:r>
      <w:r>
        <w:rPr>
          <w:rFonts w:hint="eastAsia" w:ascii="宋体" w:hAnsi="宋体" w:cs="宋体"/>
          <w:color w:val="auto"/>
          <w:sz w:val="24"/>
          <w:highlight w:val="none"/>
        </w:rPr>
        <w:tab/>
      </w:r>
      <w:r>
        <w:rPr>
          <w:rFonts w:hint="eastAsia" w:ascii="宋体" w:hAnsi="宋体" w:cs="宋体"/>
          <w:color w:val="auto"/>
          <w:sz w:val="24"/>
          <w:highlight w:val="none"/>
        </w:rPr>
        <w:t>投标人应提交</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中规定的投标保证金</w:t>
      </w:r>
      <w:bookmarkEnd w:id="90"/>
      <w:r>
        <w:rPr>
          <w:rFonts w:hint="eastAsia" w:ascii="宋体" w:hAnsi="宋体" w:cs="宋体"/>
          <w:color w:val="auto"/>
          <w:sz w:val="24"/>
          <w:highlight w:val="none"/>
        </w:rPr>
        <w:t>，并作为其投标的一部分。</w:t>
      </w:r>
    </w:p>
    <w:p w14:paraId="546954F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highlight w:val="none"/>
        </w:rPr>
        <w:tab/>
      </w:r>
      <w:r>
        <w:rPr>
          <w:rFonts w:hint="eastAsia" w:ascii="宋体" w:hAnsi="宋体" w:cs="宋体"/>
          <w:color w:val="auto"/>
          <w:sz w:val="24"/>
          <w:highlight w:val="none"/>
        </w:rPr>
        <w:t>投标人存在下列情形的，投标保证金不予退还：</w:t>
      </w:r>
    </w:p>
    <w:p w14:paraId="41838CC0">
      <w:pPr>
        <w:pStyle w:val="15"/>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hAnsi="宋体" w:cs="宋体"/>
          <w:color w:val="auto"/>
          <w:sz w:val="24"/>
          <w:highlight w:val="none"/>
        </w:rPr>
      </w:pPr>
      <w:r>
        <w:rPr>
          <w:rFonts w:hint="eastAsia" w:hAnsi="宋体" w:cs="宋体"/>
          <w:color w:val="auto"/>
          <w:sz w:val="24"/>
          <w:highlight w:val="none"/>
        </w:rPr>
        <w:t>（1）在投标有效期内，撤销投标的；</w:t>
      </w:r>
    </w:p>
    <w:p w14:paraId="75CB7513">
      <w:pPr>
        <w:pStyle w:val="15"/>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hAnsi="宋体" w:cs="宋体"/>
          <w:color w:val="auto"/>
          <w:sz w:val="24"/>
          <w:highlight w:val="none"/>
        </w:rPr>
      </w:pPr>
      <w:r>
        <w:rPr>
          <w:rFonts w:hint="eastAsia" w:hAnsi="宋体" w:cs="宋体"/>
          <w:color w:val="auto"/>
          <w:sz w:val="24"/>
          <w:highlight w:val="none"/>
        </w:rPr>
        <w:t>（2）中标后不按本须知第30条的规定与采购人签订合同的；</w:t>
      </w:r>
    </w:p>
    <w:p w14:paraId="4771D358">
      <w:pPr>
        <w:pStyle w:val="15"/>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hAnsi="宋体" w:cs="宋体"/>
          <w:color w:val="auto"/>
          <w:sz w:val="24"/>
          <w:highlight w:val="none"/>
        </w:rPr>
      </w:pPr>
      <w:r>
        <w:rPr>
          <w:rFonts w:hint="eastAsia" w:hAnsi="宋体" w:cs="宋体"/>
          <w:color w:val="auto"/>
          <w:sz w:val="24"/>
          <w:highlight w:val="none"/>
        </w:rPr>
        <w:t>（3）中标后不按本须知第31条的规定提交履约保证金的；</w:t>
      </w:r>
    </w:p>
    <w:p w14:paraId="33B6C107">
      <w:pPr>
        <w:pStyle w:val="15"/>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hAnsi="宋体" w:cs="宋体"/>
          <w:color w:val="auto"/>
          <w:sz w:val="24"/>
          <w:highlight w:val="none"/>
        </w:rPr>
      </w:pPr>
      <w:r>
        <w:rPr>
          <w:rFonts w:hint="eastAsia" w:hAnsi="宋体" w:cs="宋体"/>
          <w:color w:val="auto"/>
          <w:sz w:val="24"/>
          <w:highlight w:val="none"/>
        </w:rPr>
        <w:t>（4）中标后不按本须知第32条的规定缴纳中标服务费的；</w:t>
      </w:r>
    </w:p>
    <w:p w14:paraId="5442EC8D">
      <w:pPr>
        <w:pStyle w:val="15"/>
        <w:pageBreakBefore w:val="0"/>
        <w:widowControl w:val="0"/>
        <w:tabs>
          <w:tab w:val="left" w:pos="2240"/>
        </w:tabs>
        <w:kinsoku/>
        <w:wordWrap/>
        <w:overflowPunct/>
        <w:topLinePunct w:val="0"/>
        <w:bidi w:val="0"/>
        <w:snapToGrid/>
        <w:spacing w:line="240" w:lineRule="atLeast"/>
        <w:ind w:left="957" w:leftChars="456" w:firstLine="0" w:firstLineChars="0"/>
        <w:textAlignment w:val="auto"/>
        <w:rPr>
          <w:rFonts w:hint="eastAsia" w:hAnsi="宋体" w:cs="宋体"/>
          <w:color w:val="auto"/>
          <w:sz w:val="24"/>
          <w:highlight w:val="none"/>
        </w:rPr>
      </w:pPr>
      <w:r>
        <w:rPr>
          <w:rFonts w:hint="eastAsia" w:hAnsi="宋体" w:cs="宋体"/>
          <w:color w:val="auto"/>
          <w:sz w:val="24"/>
          <w:highlight w:val="none"/>
        </w:rPr>
        <w:t>（5）存在其他违法违规行为的。</w:t>
      </w:r>
    </w:p>
    <w:p w14:paraId="0BD5DD7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bookmarkStart w:id="91" w:name="_Ref467306336"/>
      <w:r>
        <w:rPr>
          <w:rFonts w:hint="eastAsia" w:ascii="宋体" w:hAnsi="宋体" w:cs="宋体"/>
          <w:color w:val="auto"/>
          <w:sz w:val="24"/>
          <w:highlight w:val="none"/>
        </w:rPr>
        <w:t>12.3</w:t>
      </w:r>
      <w:r>
        <w:rPr>
          <w:rFonts w:hint="eastAsia" w:ascii="宋体" w:hAnsi="宋体" w:cs="宋体"/>
          <w:color w:val="auto"/>
          <w:sz w:val="24"/>
          <w:highlight w:val="none"/>
        </w:rPr>
        <w:tab/>
      </w:r>
      <w:bookmarkEnd w:id="91"/>
      <w:r>
        <w:rPr>
          <w:rFonts w:hint="eastAsia" w:ascii="宋体" w:hAnsi="宋体" w:cs="宋体"/>
          <w:color w:val="auto"/>
          <w:sz w:val="24"/>
          <w:highlight w:val="none"/>
        </w:rPr>
        <w:t>政府采购信用担保试点范围内的项目，接受符合财政部门规定的政府采购投标担保函原件。</w:t>
      </w:r>
    </w:p>
    <w:p w14:paraId="1E947D5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12.4</w:t>
      </w:r>
      <w:r>
        <w:rPr>
          <w:rFonts w:hint="eastAsia" w:ascii="宋体" w:hAnsi="宋体" w:cs="宋体"/>
          <w:color w:val="auto"/>
          <w:sz w:val="24"/>
          <w:highlight w:val="none"/>
        </w:rPr>
        <w:tab/>
      </w:r>
      <w:r>
        <w:rPr>
          <w:rFonts w:hint="eastAsia" w:ascii="宋体" w:hAnsi="宋体" w:cs="宋体"/>
          <w:color w:val="auto"/>
          <w:sz w:val="24"/>
          <w:highlight w:val="none"/>
        </w:rPr>
        <w:t>投标人未按本须知第12.1和12.3条规定提交投标保证金的，其投标将被认定为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7BAFFDD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12.4.1  采用电汇形式的，一般可以实时入账。</w:t>
      </w:r>
    </w:p>
    <w:p w14:paraId="0310C77F">
      <w:pPr>
        <w:pageBreakBefore w:val="0"/>
        <w:widowControl w:val="0"/>
        <w:kinsoku/>
        <w:wordWrap/>
        <w:overflowPunct/>
        <w:topLinePunct w:val="0"/>
        <w:bidi w:val="0"/>
        <w:snapToGrid/>
        <w:spacing w:line="240" w:lineRule="atLeast"/>
        <w:ind w:left="960" w:leftChars="0" w:hanging="960" w:hangingChars="4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5D8A0C4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12.5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联合体投标的，可以由联合体中的一方或者共同提交投标保证金。以一方名义提交投标保证金的，对联合体各方均具有约束力。</w:t>
      </w:r>
    </w:p>
    <w:p w14:paraId="5470784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12.6</w:t>
      </w:r>
      <w:r>
        <w:rPr>
          <w:rFonts w:hint="eastAsia" w:ascii="宋体" w:hAnsi="宋体" w:cs="宋体"/>
          <w:color w:val="auto"/>
          <w:sz w:val="24"/>
          <w:highlight w:val="none"/>
        </w:rPr>
        <w:tab/>
      </w:r>
      <w:r>
        <w:rPr>
          <w:rFonts w:hint="eastAsia" w:ascii="宋体" w:hAnsi="宋体" w:cs="宋体"/>
          <w:color w:val="auto"/>
          <w:sz w:val="24"/>
          <w:highlight w:val="none"/>
        </w:rPr>
        <w:t>投标保证金的退还</w:t>
      </w:r>
    </w:p>
    <w:p w14:paraId="3911262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12.6.1  中标人应在与采购人签订合同之日起5个工作日内，及时联系保证金收受机构办理投标保证金无息退还手续。</w:t>
      </w:r>
    </w:p>
    <w:p w14:paraId="5FD7B22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14:paraId="154147B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12.6.3  政府采购投标担保函不予退回。</w:t>
      </w:r>
    </w:p>
    <w:p w14:paraId="1255CD8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12.7    因投标人自身原因导致无法及时退还的，采购人或采购代理机构将不承担相应责任。</w:t>
      </w:r>
    </w:p>
    <w:p w14:paraId="34E36203">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92" w:name="_Toc23590"/>
      <w:bookmarkStart w:id="93" w:name="_Toc515647772"/>
      <w:bookmarkStart w:id="94" w:name="_Toc32569"/>
      <w:bookmarkStart w:id="95" w:name="_Toc520356157"/>
      <w:bookmarkStart w:id="96" w:name="_Toc22901"/>
      <w:r>
        <w:rPr>
          <w:rFonts w:hint="eastAsia" w:hAnsi="宋体" w:cs="宋体"/>
          <w:color w:val="auto"/>
          <w:highlight w:val="none"/>
          <w:u w:val="none"/>
        </w:rPr>
        <w:t>13.投标有效期</w:t>
      </w:r>
      <w:bookmarkEnd w:id="92"/>
      <w:bookmarkEnd w:id="93"/>
      <w:bookmarkEnd w:id="94"/>
      <w:bookmarkEnd w:id="95"/>
      <w:bookmarkEnd w:id="96"/>
    </w:p>
    <w:p w14:paraId="68D7F1B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13.1</w:t>
      </w:r>
      <w:r>
        <w:rPr>
          <w:rFonts w:hint="eastAsia" w:ascii="宋体" w:hAnsi="宋体" w:cs="宋体"/>
          <w:color w:val="auto"/>
          <w:sz w:val="24"/>
          <w:highlight w:val="none"/>
        </w:rPr>
        <w:tab/>
      </w:r>
      <w:r>
        <w:rPr>
          <w:rFonts w:hint="eastAsia" w:ascii="宋体" w:hAnsi="宋体" w:cs="宋体"/>
          <w:color w:val="auto"/>
          <w:sz w:val="24"/>
          <w:highlight w:val="none"/>
        </w:rPr>
        <w:t>投标应在</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中规定时间内保持有效。投标有效期不满足要求的投标，其投标将被认定为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2DF1E50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13.2</w:t>
      </w:r>
      <w:r>
        <w:rPr>
          <w:rFonts w:hint="eastAsia" w:ascii="宋体" w:hAnsi="宋体" w:cs="宋体"/>
          <w:color w:val="auto"/>
          <w:sz w:val="24"/>
          <w:highlight w:val="none"/>
        </w:rPr>
        <w:tab/>
      </w:r>
      <w:r>
        <w:rPr>
          <w:rFonts w:hint="eastAsia" w:ascii="宋体" w:hAnsi="宋体" w:cs="宋体"/>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0339459A">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97" w:name="_Toc520356158"/>
      <w:bookmarkStart w:id="98" w:name="_Toc515647773"/>
      <w:bookmarkStart w:id="99" w:name="_Toc17074"/>
      <w:bookmarkStart w:id="100" w:name="_Toc493"/>
      <w:bookmarkStart w:id="101" w:name="_Toc17609"/>
      <w:r>
        <w:rPr>
          <w:rFonts w:hint="eastAsia" w:hAnsi="宋体" w:cs="宋体"/>
          <w:color w:val="auto"/>
          <w:highlight w:val="none"/>
          <w:u w:val="none"/>
        </w:rPr>
        <w:t>14.投标文件的签署</w:t>
      </w:r>
      <w:bookmarkEnd w:id="97"/>
      <w:r>
        <w:rPr>
          <w:rFonts w:hint="eastAsia" w:hAnsi="宋体" w:cs="宋体"/>
          <w:color w:val="auto"/>
          <w:highlight w:val="none"/>
          <w:u w:val="none"/>
        </w:rPr>
        <w:t>及规定</w:t>
      </w:r>
      <w:bookmarkEnd w:id="98"/>
      <w:bookmarkEnd w:id="99"/>
      <w:bookmarkEnd w:id="100"/>
      <w:bookmarkEnd w:id="101"/>
    </w:p>
    <w:p w14:paraId="387A194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102" w:name="_Toc16865"/>
      <w:bookmarkStart w:id="103" w:name="_Toc520356159"/>
      <w:bookmarkStart w:id="104" w:name="_Toc25925"/>
      <w:bookmarkStart w:id="105" w:name="_Toc216582808"/>
      <w:bookmarkStart w:id="106" w:name="_Toc11179"/>
      <w:bookmarkStart w:id="107" w:name="_Toc515647774"/>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应按</w:t>
      </w:r>
      <w:r>
        <w:rPr>
          <w:rFonts w:hint="eastAsia" w:ascii="宋体" w:hAnsi="宋体" w:eastAsia="宋体" w:cs="宋体"/>
          <w:color w:val="auto"/>
          <w:sz w:val="24"/>
          <w:highlight w:val="none"/>
          <w:u w:val="single"/>
          <w:lang w:val="en-US" w:eastAsia="zh-CN"/>
        </w:rPr>
        <w:t>投标人</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中的规定，准备和递交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加密上传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电子投标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p>
    <w:p w14:paraId="3F31159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所有</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应按照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w:t>
      </w:r>
      <w:r>
        <w:rPr>
          <w:rFonts w:hint="eastAsia" w:ascii="宋体" w:hAnsi="宋体" w:eastAsia="宋体" w:cs="宋体"/>
          <w:color w:val="auto"/>
          <w:sz w:val="24"/>
          <w:highlight w:val="none"/>
          <w:lang w:eastAsia="zh-CN"/>
        </w:rPr>
        <w:t>。</w:t>
      </w:r>
    </w:p>
    <w:p w14:paraId="62F033E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因字迹潦草、表达不清或</w:t>
      </w:r>
      <w:r>
        <w:rPr>
          <w:rFonts w:hint="eastAsia" w:ascii="宋体" w:hAnsi="宋体" w:eastAsia="宋体" w:cs="宋体"/>
          <w:color w:val="auto"/>
          <w:sz w:val="24"/>
          <w:highlight w:val="none"/>
          <w:lang w:val="en-US" w:eastAsia="zh-CN"/>
        </w:rPr>
        <w:t>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规定的格式填写、签署和盖章所引起的后果由</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负责。</w:t>
      </w:r>
    </w:p>
    <w:p w14:paraId="71479A61">
      <w:pPr>
        <w:pStyle w:val="3"/>
        <w:pageBreakBefore w:val="0"/>
        <w:widowControl w:val="0"/>
        <w:kinsoku/>
        <w:wordWrap/>
        <w:overflowPunct/>
        <w:topLinePunct w:val="0"/>
        <w:bidi w:val="0"/>
        <w:snapToGrid/>
        <w:spacing w:before="0" w:line="360" w:lineRule="auto"/>
        <w:ind w:left="1120" w:leftChars="0" w:hanging="1120" w:hangingChars="400"/>
        <w:textAlignment w:val="auto"/>
        <w:rPr>
          <w:rFonts w:hint="eastAsia" w:hAnsi="宋体" w:cs="宋体"/>
          <w:color w:val="auto"/>
          <w:sz w:val="28"/>
          <w:szCs w:val="28"/>
          <w:highlight w:val="none"/>
        </w:rPr>
      </w:pPr>
      <w:r>
        <w:rPr>
          <w:rFonts w:hint="eastAsia" w:ascii="宋体" w:hAnsi="宋体" w:eastAsia="宋体" w:cs="宋体"/>
          <w:color w:val="auto"/>
          <w:sz w:val="28"/>
          <w:szCs w:val="28"/>
          <w:highlight w:val="none"/>
        </w:rPr>
        <w:t>四   投标文件的递交</w:t>
      </w:r>
      <w:bookmarkEnd w:id="102"/>
      <w:bookmarkEnd w:id="103"/>
      <w:bookmarkEnd w:id="104"/>
      <w:bookmarkEnd w:id="105"/>
      <w:bookmarkEnd w:id="106"/>
      <w:bookmarkEnd w:id="107"/>
    </w:p>
    <w:p w14:paraId="32F25366">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08" w:name="_Toc12751"/>
      <w:bookmarkStart w:id="109" w:name="_Toc520356161"/>
      <w:bookmarkStart w:id="110" w:name="_Toc9840"/>
      <w:bookmarkStart w:id="111" w:name="_Toc515647776"/>
      <w:bookmarkStart w:id="112" w:name="_Toc24017"/>
      <w:r>
        <w:rPr>
          <w:rFonts w:hint="eastAsia" w:hAnsi="宋体" w:cs="宋体"/>
          <w:color w:val="auto"/>
          <w:highlight w:val="none"/>
          <w:u w:val="none"/>
        </w:rPr>
        <w:t>15.投标文件的密封和标记</w:t>
      </w:r>
    </w:p>
    <w:p w14:paraId="1EC2BD4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FF0000"/>
          <w:sz w:val="24"/>
          <w:highlight w:val="none"/>
          <w:lang w:val="en-US" w:eastAsia="zh-CN"/>
        </w:rPr>
      </w:pPr>
      <w:r>
        <w:rPr>
          <w:rFonts w:hint="eastAsia" w:ascii="宋体" w:hAnsi="宋体" w:eastAsia="宋体" w:cs="宋体"/>
          <w:b/>
          <w:bCs/>
          <w:color w:val="FF0000"/>
          <w:sz w:val="24"/>
          <w:highlight w:val="none"/>
        </w:rPr>
        <w:t xml:space="preserve">15.1  </w:t>
      </w:r>
      <w:r>
        <w:rPr>
          <w:rFonts w:hint="eastAsia" w:ascii="宋体" w:hAnsi="宋体" w:cs="宋体"/>
          <w:b/>
          <w:bCs/>
          <w:color w:val="FF0000"/>
          <w:sz w:val="24"/>
          <w:highlight w:val="none"/>
          <w:lang w:val="en-US" w:eastAsia="zh-CN"/>
        </w:rPr>
        <w:t xml:space="preserve"> </w:t>
      </w:r>
      <w:r>
        <w:rPr>
          <w:rFonts w:hint="eastAsia" w:ascii="宋体" w:hAnsi="宋体" w:eastAsia="宋体" w:cs="宋体"/>
          <w:b/>
          <w:bCs/>
          <w:color w:val="FF0000"/>
          <w:sz w:val="24"/>
          <w:highlight w:val="none"/>
          <w:lang w:val="en-US" w:eastAsia="zh-CN"/>
        </w:rPr>
        <w:t xml:space="preserve"> 投标人</w:t>
      </w:r>
      <w:r>
        <w:rPr>
          <w:rFonts w:hint="eastAsia" w:ascii="宋体" w:hAnsi="宋体" w:eastAsia="宋体" w:cs="宋体"/>
          <w:b/>
          <w:bCs/>
          <w:color w:val="FF0000"/>
          <w:sz w:val="24"/>
          <w:highlight w:val="none"/>
        </w:rPr>
        <w:t>应完整地按</w:t>
      </w:r>
      <w:r>
        <w:rPr>
          <w:rFonts w:hint="eastAsia" w:ascii="宋体" w:hAnsi="宋体" w:eastAsia="宋体" w:cs="宋体"/>
          <w:b/>
          <w:bCs/>
          <w:color w:val="FF0000"/>
          <w:sz w:val="24"/>
          <w:highlight w:val="none"/>
          <w:lang w:val="en-US" w:eastAsia="zh-CN"/>
        </w:rPr>
        <w:t>招标</w:t>
      </w:r>
      <w:r>
        <w:rPr>
          <w:rFonts w:hint="eastAsia" w:ascii="宋体" w:hAnsi="宋体" w:eastAsia="宋体" w:cs="宋体"/>
          <w:b/>
          <w:bCs/>
          <w:color w:val="FF0000"/>
          <w:sz w:val="24"/>
          <w:highlight w:val="none"/>
          <w:lang w:eastAsia="zh-CN"/>
        </w:rPr>
        <w:t>文件</w:t>
      </w:r>
      <w:r>
        <w:rPr>
          <w:rFonts w:hint="eastAsia" w:ascii="宋体" w:hAnsi="宋体" w:eastAsia="宋体" w:cs="宋体"/>
          <w:b/>
          <w:bCs/>
          <w:color w:val="FF0000"/>
          <w:sz w:val="24"/>
          <w:highlight w:val="none"/>
        </w:rPr>
        <w:t>提供的</w:t>
      </w:r>
      <w:r>
        <w:rPr>
          <w:rFonts w:hint="eastAsia" w:ascii="宋体" w:hAnsi="宋体" w:eastAsia="宋体" w:cs="宋体"/>
          <w:b/>
          <w:bCs/>
          <w:color w:val="FF0000"/>
          <w:sz w:val="24"/>
          <w:highlight w:val="none"/>
          <w:lang w:val="en-US" w:eastAsia="zh-CN"/>
        </w:rPr>
        <w:t>投标文件</w:t>
      </w:r>
      <w:r>
        <w:rPr>
          <w:rFonts w:hint="eastAsia" w:ascii="宋体" w:hAnsi="宋体" w:eastAsia="宋体" w:cs="宋体"/>
          <w:b/>
          <w:bCs/>
          <w:color w:val="FF0000"/>
          <w:sz w:val="24"/>
          <w:highlight w:val="none"/>
        </w:rPr>
        <w:t>格式及要求编写</w:t>
      </w:r>
      <w:r>
        <w:rPr>
          <w:rFonts w:hint="eastAsia" w:ascii="宋体" w:hAnsi="宋体" w:eastAsia="宋体" w:cs="宋体"/>
          <w:b/>
          <w:bCs/>
          <w:color w:val="FF0000"/>
          <w:sz w:val="24"/>
          <w:highlight w:val="none"/>
          <w:lang w:val="en-US" w:eastAsia="zh-CN"/>
        </w:rPr>
        <w:t>投标文件</w:t>
      </w:r>
      <w:r>
        <w:rPr>
          <w:rFonts w:hint="eastAsia" w:ascii="宋体" w:hAnsi="宋体" w:eastAsia="宋体" w:cs="宋体"/>
          <w:b/>
          <w:bCs/>
          <w:color w:val="FF0000"/>
          <w:sz w:val="24"/>
          <w:highlight w:val="none"/>
          <w:lang w:eastAsia="zh-CN"/>
        </w:rPr>
        <w:t>，</w:t>
      </w:r>
      <w:r>
        <w:rPr>
          <w:rFonts w:hint="eastAsia" w:ascii="宋体" w:hAnsi="宋体" w:eastAsia="宋体" w:cs="宋体"/>
          <w:b/>
          <w:bCs/>
          <w:color w:val="FF0000"/>
          <w:sz w:val="24"/>
          <w:highlight w:val="none"/>
          <w:lang w:val="en-US" w:eastAsia="zh-CN"/>
        </w:rPr>
        <w:t xml:space="preserve"> 投标文件应包括“开标一览表及资格证明文件”和“商务及技术文件”两部分，投标人须在投标截止时间前完成在系统上递交电子投标文件</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rPr>
        <w:t>两部分</w:t>
      </w:r>
      <w:r>
        <w:rPr>
          <w:rFonts w:hint="eastAsia" w:ascii="宋体" w:hAnsi="宋体" w:eastAsia="宋体" w:cs="宋体"/>
          <w:b/>
          <w:bCs/>
          <w:color w:val="FF0000"/>
          <w:sz w:val="24"/>
          <w:highlight w:val="none"/>
          <w:lang w:val="en-US" w:eastAsia="zh-CN"/>
        </w:rPr>
        <w:t>合并生成</w:t>
      </w:r>
      <w:r>
        <w:rPr>
          <w:rFonts w:hint="eastAsia" w:ascii="宋体" w:hAnsi="宋体" w:cs="宋体"/>
          <w:b/>
          <w:bCs/>
          <w:color w:val="FF0000"/>
          <w:sz w:val="24"/>
          <w:highlight w:val="none"/>
          <w:lang w:val="en-US" w:eastAsia="zh-CN"/>
        </w:rPr>
        <w:t>，需带有投标文件格式要求的封皮）</w:t>
      </w:r>
      <w:r>
        <w:rPr>
          <w:rFonts w:hint="eastAsia" w:ascii="宋体" w:hAnsi="宋体" w:eastAsia="宋体" w:cs="宋体"/>
          <w:b/>
          <w:bCs/>
          <w:color w:val="FF0000"/>
          <w:sz w:val="24"/>
          <w:highlight w:val="none"/>
          <w:lang w:val="en-US" w:eastAsia="zh-CN"/>
        </w:rPr>
        <w:t>。投标人的电子投标文件是经过CA证书加密后上传提交的，任何单位或个人均无法在投标截止时间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即开标时间</w:t>
      </w:r>
      <w:r>
        <w:rPr>
          <w:rFonts w:hint="eastAsia" w:ascii="宋体" w:hAnsi="宋体" w:cs="宋体"/>
          <w:b/>
          <w:bCs/>
          <w:color w:val="FF0000"/>
          <w:sz w:val="24"/>
          <w:highlight w:val="none"/>
          <w:lang w:val="en-US" w:eastAsia="zh-CN"/>
        </w:rPr>
        <w:t>）</w:t>
      </w:r>
      <w:r>
        <w:rPr>
          <w:rFonts w:hint="eastAsia" w:ascii="宋体" w:hAnsi="宋体" w:eastAsia="宋体" w:cs="宋体"/>
          <w:b/>
          <w:bCs/>
          <w:color w:val="FF0000"/>
          <w:sz w:val="24"/>
          <w:highlight w:val="none"/>
          <w:lang w:val="en-US" w:eastAsia="zh-CN"/>
        </w:rPr>
        <w:t>之前查看或篡改，不存在泄密风险。</w:t>
      </w:r>
    </w:p>
    <w:p w14:paraId="6903556F">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w:t>
      </w:r>
      <w:r>
        <w:rPr>
          <w:rFonts w:hint="eastAsia" w:ascii="宋体" w:hAnsi="宋体" w:eastAsia="宋体" w:cs="宋体"/>
          <w:color w:val="auto"/>
          <w:highlight w:val="none"/>
          <w:u w:val="none"/>
          <w:lang w:val="en-US" w:eastAsia="zh-CN"/>
        </w:rPr>
        <w:t>投标</w:t>
      </w:r>
      <w:r>
        <w:rPr>
          <w:rFonts w:hint="eastAsia" w:ascii="宋体" w:hAnsi="宋体" w:eastAsia="宋体" w:cs="宋体"/>
          <w:color w:val="auto"/>
          <w:highlight w:val="none"/>
          <w:u w:val="none"/>
        </w:rPr>
        <w:t>截止</w:t>
      </w:r>
    </w:p>
    <w:p w14:paraId="42B9027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bookmarkStart w:id="113" w:name="_Toc515647777"/>
      <w:bookmarkStart w:id="114" w:name="_Toc18537"/>
      <w:bookmarkStart w:id="115" w:name="_Toc29943"/>
      <w:bookmarkStart w:id="116" w:name="_Toc24275"/>
      <w:bookmarkStart w:id="117" w:name="_Toc17389"/>
      <w:bookmarkStart w:id="118" w:name="_Toc520356162"/>
      <w:bookmarkStart w:id="119" w:name="_Toc3653"/>
      <w:r>
        <w:rPr>
          <w:rFonts w:hint="eastAsia" w:ascii="宋体" w:hAnsi="宋体" w:eastAsia="宋体" w:cs="宋体"/>
          <w:b w:val="0"/>
          <w:bCs w:val="0"/>
          <w:color w:val="auto"/>
          <w:sz w:val="24"/>
          <w:highlight w:val="none"/>
          <w:lang w:val="en-US" w:eastAsia="zh-CN"/>
        </w:rPr>
        <w:t>16.1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投标人应在招标文件中规定的截止时间前，将电子投标文件上传到政采云平台。</w:t>
      </w:r>
    </w:p>
    <w:p w14:paraId="34A59B38">
      <w:pPr>
        <w:pageBreakBefore w:val="0"/>
        <w:widowControl w:val="0"/>
        <w:kinsoku/>
        <w:wordWrap/>
        <w:overflowPunct/>
        <w:topLinePunct w:val="0"/>
        <w:bidi w:val="0"/>
        <w:snapToGrid/>
        <w:spacing w:line="240" w:lineRule="atLeast"/>
        <w:ind w:left="960" w:leftChars="0" w:hanging="960" w:hangingChars="400"/>
        <w:textAlignment w:val="auto"/>
        <w:rPr>
          <w:rFonts w:hint="eastAsia"/>
          <w:color w:val="auto"/>
          <w:highlight w:val="none"/>
        </w:rPr>
      </w:pPr>
      <w:r>
        <w:rPr>
          <w:rFonts w:hint="eastAsia" w:ascii="宋体" w:hAnsi="宋体" w:eastAsia="宋体" w:cs="宋体"/>
          <w:b w:val="0"/>
          <w:bCs w:val="0"/>
          <w:color w:val="auto"/>
          <w:sz w:val="24"/>
          <w:highlight w:val="none"/>
          <w:lang w:val="en-US" w:eastAsia="zh-CN"/>
        </w:rPr>
        <w:t>16.2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采购人和采购代理机构有权按本须知的规定，延迟投标截止时间。在此情况下，采购人、采购代理机构和投标人受投标截止时间制约的所有权利和义务均应延长至新的截止时间。</w:t>
      </w:r>
      <w:bookmarkEnd w:id="113"/>
      <w:bookmarkEnd w:id="114"/>
      <w:bookmarkEnd w:id="115"/>
      <w:bookmarkEnd w:id="116"/>
      <w:bookmarkEnd w:id="117"/>
      <w:bookmarkEnd w:id="118"/>
      <w:bookmarkEnd w:id="119"/>
    </w:p>
    <w:bookmarkEnd w:id="108"/>
    <w:bookmarkEnd w:id="109"/>
    <w:bookmarkEnd w:id="110"/>
    <w:bookmarkEnd w:id="111"/>
    <w:bookmarkEnd w:id="112"/>
    <w:p w14:paraId="640D10D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bCs/>
          <w:color w:val="auto"/>
          <w:sz w:val="24"/>
          <w:highlight w:val="none"/>
          <w:lang w:val="en-US" w:eastAsia="zh-CN"/>
        </w:rPr>
      </w:pPr>
      <w:bookmarkStart w:id="120" w:name="_Toc518923081"/>
      <w:bookmarkStart w:id="121" w:name="_Toc16710"/>
      <w:bookmarkStart w:id="122" w:name="_Toc28398"/>
      <w:bookmarkStart w:id="123" w:name="_Toc515647778"/>
      <w:bookmarkStart w:id="124" w:name="_Toc20246"/>
      <w:bookmarkStart w:id="125" w:name="_Toc216582809"/>
      <w:bookmarkStart w:id="126" w:name="_Toc12436"/>
      <w:bookmarkStart w:id="127" w:name="_Toc520356163"/>
      <w:r>
        <w:rPr>
          <w:rFonts w:hint="eastAsia" w:ascii="宋体" w:hAnsi="宋体" w:eastAsia="宋体" w:cs="宋体"/>
          <w:b/>
          <w:bCs/>
          <w:color w:val="auto"/>
          <w:sz w:val="24"/>
          <w:highlight w:val="none"/>
          <w:lang w:val="en-US" w:eastAsia="zh-CN"/>
        </w:rPr>
        <w:t>17.投标文件的接收、修改、撤回</w:t>
      </w:r>
      <w:bookmarkEnd w:id="120"/>
      <w:r>
        <w:rPr>
          <w:rFonts w:hint="eastAsia" w:ascii="宋体" w:hAnsi="宋体" w:eastAsia="宋体" w:cs="宋体"/>
          <w:b/>
          <w:bCs/>
          <w:color w:val="auto"/>
          <w:sz w:val="24"/>
          <w:highlight w:val="none"/>
          <w:lang w:val="en-US" w:eastAsia="zh-CN"/>
        </w:rPr>
        <w:t>与解密</w:t>
      </w:r>
      <w:bookmarkEnd w:id="121"/>
    </w:p>
    <w:p w14:paraId="67DA4EB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5AC1F56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代理机构对因不可抗力事件造成的投标文件的损坏、丢失的，不承担责任。</w:t>
      </w:r>
    </w:p>
    <w:p w14:paraId="00D7822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17.3</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出现下述情形之一，属于未成功提交投标文件，按</w:t>
      </w:r>
      <w:r>
        <w:rPr>
          <w:rFonts w:hint="eastAsia" w:ascii="宋体" w:hAnsi="宋体" w:eastAsia="宋体" w:cs="宋体"/>
          <w:b/>
          <w:bCs/>
          <w:color w:val="auto"/>
          <w:sz w:val="24"/>
          <w:highlight w:val="none"/>
          <w:lang w:val="en-US" w:eastAsia="zh-CN"/>
        </w:rPr>
        <w:t>无效投标</w:t>
      </w:r>
      <w:r>
        <w:rPr>
          <w:rFonts w:hint="eastAsia" w:ascii="宋体" w:hAnsi="宋体" w:eastAsia="宋体" w:cs="宋体"/>
          <w:b w:val="0"/>
          <w:bCs w:val="0"/>
          <w:color w:val="auto"/>
          <w:sz w:val="24"/>
          <w:highlight w:val="none"/>
          <w:lang w:val="en-US" w:eastAsia="zh-CN"/>
        </w:rPr>
        <w:t xml:space="preserve">处理： </w:t>
      </w:r>
    </w:p>
    <w:p w14:paraId="3376DADF">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（1）至提交投标文件截止时间，投标文件未完整上传的。 </w:t>
      </w:r>
    </w:p>
    <w:p w14:paraId="7B51C80A">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（2）投标文件未按投标格式中注明需签字盖章的要求进行签名（含电子签名）和加盖电子印章，或签名（含电子签名）或电子印章不完整的。 </w:t>
      </w:r>
    </w:p>
    <w:p w14:paraId="0A242B52">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（3）投标文件损坏或格式不正确的。 </w:t>
      </w:r>
    </w:p>
    <w:p w14:paraId="3F6B3B93">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17.4</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2052ADC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17.5</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在提交投标文件截止时间后，投标人不得补充、修改和更换投标文件。</w:t>
      </w:r>
    </w:p>
    <w:p w14:paraId="2512C9E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17.6  </w:t>
      </w:r>
      <w:r>
        <w:rPr>
          <w:rFonts w:hint="eastAsia" w:ascii="宋体" w:hAnsi="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lang w:val="en-US" w:eastAsia="zh-CN"/>
        </w:rPr>
        <w:t xml:space="preserve"> 到达开标时间后，投标人需使用上传投标文件的同一数字证书解密，投标人须在采购代理机构规定的时间内完成投标文件解密，投标人因非系统原因导致的逾期未解密投标文件，将作无效投标处理。</w:t>
      </w:r>
    </w:p>
    <w:p w14:paraId="27335A1F">
      <w:pPr>
        <w:pStyle w:val="4"/>
        <w:pageBreakBefore w:val="0"/>
        <w:widowControl w:val="0"/>
        <w:kinsoku/>
        <w:wordWrap/>
        <w:overflowPunct/>
        <w:topLinePunct w:val="0"/>
        <w:bidi w:val="0"/>
        <w:snapToGrid/>
        <w:spacing w:before="0" w:after="0" w:line="360" w:lineRule="auto"/>
        <w:ind w:left="1120" w:leftChars="0" w:hanging="1120" w:hangingChars="400"/>
        <w:jc w:val="center"/>
        <w:textAlignment w:val="auto"/>
        <w:rPr>
          <w:rFonts w:hint="eastAsia" w:hAnsi="宋体" w:cs="宋体"/>
          <w:color w:val="auto"/>
          <w:sz w:val="28"/>
          <w:szCs w:val="28"/>
          <w:highlight w:val="none"/>
          <w:u w:val="none"/>
        </w:rPr>
      </w:pPr>
      <w:r>
        <w:rPr>
          <w:rFonts w:hint="eastAsia" w:hAnsi="宋体" w:cs="宋体"/>
          <w:color w:val="auto"/>
          <w:sz w:val="28"/>
          <w:szCs w:val="28"/>
          <w:highlight w:val="none"/>
          <w:u w:val="none"/>
        </w:rPr>
        <w:t>五   开标及评标</w:t>
      </w:r>
      <w:bookmarkEnd w:id="122"/>
      <w:bookmarkEnd w:id="123"/>
      <w:bookmarkEnd w:id="124"/>
      <w:bookmarkEnd w:id="125"/>
      <w:bookmarkEnd w:id="126"/>
      <w:bookmarkEnd w:id="127"/>
    </w:p>
    <w:p w14:paraId="472E9BE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28" w:name="_Toc7186"/>
      <w:bookmarkStart w:id="129" w:name="_Toc520356164"/>
      <w:bookmarkStart w:id="130" w:name="_Toc515647779"/>
      <w:bookmarkStart w:id="131" w:name="_Toc17257"/>
      <w:bookmarkStart w:id="132" w:name="_Toc25345"/>
      <w:r>
        <w:rPr>
          <w:rFonts w:hint="eastAsia" w:hAnsi="宋体" w:cs="宋体"/>
          <w:color w:val="auto"/>
          <w:highlight w:val="none"/>
          <w:u w:val="none"/>
        </w:rPr>
        <w:t>18.开标</w:t>
      </w:r>
      <w:bookmarkEnd w:id="128"/>
      <w:bookmarkEnd w:id="129"/>
      <w:bookmarkEnd w:id="130"/>
      <w:bookmarkEnd w:id="131"/>
      <w:bookmarkEnd w:id="132"/>
    </w:p>
    <w:p w14:paraId="1704C255">
      <w:pPr>
        <w:pageBreakBefore w:val="0"/>
        <w:widowControl w:val="0"/>
        <w:numPr>
          <w:ilvl w:val="1"/>
          <w:numId w:val="3"/>
        </w:numPr>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采购代理机构将按</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中规定的开标时间和地点组织公开开标并邀请所有投标人代表参加。</w:t>
      </w:r>
    </w:p>
    <w:p w14:paraId="3E552578">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投标人不足3家的，不得开标。</w:t>
      </w:r>
    </w:p>
    <w:p w14:paraId="1A8FAA5D">
      <w:pPr>
        <w:pageBreakBefore w:val="0"/>
        <w:widowControl w:val="0"/>
        <w:numPr>
          <w:ilvl w:val="1"/>
          <w:numId w:val="3"/>
        </w:numPr>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投标人应当按照本招标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w:t>
      </w:r>
      <w:r>
        <w:rPr>
          <w:rFonts w:hint="eastAsia" w:ascii="宋体" w:hAnsi="宋体" w:eastAsia="宋体" w:cs="宋体"/>
          <w:b/>
          <w:bCs/>
          <w:color w:val="auto"/>
          <w:sz w:val="24"/>
          <w:highlight w:val="none"/>
          <w:lang w:val="en-US" w:eastAsia="zh-CN"/>
        </w:rPr>
        <w:t>无效投标</w:t>
      </w:r>
      <w:r>
        <w:rPr>
          <w:rFonts w:hint="eastAsia" w:ascii="宋体" w:hAnsi="宋体" w:eastAsia="宋体" w:cs="宋体"/>
          <w:color w:val="auto"/>
          <w:sz w:val="24"/>
          <w:highlight w:val="none"/>
          <w:lang w:val="en-US" w:eastAsia="zh-CN"/>
        </w:rPr>
        <w:t>处理。（采用不见面电子开标，各投标人在参加开标以前须自行对使用电脑的网络环境、驱动安装、客户端安装以及数字证书的有效性等进行检测，确保可以正常使用）。</w:t>
      </w:r>
    </w:p>
    <w:p w14:paraId="01C8BD4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18.3    采购代理机构将对开标过程进行记录</w:t>
      </w:r>
      <w:bookmarkStart w:id="133" w:name="_Toc520356165"/>
      <w:r>
        <w:rPr>
          <w:rFonts w:hint="eastAsia" w:ascii="宋体" w:hAnsi="宋体" w:cs="宋体"/>
          <w:color w:val="auto"/>
          <w:sz w:val="24"/>
          <w:highlight w:val="none"/>
        </w:rPr>
        <w:t>，由参加开标的各投标人代表和相关工作人员签字确认，并存档备查。</w:t>
      </w:r>
    </w:p>
    <w:p w14:paraId="676F96E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18.4    投标人代表对开标过程和开标记录有疑义，以及认为采购人、采购代理机构相关工作人员有需要回避的情形的，应当场提出询问或者回避申请。</w:t>
      </w:r>
    </w:p>
    <w:p w14:paraId="2040571A">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34" w:name="_Toc19296"/>
      <w:bookmarkStart w:id="135" w:name="_Toc21372"/>
      <w:bookmarkStart w:id="136" w:name="_Toc31290"/>
      <w:bookmarkStart w:id="137" w:name="_Toc515647780"/>
      <w:r>
        <w:rPr>
          <w:rFonts w:hint="eastAsia" w:hAnsi="宋体" w:cs="宋体"/>
          <w:color w:val="auto"/>
          <w:highlight w:val="none"/>
          <w:u w:val="none"/>
        </w:rPr>
        <w:t>19.</w:t>
      </w:r>
      <w:bookmarkEnd w:id="133"/>
      <w:r>
        <w:rPr>
          <w:rFonts w:hint="eastAsia" w:hAnsi="宋体" w:cs="宋体"/>
          <w:color w:val="auto"/>
          <w:highlight w:val="none"/>
          <w:u w:val="none"/>
        </w:rPr>
        <w:t>资格审查及组建评标委员会</w:t>
      </w:r>
      <w:bookmarkEnd w:id="134"/>
      <w:bookmarkEnd w:id="135"/>
      <w:bookmarkEnd w:id="136"/>
      <w:bookmarkEnd w:id="137"/>
    </w:p>
    <w:p w14:paraId="48CAA73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bookmarkStart w:id="138" w:name="_Toc520356166"/>
      <w:bookmarkStart w:id="139" w:name="_Toc28479"/>
      <w:bookmarkStart w:id="140" w:name="_Toc19949"/>
      <w:bookmarkStart w:id="141" w:name="_Toc515647781"/>
      <w:bookmarkStart w:id="142" w:name="_Toc26332"/>
      <w:r>
        <w:rPr>
          <w:rFonts w:hint="eastAsia" w:ascii="宋体" w:hAnsi="宋体" w:eastAsia="宋体" w:cs="宋体"/>
          <w:color w:val="auto"/>
          <w:sz w:val="24"/>
          <w:highlight w:val="none"/>
        </w:rPr>
        <w:t>19.</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采购代理机构将在开标</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lang w:val="en-US" w:eastAsia="zh-CN"/>
        </w:rPr>
        <w:t>1个小时</w:t>
      </w:r>
      <w:r>
        <w:rPr>
          <w:rFonts w:hint="eastAsia" w:ascii="宋体" w:hAnsi="宋体" w:eastAsia="宋体" w:cs="宋体"/>
          <w:color w:val="auto"/>
          <w:sz w:val="24"/>
          <w:highlight w:val="none"/>
        </w:rPr>
        <w:t>内查询投标人的信用记录。投标人存在不良信用记录的，其投标将被认定为投标无效。</w:t>
      </w:r>
    </w:p>
    <w:p w14:paraId="3EB261E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不良信用记录指：投标人被“信用中国”网站列入失信被执行人、重大税收违法案件当事人名单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“中国政府采购网”网站列入政府采购严重违法失信行为</w:t>
      </w:r>
      <w:r>
        <w:rPr>
          <w:rFonts w:hint="eastAsia" w:ascii="宋体" w:hAnsi="宋体" w:eastAsia="宋体" w:cs="宋体"/>
          <w:color w:val="auto"/>
          <w:sz w:val="24"/>
          <w:highlight w:val="none"/>
          <w:lang w:val="en-US" w:eastAsia="zh-CN"/>
        </w:rPr>
        <w:t>信息</w:t>
      </w:r>
      <w:r>
        <w:rPr>
          <w:rFonts w:hint="eastAsia" w:ascii="宋体" w:hAnsi="宋体" w:eastAsia="宋体" w:cs="宋体"/>
          <w:color w:val="auto"/>
          <w:sz w:val="24"/>
          <w:highlight w:val="none"/>
        </w:rPr>
        <w:t>记录名单（处罚期限尚未届满的）的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“国家企业信用信息公示系统”被</w:t>
      </w:r>
      <w:r>
        <w:rPr>
          <w:rFonts w:hint="eastAsia" w:ascii="宋体" w:hAnsi="宋体" w:eastAsia="宋体" w:cs="宋体"/>
          <w:color w:val="auto"/>
          <w:sz w:val="24"/>
          <w:highlight w:val="none"/>
          <w:lang w:val="en-US" w:eastAsia="zh-CN"/>
        </w:rPr>
        <w:t>列入经营异常名录信息、列入严重违法失信企业名单（黑名单）</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rPr>
        <w:t>，以及存在《中华人民共和国政府采购法实施条例》第十九条规定的行政处罚记录。</w:t>
      </w:r>
    </w:p>
    <w:p w14:paraId="0354AAFE">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6909CC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规定的查询时间之后，网站信息发生的任何变更均不再作为评标依据。投标人自行提供的与网站信息不一致的其他证明材料亦不作为资格审查依据。</w:t>
      </w:r>
    </w:p>
    <w:p w14:paraId="106741B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19.3</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按照《中华人民共和国政府采购法》、《中华人民共和国政府采购法实施条例》</w:t>
      </w:r>
      <w:r>
        <w:rPr>
          <w:rFonts w:hint="eastAsia" w:ascii="宋体" w:hAnsi="宋体" w:cs="宋体"/>
          <w:color w:val="auto"/>
          <w:sz w:val="24"/>
          <w:highlight w:val="none"/>
          <w:lang w:eastAsia="zh-CN"/>
        </w:rPr>
        <w:t>，以及</w:t>
      </w:r>
      <w:r>
        <w:rPr>
          <w:rFonts w:hint="eastAsia" w:ascii="宋体" w:hAnsi="宋体" w:eastAsia="宋体" w:cs="宋体"/>
          <w:color w:val="auto"/>
          <w:sz w:val="24"/>
          <w:highlight w:val="none"/>
        </w:rPr>
        <w:t>本项目本级和上级财政部门的有关规定依法组建的评标委员会，负责评标工作。本项目评标委员会由</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组成（</w:t>
      </w:r>
      <w:r>
        <w:rPr>
          <w:rFonts w:hint="eastAsia" w:ascii="宋体" w:hAnsi="宋体" w:eastAsia="宋体" w:cs="宋体"/>
          <w:color w:val="auto"/>
          <w:sz w:val="24"/>
          <w:highlight w:val="none"/>
          <w:lang w:eastAsia="zh-CN"/>
        </w:rPr>
        <w:t>政采云专家库</w:t>
      </w:r>
      <w:r>
        <w:rPr>
          <w:rFonts w:hint="eastAsia" w:ascii="宋体" w:hAnsi="宋体" w:eastAsia="宋体" w:cs="宋体"/>
          <w:color w:val="auto"/>
          <w:sz w:val="24"/>
          <w:highlight w:val="none"/>
        </w:rPr>
        <w:t>随机抽取专家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名）。</w:t>
      </w:r>
    </w:p>
    <w:p w14:paraId="4D7CBA9B">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b w:val="0"/>
          <w:bCs/>
          <w:color w:val="auto"/>
          <w:highlight w:val="none"/>
          <w:bdr w:val="single" w:color="auto" w:sz="4" w:space="0"/>
        </w:rPr>
      </w:pPr>
      <w:r>
        <w:rPr>
          <w:rFonts w:hint="eastAsia" w:hAnsi="宋体" w:cs="宋体"/>
          <w:color w:val="auto"/>
          <w:highlight w:val="none"/>
          <w:u w:val="none"/>
        </w:rPr>
        <w:t>20.投标文件</w:t>
      </w:r>
      <w:bookmarkEnd w:id="138"/>
      <w:r>
        <w:rPr>
          <w:rFonts w:hint="eastAsia" w:hAnsi="宋体" w:cs="宋体"/>
          <w:color w:val="auto"/>
          <w:highlight w:val="none"/>
          <w:u w:val="none"/>
        </w:rPr>
        <w:t>符合性审查与澄清</w:t>
      </w:r>
      <w:bookmarkEnd w:id="139"/>
      <w:bookmarkEnd w:id="140"/>
      <w:bookmarkEnd w:id="141"/>
      <w:bookmarkEnd w:id="142"/>
    </w:p>
    <w:p w14:paraId="4038552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bookmarkStart w:id="143" w:name="_Toc520356167"/>
      <w:r>
        <w:rPr>
          <w:rFonts w:hint="eastAsia" w:ascii="宋体" w:cs="宋体"/>
          <w:color w:val="auto"/>
          <w:sz w:val="24"/>
          <w:highlight w:val="none"/>
          <w:lang w:bidi="ar-SA"/>
        </w:rPr>
        <w:t xml:space="preserve">20.1   </w:t>
      </w:r>
      <w:r>
        <w:rPr>
          <w:rFonts w:hint="eastAsia" w:ascii="宋体" w:cs="宋体"/>
          <w:color w:val="auto"/>
          <w:sz w:val="24"/>
          <w:highlight w:val="none"/>
          <w:lang w:val="en-US" w:eastAsia="zh-CN" w:bidi="ar-SA"/>
        </w:rPr>
        <w:t xml:space="preserve"> </w:t>
      </w:r>
      <w:r>
        <w:rPr>
          <w:rFonts w:hint="eastAsia" w:ascii="宋体" w:cs="宋体"/>
          <w:color w:val="auto"/>
          <w:sz w:val="24"/>
          <w:highlight w:val="none"/>
          <w:lang w:bidi="ar-SA"/>
        </w:rPr>
        <w:t>符合性审查是指依据招标文件的规定，从投标文件的有效性和完整性对招标文件的响应程度进行审查，以确定是否对招标文件的实质性要求做出响应。</w:t>
      </w:r>
      <w:bookmarkStart w:id="144" w:name="_Hlt522424701"/>
      <w:bookmarkEnd w:id="144"/>
    </w:p>
    <w:p w14:paraId="5813ECE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20.2</w:t>
      </w:r>
      <w:r>
        <w:rPr>
          <w:rFonts w:hint="eastAsia" w:ascii="宋体" w:cs="宋体"/>
          <w:color w:val="auto"/>
          <w:sz w:val="24"/>
          <w:highlight w:val="none"/>
          <w:lang w:bidi="ar-SA"/>
        </w:rPr>
        <w:tab/>
      </w:r>
      <w:r>
        <w:rPr>
          <w:rFonts w:hint="eastAsia" w:ascii="宋体" w:cs="宋体"/>
          <w:color w:val="auto"/>
          <w:sz w:val="24"/>
          <w:highlight w:val="none"/>
          <w:lang w:bidi="ar-SA"/>
        </w:rPr>
        <w:t>投标文件的澄清</w:t>
      </w:r>
    </w:p>
    <w:p w14:paraId="0866957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w:t>
      </w:r>
      <w:r>
        <w:rPr>
          <w:rFonts w:hint="eastAsia" w:ascii="宋体" w:cs="宋体"/>
          <w:color w:val="auto"/>
          <w:sz w:val="24"/>
          <w:highlight w:val="none"/>
          <w:lang w:eastAsia="zh-CN" w:bidi="ar-SA"/>
        </w:rPr>
        <w:t>做必要</w:t>
      </w:r>
      <w:r>
        <w:rPr>
          <w:rFonts w:hint="eastAsia" w:ascii="宋体" w:cs="宋体"/>
          <w:color w:val="auto"/>
          <w:sz w:val="24"/>
          <w:highlight w:val="none"/>
          <w:lang w:bidi="ar-SA"/>
        </w:rPr>
        <w:t>的澄清、说明或补正。投标人的澄清、说明或补正应在评标委员会规定的时间内以书面方式进行，并不得超出投标文件范围或者改变投标文件的实质性内容。</w:t>
      </w:r>
    </w:p>
    <w:p w14:paraId="0C406430">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20.2.2  投标人</w:t>
      </w:r>
      <w:r>
        <w:rPr>
          <w:rFonts w:hint="eastAsia" w:ascii="宋体" w:cs="宋体"/>
          <w:color w:val="auto"/>
          <w:sz w:val="24"/>
          <w:highlight w:val="none"/>
          <w:lang w:eastAsia="zh-CN" w:bidi="ar-SA"/>
        </w:rPr>
        <w:t>的</w:t>
      </w:r>
      <w:r>
        <w:rPr>
          <w:rFonts w:hint="eastAsia" w:ascii="宋体" w:cs="宋体"/>
          <w:color w:val="auto"/>
          <w:sz w:val="24"/>
          <w:highlight w:val="none"/>
          <w:lang w:bidi="ar-SA"/>
        </w:rPr>
        <w:t>澄清、说明或补正将作为投标文件的一部分。</w:t>
      </w:r>
    </w:p>
    <w:p w14:paraId="316F034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xml:space="preserve">20.3 </w:t>
      </w:r>
      <w:r>
        <w:rPr>
          <w:rFonts w:hint="eastAsia" w:ascii="宋体" w:cs="宋体"/>
          <w:color w:val="auto"/>
          <w:sz w:val="24"/>
          <w:highlight w:val="none"/>
          <w:lang w:val="en-US" w:eastAsia="zh-CN" w:bidi="ar-SA"/>
        </w:rPr>
        <w:t xml:space="preserve">  </w:t>
      </w:r>
      <w:r>
        <w:rPr>
          <w:rFonts w:hint="eastAsia" w:ascii="宋体" w:cs="宋体"/>
          <w:color w:val="auto"/>
          <w:sz w:val="24"/>
          <w:highlight w:val="none"/>
          <w:lang w:bidi="ar-SA"/>
        </w:rPr>
        <w:t xml:space="preserve"> 投标文件报价出现前后不一致的，按照下列规定修正：</w:t>
      </w:r>
    </w:p>
    <w:p w14:paraId="3EB2B0C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（一）投标文件中开标一览表（报价表）内容与投标文件中相应内容不一致的，以开标一览表（报价表）为准；</w:t>
      </w:r>
    </w:p>
    <w:p w14:paraId="04C9D914">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（二）大写金额和小写金额不一致的，以大写金额为准；</w:t>
      </w:r>
    </w:p>
    <w:p w14:paraId="3FB5542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w:t>
      </w:r>
      <w:r>
        <w:rPr>
          <w:rFonts w:hint="eastAsia" w:ascii="宋体" w:cs="宋体"/>
          <w:color w:val="auto"/>
          <w:sz w:val="24"/>
          <w:highlight w:val="none"/>
          <w:lang w:val="en-US" w:eastAsia="zh-CN" w:bidi="ar-SA"/>
        </w:rPr>
        <w:t>三</w:t>
      </w:r>
      <w:r>
        <w:rPr>
          <w:rFonts w:hint="eastAsia" w:ascii="宋体" w:cs="宋体"/>
          <w:color w:val="auto"/>
          <w:sz w:val="24"/>
          <w:highlight w:val="none"/>
          <w:lang w:bidi="ar-SA"/>
        </w:rPr>
        <w:t>）单价金额小数点或者百分比有明显错位的，以开标一览表的总价为准，并修改单价；</w:t>
      </w:r>
    </w:p>
    <w:p w14:paraId="183A553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（四）总价金额与按单价汇总金额不一致的，以单价金额计算结果为准。</w:t>
      </w:r>
    </w:p>
    <w:p w14:paraId="027AA56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cs="宋体"/>
          <w:color w:val="auto"/>
          <w:sz w:val="24"/>
          <w:highlight w:val="none"/>
          <w:lang w:bidi="ar-SA"/>
        </w:rPr>
      </w:pPr>
      <w:r>
        <w:rPr>
          <w:rFonts w:hint="eastAsia" w:ascii="宋体" w:cs="宋体"/>
          <w:color w:val="auto"/>
          <w:sz w:val="24"/>
          <w:highlight w:val="none"/>
          <w:lang w:bidi="ar-SA"/>
        </w:rPr>
        <w:t>　　    同时出现两种以上不一致的，按照前款规定的顺序修正。修正后的报价按照第20.2条的规定经投标人确认后产生约束力，投标人不确认的，其投标将被认定为</w:t>
      </w:r>
      <w:r>
        <w:rPr>
          <w:rFonts w:hint="eastAsia" w:ascii="宋体" w:cs="宋体"/>
          <w:b/>
          <w:bCs/>
          <w:color w:val="auto"/>
          <w:sz w:val="24"/>
          <w:highlight w:val="none"/>
          <w:lang w:bidi="ar-SA"/>
        </w:rPr>
        <w:t>投标无效</w:t>
      </w:r>
      <w:r>
        <w:rPr>
          <w:rFonts w:hint="eastAsia" w:ascii="宋体" w:cs="宋体"/>
          <w:color w:val="auto"/>
          <w:sz w:val="24"/>
          <w:highlight w:val="none"/>
          <w:lang w:bidi="ar-SA"/>
        </w:rPr>
        <w:t>。</w:t>
      </w:r>
    </w:p>
    <w:p w14:paraId="0AD317A2">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cs="宋体"/>
          <w:color w:val="auto"/>
          <w:sz w:val="24"/>
          <w:highlight w:val="none"/>
          <w:lang w:bidi="ar-SA"/>
        </w:rPr>
      </w:pPr>
      <w:r>
        <w:rPr>
          <w:rFonts w:hint="eastAsia" w:ascii="宋体" w:cs="宋体"/>
          <w:color w:val="auto"/>
          <w:sz w:val="24"/>
          <w:highlight w:val="none"/>
          <w:lang w:bidi="ar-SA"/>
        </w:rPr>
        <w:t>对不同文字文本投标文件的解释发生异议的，以中文文本为准。</w:t>
      </w:r>
    </w:p>
    <w:p w14:paraId="74027AEE">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45" w:name="_Toc6364"/>
      <w:bookmarkStart w:id="146" w:name="_Toc9469"/>
      <w:bookmarkStart w:id="147" w:name="_Toc515647782"/>
      <w:bookmarkStart w:id="148" w:name="_Toc18529"/>
      <w:r>
        <w:rPr>
          <w:rFonts w:hint="eastAsia" w:hAnsi="宋体" w:cs="宋体"/>
          <w:color w:val="auto"/>
          <w:highlight w:val="none"/>
          <w:u w:val="none"/>
        </w:rPr>
        <w:t>21.投标偏离</w:t>
      </w:r>
      <w:bookmarkEnd w:id="145"/>
      <w:bookmarkEnd w:id="146"/>
      <w:bookmarkEnd w:id="147"/>
      <w:bookmarkEnd w:id="148"/>
    </w:p>
    <w:p w14:paraId="139B98E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21.1</w:t>
      </w:r>
      <w:r>
        <w:rPr>
          <w:rFonts w:hint="eastAsia" w:ascii="宋体" w:hAnsi="宋体" w:cs="宋体"/>
          <w:color w:val="auto"/>
          <w:sz w:val="24"/>
          <w:highlight w:val="none"/>
        </w:rPr>
        <w:t xml:space="preserve">    评标委员会可以接受投标文件中不构成实质性偏离的不正规或不一致。</w:t>
      </w:r>
    </w:p>
    <w:p w14:paraId="06E1C864">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49" w:name="_Toc515647783"/>
      <w:bookmarkStart w:id="150" w:name="_Toc6092"/>
      <w:bookmarkStart w:id="151" w:name="_Toc23936"/>
      <w:bookmarkStart w:id="152" w:name="_Toc4950"/>
      <w:r>
        <w:rPr>
          <w:rFonts w:hint="eastAsia" w:hAnsi="宋体" w:cs="宋体"/>
          <w:color w:val="auto"/>
          <w:highlight w:val="none"/>
          <w:u w:val="none"/>
        </w:rPr>
        <w:t>22.投标</w:t>
      </w:r>
      <w:bookmarkEnd w:id="149"/>
      <w:r>
        <w:rPr>
          <w:rFonts w:hint="eastAsia" w:hAnsi="宋体" w:cs="宋体"/>
          <w:color w:val="auto"/>
          <w:highlight w:val="none"/>
          <w:u w:val="none"/>
        </w:rPr>
        <w:t>无效</w:t>
      </w:r>
      <w:bookmarkEnd w:id="150"/>
      <w:bookmarkEnd w:id="151"/>
      <w:bookmarkEnd w:id="152"/>
    </w:p>
    <w:p w14:paraId="1DFBFAD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22.1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。投标人不得通过修正或撤销不符合要求的偏离，从而使其投标成为实质上响应的投标。</w:t>
      </w:r>
    </w:p>
    <w:p w14:paraId="3AB771E9">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评标委员会决定投标的响应性只根据招标文件要求、投标文件内容及财政主管部门指定相关信息发布媒体。</w:t>
      </w:r>
    </w:p>
    <w:p w14:paraId="366FCA6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22.2</w:t>
      </w:r>
      <w:r>
        <w:rPr>
          <w:rFonts w:hint="eastAsia" w:ascii="宋体" w:hAnsi="宋体" w:cs="宋体"/>
          <w:color w:val="auto"/>
          <w:sz w:val="24"/>
          <w:highlight w:val="none"/>
        </w:rPr>
        <w:tab/>
      </w:r>
      <w:r>
        <w:rPr>
          <w:rFonts w:hint="eastAsia" w:ascii="宋体" w:hAnsi="宋体" w:cs="宋体"/>
          <w:color w:val="auto"/>
          <w:sz w:val="24"/>
          <w:highlight w:val="none"/>
        </w:rPr>
        <w:t>如发现下列情况之一的，其投标将被认定为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14:paraId="1F735401">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（1）</w:t>
      </w:r>
      <w:r>
        <w:rPr>
          <w:rFonts w:hint="eastAsia" w:asciiTheme="minorEastAsia" w:hAnsiTheme="minorEastAsia" w:eastAsiaTheme="minorEastAsia" w:cstheme="minorEastAsia"/>
          <w:b/>
          <w:bCs/>
          <w:color w:val="auto"/>
          <w:sz w:val="24"/>
          <w:highlight w:val="none"/>
        </w:rPr>
        <w:t>未按招标文件规定的形式和金额提交投标保证金的；</w:t>
      </w:r>
    </w:p>
    <w:p w14:paraId="29577E50">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（2）</w:t>
      </w:r>
      <w:r>
        <w:rPr>
          <w:rFonts w:hint="eastAsia" w:asciiTheme="minorEastAsia" w:hAnsiTheme="minorEastAsia" w:eastAsiaTheme="minorEastAsia" w:cstheme="minorEastAsia"/>
          <w:b/>
          <w:bCs/>
          <w:color w:val="auto"/>
          <w:sz w:val="24"/>
          <w:highlight w:val="none"/>
        </w:rPr>
        <w:t>未按照招标文件规定要求签署、盖章的；</w:t>
      </w:r>
    </w:p>
    <w:p w14:paraId="0ADC2E26">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（3）</w:t>
      </w:r>
      <w:r>
        <w:rPr>
          <w:rFonts w:hint="eastAsia" w:asciiTheme="minorEastAsia" w:hAnsiTheme="minorEastAsia" w:eastAsiaTheme="minorEastAsia" w:cstheme="minorEastAsia"/>
          <w:b/>
          <w:bCs/>
          <w:color w:val="auto"/>
          <w:sz w:val="24"/>
          <w:highlight w:val="none"/>
        </w:rPr>
        <w:t>未满足招标文件中技术条款的实质性要求；</w:t>
      </w:r>
    </w:p>
    <w:p w14:paraId="53E83431">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（4）</w:t>
      </w:r>
      <w:r>
        <w:rPr>
          <w:rFonts w:hint="eastAsia" w:asciiTheme="minorEastAsia" w:hAnsiTheme="minorEastAsia" w:eastAsiaTheme="minorEastAsia" w:cstheme="minorEastAsia"/>
          <w:b/>
          <w:bCs/>
          <w:color w:val="auto"/>
          <w:sz w:val="24"/>
          <w:highlight w:val="none"/>
        </w:rPr>
        <w:t>与其他投标人串通投标，或者与招标人串通投标；</w:t>
      </w:r>
    </w:p>
    <w:p w14:paraId="425C877C">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（5）</w:t>
      </w:r>
      <w:r>
        <w:rPr>
          <w:rFonts w:hint="eastAsia" w:asciiTheme="minorEastAsia" w:hAnsiTheme="minorEastAsia" w:eastAsiaTheme="minorEastAsia" w:cstheme="minorEastAsia"/>
          <w:b/>
          <w:bCs/>
          <w:color w:val="auto"/>
          <w:sz w:val="24"/>
          <w:highlight w:val="none"/>
        </w:rPr>
        <w:t>属于招标文件规定的其他投标无效情形；</w:t>
      </w:r>
    </w:p>
    <w:p w14:paraId="3059ED1B">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（6）</w:t>
      </w:r>
      <w:r>
        <w:rPr>
          <w:rFonts w:hint="eastAsia" w:asciiTheme="minorEastAsia" w:hAnsiTheme="minorEastAsia" w:eastAsiaTheme="minorEastAsia" w:cstheme="minorEastAsia"/>
          <w:b/>
          <w:bCs/>
          <w:color w:val="auto"/>
          <w:sz w:val="24"/>
          <w:highlight w:val="none"/>
        </w:rPr>
        <w:t>评标委员会认为投标人的报价明显低于其他通过符合性检查投标人的报价，有可能影响履约的，且投标人未按照规定证明其报价合理性的；</w:t>
      </w:r>
    </w:p>
    <w:p w14:paraId="6D36431D">
      <w:pPr>
        <w:pageBreakBefore w:val="0"/>
        <w:widowControl w:val="0"/>
        <w:numPr>
          <w:ilvl w:val="0"/>
          <w:numId w:val="0"/>
        </w:numPr>
        <w:kinsoku/>
        <w:wordWrap/>
        <w:overflowPunct/>
        <w:topLinePunct w:val="0"/>
        <w:bidi w:val="0"/>
        <w:snapToGrid/>
        <w:spacing w:line="280" w:lineRule="exact"/>
        <w:ind w:left="957" w:leftChars="456" w:firstLine="0" w:firstLineChars="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（7）</w:t>
      </w:r>
      <w:r>
        <w:rPr>
          <w:rFonts w:hint="eastAsia" w:asciiTheme="minorEastAsia" w:hAnsiTheme="minorEastAsia" w:eastAsiaTheme="minorEastAsia" w:cstheme="minorEastAsia"/>
          <w:b/>
          <w:bCs/>
          <w:color w:val="auto"/>
          <w:sz w:val="24"/>
          <w:highlight w:val="none"/>
        </w:rPr>
        <w:t>投标文件含有采购人不能接受的附加条件的；</w:t>
      </w:r>
    </w:p>
    <w:p w14:paraId="31067E8C">
      <w:pPr>
        <w:pageBreakBefore w:val="0"/>
        <w:widowControl w:val="0"/>
        <w:numPr>
          <w:ilvl w:val="0"/>
          <w:numId w:val="0"/>
        </w:numPr>
        <w:tabs>
          <w:tab w:val="left" w:pos="0"/>
        </w:tabs>
        <w:kinsoku/>
        <w:wordWrap/>
        <w:overflowPunct/>
        <w:topLinePunct w:val="0"/>
        <w:bidi w:val="0"/>
        <w:snapToGrid/>
        <w:spacing w:line="280" w:lineRule="exact"/>
        <w:ind w:left="957" w:leftChars="456" w:firstLine="0" w:firstLineChars="0"/>
        <w:textAlignment w:val="auto"/>
        <w:rPr>
          <w:rFonts w:hint="eastAsia" w:ascii="宋体" w:hAnsi="宋体" w:cs="宋体"/>
          <w:b/>
          <w:bCs/>
          <w:color w:val="auto"/>
          <w:sz w:val="24"/>
          <w:highlight w:val="none"/>
        </w:rPr>
      </w:pPr>
      <w:r>
        <w:rPr>
          <w:rFonts w:hint="eastAsia" w:asciiTheme="minorEastAsia" w:hAnsiTheme="minorEastAsia" w:eastAsiaTheme="minorEastAsia" w:cstheme="minorEastAsia"/>
          <w:b/>
          <w:bCs/>
          <w:color w:val="auto"/>
          <w:kern w:val="2"/>
          <w:sz w:val="24"/>
          <w:szCs w:val="24"/>
          <w:highlight w:val="none"/>
          <w:lang w:val="en-US" w:eastAsia="zh-CN" w:bidi="ar-SA"/>
        </w:rPr>
        <w:t>（8</w:t>
      </w:r>
      <w:r>
        <w:rPr>
          <w:rFonts w:hint="eastAsia" w:ascii="仿宋_GB2312" w:hAnsi="宋体" w:eastAsia="仿宋_GB2312" w:cs="Times New Roman"/>
          <w:b/>
          <w:bCs/>
          <w:color w:val="auto"/>
          <w:kern w:val="2"/>
          <w:sz w:val="24"/>
          <w:szCs w:val="24"/>
          <w:highlight w:val="none"/>
          <w:lang w:val="en-US" w:eastAsia="zh-CN" w:bidi="ar-SA"/>
        </w:rPr>
        <w:t>）</w:t>
      </w:r>
      <w:r>
        <w:rPr>
          <w:rFonts w:hint="eastAsia" w:ascii="宋体" w:hAnsi="宋体" w:cs="宋体"/>
          <w:b/>
          <w:bCs/>
          <w:color w:val="auto"/>
          <w:sz w:val="24"/>
          <w:highlight w:val="none"/>
        </w:rPr>
        <w:t>不符合法规和招标文件中规定的其他实质性要求的。</w:t>
      </w:r>
    </w:p>
    <w:p w14:paraId="1C7F1B6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b/>
          <w:bCs/>
          <w:color w:val="auto"/>
          <w:sz w:val="24"/>
          <w:highlight w:val="none"/>
        </w:rPr>
      </w:pPr>
      <w:bookmarkStart w:id="153" w:name="_Toc8521"/>
      <w:bookmarkStart w:id="154" w:name="_Toc13652"/>
      <w:bookmarkStart w:id="155" w:name="_Toc22941"/>
      <w:bookmarkStart w:id="156" w:name="_Toc515647784"/>
      <w:r>
        <w:rPr>
          <w:rFonts w:hint="eastAsia" w:ascii="宋体" w:hAnsi="宋体" w:cs="宋体"/>
          <w:b/>
          <w:bCs/>
          <w:color w:val="auto"/>
          <w:sz w:val="24"/>
          <w:highlight w:val="none"/>
        </w:rPr>
        <w:t>23.</w:t>
      </w:r>
      <w:bookmarkEnd w:id="143"/>
      <w:r>
        <w:rPr>
          <w:rFonts w:hint="eastAsia" w:ascii="宋体" w:hAnsi="宋体" w:cs="宋体"/>
          <w:b/>
          <w:bCs/>
          <w:color w:val="auto"/>
          <w:sz w:val="24"/>
          <w:highlight w:val="none"/>
        </w:rPr>
        <w:t>比较与评价</w:t>
      </w:r>
      <w:bookmarkEnd w:id="153"/>
      <w:bookmarkEnd w:id="154"/>
      <w:bookmarkEnd w:id="155"/>
      <w:bookmarkEnd w:id="156"/>
    </w:p>
    <w:p w14:paraId="08026299">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23.1</w:t>
      </w:r>
      <w:r>
        <w:rPr>
          <w:rFonts w:hint="eastAsia" w:ascii="宋体" w:hAnsi="宋体" w:cs="宋体"/>
          <w:color w:val="auto"/>
          <w:sz w:val="24"/>
          <w:highlight w:val="none"/>
        </w:rPr>
        <w:tab/>
      </w:r>
      <w:r>
        <w:rPr>
          <w:rFonts w:hint="eastAsia" w:ascii="宋体" w:hAnsi="宋体" w:cs="宋体"/>
          <w:color w:val="auto"/>
          <w:sz w:val="24"/>
          <w:highlight w:val="none"/>
        </w:rPr>
        <w:t>经符合性审查合格的投标文件，评标委员会将根据招标文件确定的评标方法和标准，对其技术部分和商务部分作进一步的比较和评价。</w:t>
      </w:r>
    </w:p>
    <w:p w14:paraId="1B7ABFA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b/>
          <w:bCs/>
          <w:color w:val="auto"/>
          <w:sz w:val="24"/>
          <w:highlight w:val="none"/>
        </w:rPr>
      </w:pPr>
      <w:r>
        <w:rPr>
          <w:rFonts w:hint="eastAsia" w:ascii="宋体" w:hAnsi="宋体" w:cs="宋体"/>
          <w:color w:val="auto"/>
          <w:sz w:val="24"/>
          <w:highlight w:val="none"/>
        </w:rPr>
        <w:t xml:space="preserve">23.2  </w:t>
      </w:r>
      <w:r>
        <w:rPr>
          <w:rFonts w:hint="eastAsia" w:ascii="宋体" w:hAnsi="宋体" w:cs="宋体"/>
          <w:color w:val="auto"/>
          <w:sz w:val="24"/>
          <w:highlight w:val="none"/>
        </w:rPr>
        <w:tab/>
      </w:r>
      <w:r>
        <w:rPr>
          <w:rFonts w:hint="eastAsia" w:ascii="宋体" w:hAnsi="宋体" w:cs="宋体"/>
          <w:color w:val="auto"/>
          <w:sz w:val="24"/>
          <w:highlight w:val="none"/>
        </w:rPr>
        <w:t>评标严格按照招标文件的要求和条件进行。根据实际情况，在</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中规定采用下列</w:t>
      </w:r>
      <w:r>
        <w:rPr>
          <w:rFonts w:hint="eastAsia" w:ascii="宋体" w:hAnsi="宋体" w:cs="宋体"/>
          <w:b/>
          <w:bCs/>
          <w:color w:val="auto"/>
          <w:sz w:val="24"/>
          <w:highlight w:val="none"/>
          <w:u w:val="single"/>
        </w:rPr>
        <w:t>（2）</w:t>
      </w:r>
      <w:r>
        <w:rPr>
          <w:rFonts w:hint="eastAsia" w:ascii="宋体" w:hAnsi="宋体" w:cs="宋体"/>
          <w:color w:val="auto"/>
          <w:sz w:val="24"/>
          <w:highlight w:val="none"/>
        </w:rPr>
        <w:t>评标方法，详细评标标准见招标文件</w:t>
      </w:r>
      <w:r>
        <w:rPr>
          <w:rFonts w:hint="eastAsia" w:ascii="宋体" w:hAnsi="宋体" w:cs="宋体"/>
          <w:b/>
          <w:bCs/>
          <w:color w:val="auto"/>
          <w:sz w:val="24"/>
          <w:highlight w:val="none"/>
        </w:rPr>
        <w:t>第六章：</w:t>
      </w:r>
    </w:p>
    <w:p w14:paraId="02052A40">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（1）最低评标价法，是指投标文件满足招标文件全部实质性要求，且投标报价最低的投标人为中标候选人的评标方法。</w:t>
      </w:r>
    </w:p>
    <w:p w14:paraId="5F23900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（2） 综合评分法，是指投标文件满足招标文件全部实质性要求，且按照评审因素的量化指标评审得分最高的投标人为中标候选人的评标方法。</w:t>
      </w:r>
    </w:p>
    <w:p w14:paraId="1903568A">
      <w:pPr>
        <w:pStyle w:val="5"/>
        <w:keepNext w:val="0"/>
        <w:keepLines w:val="0"/>
        <w:pageBreakBefore w:val="0"/>
        <w:widowControl w:val="0"/>
        <w:kinsoku/>
        <w:wordWrap/>
        <w:overflowPunct/>
        <w:topLinePunct w:val="0"/>
        <w:autoSpaceDE w:val="0"/>
        <w:autoSpaceDN w:val="0"/>
        <w:bidi w:val="0"/>
        <w:adjustRightInd w:val="0"/>
        <w:snapToGrid/>
        <w:ind w:left="960" w:leftChars="0" w:hanging="960" w:hangingChars="400"/>
        <w:textAlignment w:val="auto"/>
        <w:rPr>
          <w:rFonts w:hint="eastAsia"/>
          <w:color w:val="auto"/>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 xml:space="preserve">3  </w:t>
      </w:r>
      <w:r>
        <w:rPr>
          <w:rFonts w:hint="eastAsia" w:hAnsi="宋体" w:cs="宋体"/>
          <w:color w:val="auto"/>
          <w:sz w:val="24"/>
          <w:highlight w:val="none"/>
          <w:lang w:val="en-US" w:eastAsia="zh-CN"/>
        </w:rPr>
        <w:t xml:space="preserve">  </w:t>
      </w:r>
      <w:r>
        <w:rPr>
          <w:rFonts w:hint="eastAsia" w:ascii="宋体" w:hAnsi="宋体" w:eastAsia="宋体" w:cs="宋体"/>
          <w:b/>
          <w:bCs/>
          <w:color w:val="auto"/>
          <w:kern w:val="2"/>
          <w:sz w:val="24"/>
          <w:szCs w:val="24"/>
          <w:highlight w:val="none"/>
          <w:lang w:val="en-US" w:eastAsia="zh-CN" w:bidi="ar-SA"/>
        </w:rPr>
        <w:t>本项目</w:t>
      </w:r>
      <w:r>
        <w:rPr>
          <w:rFonts w:hint="eastAsia" w:hAnsi="宋体" w:cs="宋体"/>
          <w:b/>
          <w:bCs/>
          <w:color w:val="auto"/>
          <w:kern w:val="2"/>
          <w:sz w:val="24"/>
          <w:szCs w:val="24"/>
          <w:highlight w:val="none"/>
          <w:lang w:val="en-US" w:eastAsia="zh-CN" w:bidi="ar-SA"/>
        </w:rPr>
        <w:t>不专门</w:t>
      </w:r>
      <w:r>
        <w:rPr>
          <w:rFonts w:hint="eastAsia" w:ascii="宋体" w:hAnsi="宋体" w:eastAsia="宋体" w:cs="宋体"/>
          <w:b/>
          <w:bCs/>
          <w:color w:val="auto"/>
          <w:kern w:val="2"/>
          <w:sz w:val="24"/>
          <w:szCs w:val="24"/>
          <w:highlight w:val="none"/>
          <w:lang w:val="en-US" w:eastAsia="zh-CN" w:bidi="ar-SA"/>
        </w:rPr>
        <w:t>面向中小企业采购。</w:t>
      </w:r>
      <w:r>
        <w:rPr>
          <w:rFonts w:hint="eastAsia" w:ascii="宋体" w:hAnsi="宋体" w:eastAsia="宋体" w:cs="宋体"/>
          <w:b/>
          <w:bCs/>
          <w:color w:val="auto"/>
          <w:sz w:val="24"/>
          <w:highlight w:val="none"/>
          <w:lang w:eastAsia="zh-CN"/>
        </w:rPr>
        <w:t>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w:t>
      </w:r>
      <w:r>
        <w:rPr>
          <w:rFonts w:hint="eastAsia" w:hAnsi="宋体" w:cs="宋体"/>
          <w:b/>
          <w:bCs/>
          <w:color w:val="auto"/>
          <w:sz w:val="24"/>
          <w:highlight w:val="none"/>
          <w:lang w:eastAsia="zh-CN"/>
        </w:rPr>
        <w:t>投标人</w:t>
      </w:r>
      <w:r>
        <w:rPr>
          <w:rFonts w:hint="eastAsia" w:ascii="宋体" w:hAnsi="宋体" w:eastAsia="宋体" w:cs="宋体"/>
          <w:b/>
          <w:bCs/>
          <w:color w:val="auto"/>
          <w:sz w:val="24"/>
          <w:highlight w:val="none"/>
          <w:lang w:eastAsia="zh-CN"/>
        </w:rPr>
        <w:t>，其报价扣除</w:t>
      </w:r>
      <w:r>
        <w:rPr>
          <w:rFonts w:hint="eastAsia" w:ascii="宋体" w:hAnsi="宋体" w:eastAsia="宋体" w:cs="宋体"/>
          <w:b/>
          <w:bCs/>
          <w:color w:val="FF0000"/>
          <w:sz w:val="24"/>
          <w:highlight w:val="none"/>
          <w:u w:val="single"/>
          <w:lang w:eastAsia="zh-CN"/>
        </w:rPr>
        <w:t xml:space="preserve"> 10 %</w:t>
      </w:r>
      <w:r>
        <w:rPr>
          <w:rFonts w:hint="eastAsia" w:hAnsi="宋体" w:cs="宋体"/>
          <w:b/>
          <w:bCs/>
          <w:color w:val="FF0000"/>
          <w:sz w:val="24"/>
          <w:highlight w:val="none"/>
          <w:u w:val="single"/>
          <w:lang w:val="en-US" w:eastAsia="zh-CN"/>
        </w:rPr>
        <w:t xml:space="preserve">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r>
        <w:rPr>
          <w:rFonts w:hint="eastAsia" w:ascii="宋体" w:hAnsi="宋体" w:eastAsia="宋体" w:cs="宋体"/>
          <w:b/>
          <w:bCs/>
          <w:color w:val="auto"/>
          <w:kern w:val="2"/>
          <w:sz w:val="24"/>
          <w:szCs w:val="24"/>
          <w:highlight w:val="none"/>
          <w:lang w:val="en-US" w:eastAsia="zh-CN" w:bidi="ar-SA"/>
        </w:rPr>
        <w:t>。</w:t>
      </w:r>
    </w:p>
    <w:p w14:paraId="16371AB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57" w:name="_Toc520356168"/>
      <w:bookmarkStart w:id="158" w:name="_Toc515647785"/>
      <w:bookmarkStart w:id="159" w:name="_Toc31728"/>
      <w:bookmarkStart w:id="160" w:name="_Toc9378"/>
      <w:bookmarkStart w:id="161" w:name="_Toc20227"/>
      <w:r>
        <w:rPr>
          <w:rFonts w:hint="eastAsia" w:hAnsi="宋体" w:cs="宋体"/>
          <w:color w:val="auto"/>
          <w:highlight w:val="none"/>
          <w:u w:val="none"/>
        </w:rPr>
        <w:t>24</w:t>
      </w:r>
      <w:bookmarkEnd w:id="157"/>
      <w:r>
        <w:rPr>
          <w:rFonts w:hint="eastAsia" w:hAnsi="宋体" w:cs="宋体"/>
          <w:color w:val="auto"/>
          <w:highlight w:val="none"/>
          <w:u w:val="none"/>
        </w:rPr>
        <w:t>.废标</w:t>
      </w:r>
      <w:bookmarkEnd w:id="158"/>
      <w:bookmarkEnd w:id="159"/>
      <w:bookmarkEnd w:id="160"/>
      <w:bookmarkEnd w:id="161"/>
    </w:p>
    <w:p w14:paraId="77C2DABA">
      <w:pPr>
        <w:pageBreakBefore w:val="0"/>
        <w:widowControl w:val="0"/>
        <w:kinsoku/>
        <w:wordWrap/>
        <w:overflowPunct/>
        <w:topLinePunct w:val="0"/>
        <w:bidi w:val="0"/>
        <w:snapToGrid/>
        <w:spacing w:line="240" w:lineRule="atLeas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24.1     </w:t>
      </w:r>
      <w:r>
        <w:rPr>
          <w:rFonts w:hint="eastAsia" w:ascii="宋体" w:hAnsi="宋体" w:cs="宋体"/>
          <w:color w:val="auto"/>
          <w:sz w:val="24"/>
          <w:highlight w:val="none"/>
        </w:rPr>
        <w:t xml:space="preserve">出现下列情形之一，将导致项目废标： </w:t>
      </w:r>
    </w:p>
    <w:p w14:paraId="1028217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（1）符合专业条件的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或者对招标文件做实质性响应的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不足三家；</w:t>
      </w:r>
    </w:p>
    <w:p w14:paraId="44B5876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（2）出现影响采购公正的违法、违规行为的；</w:t>
      </w:r>
    </w:p>
    <w:p w14:paraId="349E0F66">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（3）投标人的报价均超过了采购预算，采购人不能支付的；</w:t>
      </w:r>
    </w:p>
    <w:p w14:paraId="5187BCA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（4）因重大变故，采购任务取消的。   </w:t>
      </w:r>
    </w:p>
    <w:p w14:paraId="5F4D6BA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62" w:name="_Toc515647786"/>
      <w:bookmarkStart w:id="163" w:name="_Toc11175"/>
      <w:bookmarkStart w:id="164" w:name="_Toc31289"/>
      <w:bookmarkStart w:id="165" w:name="_Toc24972"/>
      <w:bookmarkStart w:id="166" w:name="_Toc520356169"/>
      <w:r>
        <w:rPr>
          <w:rFonts w:hint="eastAsia" w:hAnsi="宋体" w:cs="宋体"/>
          <w:color w:val="auto"/>
          <w:highlight w:val="none"/>
          <w:u w:val="none"/>
        </w:rPr>
        <w:t>25.保密原则</w:t>
      </w:r>
      <w:bookmarkEnd w:id="162"/>
      <w:bookmarkEnd w:id="163"/>
      <w:bookmarkEnd w:id="164"/>
      <w:bookmarkEnd w:id="165"/>
    </w:p>
    <w:p w14:paraId="2EFFAF3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25.1</w:t>
      </w:r>
      <w:r>
        <w:rPr>
          <w:rFonts w:hint="eastAsia" w:ascii="宋体" w:hAnsi="宋体" w:cs="宋体"/>
          <w:color w:val="auto"/>
          <w:sz w:val="24"/>
          <w:highlight w:val="none"/>
        </w:rPr>
        <w:tab/>
      </w:r>
      <w:r>
        <w:rPr>
          <w:rFonts w:hint="eastAsia" w:ascii="宋体" w:hAnsi="宋体" w:cs="宋体"/>
          <w:color w:val="auto"/>
          <w:sz w:val="24"/>
          <w:highlight w:val="none"/>
        </w:rPr>
        <w:t>评标将在严格保密的情况下进行。</w:t>
      </w:r>
    </w:p>
    <w:p w14:paraId="747219C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25.2</w:t>
      </w:r>
      <w:r>
        <w:rPr>
          <w:rFonts w:hint="eastAsia" w:ascii="宋体" w:hAnsi="宋体" w:cs="宋体"/>
          <w:color w:val="auto"/>
          <w:sz w:val="24"/>
          <w:highlight w:val="none"/>
        </w:rPr>
        <w:tab/>
      </w:r>
      <w:r>
        <w:rPr>
          <w:rFonts w:hint="eastAsia" w:ascii="宋体" w:hAnsi="宋体" w:cs="宋体"/>
          <w:color w:val="auto"/>
          <w:sz w:val="24"/>
          <w:highlight w:val="none"/>
        </w:rPr>
        <w:t>政府采购评审专家应当遵守评审工作纪律，不得泄露评审文件、评审情况和评审中获悉的商业秘密。</w:t>
      </w:r>
    </w:p>
    <w:p w14:paraId="5FC20D07">
      <w:pPr>
        <w:pStyle w:val="3"/>
        <w:pageBreakBefore w:val="0"/>
        <w:widowControl w:val="0"/>
        <w:kinsoku/>
        <w:wordWrap/>
        <w:overflowPunct/>
        <w:topLinePunct w:val="0"/>
        <w:bidi w:val="0"/>
        <w:snapToGrid/>
        <w:spacing w:before="0" w:line="360" w:lineRule="auto"/>
        <w:ind w:left="960" w:leftChars="0" w:hanging="960" w:hangingChars="400"/>
        <w:textAlignment w:val="auto"/>
        <w:rPr>
          <w:rFonts w:hint="eastAsia" w:hAnsi="宋体" w:cs="宋体"/>
          <w:color w:val="auto"/>
          <w:highlight w:val="none"/>
        </w:rPr>
      </w:pPr>
      <w:bookmarkStart w:id="167" w:name="_Toc515647787"/>
      <w:bookmarkStart w:id="168" w:name="_Toc23904"/>
      <w:bookmarkStart w:id="169" w:name="_Toc216582810"/>
      <w:bookmarkStart w:id="170" w:name="_Toc12143"/>
      <w:bookmarkStart w:id="171" w:name="_Toc2153"/>
      <w:r>
        <w:rPr>
          <w:rFonts w:hint="eastAsia" w:ascii="宋体" w:hAnsi="宋体" w:eastAsia="宋体" w:cs="宋体"/>
          <w:color w:val="auto"/>
          <w:sz w:val="24"/>
          <w:highlight w:val="none"/>
        </w:rPr>
        <w:t xml:space="preserve">六   </w:t>
      </w:r>
      <w:bookmarkEnd w:id="166"/>
      <w:r>
        <w:rPr>
          <w:rFonts w:hint="eastAsia" w:ascii="宋体" w:hAnsi="宋体" w:eastAsia="宋体" w:cs="宋体"/>
          <w:color w:val="auto"/>
          <w:sz w:val="24"/>
          <w:highlight w:val="none"/>
        </w:rPr>
        <w:t>确定中标</w:t>
      </w:r>
      <w:bookmarkEnd w:id="167"/>
      <w:bookmarkEnd w:id="168"/>
      <w:bookmarkEnd w:id="169"/>
      <w:bookmarkEnd w:id="170"/>
      <w:bookmarkEnd w:id="171"/>
    </w:p>
    <w:p w14:paraId="09679A1A">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72" w:name="_Toc520356170"/>
      <w:bookmarkStart w:id="173" w:name="_Toc23617"/>
      <w:bookmarkStart w:id="174" w:name="_Toc515647788"/>
      <w:bookmarkStart w:id="175" w:name="_Ref467307010"/>
      <w:bookmarkStart w:id="176" w:name="_Toc23762"/>
      <w:bookmarkStart w:id="177" w:name="_Toc28066"/>
      <w:r>
        <w:rPr>
          <w:rFonts w:hint="eastAsia" w:hAnsi="宋体" w:cs="宋体"/>
          <w:color w:val="auto"/>
          <w:highlight w:val="none"/>
          <w:u w:val="none"/>
        </w:rPr>
        <w:t>26.中标候选人的确定原则及标准</w:t>
      </w:r>
      <w:bookmarkEnd w:id="172"/>
      <w:bookmarkEnd w:id="173"/>
      <w:bookmarkEnd w:id="174"/>
      <w:bookmarkEnd w:id="175"/>
      <w:bookmarkEnd w:id="176"/>
      <w:bookmarkEnd w:id="177"/>
    </w:p>
    <w:p w14:paraId="0DE12ED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除第28条规定外，对实质上响应招标文件的投标人按下列</w:t>
      </w:r>
      <w:r>
        <w:rPr>
          <w:rFonts w:hint="eastAsia" w:ascii="宋体" w:hAnsi="宋体" w:cs="宋体"/>
          <w:color w:val="auto"/>
          <w:sz w:val="24"/>
          <w:highlight w:val="none"/>
          <w:lang w:val="en-US" w:eastAsia="zh-CN"/>
        </w:rPr>
        <w:t>第（2）种</w:t>
      </w:r>
      <w:r>
        <w:rPr>
          <w:rFonts w:hint="eastAsia" w:ascii="宋体" w:hAnsi="宋体" w:cs="宋体"/>
          <w:color w:val="auto"/>
          <w:sz w:val="24"/>
          <w:highlight w:val="none"/>
        </w:rPr>
        <w:t>方法进行排序，确定投标候选人：</w:t>
      </w:r>
    </w:p>
    <w:p w14:paraId="7A14BDE3">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cs="宋体"/>
          <w:color w:val="auto"/>
          <w:sz w:val="24"/>
          <w:highlight w:val="none"/>
        </w:rPr>
      </w:pPr>
      <w:bookmarkStart w:id="178" w:name="_Toc520356171"/>
      <w:bookmarkStart w:id="179" w:name="_Toc23951"/>
      <w:bookmarkStart w:id="180" w:name="_Toc9653"/>
      <w:bookmarkStart w:id="181" w:name="_Toc515647789"/>
      <w:bookmarkStart w:id="182" w:name="_Toc19950"/>
      <w:r>
        <w:rPr>
          <w:rFonts w:hint="eastAsia" w:ascii="宋体" w:hAnsi="宋体" w:cs="宋体"/>
          <w:color w:val="auto"/>
          <w:sz w:val="24"/>
          <w:highlight w:val="none"/>
        </w:rPr>
        <w:t>（1）最低评标价法，是指投标文件满足招标文件全部实质性要求，且投标报价最低的投标人为中标候选人的评标方法。</w:t>
      </w:r>
    </w:p>
    <w:p w14:paraId="743A49D7">
      <w:pPr>
        <w:pageBreakBefore w:val="0"/>
        <w:widowControl w:val="0"/>
        <w:kinsoku/>
        <w:wordWrap/>
        <w:overflowPunct/>
        <w:topLinePunct w:val="0"/>
        <w:bidi w:val="0"/>
        <w:snapToGrid/>
        <w:spacing w:line="240" w:lineRule="atLeast"/>
        <w:ind w:left="957" w:leftChars="456" w:firstLine="0" w:firstLineChars="0"/>
        <w:textAlignment w:val="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（2）综合评分法，是指投标文件满足招标文件全部实质性要求，且按照评审因素的量化指标评审得分最高的投标人为中标候选人的评标方法。</w:t>
      </w:r>
    </w:p>
    <w:p w14:paraId="30BBC80E">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r>
        <w:rPr>
          <w:rFonts w:hint="eastAsia" w:hAnsi="宋体" w:cs="宋体"/>
          <w:color w:val="auto"/>
          <w:highlight w:val="none"/>
          <w:u w:val="none"/>
        </w:rPr>
        <w:t>27</w:t>
      </w:r>
      <w:bookmarkEnd w:id="178"/>
      <w:r>
        <w:rPr>
          <w:rFonts w:hint="eastAsia" w:hAnsi="宋体" w:cs="宋体"/>
          <w:color w:val="auto"/>
          <w:highlight w:val="none"/>
          <w:u w:val="none"/>
        </w:rPr>
        <w:t>.确定中标候选人和中标人</w:t>
      </w:r>
      <w:bookmarkEnd w:id="179"/>
      <w:bookmarkEnd w:id="180"/>
      <w:bookmarkEnd w:id="181"/>
      <w:bookmarkEnd w:id="182"/>
    </w:p>
    <w:p w14:paraId="2846E62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27.1</w:t>
      </w:r>
      <w:r>
        <w:rPr>
          <w:rFonts w:hint="eastAsia" w:ascii="宋体" w:hAnsi="宋体" w:cs="宋体"/>
          <w:color w:val="auto"/>
          <w:sz w:val="24"/>
          <w:highlight w:val="none"/>
        </w:rPr>
        <w:tab/>
      </w:r>
      <w:r>
        <w:rPr>
          <w:rFonts w:hint="eastAsia" w:ascii="宋体" w:hAnsi="宋体" w:cs="宋体"/>
          <w:color w:val="auto"/>
          <w:sz w:val="24"/>
          <w:highlight w:val="none"/>
        </w:rPr>
        <w:t>评标委员会将根据评标标准，按</w:t>
      </w:r>
      <w:r>
        <w:rPr>
          <w:rFonts w:hint="eastAsia" w:ascii="宋体" w:hAnsi="宋体" w:cs="宋体"/>
          <w:color w:val="auto"/>
          <w:sz w:val="24"/>
          <w:highlight w:val="none"/>
          <w:u w:val="single"/>
        </w:rPr>
        <w:t>投标人须知资料表中</w:t>
      </w:r>
      <w:r>
        <w:rPr>
          <w:rFonts w:hint="eastAsia" w:ascii="宋体" w:hAnsi="宋体" w:cs="宋体"/>
          <w:color w:val="auto"/>
          <w:sz w:val="24"/>
          <w:highlight w:val="none"/>
        </w:rPr>
        <w:t>规定数量推荐中标候选人；或根据采购人的委托，直接确定中标人。</w:t>
      </w:r>
    </w:p>
    <w:p w14:paraId="7D75743C">
      <w:pPr>
        <w:pStyle w:val="4"/>
        <w:pageBreakBefore w:val="0"/>
        <w:widowControl w:val="0"/>
        <w:tabs>
          <w:tab w:val="left" w:pos="900"/>
        </w:tabs>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83" w:name="_Toc520356173"/>
      <w:bookmarkStart w:id="184" w:name="_Ref467306874"/>
      <w:bookmarkStart w:id="185" w:name="_Toc8389"/>
      <w:bookmarkStart w:id="186" w:name="_Toc13782"/>
      <w:bookmarkStart w:id="187" w:name="_Toc28562"/>
      <w:bookmarkStart w:id="188" w:name="_Toc515647790"/>
      <w:r>
        <w:rPr>
          <w:rFonts w:hint="eastAsia" w:hAnsi="宋体" w:cs="宋体"/>
          <w:color w:val="auto"/>
          <w:highlight w:val="none"/>
          <w:u w:val="none"/>
        </w:rPr>
        <w:t>28.</w:t>
      </w:r>
      <w:bookmarkEnd w:id="183"/>
      <w:bookmarkEnd w:id="184"/>
      <w:r>
        <w:rPr>
          <w:rFonts w:hint="eastAsia" w:hAnsi="宋体" w:cs="宋体"/>
          <w:color w:val="auto"/>
          <w:highlight w:val="none"/>
          <w:u w:val="none"/>
        </w:rPr>
        <w:t>采购任务取消</w:t>
      </w:r>
      <w:bookmarkEnd w:id="185"/>
      <w:bookmarkEnd w:id="186"/>
      <w:bookmarkEnd w:id="187"/>
      <w:bookmarkEnd w:id="188"/>
    </w:p>
    <w:p w14:paraId="304C8BD1">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因重大变故采购任务取消时，采购人有权拒绝任何投标人中标，且对受影响的投标人不承担任何责任。</w:t>
      </w:r>
      <w:bookmarkStart w:id="189" w:name="_Toc520356174"/>
    </w:p>
    <w:p w14:paraId="78001C20">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90" w:name="_Toc30170"/>
      <w:bookmarkStart w:id="191" w:name="_Toc515647791"/>
      <w:bookmarkStart w:id="192" w:name="_Toc31142"/>
      <w:bookmarkStart w:id="193" w:name="_Toc31099"/>
      <w:r>
        <w:rPr>
          <w:rFonts w:hint="eastAsia" w:hAnsi="宋体" w:cs="宋体"/>
          <w:color w:val="auto"/>
          <w:highlight w:val="none"/>
          <w:u w:val="none"/>
        </w:rPr>
        <w:t>29.中标通知书</w:t>
      </w:r>
      <w:bookmarkEnd w:id="189"/>
      <w:r>
        <w:rPr>
          <w:rFonts w:hint="eastAsia" w:hAnsi="宋体" w:cs="宋体"/>
          <w:color w:val="auto"/>
          <w:highlight w:val="none"/>
          <w:u w:val="none"/>
        </w:rPr>
        <w:t>和招标结果通知书</w:t>
      </w:r>
      <w:bookmarkEnd w:id="190"/>
      <w:bookmarkEnd w:id="191"/>
      <w:bookmarkEnd w:id="192"/>
      <w:bookmarkEnd w:id="193"/>
    </w:p>
    <w:p w14:paraId="3E8EE61F">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29.1</w:t>
      </w:r>
      <w:r>
        <w:rPr>
          <w:rFonts w:hint="eastAsia" w:ascii="宋体" w:hAnsi="宋体" w:cs="宋体"/>
          <w:color w:val="auto"/>
          <w:sz w:val="24"/>
          <w:highlight w:val="none"/>
        </w:rPr>
        <w:tab/>
      </w:r>
      <w:r>
        <w:rPr>
          <w:rFonts w:hint="eastAsia" w:ascii="宋体" w:hAnsi="宋体" w:cs="宋体"/>
          <w:color w:val="auto"/>
          <w:sz w:val="24"/>
          <w:highlight w:val="none"/>
        </w:rPr>
        <w:t>在投标有效期内，中标人确定后，采购人或者采购代理机构发布中标公告，同时以书面形式向中标人发出中标通知书。</w:t>
      </w:r>
    </w:p>
    <w:p w14:paraId="4F7DB20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29.2</w:t>
      </w:r>
      <w:r>
        <w:rPr>
          <w:rFonts w:hint="eastAsia" w:ascii="宋体" w:hAnsi="宋体" w:cs="宋体"/>
          <w:color w:val="auto"/>
          <w:sz w:val="24"/>
          <w:highlight w:val="none"/>
        </w:rPr>
        <w:tab/>
      </w:r>
      <w:r>
        <w:rPr>
          <w:rFonts w:hint="eastAsia" w:ascii="宋体" w:hAnsi="宋体" w:cs="宋体"/>
          <w:color w:val="auto"/>
          <w:sz w:val="24"/>
          <w:highlight w:val="none"/>
        </w:rPr>
        <w:t>中标通知书是合同的组成部分。</w:t>
      </w:r>
    </w:p>
    <w:p w14:paraId="184D317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29.3    招标结果通知书和中标通知书同时发出。招标结果通知书中将告知未通过资格审查的投标人未通过的原因；采用综合评分法评审的，还将告知未中标人本人的评审得分和排序。</w:t>
      </w:r>
    </w:p>
    <w:p w14:paraId="2FA9EE67">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194" w:name="_Ref467307062"/>
      <w:bookmarkStart w:id="195" w:name="_Ref467306978"/>
      <w:bookmarkStart w:id="196" w:name="_Ref467306377"/>
      <w:bookmarkStart w:id="197" w:name="_Toc790"/>
      <w:bookmarkStart w:id="198" w:name="_Toc14795"/>
      <w:bookmarkStart w:id="199" w:name="_Toc7779"/>
      <w:bookmarkStart w:id="200" w:name="_Toc515647792"/>
      <w:bookmarkStart w:id="201" w:name="_Ref467307204"/>
      <w:bookmarkStart w:id="202" w:name="_Toc520356175"/>
      <w:r>
        <w:rPr>
          <w:rFonts w:hint="eastAsia" w:hAnsi="宋体" w:cs="宋体"/>
          <w:color w:val="auto"/>
          <w:highlight w:val="none"/>
          <w:u w:val="none"/>
        </w:rPr>
        <w:t>30.签订合同</w:t>
      </w:r>
      <w:bookmarkEnd w:id="194"/>
      <w:bookmarkEnd w:id="195"/>
      <w:bookmarkEnd w:id="196"/>
      <w:bookmarkEnd w:id="197"/>
      <w:bookmarkEnd w:id="198"/>
      <w:bookmarkEnd w:id="199"/>
      <w:bookmarkEnd w:id="200"/>
      <w:bookmarkEnd w:id="201"/>
      <w:bookmarkEnd w:id="202"/>
    </w:p>
    <w:p w14:paraId="2ED991C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30.1</w:t>
      </w:r>
      <w:r>
        <w:rPr>
          <w:rFonts w:hint="eastAsia" w:ascii="宋体" w:hAnsi="宋体" w:cs="宋体"/>
          <w:color w:val="auto"/>
          <w:sz w:val="24"/>
          <w:highlight w:val="none"/>
        </w:rPr>
        <w:tab/>
      </w:r>
      <w:r>
        <w:rPr>
          <w:rFonts w:hint="eastAsia" w:ascii="宋体" w:hAnsi="宋体" w:cs="宋体"/>
          <w:color w:val="auto"/>
          <w:sz w:val="24"/>
          <w:highlight w:val="none"/>
        </w:rPr>
        <w:t>中标人应当自发出中标通知书之日起7日内，与采购人签订合同。</w:t>
      </w:r>
    </w:p>
    <w:p w14:paraId="0007ECFB">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30.2</w:t>
      </w:r>
      <w:r>
        <w:rPr>
          <w:rFonts w:hint="eastAsia" w:ascii="宋体" w:hAnsi="宋体" w:cs="宋体"/>
          <w:color w:val="auto"/>
          <w:sz w:val="24"/>
          <w:highlight w:val="none"/>
        </w:rPr>
        <w:tab/>
      </w:r>
      <w:bookmarkStart w:id="203" w:name="_Ref467307090"/>
      <w:bookmarkStart w:id="204" w:name="_Toc520356176"/>
      <w:bookmarkStart w:id="205" w:name="_Ref467306425"/>
      <w:r>
        <w:rPr>
          <w:rFonts w:hint="eastAsia" w:ascii="宋体" w:hAnsi="宋体" w:cs="宋体"/>
          <w:color w:val="auto"/>
          <w:sz w:val="24"/>
          <w:highlight w:val="none"/>
        </w:rPr>
        <w:t>招标文件、中标人的投标文件及其澄清文件等，均为签订合同的依据。</w:t>
      </w:r>
    </w:p>
    <w:p w14:paraId="58EA27DC">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30.3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中标人拒绝与采购人签订合同的，采购人可以按照评审报告推荐的中标候选人名单排序，确定下一中标候选人为中标人，也可以重新开展政府采购活动。</w:t>
      </w:r>
    </w:p>
    <w:p w14:paraId="39251B1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30.4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当出现法规规定的</w:t>
      </w:r>
      <w:r>
        <w:rPr>
          <w:rFonts w:hint="eastAsia" w:ascii="宋体" w:hAnsi="宋体" w:cs="宋体"/>
          <w:b/>
          <w:color w:val="auto"/>
          <w:sz w:val="24"/>
          <w:highlight w:val="none"/>
        </w:rPr>
        <w:t>中标无效或中标结果无效</w:t>
      </w:r>
      <w:r>
        <w:rPr>
          <w:rFonts w:hint="eastAsia" w:ascii="宋体" w:hAnsi="宋体" w:cs="宋体"/>
          <w:color w:val="auto"/>
          <w:sz w:val="24"/>
          <w:highlight w:val="none"/>
        </w:rPr>
        <w:t>情形时，采购人可与排名下一位的中标候选人另行签订合同，或依法重新开展采购活动。</w:t>
      </w:r>
    </w:p>
    <w:p w14:paraId="6545E3F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06" w:name="_Toc14080"/>
      <w:bookmarkStart w:id="207" w:name="_Toc515647793"/>
      <w:bookmarkStart w:id="208" w:name="_Toc7188"/>
      <w:bookmarkStart w:id="209" w:name="_Toc22555"/>
      <w:r>
        <w:rPr>
          <w:rFonts w:hint="eastAsia" w:hAnsi="宋体" w:cs="宋体"/>
          <w:color w:val="auto"/>
          <w:highlight w:val="none"/>
          <w:u w:val="none"/>
        </w:rPr>
        <w:t>31.履约保证金</w:t>
      </w:r>
      <w:bookmarkEnd w:id="203"/>
      <w:bookmarkEnd w:id="204"/>
      <w:bookmarkEnd w:id="205"/>
      <w:bookmarkEnd w:id="206"/>
      <w:bookmarkEnd w:id="207"/>
      <w:bookmarkEnd w:id="208"/>
      <w:bookmarkEnd w:id="209"/>
    </w:p>
    <w:p w14:paraId="71FE6185">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31.1</w:t>
      </w:r>
      <w:r>
        <w:rPr>
          <w:rFonts w:hint="eastAsia" w:ascii="宋体" w:hAnsi="宋体" w:cs="宋体"/>
          <w:color w:val="auto"/>
          <w:sz w:val="24"/>
          <w:highlight w:val="none"/>
        </w:rPr>
        <w:tab/>
      </w:r>
      <w:r>
        <w:rPr>
          <w:rFonts w:hint="eastAsia" w:ascii="宋体" w:hAnsi="宋体" w:cs="宋体"/>
          <w:color w:val="auto"/>
          <w:sz w:val="24"/>
          <w:highlight w:val="none"/>
        </w:rPr>
        <w:t>中标人应按照</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规定向采购人缴纳履约保证金（如采用保函形式，格式见本章附件1）。</w:t>
      </w:r>
    </w:p>
    <w:p w14:paraId="78F77428">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31.2</w:t>
      </w:r>
      <w:r>
        <w:rPr>
          <w:rFonts w:hint="eastAsia" w:ascii="宋体" w:hAnsi="宋体" w:cs="宋体"/>
          <w:color w:val="auto"/>
          <w:sz w:val="24"/>
          <w:highlight w:val="none"/>
        </w:rPr>
        <w:tab/>
      </w:r>
      <w:r>
        <w:rPr>
          <w:rFonts w:hint="eastAsia" w:ascii="宋体" w:hAnsi="宋体" w:cs="宋体"/>
          <w:color w:val="auto"/>
          <w:sz w:val="24"/>
          <w:highlight w:val="none"/>
        </w:rPr>
        <w:t>政府采购利用担保试点范围内的项目，除31.1规定的情形外，中标人也可以按照财政部门的规定，向采购人提供合格的履约担保函（格式见本章附件2）。</w:t>
      </w:r>
    </w:p>
    <w:p w14:paraId="245F251E">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31.3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如果中标人没有按照上述履约保证金的规定执行，将视为放弃中标资格，中标人的投标保证金将不予退还。在此情况下，采购人可确定下一候选人为中标人，也可以重新开展采购活动。</w:t>
      </w:r>
    </w:p>
    <w:p w14:paraId="7DEE2A95">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10" w:name="_Toc29408"/>
      <w:bookmarkStart w:id="211" w:name="_Toc3090"/>
      <w:bookmarkStart w:id="212" w:name="_Toc515647794"/>
      <w:bookmarkStart w:id="213" w:name="_Toc31936"/>
      <w:r>
        <w:rPr>
          <w:rFonts w:hint="eastAsia" w:hAnsi="宋体" w:cs="宋体"/>
          <w:color w:val="auto"/>
          <w:highlight w:val="none"/>
          <w:u w:val="none"/>
        </w:rPr>
        <w:t>32.中标服务费</w:t>
      </w:r>
      <w:bookmarkEnd w:id="210"/>
      <w:bookmarkEnd w:id="211"/>
      <w:bookmarkEnd w:id="212"/>
      <w:bookmarkEnd w:id="213"/>
    </w:p>
    <w:p w14:paraId="1C220AC7">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32.1</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中标人须按照</w:t>
      </w:r>
      <w:r>
        <w:rPr>
          <w:rFonts w:hint="eastAsia" w:ascii="宋体" w:hAnsi="宋体" w:cs="宋体"/>
          <w:color w:val="auto"/>
          <w:sz w:val="24"/>
          <w:highlight w:val="none"/>
          <w:u w:val="single"/>
        </w:rPr>
        <w:t>投标须知资料表</w:t>
      </w:r>
      <w:r>
        <w:rPr>
          <w:rFonts w:hint="eastAsia" w:ascii="宋体" w:hAnsi="宋体" w:cs="宋体"/>
          <w:color w:val="auto"/>
          <w:sz w:val="24"/>
          <w:highlight w:val="none"/>
        </w:rPr>
        <w:t>规定，向采购代理机构支付中标服务费。</w:t>
      </w:r>
    </w:p>
    <w:p w14:paraId="5FDD54B2">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14" w:name="_Toc6923"/>
      <w:bookmarkStart w:id="215" w:name="_Toc13588"/>
      <w:bookmarkStart w:id="216" w:name="_Toc515647795"/>
      <w:bookmarkStart w:id="217" w:name="_Toc7049"/>
      <w:r>
        <w:rPr>
          <w:rFonts w:hint="eastAsia" w:hAnsi="宋体" w:cs="宋体"/>
          <w:color w:val="auto"/>
          <w:highlight w:val="none"/>
          <w:u w:val="none"/>
        </w:rPr>
        <w:t>33.政府采购信用担保</w:t>
      </w:r>
      <w:bookmarkEnd w:id="214"/>
      <w:bookmarkEnd w:id="215"/>
      <w:bookmarkEnd w:id="216"/>
      <w:bookmarkEnd w:id="217"/>
    </w:p>
    <w:p w14:paraId="1F9A0186">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33.1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本项目是否属于信用担保试点范围见</w:t>
      </w:r>
      <w:r>
        <w:rPr>
          <w:rFonts w:hint="eastAsia" w:ascii="宋体" w:hAnsi="宋体" w:cs="宋体"/>
          <w:color w:val="auto"/>
          <w:sz w:val="24"/>
          <w:highlight w:val="none"/>
          <w:u w:val="single"/>
        </w:rPr>
        <w:t>投标人须知资料表</w:t>
      </w:r>
      <w:r>
        <w:rPr>
          <w:rFonts w:hint="eastAsia" w:ascii="宋体" w:hAnsi="宋体" w:cs="宋体"/>
          <w:color w:val="auto"/>
          <w:sz w:val="24"/>
          <w:highlight w:val="none"/>
        </w:rPr>
        <w:t>。</w:t>
      </w:r>
    </w:p>
    <w:p w14:paraId="450942A4">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18" w:name="_Toc27198"/>
      <w:bookmarkStart w:id="219" w:name="_Toc23999"/>
      <w:bookmarkStart w:id="220" w:name="_Toc515647796"/>
      <w:bookmarkStart w:id="221" w:name="_Toc2133"/>
      <w:r>
        <w:rPr>
          <w:rFonts w:hint="eastAsia" w:hAnsi="宋体" w:cs="宋体"/>
          <w:color w:val="auto"/>
          <w:highlight w:val="none"/>
          <w:u w:val="none"/>
        </w:rPr>
        <w:t>34.廉洁自律规定</w:t>
      </w:r>
      <w:bookmarkEnd w:id="218"/>
      <w:bookmarkEnd w:id="219"/>
      <w:bookmarkEnd w:id="220"/>
      <w:bookmarkEnd w:id="221"/>
    </w:p>
    <w:p w14:paraId="60EE73AD">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采购代理机构工作人员不得以不正当手段获取政府采购代理业务，不得与采购人、</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恶意串通操纵政府采购活动。</w:t>
      </w:r>
    </w:p>
    <w:p w14:paraId="3D45D2B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34.2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采购代理机构工作人员不得接受采购人或者</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组织的宴请、旅游、娱乐，不得收受礼品、现金、有价证券等，不得向采购人或者</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报销应当由个人承担的费用。</w:t>
      </w:r>
    </w:p>
    <w:p w14:paraId="15C4A2B3">
      <w:pPr>
        <w:pageBreakBefore w:val="0"/>
        <w:widowControl w:val="0"/>
        <w:kinsoku/>
        <w:wordWrap/>
        <w:overflowPunct/>
        <w:topLinePunct w:val="0"/>
        <w:bidi w:val="0"/>
        <w:snapToGrid/>
        <w:spacing w:line="240" w:lineRule="atLeast"/>
        <w:ind w:left="960" w:leftChars="0" w:hanging="960" w:hangingChars="400"/>
        <w:textAlignment w:val="auto"/>
        <w:rPr>
          <w:rFonts w:hint="eastAsia"/>
          <w:color w:val="auto"/>
          <w:highlight w:val="none"/>
        </w:rPr>
      </w:pPr>
      <w:r>
        <w:rPr>
          <w:rFonts w:hint="eastAsia" w:ascii="宋体" w:hAnsi="宋体" w:cs="宋体"/>
          <w:color w:val="auto"/>
          <w:sz w:val="24"/>
          <w:highlight w:val="none"/>
        </w:rPr>
        <w:t xml:space="preserve">34.3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为强化采购代理机构内部监督机制，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可按投标人须知资料表中的监督电话和信箱，反映采购代理机构的廉洁自律等问题。</w:t>
      </w:r>
    </w:p>
    <w:p w14:paraId="2005AA0A">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22" w:name="_Toc11586"/>
      <w:bookmarkStart w:id="223" w:name="_Toc25480"/>
      <w:bookmarkStart w:id="224" w:name="_Toc10437"/>
      <w:bookmarkStart w:id="225" w:name="_Toc515647797"/>
      <w:r>
        <w:rPr>
          <w:rFonts w:hint="eastAsia" w:hAnsi="宋体" w:cs="宋体"/>
          <w:color w:val="auto"/>
          <w:highlight w:val="none"/>
          <w:u w:val="none"/>
        </w:rPr>
        <w:t>35.人员回避</w:t>
      </w:r>
      <w:bookmarkEnd w:id="222"/>
      <w:bookmarkEnd w:id="223"/>
      <w:bookmarkEnd w:id="224"/>
      <w:bookmarkEnd w:id="225"/>
    </w:p>
    <w:p w14:paraId="69FFBD3A">
      <w:pPr>
        <w:pageBreakBefore w:val="0"/>
        <w:widowControl w:val="0"/>
        <w:kinsoku/>
        <w:wordWrap/>
        <w:overflowPunct/>
        <w:topLinePunct w:val="0"/>
        <w:bidi w:val="0"/>
        <w:snapToGrid/>
        <w:spacing w:line="240" w:lineRule="atLeast"/>
        <w:ind w:left="960" w:leftChars="0" w:hanging="960" w:hangingChars="4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35.1</w:t>
      </w:r>
      <w:r>
        <w:rPr>
          <w:rFonts w:hint="eastAsia" w:ascii="宋体" w:hAnsi="宋体" w:cs="宋体"/>
          <w:color w:val="auto"/>
          <w:sz w:val="24"/>
          <w:highlight w:val="none"/>
        </w:rPr>
        <w:t xml:space="preserve">    投标人认为采购人员及其相关人员有法律法规所列与其他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有利害关系的，可以向采购人或采购代理机构书面提出回避申请，并说明理由。</w:t>
      </w:r>
    </w:p>
    <w:p w14:paraId="1E212BC8">
      <w:pPr>
        <w:pStyle w:val="4"/>
        <w:pageBreakBefore w:val="0"/>
        <w:widowControl w:val="0"/>
        <w:kinsoku/>
        <w:wordWrap/>
        <w:overflowPunct/>
        <w:topLinePunct w:val="0"/>
        <w:bidi w:val="0"/>
        <w:snapToGrid/>
        <w:spacing w:before="0" w:after="0" w:line="240" w:lineRule="atLeast"/>
        <w:ind w:left="960" w:leftChars="0" w:hanging="960" w:hangingChars="400"/>
        <w:textAlignment w:val="auto"/>
        <w:rPr>
          <w:rFonts w:hint="eastAsia" w:hAnsi="宋体" w:cs="宋体"/>
          <w:color w:val="auto"/>
          <w:highlight w:val="none"/>
          <w:u w:val="none"/>
        </w:rPr>
      </w:pPr>
      <w:bookmarkStart w:id="226" w:name="_Toc11115"/>
      <w:bookmarkStart w:id="227" w:name="_Toc1148"/>
      <w:bookmarkStart w:id="228" w:name="_Toc10700"/>
      <w:bookmarkStart w:id="229" w:name="_Toc515647798"/>
      <w:r>
        <w:rPr>
          <w:rFonts w:hint="eastAsia" w:hAnsi="宋体" w:cs="宋体"/>
          <w:color w:val="auto"/>
          <w:highlight w:val="none"/>
          <w:u w:val="none"/>
        </w:rPr>
        <w:t>36.质疑与接收</w:t>
      </w:r>
      <w:bookmarkEnd w:id="226"/>
      <w:bookmarkEnd w:id="227"/>
      <w:bookmarkEnd w:id="228"/>
      <w:bookmarkEnd w:id="229"/>
    </w:p>
    <w:p w14:paraId="424714EC">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cs="宋体"/>
          <w:color w:val="auto"/>
          <w:sz w:val="24"/>
          <w:szCs w:val="24"/>
          <w:highlight w:val="none"/>
          <w:lang w:val="en-US" w:eastAsia="zh-CN"/>
        </w:rPr>
        <w:t xml:space="preserve">  投标人</w:t>
      </w:r>
      <w:r>
        <w:rPr>
          <w:rFonts w:hint="eastAsia" w:ascii="宋体" w:hAnsi="宋体" w:eastAsia="宋体" w:cs="宋体"/>
          <w:color w:val="auto"/>
          <w:sz w:val="24"/>
          <w:szCs w:val="24"/>
          <w:highlight w:val="none"/>
        </w:rPr>
        <w:t>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675A7FB">
      <w:pPr>
        <w:pStyle w:val="48"/>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783FE188">
      <w:pPr>
        <w:pStyle w:val="48"/>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36.3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415AC339">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36.4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将依法承担不利后果。</w:t>
      </w:r>
    </w:p>
    <w:p w14:paraId="015FAFA7">
      <w:pPr>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36.5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采购代理机构质疑函接收部门、联系电话和通讯地址</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见</w:t>
      </w:r>
      <w:r>
        <w:rPr>
          <w:rFonts w:hint="eastAsia" w:ascii="宋体" w:hAnsi="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p>
    <w:p w14:paraId="29564BA6">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36.6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认为采购文件、采购过程和中标结果使自己的权益受到损害的，可以在知道或者应知其权益受到损害之日起7个工作日内，以书面形式向采购方提出质疑。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应知其权益受到损害之日，是指：</w:t>
      </w:r>
    </w:p>
    <w:p w14:paraId="706E16FB">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64E65AD8">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3D6998F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14:paraId="6ECFC38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有权提出一次质疑，不能多次提出。</w:t>
      </w:r>
    </w:p>
    <w:p w14:paraId="242B22D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11683948">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对采购过程和中标结果提出质疑的，质疑人为直接参与本项目的报价方。采购过程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14:paraId="2790736E">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提出质疑应当符合下列条件：</w:t>
      </w:r>
    </w:p>
    <w:p w14:paraId="2AC8F981">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214979B9">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481F6F5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1C2B98E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1FA80C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提出质疑应当具有明确的请求和提供必要的证明材料。明确的请求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即质疑人在质疑函中提出的，要求采购方对其予以支持的主张。必要的证明材料</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即能够证明质疑人的质疑请求成立的必要材料，包括相关证据、依据和其他有关材料。</w:t>
      </w:r>
    </w:p>
    <w:p w14:paraId="0421CF38">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质疑人所提供的证明材料应当具有真实性、合法性以及与质疑事项的关联性和证明力，否则不能作为认定该质疑事项成立的依据。</w:t>
      </w:r>
    </w:p>
    <w:p w14:paraId="27628ED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质疑人提出质疑时应当提交质疑函。质疑函包括下列内容：</w:t>
      </w:r>
    </w:p>
    <w:p w14:paraId="48057F1E">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7825C4F3">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4B1403AD">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59B9DD21">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127BE635">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6E250E56">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0E837568">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13ACB43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质疑人可以委托代理人进行质疑。代理人应当提交授权委托书。授权委托书应当载明委托代理的具体权限、期限和相关事项。</w:t>
      </w:r>
    </w:p>
    <w:p w14:paraId="520FBE1C">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质疑的审查和受理</w:t>
      </w:r>
    </w:p>
    <w:p w14:paraId="5B636C52">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718F2E8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对不符合质疑受理条件的，分别按照下列不同情形予以处理：</w:t>
      </w:r>
    </w:p>
    <w:p w14:paraId="250D2AA9">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1994BA2E">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3B062E1F">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4D1CBC56">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19033197">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3C3196EC">
      <w:pPr>
        <w:pageBreakBefore w:val="0"/>
        <w:widowControl w:val="0"/>
        <w:kinsoku/>
        <w:wordWrap/>
        <w:overflowPunct/>
        <w:topLinePunct w:val="0"/>
        <w:bidi w:val="0"/>
        <w:snapToGrid/>
        <w:spacing w:line="360" w:lineRule="exact"/>
        <w:ind w:left="957"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6EDBDD65">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质疑的处理和答复</w:t>
      </w:r>
    </w:p>
    <w:p w14:paraId="62BA1C8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14:paraId="758BE284">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对于质疑事项中涉及的问题较多、情况比较复杂的，为了全面查清事实、取得充分的证据，采购方认为有必要时，可以进行调查取证或者组织质证。</w:t>
      </w:r>
    </w:p>
    <w:p w14:paraId="6A9F69F3">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对评审过程、中标结果提出质疑的，采购方可以组织原评审委员会协助答复质疑。</w:t>
      </w:r>
    </w:p>
    <w:p w14:paraId="4A779B6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质疑处理过程中，质疑人书面申请撤回质疑的，将终止质疑处理程序。</w:t>
      </w:r>
    </w:p>
    <w:p w14:paraId="5F2897BD">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70464FD2">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7D0E10CA">
      <w:pPr>
        <w:pageBreakBefore w:val="0"/>
        <w:widowControl w:val="0"/>
        <w:kinsoku/>
        <w:wordWrap/>
        <w:overflowPunct/>
        <w:topLinePunct w:val="0"/>
        <w:bidi w:val="0"/>
        <w:snapToGrid/>
        <w:spacing w:line="360" w:lineRule="exact"/>
        <w:ind w:left="960" w:leftChars="0" w:hanging="960" w:hangingChars="4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14:paraId="11262B90">
      <w:pPr>
        <w:pStyle w:val="48"/>
        <w:pageBreakBefore w:val="0"/>
        <w:widowControl w:val="0"/>
        <w:kinsoku/>
        <w:wordWrap/>
        <w:overflowPunct/>
        <w:topLinePunct w:val="0"/>
        <w:bidi w:val="0"/>
        <w:snapToGrid/>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质疑答复应当包括下列内容：</w:t>
      </w:r>
    </w:p>
    <w:p w14:paraId="774049E7">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770D4878">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637E000F">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411B631F">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依法投诉的权利；</w:t>
      </w:r>
    </w:p>
    <w:p w14:paraId="7B205FCB">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71EDF0CF">
      <w:pPr>
        <w:pStyle w:val="48"/>
        <w:pageBreakBefore w:val="0"/>
        <w:widowControl w:val="0"/>
        <w:kinsoku/>
        <w:wordWrap/>
        <w:overflowPunct/>
        <w:topLinePunct w:val="0"/>
        <w:bidi w:val="0"/>
        <w:snapToGrid/>
        <w:spacing w:line="360" w:lineRule="exact"/>
        <w:ind w:left="957"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（六）答复质疑的日期。</w:t>
      </w:r>
    </w:p>
    <w:p w14:paraId="14E19C21">
      <w:pPr>
        <w:rPr>
          <w:rFonts w:hint="eastAsia" w:ascii="宋体" w:hAnsi="宋体" w:eastAsia="宋体" w:cs="宋体"/>
          <w:color w:val="auto"/>
          <w:sz w:val="24"/>
          <w:szCs w:val="24"/>
          <w:highlight w:val="none"/>
        </w:rPr>
      </w:pPr>
    </w:p>
    <w:p w14:paraId="0F6CA85D">
      <w:pPr>
        <w:pStyle w:val="25"/>
        <w:rPr>
          <w:rFonts w:hint="eastAsia" w:ascii="宋体" w:hAnsi="宋体" w:eastAsia="宋体" w:cs="宋体"/>
          <w:color w:val="auto"/>
          <w:sz w:val="24"/>
          <w:szCs w:val="24"/>
          <w:highlight w:val="none"/>
        </w:rPr>
      </w:pPr>
    </w:p>
    <w:p w14:paraId="1B897DEF">
      <w:pPr>
        <w:pStyle w:val="10"/>
        <w:rPr>
          <w:rFonts w:hint="eastAsia" w:ascii="宋体" w:hAnsi="宋体" w:eastAsia="宋体" w:cs="宋体"/>
          <w:color w:val="auto"/>
          <w:sz w:val="24"/>
          <w:szCs w:val="24"/>
          <w:highlight w:val="none"/>
        </w:rPr>
      </w:pPr>
    </w:p>
    <w:p w14:paraId="33BA15B1">
      <w:pPr>
        <w:rPr>
          <w:rFonts w:hint="eastAsia" w:ascii="宋体" w:hAnsi="宋体" w:eastAsia="宋体" w:cs="宋体"/>
          <w:color w:val="auto"/>
          <w:sz w:val="24"/>
          <w:szCs w:val="24"/>
          <w:highlight w:val="none"/>
        </w:rPr>
      </w:pPr>
    </w:p>
    <w:p w14:paraId="6F26172F">
      <w:pPr>
        <w:rPr>
          <w:rFonts w:hint="eastAsia" w:ascii="宋体" w:hAnsi="宋体" w:eastAsia="宋体" w:cs="宋体"/>
          <w:color w:val="auto"/>
          <w:sz w:val="24"/>
          <w:szCs w:val="24"/>
          <w:highlight w:val="none"/>
        </w:rPr>
      </w:pPr>
    </w:p>
    <w:p w14:paraId="3B305BFC">
      <w:pPr>
        <w:pStyle w:val="25"/>
        <w:rPr>
          <w:rFonts w:hint="eastAsia" w:ascii="宋体" w:hAnsi="宋体" w:eastAsia="宋体" w:cs="宋体"/>
          <w:color w:val="auto"/>
          <w:sz w:val="24"/>
          <w:szCs w:val="24"/>
          <w:highlight w:val="none"/>
        </w:rPr>
      </w:pPr>
    </w:p>
    <w:p w14:paraId="6DDD5841">
      <w:pPr>
        <w:pStyle w:val="10"/>
        <w:spacing w:before="0" w:line="240" w:lineRule="auto"/>
        <w:rPr>
          <w:rFonts w:hint="eastAsia" w:ascii="宋体" w:hAnsi="宋体" w:eastAsia="宋体" w:cs="宋体"/>
          <w:color w:val="auto"/>
          <w:sz w:val="24"/>
          <w:szCs w:val="24"/>
          <w:highlight w:val="none"/>
        </w:rPr>
      </w:pPr>
    </w:p>
    <w:p w14:paraId="025EE968">
      <w:pPr>
        <w:pStyle w:val="10"/>
        <w:rPr>
          <w:rFonts w:hint="eastAsia" w:ascii="宋体" w:hAnsi="宋体" w:eastAsia="宋体" w:cs="宋体"/>
          <w:color w:val="auto"/>
          <w:sz w:val="24"/>
          <w:szCs w:val="24"/>
          <w:highlight w:val="none"/>
        </w:rPr>
      </w:pPr>
    </w:p>
    <w:p w14:paraId="3ED342F6">
      <w:pPr>
        <w:pStyle w:val="10"/>
        <w:rPr>
          <w:rFonts w:hint="eastAsia" w:ascii="宋体" w:hAnsi="宋体" w:eastAsia="宋体" w:cs="宋体"/>
          <w:color w:val="auto"/>
          <w:sz w:val="24"/>
          <w:szCs w:val="24"/>
          <w:highlight w:val="none"/>
        </w:rPr>
      </w:pPr>
    </w:p>
    <w:p w14:paraId="7416248B">
      <w:pPr>
        <w:pStyle w:val="44"/>
        <w:rPr>
          <w:rFonts w:hint="eastAsia" w:ascii="宋体" w:hAnsi="宋体" w:eastAsia="宋体" w:cs="宋体"/>
          <w:color w:val="auto"/>
          <w:sz w:val="24"/>
          <w:szCs w:val="24"/>
          <w:highlight w:val="none"/>
        </w:rPr>
      </w:pPr>
    </w:p>
    <w:p w14:paraId="4E07393B">
      <w:pPr>
        <w:rPr>
          <w:rFonts w:hint="eastAsia" w:ascii="宋体" w:hAnsi="宋体" w:eastAsia="宋体" w:cs="宋体"/>
          <w:color w:val="auto"/>
          <w:sz w:val="24"/>
          <w:szCs w:val="24"/>
          <w:highlight w:val="none"/>
        </w:rPr>
      </w:pPr>
    </w:p>
    <w:p w14:paraId="2C1AF1F2">
      <w:pPr>
        <w:pStyle w:val="25"/>
        <w:rPr>
          <w:rFonts w:hint="eastAsia" w:ascii="宋体" w:hAnsi="宋体" w:eastAsia="宋体" w:cs="宋体"/>
          <w:color w:val="auto"/>
          <w:sz w:val="24"/>
          <w:szCs w:val="24"/>
          <w:highlight w:val="none"/>
        </w:rPr>
      </w:pPr>
    </w:p>
    <w:p w14:paraId="42055E5C">
      <w:pPr>
        <w:pStyle w:val="25"/>
        <w:rPr>
          <w:rFonts w:hint="eastAsia" w:ascii="宋体" w:hAnsi="宋体" w:eastAsia="宋体" w:cs="宋体"/>
          <w:color w:val="auto"/>
          <w:sz w:val="24"/>
          <w:szCs w:val="24"/>
          <w:highlight w:val="none"/>
        </w:rPr>
      </w:pPr>
    </w:p>
    <w:p w14:paraId="35FB3B14">
      <w:pPr>
        <w:pStyle w:val="10"/>
        <w:rPr>
          <w:rFonts w:hint="eastAsia" w:ascii="宋体" w:hAnsi="宋体" w:eastAsia="宋体" w:cs="宋体"/>
          <w:color w:val="auto"/>
          <w:sz w:val="24"/>
          <w:szCs w:val="24"/>
          <w:highlight w:val="none"/>
        </w:rPr>
      </w:pPr>
    </w:p>
    <w:p w14:paraId="4B9410DE">
      <w:pPr>
        <w:pStyle w:val="10"/>
        <w:rPr>
          <w:rFonts w:hint="eastAsia" w:ascii="宋体" w:hAnsi="宋体" w:eastAsia="宋体" w:cs="宋体"/>
          <w:color w:val="auto"/>
          <w:sz w:val="24"/>
          <w:szCs w:val="24"/>
          <w:highlight w:val="none"/>
        </w:rPr>
      </w:pPr>
    </w:p>
    <w:p w14:paraId="4547316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0" w:name="_Toc6493"/>
      <w:bookmarkStart w:id="231" w:name="_Toc14742"/>
      <w:bookmarkStart w:id="232" w:name="_Toc3696"/>
      <w:bookmarkStart w:id="233" w:name="_Toc25636"/>
      <w:bookmarkStart w:id="234" w:name="_Toc12088"/>
      <w:bookmarkStart w:id="235" w:name="_Toc16652"/>
      <w:bookmarkStart w:id="236" w:name="_Toc24946"/>
      <w:bookmarkStart w:id="237" w:name="_Toc27146"/>
      <w:bookmarkStart w:id="238" w:name="_Toc2072"/>
      <w:bookmarkStart w:id="239" w:name="_Toc11297"/>
      <w:bookmarkStart w:id="240" w:name="_Toc23411"/>
      <w:bookmarkStart w:id="241" w:name="_Toc2799"/>
      <w:bookmarkStart w:id="242" w:name="_Toc1819"/>
      <w:bookmarkStart w:id="243" w:name="_Toc27096"/>
      <w:bookmarkStart w:id="244" w:name="_Toc1369"/>
      <w:bookmarkStart w:id="245" w:name="_Toc13021"/>
      <w:bookmarkStart w:id="246" w:name="_Toc5602"/>
      <w:bookmarkStart w:id="247" w:name="_Toc30512"/>
      <w:bookmarkStart w:id="248" w:name="_Toc9437"/>
      <w:bookmarkStart w:id="249" w:name="_Toc16553"/>
      <w:bookmarkStart w:id="250" w:name="_Toc27601"/>
      <w:bookmarkStart w:id="251" w:name="_Toc18518"/>
      <w:bookmarkStart w:id="252" w:name="_Toc11973"/>
      <w:bookmarkStart w:id="253" w:name="_Toc8353"/>
      <w:bookmarkStart w:id="254" w:name="_Toc4981"/>
      <w:bookmarkStart w:id="255" w:name="_Toc2500"/>
      <w:bookmarkStart w:id="256" w:name="_Toc30855"/>
      <w:bookmarkStart w:id="257" w:name="_Toc22908"/>
      <w:bookmarkStart w:id="258" w:name="_Toc30093"/>
      <w:r>
        <w:rPr>
          <w:rFonts w:hint="eastAsia" w:ascii="宋体" w:hAnsi="宋体" w:eastAsia="宋体" w:cs="宋体"/>
          <w:b/>
          <w:bCs/>
          <w:color w:val="auto"/>
          <w:sz w:val="24"/>
          <w:szCs w:val="24"/>
          <w:highlight w:val="none"/>
        </w:rPr>
        <w:t>质疑函范本</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3202F1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9ECBA9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14:paraId="219BE93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40A292D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5EA7165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6F3DCB95">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6F69E56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104DEC8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E72511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4022B1CF">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5DB4B76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4B1D628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3DD7054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1CD72D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2DB602CA">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58175E6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33CB9E5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7A6BAED4">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14:paraId="25391418">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6D9500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68162E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12F5F0C6">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3459E7B4">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794B26E1">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0144143">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14:paraId="7C479ADB">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C3B0EA2">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50FCAD5E">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798A7825">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3D824E8D">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2CEF419">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3D9A3CC1">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58D28226">
      <w:pPr>
        <w:spacing w:line="240" w:lineRule="atLeast"/>
        <w:ind w:left="850" w:leftChars="68" w:hanging="708" w:hangingChars="295"/>
        <w:rPr>
          <w:rFonts w:hint="eastAsia" w:ascii="宋体" w:hAnsi="宋体" w:cs="宋体"/>
          <w:color w:val="auto"/>
          <w:sz w:val="24"/>
          <w:highlight w:val="none"/>
        </w:rPr>
      </w:pPr>
    </w:p>
    <w:p w14:paraId="74C47AC3">
      <w:pPr>
        <w:pStyle w:val="3"/>
        <w:spacing w:before="0" w:line="360" w:lineRule="exact"/>
        <w:rPr>
          <w:rFonts w:hint="eastAsia" w:ascii="宋体" w:hAnsi="宋体" w:eastAsia="宋体" w:cs="宋体"/>
          <w:color w:val="auto"/>
          <w:szCs w:val="24"/>
          <w:highlight w:val="none"/>
          <w:lang w:eastAsia="zh-CN"/>
        </w:rPr>
      </w:pPr>
      <w:bookmarkStart w:id="259" w:name="_Toc23883"/>
      <w:bookmarkStart w:id="260" w:name="_Toc518923103"/>
      <w:r>
        <w:rPr>
          <w:rFonts w:hint="eastAsia" w:ascii="宋体" w:hAnsi="宋体" w:eastAsia="宋体" w:cs="宋体"/>
          <w:color w:val="auto"/>
          <w:szCs w:val="24"/>
          <w:highlight w:val="none"/>
        </w:rPr>
        <w:t>附件1：履约保证金保函（格式）</w:t>
      </w:r>
      <w:bookmarkEnd w:id="259"/>
      <w:bookmarkEnd w:id="260"/>
    </w:p>
    <w:p w14:paraId="4C3BB0F4">
      <w:pPr>
        <w:pStyle w:val="15"/>
        <w:spacing w:line="360" w:lineRule="exact"/>
        <w:ind w:left="1079" w:leftChars="257" w:hanging="540"/>
        <w:rPr>
          <w:rFonts w:hint="eastAsia" w:hAnsi="宋体" w:cs="宋体"/>
          <w:b/>
          <w:color w:val="auto"/>
          <w:sz w:val="24"/>
          <w:highlight w:val="none"/>
        </w:rPr>
      </w:pPr>
      <w:r>
        <w:rPr>
          <w:rFonts w:hint="eastAsia" w:hAnsi="宋体" w:cs="宋体"/>
          <w:b/>
          <w:color w:val="auto"/>
          <w:sz w:val="24"/>
          <w:highlight w:val="none"/>
        </w:rPr>
        <w:t xml:space="preserve">                         （中标后开具）</w:t>
      </w:r>
    </w:p>
    <w:p w14:paraId="74DE49AD">
      <w:pPr>
        <w:pStyle w:val="15"/>
        <w:spacing w:line="360" w:lineRule="exact"/>
        <w:ind w:left="1079" w:leftChars="257" w:hanging="540"/>
        <w:rPr>
          <w:rFonts w:hint="eastAsia" w:hAnsi="宋体" w:cs="宋体"/>
          <w:b/>
          <w:color w:val="auto"/>
          <w:sz w:val="24"/>
          <w:highlight w:val="none"/>
        </w:rPr>
      </w:pPr>
    </w:p>
    <w:p w14:paraId="1FFAADAB">
      <w:pPr>
        <w:pStyle w:val="15"/>
        <w:spacing w:line="360" w:lineRule="exact"/>
        <w:rPr>
          <w:rFonts w:hint="eastAsia" w:hAnsi="宋体" w:cs="宋体"/>
          <w:color w:val="auto"/>
          <w:sz w:val="24"/>
          <w:highlight w:val="none"/>
        </w:rPr>
      </w:pPr>
      <w:r>
        <w:rPr>
          <w:rFonts w:hint="eastAsia" w:hAnsi="宋体" w:cs="宋体"/>
          <w:color w:val="auto"/>
          <w:sz w:val="24"/>
          <w:highlight w:val="none"/>
        </w:rPr>
        <w:t>致: (</w:t>
      </w:r>
      <w:r>
        <w:rPr>
          <w:rFonts w:hint="eastAsia" w:hAnsi="宋体" w:cs="宋体"/>
          <w:i/>
          <w:color w:val="auto"/>
          <w:sz w:val="24"/>
          <w:highlight w:val="none"/>
          <w:u w:val="single"/>
        </w:rPr>
        <w:t>买方名称</w:t>
      </w:r>
      <w:r>
        <w:rPr>
          <w:rFonts w:hint="eastAsia" w:hAnsi="宋体" w:cs="宋体"/>
          <w:color w:val="auto"/>
          <w:sz w:val="24"/>
          <w:highlight w:val="none"/>
        </w:rPr>
        <w:t>)</w:t>
      </w:r>
    </w:p>
    <w:p w14:paraId="399F9547">
      <w:pPr>
        <w:pStyle w:val="15"/>
        <w:spacing w:line="360" w:lineRule="exact"/>
        <w:ind w:left="1079" w:leftChars="257" w:hanging="540"/>
        <w:jc w:val="center"/>
        <w:rPr>
          <w:rFonts w:hint="eastAsia" w:hAnsi="宋体" w:cs="宋体"/>
          <w:color w:val="auto"/>
          <w:sz w:val="24"/>
          <w:highlight w:val="none"/>
        </w:rPr>
      </w:pPr>
      <w:r>
        <w:rPr>
          <w:rFonts w:hint="eastAsia" w:hAnsi="宋体" w:cs="宋体"/>
          <w:color w:val="auto"/>
          <w:sz w:val="24"/>
          <w:highlight w:val="none"/>
          <w:u w:val="single"/>
        </w:rPr>
        <w:t xml:space="preserve">             </w:t>
      </w:r>
      <w:r>
        <w:rPr>
          <w:rFonts w:hint="eastAsia" w:hAnsi="宋体" w:cs="宋体"/>
          <w:color w:val="auto"/>
          <w:sz w:val="24"/>
          <w:highlight w:val="none"/>
        </w:rPr>
        <w:t>号合同履约保函</w:t>
      </w:r>
    </w:p>
    <w:p w14:paraId="6133B6AA">
      <w:pPr>
        <w:pStyle w:val="15"/>
        <w:spacing w:line="360" w:lineRule="exact"/>
        <w:ind w:left="1079" w:leftChars="257" w:hanging="540"/>
        <w:jc w:val="center"/>
        <w:rPr>
          <w:rFonts w:hint="eastAsia" w:hAnsi="宋体" w:cs="宋体"/>
          <w:color w:val="auto"/>
          <w:sz w:val="24"/>
          <w:highlight w:val="none"/>
        </w:rPr>
      </w:pPr>
    </w:p>
    <w:p w14:paraId="04A6BB1A">
      <w:pPr>
        <w:pStyle w:val="15"/>
        <w:spacing w:line="360" w:lineRule="exact"/>
        <w:ind w:firstLine="600" w:firstLineChars="250"/>
        <w:rPr>
          <w:rFonts w:hint="eastAsia" w:hAnsi="宋体" w:cs="宋体"/>
          <w:color w:val="auto"/>
          <w:sz w:val="24"/>
          <w:highlight w:val="none"/>
        </w:rPr>
      </w:pPr>
      <w:r>
        <w:rPr>
          <w:rFonts w:hint="eastAsia" w:hAnsi="宋体" w:cs="宋体"/>
          <w:color w:val="auto"/>
          <w:sz w:val="24"/>
          <w:highlight w:val="none"/>
        </w:rPr>
        <w:t>本保函作为贵方与(</w:t>
      </w:r>
      <w:r>
        <w:rPr>
          <w:rFonts w:hint="eastAsia" w:hAnsi="宋体" w:cs="宋体"/>
          <w:i/>
          <w:color w:val="auto"/>
          <w:sz w:val="24"/>
          <w:highlight w:val="none"/>
          <w:u w:val="single"/>
        </w:rPr>
        <w:t>卖方名称</w:t>
      </w:r>
      <w:r>
        <w:rPr>
          <w:rFonts w:hint="eastAsia" w:hAnsi="宋体" w:cs="宋体"/>
          <w:color w:val="auto"/>
          <w:sz w:val="24"/>
          <w:highlight w:val="none"/>
        </w:rPr>
        <w:t>)(以下简称卖方)于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日就</w:t>
      </w:r>
      <w:r>
        <w:rPr>
          <w:rFonts w:hint="eastAsia" w:hAnsi="宋体" w:cs="宋体"/>
          <w:color w:val="auto"/>
          <w:sz w:val="24"/>
          <w:highlight w:val="none"/>
          <w:u w:val="single"/>
        </w:rPr>
        <w:t xml:space="preserve">                  </w:t>
      </w:r>
      <w:r>
        <w:rPr>
          <w:rFonts w:hint="eastAsia" w:hAnsi="宋体" w:cs="宋体"/>
          <w:color w:val="auto"/>
          <w:sz w:val="24"/>
          <w:highlight w:val="none"/>
        </w:rPr>
        <w:t>项目(以下简称项目)项下提供(</w:t>
      </w:r>
      <w:r>
        <w:rPr>
          <w:rFonts w:hint="eastAsia" w:hAnsi="宋体" w:cs="宋体"/>
          <w:i/>
          <w:color w:val="auto"/>
          <w:sz w:val="24"/>
          <w:highlight w:val="none"/>
          <w:u w:val="single"/>
        </w:rPr>
        <w:t>服务名称</w:t>
      </w:r>
      <w:r>
        <w:rPr>
          <w:rFonts w:hint="eastAsia" w:hAnsi="宋体" w:cs="宋体"/>
          <w:color w:val="auto"/>
          <w:sz w:val="24"/>
          <w:highlight w:val="none"/>
        </w:rPr>
        <w:t>)(以下简称服务)签订的(</w:t>
      </w:r>
      <w:r>
        <w:rPr>
          <w:rFonts w:hint="eastAsia" w:hAnsi="宋体" w:cs="宋体"/>
          <w:i/>
          <w:color w:val="auto"/>
          <w:sz w:val="24"/>
          <w:highlight w:val="none"/>
          <w:u w:val="single"/>
        </w:rPr>
        <w:t>合同号</w:t>
      </w:r>
      <w:r>
        <w:rPr>
          <w:rFonts w:hint="eastAsia" w:hAnsi="宋体" w:cs="宋体"/>
          <w:color w:val="auto"/>
          <w:sz w:val="24"/>
          <w:highlight w:val="none"/>
        </w:rPr>
        <w:t>)号合同的履约保函。</w:t>
      </w:r>
    </w:p>
    <w:p w14:paraId="70FE38F8">
      <w:pPr>
        <w:pStyle w:val="15"/>
        <w:spacing w:line="360" w:lineRule="exact"/>
        <w:ind w:firstLine="540" w:firstLineChars="225"/>
        <w:rPr>
          <w:rFonts w:hint="eastAsia" w:hAnsi="宋体" w:cs="宋体"/>
          <w:color w:val="auto"/>
          <w:sz w:val="24"/>
          <w:highlight w:val="none"/>
        </w:rPr>
      </w:pPr>
      <w:r>
        <w:rPr>
          <w:rFonts w:hint="eastAsia" w:hAnsi="宋体" w:cs="宋体"/>
          <w:color w:val="auto"/>
          <w:sz w:val="24"/>
          <w:highlight w:val="none"/>
        </w:rPr>
        <w:t>(</w:t>
      </w:r>
      <w:r>
        <w:rPr>
          <w:rFonts w:hint="eastAsia" w:hAnsi="宋体" w:cs="宋体"/>
          <w:i/>
          <w:color w:val="auto"/>
          <w:sz w:val="24"/>
          <w:highlight w:val="none"/>
          <w:u w:val="single"/>
        </w:rPr>
        <w:t>出具保函的银行名称</w:t>
      </w:r>
      <w:r>
        <w:rPr>
          <w:rFonts w:hint="eastAsia" w:hAnsi="宋体" w:cs="宋体"/>
          <w:color w:val="auto"/>
          <w:sz w:val="24"/>
          <w:highlight w:val="none"/>
        </w:rPr>
        <w:t>)(以下简称银行)无条件地、不可撤销地具结保证本行、其继承人和受让人无追索地向贵方以(</w:t>
      </w:r>
      <w:r>
        <w:rPr>
          <w:rFonts w:hint="eastAsia" w:hAnsi="宋体" w:cs="宋体"/>
          <w:i/>
          <w:color w:val="auto"/>
          <w:sz w:val="24"/>
          <w:highlight w:val="none"/>
          <w:u w:val="single"/>
        </w:rPr>
        <w:t>货币名称</w:t>
      </w:r>
      <w:r>
        <w:rPr>
          <w:rFonts w:hint="eastAsia" w:hAnsi="宋体" w:cs="宋体"/>
          <w:color w:val="auto"/>
          <w:sz w:val="24"/>
          <w:highlight w:val="none"/>
        </w:rPr>
        <w:t>)支付总额不超过(</w:t>
      </w:r>
      <w:r>
        <w:rPr>
          <w:rFonts w:hint="eastAsia" w:hAnsi="宋体" w:cs="宋体"/>
          <w:i/>
          <w:color w:val="auto"/>
          <w:sz w:val="24"/>
          <w:highlight w:val="none"/>
          <w:u w:val="single"/>
        </w:rPr>
        <w:t>货币数量</w:t>
      </w:r>
      <w:r>
        <w:rPr>
          <w:rFonts w:hint="eastAsia" w:hAnsi="宋体" w:cs="宋体"/>
          <w:color w:val="auto"/>
          <w:sz w:val="24"/>
          <w:highlight w:val="none"/>
        </w:rPr>
        <w:t>),即相当于合同价格的</w:t>
      </w:r>
      <w:r>
        <w:rPr>
          <w:rFonts w:hint="eastAsia" w:hAnsi="宋体" w:cs="宋体"/>
          <w:color w:val="auto"/>
          <w:sz w:val="24"/>
          <w:highlight w:val="none"/>
          <w:u w:val="single"/>
        </w:rPr>
        <w:t xml:space="preserve">     </w:t>
      </w:r>
      <w:r>
        <w:rPr>
          <w:rFonts w:hint="eastAsia" w:hAnsi="宋体" w:cs="宋体"/>
          <w:color w:val="auto"/>
          <w:sz w:val="24"/>
          <w:highlight w:val="none"/>
        </w:rPr>
        <w:t>%,并以此约定如下:</w:t>
      </w:r>
    </w:p>
    <w:p w14:paraId="64B6C117">
      <w:pPr>
        <w:pStyle w:val="15"/>
        <w:spacing w:line="360" w:lineRule="exact"/>
        <w:ind w:left="539" w:leftChars="257"/>
        <w:rPr>
          <w:rFonts w:hint="eastAsia" w:hAnsi="宋体" w:cs="宋体"/>
          <w:color w:val="auto"/>
          <w:sz w:val="24"/>
          <w:highlight w:val="none"/>
        </w:rPr>
      </w:pPr>
      <w:r>
        <w:rPr>
          <w:rFonts w:hint="eastAsia" w:hAnsi="宋体" w:cs="宋体"/>
          <w:color w:val="auto"/>
          <w:sz w:val="24"/>
          <w:highlight w:val="none"/>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w:t>
      </w:r>
      <w:r>
        <w:rPr>
          <w:rFonts w:hint="eastAsia" w:hAnsi="宋体" w:cs="宋体"/>
          <w:color w:val="auto"/>
          <w:sz w:val="24"/>
          <w:highlight w:val="none"/>
          <w:lang w:eastAsia="zh-CN"/>
        </w:rPr>
        <w:t>式支</w:t>
      </w:r>
      <w:r>
        <w:rPr>
          <w:rFonts w:hint="eastAsia" w:hAnsi="宋体" w:cs="宋体"/>
          <w:color w:val="auto"/>
          <w:sz w:val="24"/>
          <w:highlight w:val="none"/>
        </w:rPr>
        <w:t>付给贵方。</w:t>
      </w:r>
    </w:p>
    <w:p w14:paraId="4D21358D">
      <w:pPr>
        <w:pStyle w:val="15"/>
        <w:spacing w:line="360" w:lineRule="exact"/>
        <w:ind w:left="540"/>
        <w:rPr>
          <w:rFonts w:hint="eastAsia" w:hAnsi="宋体" w:cs="宋体"/>
          <w:color w:val="auto"/>
          <w:sz w:val="24"/>
          <w:highlight w:val="none"/>
        </w:rPr>
      </w:pPr>
      <w:r>
        <w:rPr>
          <w:rFonts w:hint="eastAsia" w:hAnsi="宋体" w:cs="宋体"/>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3AFA8225">
      <w:pPr>
        <w:pStyle w:val="15"/>
        <w:spacing w:line="360" w:lineRule="exact"/>
        <w:ind w:left="540"/>
        <w:rPr>
          <w:rFonts w:hint="eastAsia" w:hAnsi="宋体" w:cs="宋体"/>
          <w:color w:val="auto"/>
          <w:sz w:val="24"/>
          <w:highlight w:val="none"/>
        </w:rPr>
      </w:pPr>
      <w:r>
        <w:rPr>
          <w:rFonts w:hint="eastAsia" w:hAnsi="宋体" w:cs="宋体"/>
          <w:color w:val="auto"/>
          <w:sz w:val="24"/>
          <w:highlight w:val="none"/>
        </w:rPr>
        <w:t>3.本保函的条款构成本行无条件的、不可撤销的直接责任。对即将履行的合同条款的任何变更、贵方在时间上的宽限</w:t>
      </w:r>
      <w:r>
        <w:rPr>
          <w:rFonts w:hint="eastAsia" w:hAnsi="宋体" w:cs="宋体"/>
          <w:color w:val="auto"/>
          <w:sz w:val="24"/>
          <w:highlight w:val="none"/>
          <w:lang w:eastAsia="zh-CN"/>
        </w:rPr>
        <w:t>，或</w:t>
      </w:r>
      <w:r>
        <w:rPr>
          <w:rFonts w:hint="eastAsia" w:hAnsi="宋体" w:cs="宋体"/>
          <w:color w:val="auto"/>
          <w:sz w:val="24"/>
          <w:highlight w:val="none"/>
        </w:rPr>
        <w:t>由贵方采取的如果没有本款可能免除本行责任的任何其它行为，均不能解除或免除本行在本保函项下的责任。</w:t>
      </w:r>
    </w:p>
    <w:p w14:paraId="1F180CC7">
      <w:pPr>
        <w:pStyle w:val="15"/>
        <w:spacing w:line="360" w:lineRule="exact"/>
        <w:ind w:left="1079" w:leftChars="257" w:hanging="540"/>
        <w:rPr>
          <w:rFonts w:hint="eastAsia" w:hAnsi="宋体" w:cs="宋体"/>
          <w:color w:val="auto"/>
          <w:sz w:val="24"/>
          <w:highlight w:val="none"/>
        </w:rPr>
      </w:pPr>
      <w:r>
        <w:rPr>
          <w:rFonts w:hint="eastAsia" w:hAnsi="宋体" w:cs="宋体"/>
          <w:color w:val="auto"/>
          <w:sz w:val="24"/>
          <w:highlight w:val="none"/>
        </w:rPr>
        <w:t>4.本保函在本合同规定的保证期期满前完全有效。</w:t>
      </w:r>
    </w:p>
    <w:p w14:paraId="2B4227DE">
      <w:pPr>
        <w:pStyle w:val="15"/>
        <w:spacing w:line="360" w:lineRule="exact"/>
        <w:ind w:left="1079" w:leftChars="257" w:hanging="540"/>
        <w:rPr>
          <w:rFonts w:hint="eastAsia" w:hAnsi="宋体" w:cs="宋体"/>
          <w:color w:val="auto"/>
          <w:sz w:val="24"/>
          <w:highlight w:val="none"/>
        </w:rPr>
      </w:pPr>
    </w:p>
    <w:p w14:paraId="5898B7A8">
      <w:pPr>
        <w:pStyle w:val="15"/>
        <w:spacing w:line="360" w:lineRule="exact"/>
        <w:ind w:left="1079" w:leftChars="257" w:hanging="540"/>
        <w:rPr>
          <w:rFonts w:hint="eastAsia" w:hAnsi="宋体" w:cs="宋体"/>
          <w:color w:val="auto"/>
          <w:sz w:val="24"/>
          <w:highlight w:val="none"/>
        </w:rPr>
      </w:pPr>
      <w:r>
        <w:rPr>
          <w:rFonts w:hint="eastAsia" w:hAnsi="宋体" w:cs="宋体"/>
          <w:color w:val="auto"/>
          <w:sz w:val="24"/>
          <w:highlight w:val="none"/>
        </w:rPr>
        <w:t>谨启</w:t>
      </w:r>
    </w:p>
    <w:p w14:paraId="73505C6B">
      <w:pPr>
        <w:pStyle w:val="15"/>
        <w:spacing w:line="360" w:lineRule="exact"/>
        <w:ind w:left="1079" w:leftChars="257" w:hanging="540"/>
        <w:rPr>
          <w:rFonts w:hint="eastAsia" w:hAnsi="宋体" w:cs="宋体"/>
          <w:color w:val="auto"/>
          <w:sz w:val="24"/>
          <w:highlight w:val="none"/>
        </w:rPr>
      </w:pPr>
      <w:r>
        <w:rPr>
          <w:rFonts w:hint="eastAsia" w:hAnsi="宋体" w:cs="宋体"/>
          <w:color w:val="auto"/>
          <w:sz w:val="24"/>
          <w:highlight w:val="none"/>
        </w:rPr>
        <w:t>出具保函银行名称：</w:t>
      </w:r>
      <w:r>
        <w:rPr>
          <w:rFonts w:hint="eastAsia" w:hAnsi="宋体" w:cs="宋体"/>
          <w:color w:val="auto"/>
          <w:sz w:val="24"/>
          <w:highlight w:val="none"/>
          <w:u w:val="single"/>
        </w:rPr>
        <w:t xml:space="preserve">                             </w:t>
      </w:r>
    </w:p>
    <w:p w14:paraId="2FD6FEDC">
      <w:pPr>
        <w:pStyle w:val="15"/>
        <w:spacing w:line="360" w:lineRule="exact"/>
        <w:ind w:left="1079" w:leftChars="257" w:hanging="540"/>
        <w:rPr>
          <w:rFonts w:hint="eastAsia" w:hAnsi="宋体" w:cs="宋体"/>
          <w:color w:val="auto"/>
          <w:sz w:val="24"/>
          <w:highlight w:val="none"/>
          <w:u w:val="single"/>
        </w:rPr>
      </w:pPr>
      <w:r>
        <w:rPr>
          <w:rFonts w:hint="eastAsia" w:hAnsi="宋体" w:cs="宋体"/>
          <w:color w:val="auto"/>
          <w:sz w:val="24"/>
          <w:highlight w:val="none"/>
        </w:rPr>
        <w:t>签字人姓名和职务：</w:t>
      </w:r>
      <w:r>
        <w:rPr>
          <w:rFonts w:hint="eastAsia" w:hAnsi="宋体" w:cs="宋体"/>
          <w:color w:val="auto"/>
          <w:sz w:val="24"/>
          <w:highlight w:val="none"/>
          <w:u w:val="single"/>
        </w:rPr>
        <w:t xml:space="preserve">                             </w:t>
      </w:r>
    </w:p>
    <w:p w14:paraId="66BDB502">
      <w:pPr>
        <w:pStyle w:val="15"/>
        <w:spacing w:line="360" w:lineRule="exact"/>
        <w:ind w:left="1079" w:leftChars="257" w:hanging="540"/>
        <w:rPr>
          <w:rFonts w:hint="eastAsia" w:hAnsi="宋体" w:cs="宋体"/>
          <w:color w:val="auto"/>
          <w:sz w:val="24"/>
          <w:highlight w:val="none"/>
        </w:rPr>
      </w:pPr>
      <w:r>
        <w:rPr>
          <w:rFonts w:hint="eastAsia" w:hAnsi="宋体" w:cs="宋体"/>
          <w:color w:val="auto"/>
          <w:sz w:val="24"/>
          <w:highlight w:val="none"/>
        </w:rPr>
        <w:t>签字人签名：</w:t>
      </w:r>
      <w:r>
        <w:rPr>
          <w:rFonts w:hint="eastAsia" w:hAnsi="宋体" w:cs="宋体"/>
          <w:color w:val="auto"/>
          <w:sz w:val="24"/>
          <w:highlight w:val="none"/>
          <w:u w:val="single"/>
        </w:rPr>
        <w:t xml:space="preserve">                                   </w:t>
      </w:r>
    </w:p>
    <w:p w14:paraId="21511AC0">
      <w:pPr>
        <w:pStyle w:val="15"/>
        <w:spacing w:line="360" w:lineRule="exact"/>
        <w:ind w:left="1079" w:leftChars="257" w:hanging="540"/>
        <w:rPr>
          <w:rFonts w:hint="eastAsia" w:hAnsi="宋体" w:cs="宋体"/>
          <w:color w:val="auto"/>
          <w:sz w:val="24"/>
          <w:highlight w:val="none"/>
          <w:u w:val="single"/>
        </w:rPr>
      </w:pPr>
      <w:r>
        <w:rPr>
          <w:rFonts w:hint="eastAsia" w:hAnsi="宋体" w:cs="宋体"/>
          <w:color w:val="auto"/>
          <w:sz w:val="24"/>
          <w:highlight w:val="none"/>
        </w:rPr>
        <w:t>公章：</w:t>
      </w:r>
      <w:r>
        <w:rPr>
          <w:rFonts w:hint="eastAsia" w:hAnsi="宋体" w:cs="宋体"/>
          <w:color w:val="auto"/>
          <w:sz w:val="24"/>
          <w:highlight w:val="none"/>
          <w:u w:val="single"/>
        </w:rPr>
        <w:t xml:space="preserve">                                         </w:t>
      </w:r>
    </w:p>
    <w:p w14:paraId="7D43FA5B">
      <w:pPr>
        <w:pStyle w:val="3"/>
        <w:spacing w:before="0" w:line="360" w:lineRule="exact"/>
        <w:ind w:left="1079" w:leftChars="257" w:hanging="540"/>
        <w:rPr>
          <w:rFonts w:hint="eastAsia" w:ascii="宋体" w:hAnsi="宋体" w:eastAsia="宋体" w:cs="宋体"/>
          <w:color w:val="auto"/>
          <w:szCs w:val="24"/>
          <w:highlight w:val="none"/>
        </w:rPr>
      </w:pPr>
      <w:r>
        <w:rPr>
          <w:rFonts w:hint="eastAsia" w:ascii="宋体" w:hAnsi="宋体" w:eastAsia="宋体" w:cs="宋体"/>
          <w:color w:val="auto"/>
          <w:highlight w:val="none"/>
        </w:rPr>
        <w:br w:type="page"/>
      </w:r>
      <w:bookmarkStart w:id="261" w:name="_Toc518923104"/>
      <w:bookmarkStart w:id="262" w:name="_Toc27788"/>
      <w:r>
        <w:rPr>
          <w:rFonts w:hint="eastAsia" w:ascii="宋体" w:hAnsi="宋体" w:eastAsia="宋体" w:cs="宋体"/>
          <w:color w:val="auto"/>
          <w:szCs w:val="24"/>
          <w:highlight w:val="none"/>
        </w:rPr>
        <w:t>附件2：履约担保函格式</w:t>
      </w:r>
      <w:bookmarkEnd w:id="261"/>
      <w:bookmarkEnd w:id="262"/>
    </w:p>
    <w:p w14:paraId="4A9E2B65">
      <w:pPr>
        <w:pStyle w:val="3"/>
        <w:spacing w:before="0" w:line="360" w:lineRule="exact"/>
        <w:ind w:left="1079" w:leftChars="257" w:hanging="540"/>
        <w:rPr>
          <w:rFonts w:hint="eastAsia" w:ascii="宋体" w:hAnsi="宋体" w:eastAsia="宋体" w:cs="宋体"/>
          <w:b w:val="0"/>
          <w:color w:val="auto"/>
          <w:highlight w:val="none"/>
        </w:rPr>
      </w:pPr>
      <w:bookmarkStart w:id="263" w:name="_Toc518923105"/>
      <w:bookmarkStart w:id="264" w:name="_Toc515904842"/>
      <w:bookmarkStart w:id="265" w:name="_Toc30995"/>
      <w:r>
        <w:rPr>
          <w:rFonts w:hint="eastAsia" w:ascii="宋体" w:hAnsi="宋体" w:eastAsia="宋体" w:cs="宋体"/>
          <w:color w:val="auto"/>
          <w:szCs w:val="24"/>
          <w:highlight w:val="none"/>
        </w:rPr>
        <w:t>（采用政府采购信用担保形式时使用）</w:t>
      </w:r>
      <w:bookmarkEnd w:id="263"/>
      <w:bookmarkEnd w:id="264"/>
      <w:bookmarkEnd w:id="265"/>
    </w:p>
    <w:p w14:paraId="755DAFB4">
      <w:pPr>
        <w:spacing w:line="360" w:lineRule="exact"/>
        <w:ind w:left="1079" w:leftChars="257" w:hanging="540"/>
        <w:rPr>
          <w:rFonts w:hint="eastAsia" w:ascii="宋体" w:hAnsi="宋体" w:cs="宋体"/>
          <w:b/>
          <w:color w:val="auto"/>
          <w:kern w:val="0"/>
          <w:sz w:val="24"/>
          <w:szCs w:val="20"/>
          <w:highlight w:val="none"/>
        </w:rPr>
      </w:pPr>
    </w:p>
    <w:p w14:paraId="4F4B5748">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政府采购履约担保函（项目用）</w:t>
      </w:r>
    </w:p>
    <w:p w14:paraId="33E32EB2">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编号：</w:t>
      </w:r>
    </w:p>
    <w:p w14:paraId="0B794366">
      <w:pPr>
        <w:spacing w:line="360" w:lineRule="exact"/>
        <w:rPr>
          <w:rFonts w:hint="eastAsia" w:ascii="宋体" w:hAnsi="宋体" w:cs="宋体"/>
          <w:color w:val="auto"/>
          <w:sz w:val="24"/>
          <w:highlight w:val="none"/>
        </w:rPr>
      </w:pPr>
    </w:p>
    <w:p w14:paraId="5BBA8FE8">
      <w:pPr>
        <w:spacing w:line="3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w:t>
      </w:r>
    </w:p>
    <w:p w14:paraId="77361DC8">
      <w:pPr>
        <w:spacing w:line="360" w:lineRule="exact"/>
        <w:rPr>
          <w:rFonts w:hint="eastAsia" w:ascii="宋体" w:hAnsi="宋体" w:cs="宋体"/>
          <w:color w:val="auto"/>
          <w:sz w:val="24"/>
          <w:highlight w:val="none"/>
        </w:rPr>
      </w:pPr>
    </w:p>
    <w:p w14:paraId="5CFD59BB">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鉴于你方与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（以下简称供应商）于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日签定编号为   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政府采购合同》（以下简称主合同），且依据该合同的约定，供应商应在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p>
    <w:p w14:paraId="4C4C58C6">
      <w:pPr>
        <w:spacing w:line="36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日前向你方交纳履约保证金，且可以履约担保函的形式交纳履约保证金。应供应商的申请，我方以保证的方式向你方提供如下履约保证金担保：</w:t>
      </w:r>
    </w:p>
    <w:p w14:paraId="4693DE52">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一、保证责任的情形及保证金额</w:t>
      </w:r>
    </w:p>
    <w:p w14:paraId="10A812BE">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（一）在供应商出现下列情形之一时，我方承担保证责任：</w:t>
      </w:r>
    </w:p>
    <w:p w14:paraId="48F09B0E">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1．将中标项目转让给他人，或者在投标文件中未说明，且未经采购招标</w:t>
      </w:r>
      <w:r>
        <w:rPr>
          <w:rFonts w:hint="eastAsia" w:ascii="宋体" w:hAnsi="宋体" w:cs="宋体"/>
          <w:color w:val="auto"/>
          <w:sz w:val="24"/>
          <w:highlight w:val="none"/>
          <w:lang w:eastAsia="zh-CN"/>
        </w:rPr>
        <w:t>机构</w:t>
      </w:r>
      <w:r>
        <w:rPr>
          <w:rFonts w:hint="eastAsia" w:ascii="宋体" w:hAnsi="宋体" w:cs="宋体"/>
          <w:color w:val="auto"/>
          <w:sz w:val="24"/>
          <w:highlight w:val="none"/>
        </w:rPr>
        <w:t>同意，将中标项目分包给他人的；</w:t>
      </w:r>
    </w:p>
    <w:p w14:paraId="2443AFC6">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w:t>
      </w:r>
      <w:r>
        <w:rPr>
          <w:rFonts w:hint="eastAsia" w:ascii="宋体" w:hAnsi="宋体" w:cs="宋体"/>
          <w:color w:val="auto"/>
          <w:sz w:val="24"/>
          <w:highlight w:val="none"/>
          <w:lang w:eastAsia="zh-CN"/>
        </w:rPr>
        <w:t>2.</w:t>
      </w:r>
      <w:r>
        <w:rPr>
          <w:rFonts w:hint="eastAsia" w:ascii="宋体" w:hAnsi="宋体" w:cs="宋体"/>
          <w:color w:val="auto"/>
          <w:sz w:val="24"/>
          <w:highlight w:val="none"/>
        </w:rPr>
        <w:t xml:space="preserve">主合同约定的应当缴纳履约保证金的情形: </w:t>
      </w:r>
    </w:p>
    <w:p w14:paraId="1F94B898">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（1）未按主合同约定的质量、数量和期限供应货物/提供服务/完成工程的；</w:t>
      </w:r>
    </w:p>
    <w:p w14:paraId="169677B1">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D7AD788">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（二）我方的保证范围是主合同约定的合同价款总额的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%数额为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），币种为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。（即主合同履约保证金金额）</w:t>
      </w:r>
    </w:p>
    <w:p w14:paraId="003214A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二、保证的方式及保证期间</w:t>
      </w:r>
    </w:p>
    <w:p w14:paraId="078EBD6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我方保证的方式为：连带责任保证。</w:t>
      </w:r>
    </w:p>
    <w:p w14:paraId="647328F8">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我方保证的期间为：自本合同生效之日起至供应商按照主合同约定的供货/完工期限届满后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w:t>
      </w:r>
    </w:p>
    <w:p w14:paraId="612E7A6B">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如果供应商未按主合同约定向贵方供应货物/提供服务/完成工程的，由我方在保证金额内向你方支付上述款项。</w:t>
      </w:r>
    </w:p>
    <w:p w14:paraId="5A7377AE">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三、承担保证责任的程序</w:t>
      </w:r>
    </w:p>
    <w:p w14:paraId="314A0530">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1．你方要求我方承担保证责任的，应在本保函保证期间内向我方发出书面索赔通知。索赔通知应写明要求索赔的金额，支付款项应到达</w:t>
      </w:r>
      <w:r>
        <w:rPr>
          <w:rFonts w:hint="eastAsia" w:ascii="宋体" w:hAnsi="宋体" w:cs="宋体"/>
          <w:color w:val="auto"/>
          <w:sz w:val="24"/>
          <w:highlight w:val="none"/>
          <w:lang w:eastAsia="zh-CN"/>
        </w:rPr>
        <w:t>的账号</w:t>
      </w:r>
      <w:r>
        <w:rPr>
          <w:rFonts w:hint="eastAsia" w:ascii="宋体" w:hAnsi="宋体" w:cs="宋体"/>
          <w:color w:val="auto"/>
          <w:sz w:val="24"/>
          <w:highlight w:val="none"/>
        </w:rPr>
        <w:t>。并附有证明供应商违约事实的证明材料。</w:t>
      </w:r>
    </w:p>
    <w:p w14:paraId="3A2ACE87">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如果你方与供应商因货物质量问题产生争议，你方还需同时提供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部门出具的质量检测报告，或经诉讼（仲裁）程序裁决后的裁决书、调解书，本保证人即按照检测结果或裁决书、调解书决定是否承担保证责任。</w:t>
      </w:r>
    </w:p>
    <w:p w14:paraId="49CC1714">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 我方收到你方的书面索赔通知及相应证明材料，在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工作日内进行核定后按照本保函的承诺承担保证责任。</w:t>
      </w:r>
    </w:p>
    <w:p w14:paraId="53AB706A">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四、保证责任的终止</w:t>
      </w:r>
    </w:p>
    <w:p w14:paraId="7C05FC59">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8225E5F">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2．我方按照本保函向你方履行了保证责任后，自我方向你方支付款项（支付款项从我方账户划出）之日起，保证责任即终止。</w:t>
      </w:r>
    </w:p>
    <w:p w14:paraId="09B497F2">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3．按照法律法规的规定或出现应终止我方保证责任的</w:t>
      </w:r>
      <w:r>
        <w:rPr>
          <w:rFonts w:hint="eastAsia" w:ascii="宋体" w:hAnsi="宋体" w:cs="宋体"/>
          <w:color w:val="auto"/>
          <w:sz w:val="24"/>
          <w:highlight w:val="none"/>
          <w:lang w:eastAsia="zh-CN"/>
        </w:rPr>
        <w:t>其他情形的</w:t>
      </w:r>
      <w:r>
        <w:rPr>
          <w:rFonts w:hint="eastAsia" w:ascii="宋体" w:hAnsi="宋体" w:cs="宋体"/>
          <w:color w:val="auto"/>
          <w:sz w:val="24"/>
          <w:highlight w:val="none"/>
        </w:rPr>
        <w:t>，我方在本保函项下的保证责任亦终止。</w:t>
      </w:r>
    </w:p>
    <w:p w14:paraId="28155B9A">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1CB839A3">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五、免责条款</w:t>
      </w:r>
    </w:p>
    <w:p w14:paraId="6304289F">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1．因你方违反主合同约定致使供应商不能履行义务的，我方不承担保证责任。</w:t>
      </w:r>
    </w:p>
    <w:p w14:paraId="459FF38F">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2．依照法律法规的规定或你方与供应商的另行约定，全部或者部分免除供应商应缴纳的保证金义务的，我方亦免除相应的保证责任。</w:t>
      </w:r>
    </w:p>
    <w:p w14:paraId="1CC4B063">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3．因不可抗力造成供应商不能履行供货义务的，我方不承担保证责任。</w:t>
      </w:r>
    </w:p>
    <w:p w14:paraId="2CC7A607">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六、争议的解决</w:t>
      </w:r>
    </w:p>
    <w:p w14:paraId="217F6977">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因本保函发生的纠纷，由你我双方协商解决，协商不成的，通过诉讼程序解决，诉讼管辖地法院为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法院。</w:t>
      </w:r>
    </w:p>
    <w:p w14:paraId="590C3B93">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七、保函的生效</w:t>
      </w:r>
    </w:p>
    <w:p w14:paraId="4275A571">
      <w:pPr>
        <w:spacing w:line="3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本保函自我方加盖公章之日起生效。</w:t>
      </w:r>
    </w:p>
    <w:p w14:paraId="6CFBB36C">
      <w:pPr>
        <w:spacing w:line="360" w:lineRule="exact"/>
        <w:rPr>
          <w:rFonts w:hint="eastAsia" w:ascii="宋体" w:hAnsi="宋体" w:cs="宋体"/>
          <w:color w:val="auto"/>
          <w:sz w:val="24"/>
          <w:highlight w:val="none"/>
        </w:rPr>
      </w:pPr>
    </w:p>
    <w:p w14:paraId="4293613B">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A078197">
      <w:pPr>
        <w:spacing w:line="360" w:lineRule="exact"/>
        <w:ind w:firstLine="5400" w:firstLineChars="2250"/>
        <w:rPr>
          <w:rFonts w:hint="eastAsia" w:ascii="宋体" w:hAnsi="宋体" w:cs="宋体"/>
          <w:color w:val="auto"/>
          <w:sz w:val="24"/>
          <w:highlight w:val="none"/>
        </w:rPr>
      </w:pPr>
      <w:r>
        <w:rPr>
          <w:rFonts w:hint="eastAsia" w:ascii="宋体" w:hAnsi="宋体" w:cs="宋体"/>
          <w:color w:val="auto"/>
          <w:sz w:val="24"/>
          <w:highlight w:val="none"/>
        </w:rPr>
        <w:t>保证人：（公章）</w:t>
      </w:r>
    </w:p>
    <w:p w14:paraId="797862D4">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55759B3">
      <w:pPr>
        <w:spacing w:line="360" w:lineRule="exac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01D37C50">
      <w:pPr>
        <w:pStyle w:val="5"/>
        <w:spacing w:line="360" w:lineRule="exact"/>
        <w:ind w:firstLine="0"/>
        <w:rPr>
          <w:rFonts w:hint="eastAsia" w:hAnsi="宋体" w:cs="宋体"/>
          <w:color w:val="auto"/>
          <w:kern w:val="2"/>
          <w:szCs w:val="24"/>
          <w:highlight w:val="none"/>
        </w:rPr>
      </w:pPr>
    </w:p>
    <w:p w14:paraId="4DE19E8D">
      <w:pPr>
        <w:pStyle w:val="5"/>
        <w:spacing w:line="360" w:lineRule="exact"/>
        <w:ind w:firstLine="0"/>
        <w:rPr>
          <w:rFonts w:hint="eastAsia" w:hAnsi="宋体" w:cs="宋体"/>
          <w:color w:val="auto"/>
          <w:kern w:val="2"/>
          <w:szCs w:val="24"/>
          <w:highlight w:val="none"/>
        </w:rPr>
      </w:pPr>
    </w:p>
    <w:p w14:paraId="2E8ADA23">
      <w:pPr>
        <w:pStyle w:val="5"/>
        <w:spacing w:line="360" w:lineRule="exact"/>
        <w:ind w:firstLine="0"/>
        <w:rPr>
          <w:rFonts w:hint="eastAsia" w:hAnsi="宋体" w:cs="宋体"/>
          <w:color w:val="auto"/>
          <w:kern w:val="2"/>
          <w:szCs w:val="24"/>
          <w:highlight w:val="none"/>
        </w:rPr>
      </w:pPr>
    </w:p>
    <w:p w14:paraId="29BB74D8">
      <w:pPr>
        <w:pStyle w:val="5"/>
        <w:spacing w:line="360" w:lineRule="exact"/>
        <w:ind w:firstLine="0"/>
        <w:rPr>
          <w:rFonts w:hint="eastAsia" w:hAnsi="宋体" w:cs="宋体"/>
          <w:color w:val="auto"/>
          <w:kern w:val="2"/>
          <w:szCs w:val="24"/>
          <w:highlight w:val="none"/>
        </w:rPr>
      </w:pPr>
    </w:p>
    <w:p w14:paraId="2222A11F">
      <w:pPr>
        <w:pStyle w:val="2"/>
        <w:numPr>
          <w:ilvl w:val="0"/>
          <w:numId w:val="2"/>
        </w:numPr>
        <w:spacing w:before="0" w:after="0" w:line="240" w:lineRule="atLeast"/>
        <w:ind w:left="4020" w:leftChars="0" w:firstLineChars="0"/>
        <w:jc w:val="both"/>
        <w:rPr>
          <w:rFonts w:hint="eastAsia" w:hAnsi="宋体" w:cs="宋体"/>
          <w:color w:val="auto"/>
          <w:highlight w:val="none"/>
        </w:rPr>
      </w:pPr>
      <w:r>
        <w:rPr>
          <w:rFonts w:hint="eastAsia" w:hAnsi="宋体" w:cs="宋体"/>
          <w:b w:val="0"/>
          <w:color w:val="auto"/>
          <w:highlight w:val="none"/>
        </w:rPr>
        <w:br w:type="page"/>
      </w:r>
      <w:bookmarkStart w:id="266" w:name="_Toc702"/>
      <w:bookmarkStart w:id="267" w:name="_Toc19692"/>
      <w:bookmarkStart w:id="268" w:name="_Toc728"/>
      <w:bookmarkStart w:id="269" w:name="_Toc515647802"/>
      <w:bookmarkStart w:id="270" w:name="_Toc216582812"/>
      <w:r>
        <w:rPr>
          <w:rFonts w:hint="eastAsia" w:hAnsi="宋体" w:cs="宋体"/>
          <w:color w:val="auto"/>
          <w:highlight w:val="none"/>
        </w:rPr>
        <w:t>投标文件格式</w:t>
      </w:r>
      <w:bookmarkEnd w:id="266"/>
      <w:bookmarkEnd w:id="267"/>
      <w:bookmarkEnd w:id="268"/>
      <w:bookmarkEnd w:id="269"/>
      <w:bookmarkEnd w:id="270"/>
    </w:p>
    <w:p w14:paraId="26149372">
      <w:pPr>
        <w:spacing w:line="240" w:lineRule="atLeast"/>
        <w:ind w:left="735" w:leftChars="350" w:firstLine="120" w:firstLineChars="50"/>
        <w:rPr>
          <w:rFonts w:hint="eastAsia" w:ascii="宋体" w:hAnsi="宋体" w:cs="宋体"/>
          <w:color w:val="auto"/>
          <w:sz w:val="24"/>
          <w:highlight w:val="none"/>
        </w:rPr>
      </w:pPr>
    </w:p>
    <w:p w14:paraId="098908AD">
      <w:pPr>
        <w:pStyle w:val="3"/>
        <w:spacing w:before="0" w:line="240" w:lineRule="atLeast"/>
        <w:ind w:left="1079" w:leftChars="257" w:hanging="540"/>
        <w:rPr>
          <w:rFonts w:hint="eastAsia" w:ascii="宋体" w:hAnsi="宋体" w:eastAsia="宋体" w:cs="宋体"/>
          <w:color w:val="auto"/>
          <w:sz w:val="24"/>
          <w:highlight w:val="none"/>
        </w:rPr>
      </w:pPr>
      <w:bookmarkStart w:id="271" w:name="_Toc18694"/>
      <w:bookmarkStart w:id="272" w:name="_Toc515647803"/>
      <w:bookmarkStart w:id="273" w:name="_Toc6220"/>
      <w:bookmarkStart w:id="274" w:name="_Toc18974"/>
      <w:r>
        <w:rPr>
          <w:rFonts w:hint="eastAsia" w:ascii="宋体" w:hAnsi="宋体" w:eastAsia="宋体" w:cs="宋体"/>
          <w:color w:val="auto"/>
          <w:sz w:val="24"/>
          <w:highlight w:val="none"/>
        </w:rPr>
        <w:t>第一部分 开标一览表及资格证明文件</w:t>
      </w:r>
      <w:bookmarkEnd w:id="271"/>
      <w:bookmarkEnd w:id="272"/>
      <w:bookmarkEnd w:id="273"/>
      <w:bookmarkEnd w:id="274"/>
    </w:p>
    <w:p w14:paraId="66C8E58A">
      <w:pPr>
        <w:spacing w:line="240" w:lineRule="atLeast"/>
        <w:ind w:left="708" w:hanging="708" w:hangingChars="295"/>
        <w:jc w:val="center"/>
        <w:rPr>
          <w:rFonts w:hint="eastAsia" w:ascii="宋体" w:hAnsi="宋体" w:cs="宋体"/>
          <w:color w:val="auto"/>
          <w:sz w:val="24"/>
          <w:highlight w:val="none"/>
        </w:rPr>
      </w:pPr>
    </w:p>
    <w:p w14:paraId="48936653">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w:t>
      </w:r>
    </w:p>
    <w:p w14:paraId="78B92C75">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2、单位三证合一营业执照（事业单位法人证书）；</w:t>
      </w:r>
    </w:p>
    <w:p w14:paraId="35FE6C5E">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城乡规划（国土空间规划）编制乙级及以上（含乙级）资质</w:t>
      </w:r>
      <w:r>
        <w:rPr>
          <w:rFonts w:hint="eastAsia" w:ascii="宋体" w:hAnsi="宋体" w:eastAsia="宋体" w:cs="宋体"/>
          <w:color w:val="auto"/>
          <w:sz w:val="24"/>
          <w:highlight w:val="none"/>
          <w:lang w:val="en-US" w:eastAsia="zh-CN"/>
        </w:rPr>
        <w:t>；</w:t>
      </w:r>
    </w:p>
    <w:p w14:paraId="2648CB95">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、法定代表人身份证明书；法定代表人授权委托书；</w:t>
      </w:r>
    </w:p>
    <w:p w14:paraId="2BBA52ED">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66B3080B">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2024年度或2025年度经会计师事务所出具财务审计报告（事业法人单位可提供内审财务报表或征信证明）（2026年新成立的公司须提供近六个月任意一个月的银行资信证明）</w:t>
      </w:r>
      <w:r>
        <w:rPr>
          <w:rFonts w:hint="eastAsia" w:ascii="宋体" w:hAnsi="宋体" w:eastAsia="宋体" w:cs="宋体"/>
          <w:color w:val="auto"/>
          <w:sz w:val="24"/>
          <w:highlight w:val="none"/>
          <w:lang w:val="en-US" w:eastAsia="zh-CN"/>
        </w:rPr>
        <w:t>；</w:t>
      </w:r>
    </w:p>
    <w:p w14:paraId="231B3AC6">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未被“信用中国”网站列入失信被执行人、重大税收违法案件当事人名单；“中国政府采购网”网站列入政府采购严重违法失信行为信息记录名单（处罚期限尚未届满的）的；“国家企业信用信息公示系统”被列入经营异常名录信息、列入严重违法失信企业名单（黑名单）的企业，附网站截图或报告；</w:t>
      </w:r>
    </w:p>
    <w:p w14:paraId="0D5F89A8">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、参加政府采购活动近3年内，在经营活动中没有重大违法记录的书面声明；</w:t>
      </w:r>
    </w:p>
    <w:p w14:paraId="60496B4F">
      <w:pPr>
        <w:spacing w:line="240" w:lineRule="atLeas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、针对本次项目《反商业贿赂承诺书》；</w:t>
      </w:r>
    </w:p>
    <w:p w14:paraId="3844C337">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val="en-US" w:eastAsia="zh-CN"/>
        </w:rPr>
        <w:t>、投标保证金缴纳凭证或投标担保函；</w:t>
      </w:r>
    </w:p>
    <w:p w14:paraId="720BD876">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、投标人须知资料表要求的其他资格证明文件；</w:t>
      </w:r>
    </w:p>
    <w:p w14:paraId="79230EAE">
      <w:pPr>
        <w:tabs>
          <w:tab w:val="left" w:pos="5580"/>
        </w:tabs>
        <w:spacing w:line="240" w:lineRule="atLeast"/>
        <w:rPr>
          <w:rFonts w:hint="eastAsia" w:ascii="宋体" w:hAnsi="宋体" w:cs="宋体"/>
          <w:color w:val="auto"/>
          <w:sz w:val="24"/>
          <w:highlight w:val="none"/>
        </w:rPr>
      </w:pPr>
    </w:p>
    <w:p w14:paraId="10548DAF">
      <w:pPr>
        <w:tabs>
          <w:tab w:val="left" w:pos="5580"/>
        </w:tabs>
        <w:spacing w:line="240" w:lineRule="atLeast"/>
        <w:ind w:left="1" w:firstLine="564" w:firstLineChars="235"/>
        <w:rPr>
          <w:rFonts w:hint="eastAsia" w:ascii="宋体" w:hAnsi="宋体" w:cs="宋体"/>
          <w:color w:val="auto"/>
          <w:sz w:val="24"/>
          <w:highlight w:val="none"/>
        </w:rPr>
      </w:pPr>
    </w:p>
    <w:p w14:paraId="2B3480EE">
      <w:pPr>
        <w:tabs>
          <w:tab w:val="left" w:pos="5580"/>
        </w:tabs>
        <w:spacing w:line="240" w:lineRule="atLeast"/>
        <w:ind w:left="1" w:firstLine="564" w:firstLineChars="235"/>
        <w:rPr>
          <w:rFonts w:hint="eastAsia" w:ascii="宋体" w:hAnsi="宋体" w:cs="宋体"/>
          <w:color w:val="auto"/>
          <w:sz w:val="24"/>
          <w:highlight w:val="none"/>
        </w:rPr>
      </w:pPr>
    </w:p>
    <w:p w14:paraId="43939C2F">
      <w:pPr>
        <w:tabs>
          <w:tab w:val="left" w:pos="5580"/>
        </w:tabs>
        <w:spacing w:line="240" w:lineRule="atLeast"/>
        <w:ind w:left="1" w:firstLine="564" w:firstLineChars="235"/>
        <w:rPr>
          <w:rFonts w:hint="eastAsia" w:ascii="宋体" w:hAnsi="宋体" w:cs="宋体"/>
          <w:color w:val="auto"/>
          <w:sz w:val="24"/>
          <w:highlight w:val="none"/>
        </w:rPr>
      </w:pPr>
    </w:p>
    <w:p w14:paraId="35484B4C">
      <w:pPr>
        <w:tabs>
          <w:tab w:val="left" w:pos="5580"/>
        </w:tabs>
        <w:spacing w:line="240" w:lineRule="atLeast"/>
        <w:ind w:left="1" w:firstLine="564" w:firstLineChars="235"/>
        <w:rPr>
          <w:rFonts w:hint="eastAsia" w:ascii="宋体" w:hAnsi="宋体" w:cs="宋体"/>
          <w:color w:val="auto"/>
          <w:sz w:val="24"/>
          <w:highlight w:val="none"/>
        </w:rPr>
      </w:pPr>
    </w:p>
    <w:p w14:paraId="1C7A6100">
      <w:pPr>
        <w:tabs>
          <w:tab w:val="left" w:pos="5580"/>
        </w:tabs>
        <w:spacing w:line="240" w:lineRule="atLeast"/>
        <w:ind w:left="1" w:firstLine="564" w:firstLineChars="235"/>
        <w:rPr>
          <w:rFonts w:hint="eastAsia" w:ascii="宋体" w:hAnsi="宋体" w:cs="宋体"/>
          <w:color w:val="auto"/>
          <w:sz w:val="24"/>
          <w:highlight w:val="none"/>
        </w:rPr>
      </w:pPr>
    </w:p>
    <w:p w14:paraId="65DD0F6F">
      <w:pPr>
        <w:tabs>
          <w:tab w:val="left" w:pos="5580"/>
        </w:tabs>
        <w:spacing w:line="240" w:lineRule="atLeast"/>
        <w:ind w:left="1" w:firstLine="564" w:firstLineChars="235"/>
        <w:rPr>
          <w:rFonts w:hint="eastAsia" w:ascii="宋体" w:hAnsi="宋体" w:cs="宋体"/>
          <w:color w:val="auto"/>
          <w:sz w:val="24"/>
          <w:highlight w:val="none"/>
        </w:rPr>
      </w:pPr>
    </w:p>
    <w:p w14:paraId="0CD377D2">
      <w:pPr>
        <w:tabs>
          <w:tab w:val="left" w:pos="5580"/>
        </w:tabs>
        <w:spacing w:line="240" w:lineRule="atLeast"/>
        <w:ind w:left="1" w:firstLine="564" w:firstLineChars="235"/>
        <w:rPr>
          <w:rFonts w:hint="eastAsia" w:ascii="宋体" w:hAnsi="宋体" w:cs="宋体"/>
          <w:color w:val="auto"/>
          <w:sz w:val="24"/>
          <w:highlight w:val="none"/>
        </w:rPr>
      </w:pPr>
    </w:p>
    <w:p w14:paraId="106B7D1C">
      <w:pPr>
        <w:tabs>
          <w:tab w:val="left" w:pos="5580"/>
        </w:tabs>
        <w:spacing w:line="240" w:lineRule="atLeast"/>
        <w:ind w:left="1" w:firstLine="564" w:firstLineChars="235"/>
        <w:rPr>
          <w:rFonts w:hint="eastAsia" w:ascii="宋体" w:hAnsi="宋体" w:cs="宋体"/>
          <w:color w:val="auto"/>
          <w:sz w:val="24"/>
          <w:highlight w:val="none"/>
        </w:rPr>
      </w:pPr>
    </w:p>
    <w:p w14:paraId="3135D36C">
      <w:pPr>
        <w:tabs>
          <w:tab w:val="left" w:pos="5580"/>
        </w:tabs>
        <w:spacing w:line="240" w:lineRule="atLeast"/>
        <w:ind w:left="1" w:firstLine="564" w:firstLineChars="235"/>
        <w:rPr>
          <w:rFonts w:hint="eastAsia" w:ascii="宋体" w:hAnsi="宋体" w:cs="宋体"/>
          <w:color w:val="auto"/>
          <w:sz w:val="24"/>
          <w:highlight w:val="none"/>
        </w:rPr>
      </w:pPr>
    </w:p>
    <w:p w14:paraId="1B0A0185">
      <w:pPr>
        <w:tabs>
          <w:tab w:val="left" w:pos="5580"/>
        </w:tabs>
        <w:spacing w:line="240" w:lineRule="atLeast"/>
        <w:ind w:left="1" w:firstLine="564" w:firstLineChars="235"/>
        <w:rPr>
          <w:rFonts w:hint="eastAsia" w:ascii="宋体" w:hAnsi="宋体" w:cs="宋体"/>
          <w:color w:val="auto"/>
          <w:sz w:val="24"/>
          <w:highlight w:val="none"/>
        </w:rPr>
      </w:pPr>
    </w:p>
    <w:p w14:paraId="70B29E16">
      <w:pPr>
        <w:tabs>
          <w:tab w:val="left" w:pos="5580"/>
        </w:tabs>
        <w:spacing w:line="240" w:lineRule="atLeast"/>
        <w:ind w:left="1" w:firstLine="564" w:firstLineChars="235"/>
        <w:rPr>
          <w:rFonts w:hint="eastAsia" w:ascii="宋体" w:hAnsi="宋体" w:cs="宋体"/>
          <w:color w:val="auto"/>
          <w:sz w:val="24"/>
          <w:highlight w:val="none"/>
        </w:rPr>
      </w:pPr>
    </w:p>
    <w:p w14:paraId="50374BF3">
      <w:pPr>
        <w:tabs>
          <w:tab w:val="left" w:pos="5580"/>
        </w:tabs>
        <w:spacing w:line="240" w:lineRule="atLeast"/>
        <w:ind w:left="1" w:firstLine="564" w:firstLineChars="235"/>
        <w:rPr>
          <w:rFonts w:hint="eastAsia" w:ascii="宋体" w:hAnsi="宋体" w:cs="宋体"/>
          <w:color w:val="auto"/>
          <w:sz w:val="24"/>
          <w:highlight w:val="none"/>
        </w:rPr>
      </w:pPr>
    </w:p>
    <w:p w14:paraId="1ACD3445">
      <w:pPr>
        <w:tabs>
          <w:tab w:val="left" w:pos="5580"/>
        </w:tabs>
        <w:spacing w:line="240" w:lineRule="atLeast"/>
        <w:ind w:left="1" w:firstLine="564" w:firstLineChars="235"/>
        <w:rPr>
          <w:rFonts w:hint="eastAsia" w:ascii="宋体" w:hAnsi="宋体" w:cs="宋体"/>
          <w:color w:val="auto"/>
          <w:sz w:val="24"/>
          <w:highlight w:val="none"/>
        </w:rPr>
      </w:pPr>
    </w:p>
    <w:p w14:paraId="2ADC4C35">
      <w:pPr>
        <w:tabs>
          <w:tab w:val="left" w:pos="5580"/>
        </w:tabs>
        <w:spacing w:line="240" w:lineRule="atLeast"/>
        <w:ind w:left="1" w:firstLine="564" w:firstLineChars="235"/>
        <w:rPr>
          <w:rFonts w:hint="eastAsia" w:ascii="宋体" w:hAnsi="宋体" w:cs="宋体"/>
          <w:color w:val="auto"/>
          <w:sz w:val="24"/>
          <w:highlight w:val="none"/>
        </w:rPr>
      </w:pPr>
    </w:p>
    <w:p w14:paraId="0A4EE7B6">
      <w:pPr>
        <w:pStyle w:val="5"/>
        <w:tabs>
          <w:tab w:val="left" w:pos="5580"/>
        </w:tabs>
        <w:spacing w:line="240" w:lineRule="atLeast"/>
        <w:jc w:val="center"/>
        <w:rPr>
          <w:rFonts w:hint="eastAsia" w:hAnsi="宋体" w:cs="宋体"/>
          <w:b/>
          <w:color w:val="auto"/>
          <w:szCs w:val="24"/>
          <w:highlight w:val="none"/>
        </w:rPr>
      </w:pPr>
      <w:r>
        <w:rPr>
          <w:rFonts w:hint="eastAsia" w:ascii="宋体" w:hAnsi="宋体" w:cs="宋体"/>
          <w:color w:val="auto"/>
          <w:sz w:val="24"/>
          <w:highlight w:val="none"/>
        </w:rPr>
        <w:br w:type="page"/>
      </w:r>
      <w:r>
        <w:rPr>
          <w:rFonts w:hint="eastAsia" w:ascii="宋体" w:hAnsi="宋体" w:cs="宋体"/>
          <w:b/>
          <w:bCs/>
          <w:color w:val="auto"/>
          <w:sz w:val="24"/>
          <w:szCs w:val="24"/>
          <w:highlight w:val="none"/>
        </w:rPr>
        <w:t>1</w:t>
      </w:r>
      <w:r>
        <w:rPr>
          <w:rFonts w:hint="eastAsia" w:hAnsi="宋体" w:cs="宋体"/>
          <w:b/>
          <w:bCs/>
          <w:color w:val="auto"/>
          <w:sz w:val="24"/>
          <w:szCs w:val="24"/>
          <w:highlight w:val="none"/>
          <w:lang w:eastAsia="zh-CN"/>
        </w:rPr>
        <w:t>、</w:t>
      </w:r>
      <w:r>
        <w:rPr>
          <w:rFonts w:hint="eastAsia" w:ascii="宋体" w:hAnsi="宋体" w:cs="宋体"/>
          <w:b/>
          <w:bCs/>
          <w:color w:val="auto"/>
          <w:sz w:val="24"/>
          <w:szCs w:val="24"/>
          <w:highlight w:val="none"/>
        </w:rPr>
        <w:t>开标一览表</w:t>
      </w:r>
      <w:r>
        <w:rPr>
          <w:rFonts w:hint="eastAsia" w:hAnsi="宋体" w:cs="宋体"/>
          <w:b/>
          <w:color w:val="auto"/>
          <w:szCs w:val="24"/>
          <w:highlight w:val="none"/>
        </w:rPr>
        <w:cr/>
      </w:r>
    </w:p>
    <w:p w14:paraId="7AE876A6">
      <w:pPr>
        <w:pStyle w:val="5"/>
        <w:tabs>
          <w:tab w:val="left" w:pos="5580"/>
        </w:tabs>
        <w:spacing w:line="240" w:lineRule="atLeast"/>
        <w:ind w:left="539" w:leftChars="257" w:firstLine="480"/>
        <w:rPr>
          <w:rFonts w:hint="eastAsia" w:hAnsi="宋体" w:cs="宋体"/>
          <w:color w:val="auto"/>
          <w:szCs w:val="24"/>
          <w:highlight w:val="none"/>
        </w:rPr>
      </w:pPr>
    </w:p>
    <w:p w14:paraId="5A3FD186">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 xml:space="preserve">项目名称：　                     </w:t>
      </w:r>
      <w:r>
        <w:rPr>
          <w:rFonts w:hint="eastAsia" w:ascii="宋体" w:hAnsi="宋体" w:cs="宋体"/>
          <w:color w:val="auto"/>
          <w:sz w:val="24"/>
          <w:highlight w:val="none"/>
          <w:lang w:val="en-US" w:eastAsia="zh-CN"/>
        </w:rPr>
        <w:t xml:space="preserve">            </w:t>
      </w:r>
    </w:p>
    <w:p w14:paraId="2E221B85">
      <w:pPr>
        <w:tabs>
          <w:tab w:val="left" w:pos="1800"/>
          <w:tab w:val="left" w:pos="5580"/>
        </w:tabs>
        <w:spacing w:line="240" w:lineRule="atLeast"/>
        <w:ind w:left="1079" w:leftChars="257" w:right="-867" w:rightChars="-413" w:hanging="540"/>
        <w:rPr>
          <w:rFonts w:hint="eastAsia" w:ascii="宋体" w:hAnsi="宋体" w:cs="宋体"/>
          <w:color w:val="auto"/>
          <w:sz w:val="24"/>
          <w:highlight w:val="none"/>
        </w:rPr>
      </w:pPr>
      <w:r>
        <w:rPr>
          <w:rFonts w:hint="eastAsia" w:ascii="宋体" w:hAnsi="宋体" w:cs="宋体"/>
          <w:color w:val="auto"/>
          <w:sz w:val="24"/>
          <w:highlight w:val="none"/>
        </w:rPr>
        <w:t xml:space="preserve">招标编号：                        </w:t>
      </w:r>
    </w:p>
    <w:p w14:paraId="6332883F">
      <w:pPr>
        <w:tabs>
          <w:tab w:val="left" w:pos="1800"/>
          <w:tab w:val="left" w:pos="5580"/>
        </w:tabs>
        <w:spacing w:line="240" w:lineRule="atLeast"/>
        <w:ind w:left="1079" w:leftChars="257" w:right="-867" w:rightChars="-413" w:hanging="540"/>
        <w:rPr>
          <w:rFonts w:hint="eastAsia" w:ascii="宋体" w:hAnsi="宋体" w:cs="宋体"/>
          <w:bCs/>
          <w:color w:val="auto"/>
          <w:sz w:val="24"/>
          <w:highlight w:val="none"/>
        </w:rPr>
      </w:pPr>
      <w:r>
        <w:rPr>
          <w:rFonts w:hint="eastAsia" w:ascii="宋体" w:hAnsi="宋体" w:cs="宋体"/>
          <w:color w:val="auto"/>
          <w:sz w:val="24"/>
          <w:highlight w:val="none"/>
        </w:rPr>
        <w:t xml:space="preserve">报价单位：人民币  </w:t>
      </w:r>
      <w:r>
        <w:rPr>
          <w:rFonts w:hint="eastAsia" w:ascii="宋体" w:hAnsi="宋体" w:cs="宋体"/>
          <w:bCs/>
          <w:color w:val="auto"/>
          <w:sz w:val="24"/>
          <w:highlight w:val="none"/>
        </w:rPr>
        <w:t>元</w:t>
      </w:r>
    </w:p>
    <w:tbl>
      <w:tblPr>
        <w:tblStyle w:val="37"/>
        <w:tblW w:w="0" w:type="auto"/>
        <w:tblInd w:w="111" w:type="dxa"/>
        <w:tblLayout w:type="fixed"/>
        <w:tblCellMar>
          <w:top w:w="0" w:type="dxa"/>
          <w:left w:w="0" w:type="dxa"/>
          <w:bottom w:w="0" w:type="dxa"/>
          <w:right w:w="0" w:type="dxa"/>
        </w:tblCellMar>
      </w:tblPr>
      <w:tblGrid>
        <w:gridCol w:w="1341"/>
        <w:gridCol w:w="2247"/>
        <w:gridCol w:w="1439"/>
        <w:gridCol w:w="1548"/>
        <w:gridCol w:w="1279"/>
        <w:gridCol w:w="1129"/>
      </w:tblGrid>
      <w:tr w14:paraId="0019C36F">
        <w:tblPrEx>
          <w:tblCellMar>
            <w:top w:w="0" w:type="dxa"/>
            <w:left w:w="0" w:type="dxa"/>
            <w:bottom w:w="0" w:type="dxa"/>
            <w:right w:w="0" w:type="dxa"/>
          </w:tblCellMar>
        </w:tblPrEx>
        <w:trPr>
          <w:trHeight w:val="662" w:hRule="atLeast"/>
        </w:trPr>
        <w:tc>
          <w:tcPr>
            <w:tcW w:w="1341" w:type="dxa"/>
            <w:tcBorders>
              <w:top w:val="single" w:color="auto" w:sz="4" w:space="0"/>
              <w:left w:val="single" w:color="auto" w:sz="4" w:space="0"/>
              <w:bottom w:val="single" w:color="auto" w:sz="8" w:space="0"/>
              <w:right w:val="single" w:color="auto" w:sz="4" w:space="0"/>
            </w:tcBorders>
            <w:noWrap w:val="0"/>
            <w:vAlign w:val="center"/>
          </w:tcPr>
          <w:p w14:paraId="48ABC202">
            <w:pPr>
              <w:tabs>
                <w:tab w:val="left" w:pos="5580"/>
              </w:tabs>
              <w:spacing w:line="240" w:lineRule="atLeast"/>
              <w:ind w:right="-199"/>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名称</w:t>
            </w:r>
          </w:p>
        </w:tc>
        <w:tc>
          <w:tcPr>
            <w:tcW w:w="2247" w:type="dxa"/>
            <w:tcBorders>
              <w:top w:val="single" w:color="auto" w:sz="4" w:space="0"/>
              <w:left w:val="single" w:color="auto" w:sz="8" w:space="0"/>
              <w:bottom w:val="single" w:color="auto" w:sz="8" w:space="0"/>
              <w:right w:val="single" w:color="auto" w:sz="4" w:space="0"/>
            </w:tcBorders>
            <w:noWrap w:val="0"/>
            <w:vAlign w:val="center"/>
          </w:tcPr>
          <w:p w14:paraId="79C0C2EE">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投标总价</w:t>
            </w:r>
          </w:p>
        </w:tc>
        <w:tc>
          <w:tcPr>
            <w:tcW w:w="1439" w:type="dxa"/>
            <w:tcBorders>
              <w:top w:val="single" w:color="auto" w:sz="8" w:space="0"/>
              <w:left w:val="nil"/>
              <w:bottom w:val="single" w:color="auto" w:sz="8" w:space="0"/>
              <w:right w:val="single" w:color="auto" w:sz="4" w:space="0"/>
            </w:tcBorders>
            <w:noWrap w:val="0"/>
            <w:vAlign w:val="center"/>
          </w:tcPr>
          <w:p w14:paraId="63469927">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1548" w:type="dxa"/>
            <w:tcBorders>
              <w:top w:val="single" w:color="auto" w:sz="8" w:space="0"/>
              <w:left w:val="nil"/>
              <w:bottom w:val="single" w:color="auto" w:sz="8" w:space="0"/>
              <w:right w:val="single" w:color="auto" w:sz="4" w:space="0"/>
            </w:tcBorders>
            <w:noWrap w:val="0"/>
            <w:vAlign w:val="center"/>
          </w:tcPr>
          <w:p w14:paraId="392233E6">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服务期</w:t>
            </w:r>
          </w:p>
        </w:tc>
        <w:tc>
          <w:tcPr>
            <w:tcW w:w="1279" w:type="dxa"/>
            <w:tcBorders>
              <w:top w:val="single" w:color="auto" w:sz="8" w:space="0"/>
              <w:left w:val="nil"/>
              <w:bottom w:val="single" w:color="auto" w:sz="8" w:space="0"/>
              <w:right w:val="single" w:color="auto" w:sz="4" w:space="0"/>
            </w:tcBorders>
            <w:noWrap w:val="0"/>
            <w:vAlign w:val="center"/>
          </w:tcPr>
          <w:p w14:paraId="5F44F181">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服务地点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14:paraId="52031A3F">
            <w:pPr>
              <w:tabs>
                <w:tab w:val="left" w:pos="5580"/>
              </w:tabs>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42DEAF09">
        <w:tblPrEx>
          <w:tblCellMar>
            <w:top w:w="0" w:type="dxa"/>
            <w:left w:w="0" w:type="dxa"/>
            <w:bottom w:w="0" w:type="dxa"/>
            <w:right w:w="0" w:type="dxa"/>
          </w:tblCellMar>
        </w:tblPrEx>
        <w:trPr>
          <w:cantSplit/>
          <w:trHeight w:val="1640" w:hRule="atLeast"/>
        </w:trPr>
        <w:tc>
          <w:tcPr>
            <w:tcW w:w="1341" w:type="dxa"/>
            <w:tcBorders>
              <w:top w:val="single" w:color="auto" w:sz="8" w:space="0"/>
              <w:left w:val="single" w:color="auto" w:sz="4" w:space="0"/>
              <w:bottom w:val="single" w:color="auto" w:sz="4" w:space="0"/>
              <w:right w:val="single" w:color="auto" w:sz="4" w:space="0"/>
            </w:tcBorders>
            <w:noWrap w:val="0"/>
            <w:vAlign w:val="center"/>
          </w:tcPr>
          <w:p w14:paraId="34F87396">
            <w:pPr>
              <w:tabs>
                <w:tab w:val="left" w:pos="5580"/>
              </w:tabs>
              <w:spacing w:line="240" w:lineRule="atLeast"/>
              <w:ind w:left="1079" w:leftChars="257" w:hanging="540"/>
              <w:jc w:val="center"/>
              <w:rPr>
                <w:rFonts w:hint="eastAsia" w:ascii="宋体" w:hAnsi="宋体" w:cs="宋体"/>
                <w:color w:val="auto"/>
                <w:sz w:val="24"/>
                <w:highlight w:val="none"/>
              </w:rPr>
            </w:pPr>
          </w:p>
        </w:tc>
        <w:tc>
          <w:tcPr>
            <w:tcW w:w="2247" w:type="dxa"/>
            <w:tcBorders>
              <w:top w:val="single" w:color="auto" w:sz="8" w:space="0"/>
              <w:left w:val="single" w:color="auto" w:sz="8" w:space="0"/>
              <w:bottom w:val="single" w:color="auto" w:sz="4" w:space="0"/>
              <w:right w:val="single" w:color="auto" w:sz="4" w:space="0"/>
            </w:tcBorders>
            <w:noWrap w:val="0"/>
            <w:vAlign w:val="center"/>
          </w:tcPr>
          <w:p w14:paraId="5D7A69C8">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大写：</w:t>
            </w:r>
          </w:p>
          <w:p w14:paraId="73BDCFB0">
            <w:pPr>
              <w:tabs>
                <w:tab w:val="left" w:pos="5580"/>
              </w:tabs>
              <w:spacing w:line="240" w:lineRule="atLeast"/>
              <w:jc w:val="left"/>
              <w:rPr>
                <w:rFonts w:hint="eastAsia" w:ascii="宋体" w:hAnsi="宋体" w:cs="宋体"/>
                <w:color w:val="auto"/>
                <w:sz w:val="24"/>
                <w:highlight w:val="none"/>
              </w:rPr>
            </w:pPr>
            <w:r>
              <w:rPr>
                <w:rFonts w:hint="eastAsia" w:ascii="宋体" w:hAnsi="宋体" w:cs="宋体"/>
                <w:color w:val="auto"/>
                <w:sz w:val="24"/>
                <w:highlight w:val="none"/>
              </w:rPr>
              <w:t>小写：</w:t>
            </w:r>
          </w:p>
        </w:tc>
        <w:tc>
          <w:tcPr>
            <w:tcW w:w="1439" w:type="dxa"/>
            <w:tcBorders>
              <w:top w:val="single" w:color="auto" w:sz="8" w:space="0"/>
              <w:left w:val="nil"/>
              <w:bottom w:val="single" w:color="auto" w:sz="4" w:space="0"/>
              <w:right w:val="single" w:color="auto" w:sz="4" w:space="0"/>
            </w:tcBorders>
            <w:noWrap w:val="0"/>
            <w:vAlign w:val="center"/>
          </w:tcPr>
          <w:p w14:paraId="278F2226">
            <w:pPr>
              <w:tabs>
                <w:tab w:val="left" w:pos="5580"/>
              </w:tabs>
              <w:spacing w:line="240" w:lineRule="atLeast"/>
              <w:ind w:left="1079" w:leftChars="257" w:hanging="540"/>
              <w:jc w:val="center"/>
              <w:rPr>
                <w:rFonts w:hint="eastAsia" w:ascii="宋体" w:hAnsi="宋体" w:cs="宋体"/>
                <w:color w:val="auto"/>
                <w:sz w:val="24"/>
                <w:highlight w:val="none"/>
              </w:rPr>
            </w:pPr>
          </w:p>
        </w:tc>
        <w:tc>
          <w:tcPr>
            <w:tcW w:w="1548" w:type="dxa"/>
            <w:tcBorders>
              <w:top w:val="single" w:color="auto" w:sz="8" w:space="0"/>
              <w:left w:val="nil"/>
              <w:bottom w:val="single" w:color="auto" w:sz="4" w:space="0"/>
              <w:right w:val="single" w:color="auto" w:sz="4" w:space="0"/>
            </w:tcBorders>
            <w:noWrap w:val="0"/>
            <w:vAlign w:val="center"/>
          </w:tcPr>
          <w:p w14:paraId="124B2E53">
            <w:pPr>
              <w:tabs>
                <w:tab w:val="left" w:pos="5580"/>
              </w:tabs>
              <w:spacing w:line="240" w:lineRule="atLeast"/>
              <w:ind w:left="1079" w:leftChars="257" w:hanging="540"/>
              <w:jc w:val="center"/>
              <w:rPr>
                <w:rFonts w:hint="eastAsia" w:ascii="宋体" w:hAnsi="宋体" w:cs="宋体"/>
                <w:color w:val="auto"/>
                <w:sz w:val="24"/>
                <w:highlight w:val="none"/>
              </w:rPr>
            </w:pPr>
          </w:p>
        </w:tc>
        <w:tc>
          <w:tcPr>
            <w:tcW w:w="1279" w:type="dxa"/>
            <w:tcBorders>
              <w:top w:val="single" w:color="auto" w:sz="8" w:space="0"/>
              <w:left w:val="nil"/>
              <w:bottom w:val="single" w:color="auto" w:sz="4" w:space="0"/>
              <w:right w:val="single" w:color="auto" w:sz="4" w:space="0"/>
            </w:tcBorders>
            <w:noWrap w:val="0"/>
            <w:vAlign w:val="center"/>
          </w:tcPr>
          <w:p w14:paraId="177A2151">
            <w:pPr>
              <w:tabs>
                <w:tab w:val="left" w:pos="5580"/>
              </w:tabs>
              <w:spacing w:line="240" w:lineRule="atLeast"/>
              <w:ind w:left="1079" w:leftChars="257" w:hanging="540"/>
              <w:jc w:val="center"/>
              <w:rPr>
                <w:rFonts w:hint="eastAsia" w:ascii="宋体" w:hAnsi="宋体" w:cs="宋体"/>
                <w:color w:val="auto"/>
                <w:sz w:val="24"/>
                <w:highlight w:val="none"/>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14:paraId="3AFA76FD">
            <w:pPr>
              <w:tabs>
                <w:tab w:val="left" w:pos="5580"/>
              </w:tabs>
              <w:spacing w:line="240" w:lineRule="atLeast"/>
              <w:ind w:left="1079" w:leftChars="257" w:hanging="540"/>
              <w:jc w:val="center"/>
              <w:rPr>
                <w:rFonts w:hint="eastAsia" w:ascii="宋体" w:hAnsi="宋体" w:cs="宋体"/>
                <w:color w:val="auto"/>
                <w:sz w:val="24"/>
                <w:highlight w:val="none"/>
              </w:rPr>
            </w:pPr>
          </w:p>
        </w:tc>
      </w:tr>
    </w:tbl>
    <w:p w14:paraId="2A7213E7">
      <w:pPr>
        <w:pStyle w:val="15"/>
        <w:tabs>
          <w:tab w:val="left" w:pos="5580"/>
        </w:tabs>
        <w:spacing w:line="240" w:lineRule="atLeast"/>
        <w:ind w:left="1079" w:leftChars="257" w:hanging="540"/>
        <w:rPr>
          <w:rFonts w:hint="eastAsia" w:hAnsi="宋体" w:cs="宋体"/>
          <w:color w:val="auto"/>
          <w:sz w:val="24"/>
          <w:szCs w:val="24"/>
          <w:highlight w:val="none"/>
        </w:rPr>
      </w:pPr>
    </w:p>
    <w:p w14:paraId="5003F29C">
      <w:pPr>
        <w:pStyle w:val="15"/>
        <w:tabs>
          <w:tab w:val="left" w:pos="5580"/>
        </w:tabs>
        <w:spacing w:line="240" w:lineRule="atLeast"/>
        <w:ind w:left="1079" w:leftChars="257" w:hanging="540"/>
        <w:rPr>
          <w:rFonts w:hint="eastAsia" w:hAnsi="宋体" w:cs="宋体"/>
          <w:color w:val="auto"/>
          <w:sz w:val="24"/>
          <w:szCs w:val="24"/>
          <w:highlight w:val="none"/>
          <w:u w:val="single"/>
        </w:rPr>
      </w:pPr>
    </w:p>
    <w:p w14:paraId="783D139E">
      <w:pPr>
        <w:pStyle w:val="15"/>
        <w:tabs>
          <w:tab w:val="left" w:pos="5580"/>
        </w:tabs>
        <w:spacing w:line="240" w:lineRule="atLeast"/>
        <w:ind w:left="1079" w:leftChars="257" w:hanging="540"/>
        <w:rPr>
          <w:rFonts w:hint="eastAsia" w:hAnsi="宋体" w:cs="宋体"/>
          <w:color w:val="auto"/>
          <w:sz w:val="24"/>
          <w:szCs w:val="24"/>
          <w:highlight w:val="none"/>
          <w:u w:val="single"/>
        </w:rPr>
      </w:pPr>
    </w:p>
    <w:p w14:paraId="4746292B">
      <w:pPr>
        <w:pStyle w:val="15"/>
        <w:tabs>
          <w:tab w:val="left" w:pos="5580"/>
        </w:tabs>
        <w:spacing w:line="240" w:lineRule="atLeas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投标人名称（单位盖章）：</w:t>
      </w:r>
      <w:r>
        <w:rPr>
          <w:rFonts w:hint="eastAsia" w:hAnsi="宋体" w:cs="宋体"/>
          <w:color w:val="auto"/>
          <w:sz w:val="24"/>
          <w:szCs w:val="24"/>
          <w:highlight w:val="none"/>
          <w:u w:val="single"/>
        </w:rPr>
        <w:t xml:space="preserve">                       </w:t>
      </w:r>
    </w:p>
    <w:p w14:paraId="46F52BE7">
      <w:pPr>
        <w:pStyle w:val="15"/>
        <w:tabs>
          <w:tab w:val="left" w:pos="5580"/>
        </w:tabs>
        <w:spacing w:line="240" w:lineRule="atLeast"/>
        <w:ind w:left="1079" w:leftChars="257" w:hanging="540"/>
        <w:rPr>
          <w:rFonts w:hint="eastAsia" w:hAnsi="宋体" w:cs="宋体"/>
          <w:color w:val="auto"/>
          <w:sz w:val="24"/>
          <w:szCs w:val="24"/>
          <w:highlight w:val="none"/>
        </w:rPr>
      </w:pPr>
    </w:p>
    <w:p w14:paraId="39A0BF23">
      <w:pPr>
        <w:pStyle w:val="15"/>
        <w:tabs>
          <w:tab w:val="left" w:pos="5580"/>
        </w:tabs>
        <w:spacing w:line="240" w:lineRule="atLeast"/>
        <w:ind w:left="1079" w:leftChars="257" w:hanging="540"/>
        <w:rPr>
          <w:rFonts w:hint="eastAsia" w:hAnsi="宋体" w:cs="宋体"/>
          <w:color w:val="auto"/>
          <w:sz w:val="24"/>
          <w:szCs w:val="24"/>
          <w:highlight w:val="none"/>
        </w:rPr>
      </w:pPr>
    </w:p>
    <w:p w14:paraId="40AEE058">
      <w:pPr>
        <w:pStyle w:val="15"/>
        <w:tabs>
          <w:tab w:val="left" w:pos="5580"/>
        </w:tabs>
        <w:spacing w:line="240" w:lineRule="atLeast"/>
        <w:ind w:left="1079" w:leftChars="257" w:hanging="540"/>
        <w:rPr>
          <w:rFonts w:hint="eastAsia" w:hAnsi="宋体" w:cs="宋体"/>
          <w:color w:val="auto"/>
          <w:sz w:val="24"/>
          <w:szCs w:val="24"/>
          <w:highlight w:val="none"/>
          <w:u w:val="single"/>
        </w:rPr>
      </w:pPr>
      <w:r>
        <w:rPr>
          <w:rFonts w:hint="eastAsia" w:hAnsi="宋体" w:cs="宋体"/>
          <w:color w:val="auto"/>
          <w:sz w:val="24"/>
          <w:szCs w:val="24"/>
          <w:highlight w:val="none"/>
        </w:rPr>
        <w:t>法定代表人或其委托代</w:t>
      </w:r>
      <w:r>
        <w:rPr>
          <w:rFonts w:hint="eastAsia" w:ascii="宋体" w:hAnsi="宋体" w:eastAsia="宋体" w:cs="宋体"/>
          <w:color w:val="auto"/>
          <w:sz w:val="24"/>
          <w:szCs w:val="24"/>
          <w:highlight w:val="none"/>
        </w:rPr>
        <w:t>理人（签</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章）:</w:t>
      </w:r>
      <w:r>
        <w:rPr>
          <w:rFonts w:hint="eastAsia" w:hAnsi="宋体" w:cs="宋体"/>
          <w:color w:val="auto"/>
          <w:sz w:val="24"/>
          <w:szCs w:val="24"/>
          <w:highlight w:val="none"/>
          <w:u w:val="single"/>
        </w:rPr>
        <w:tab/>
      </w:r>
    </w:p>
    <w:p w14:paraId="4655B273">
      <w:pPr>
        <w:pStyle w:val="15"/>
        <w:tabs>
          <w:tab w:val="left" w:pos="5580"/>
        </w:tabs>
        <w:spacing w:line="240" w:lineRule="atLeast"/>
        <w:ind w:left="1079" w:leftChars="257" w:hanging="540"/>
        <w:rPr>
          <w:rFonts w:hint="eastAsia" w:hAnsi="宋体" w:cs="宋体"/>
          <w:color w:val="auto"/>
          <w:sz w:val="24"/>
          <w:szCs w:val="24"/>
          <w:highlight w:val="none"/>
        </w:rPr>
      </w:pPr>
    </w:p>
    <w:p w14:paraId="41DF4CF0">
      <w:pPr>
        <w:pStyle w:val="15"/>
        <w:tabs>
          <w:tab w:val="left" w:pos="5580"/>
        </w:tabs>
        <w:spacing w:line="240" w:lineRule="atLeast"/>
        <w:ind w:left="1079" w:leftChars="257" w:hanging="540"/>
        <w:rPr>
          <w:rFonts w:hint="eastAsia" w:hAnsi="宋体" w:cs="宋体"/>
          <w:color w:val="auto"/>
          <w:sz w:val="24"/>
          <w:szCs w:val="24"/>
          <w:highlight w:val="none"/>
        </w:rPr>
      </w:pPr>
    </w:p>
    <w:p w14:paraId="793B047E">
      <w:pPr>
        <w:widowControl/>
        <w:spacing w:line="360" w:lineRule="exact"/>
        <w:jc w:val="left"/>
        <w:rPr>
          <w:rFonts w:hint="eastAsia" w:ascii="宋体" w:hAnsi="宋体" w:cs="宋体"/>
          <w:b/>
          <w:bCs/>
          <w:color w:val="auto"/>
          <w:sz w:val="28"/>
          <w:szCs w:val="28"/>
          <w:highlight w:val="none"/>
        </w:rPr>
      </w:pPr>
    </w:p>
    <w:p w14:paraId="09292D5F">
      <w:pPr>
        <w:widowControl/>
        <w:spacing w:line="360" w:lineRule="exact"/>
        <w:jc w:val="left"/>
        <w:rPr>
          <w:rFonts w:hint="eastAsia" w:ascii="宋体" w:hAnsi="宋体" w:cs="宋体"/>
          <w:b/>
          <w:bCs/>
          <w:color w:val="auto"/>
          <w:sz w:val="28"/>
          <w:szCs w:val="28"/>
          <w:highlight w:val="none"/>
        </w:rPr>
      </w:pPr>
    </w:p>
    <w:p w14:paraId="47D327E6">
      <w:pPr>
        <w:widowControl/>
        <w:spacing w:line="360" w:lineRule="exact"/>
        <w:jc w:val="left"/>
        <w:rPr>
          <w:rFonts w:hint="eastAsia" w:ascii="宋体" w:hAnsi="宋体" w:cs="宋体"/>
          <w:b/>
          <w:bCs/>
          <w:color w:val="auto"/>
          <w:sz w:val="28"/>
          <w:szCs w:val="28"/>
          <w:highlight w:val="none"/>
        </w:rPr>
      </w:pPr>
    </w:p>
    <w:p w14:paraId="70F0F29E">
      <w:pPr>
        <w:widowControl/>
        <w:spacing w:line="360" w:lineRule="exact"/>
        <w:jc w:val="left"/>
        <w:rPr>
          <w:rFonts w:hint="eastAsia" w:ascii="宋体" w:hAnsi="宋体" w:cs="宋体"/>
          <w:b/>
          <w:bCs/>
          <w:color w:val="auto"/>
          <w:sz w:val="28"/>
          <w:szCs w:val="28"/>
          <w:highlight w:val="none"/>
        </w:rPr>
      </w:pPr>
    </w:p>
    <w:p w14:paraId="3D711943">
      <w:pPr>
        <w:widowControl/>
        <w:spacing w:line="360" w:lineRule="exact"/>
        <w:jc w:val="left"/>
        <w:rPr>
          <w:rFonts w:hint="eastAsia" w:ascii="宋体" w:hAnsi="宋体" w:cs="宋体"/>
          <w:b/>
          <w:bCs/>
          <w:color w:val="auto"/>
          <w:sz w:val="28"/>
          <w:szCs w:val="28"/>
          <w:highlight w:val="none"/>
        </w:rPr>
      </w:pPr>
    </w:p>
    <w:p w14:paraId="2795F821">
      <w:pPr>
        <w:widowControl/>
        <w:spacing w:line="360" w:lineRule="exact"/>
        <w:jc w:val="left"/>
        <w:rPr>
          <w:rFonts w:hint="eastAsia" w:ascii="宋体" w:hAnsi="宋体" w:cs="宋体"/>
          <w:b/>
          <w:bCs/>
          <w:color w:val="auto"/>
          <w:sz w:val="28"/>
          <w:szCs w:val="28"/>
          <w:highlight w:val="none"/>
        </w:rPr>
      </w:pPr>
    </w:p>
    <w:p w14:paraId="477ED1DA">
      <w:pPr>
        <w:widowControl/>
        <w:spacing w:line="360" w:lineRule="exact"/>
        <w:jc w:val="left"/>
        <w:rPr>
          <w:rFonts w:hint="eastAsia" w:ascii="宋体" w:hAnsi="宋体" w:cs="宋体"/>
          <w:b/>
          <w:bCs/>
          <w:color w:val="auto"/>
          <w:sz w:val="28"/>
          <w:szCs w:val="28"/>
          <w:highlight w:val="none"/>
        </w:rPr>
      </w:pPr>
    </w:p>
    <w:p w14:paraId="3019C50F">
      <w:pPr>
        <w:widowControl/>
        <w:spacing w:line="360" w:lineRule="exact"/>
        <w:jc w:val="left"/>
        <w:rPr>
          <w:rFonts w:hint="eastAsia" w:ascii="宋体" w:hAnsi="宋体" w:cs="宋体"/>
          <w:b/>
          <w:bCs/>
          <w:color w:val="auto"/>
          <w:sz w:val="28"/>
          <w:szCs w:val="28"/>
          <w:highlight w:val="none"/>
        </w:rPr>
      </w:pPr>
    </w:p>
    <w:p w14:paraId="1B999247">
      <w:pPr>
        <w:widowControl/>
        <w:spacing w:line="360" w:lineRule="exact"/>
        <w:jc w:val="left"/>
        <w:rPr>
          <w:rFonts w:hint="eastAsia" w:ascii="宋体" w:hAnsi="宋体" w:cs="宋体"/>
          <w:b/>
          <w:bCs/>
          <w:color w:val="auto"/>
          <w:sz w:val="28"/>
          <w:szCs w:val="28"/>
          <w:highlight w:val="none"/>
        </w:rPr>
      </w:pPr>
    </w:p>
    <w:p w14:paraId="192F7063">
      <w:pPr>
        <w:widowControl/>
        <w:spacing w:line="360" w:lineRule="exact"/>
        <w:jc w:val="left"/>
        <w:rPr>
          <w:rFonts w:hint="eastAsia" w:ascii="宋体" w:hAnsi="宋体" w:cs="宋体"/>
          <w:b/>
          <w:bCs/>
          <w:color w:val="auto"/>
          <w:sz w:val="28"/>
          <w:szCs w:val="28"/>
          <w:highlight w:val="none"/>
        </w:rPr>
      </w:pPr>
    </w:p>
    <w:p w14:paraId="18360976">
      <w:pPr>
        <w:widowControl/>
        <w:spacing w:line="360" w:lineRule="exact"/>
        <w:jc w:val="left"/>
        <w:rPr>
          <w:rFonts w:hint="eastAsia" w:ascii="宋体" w:hAnsi="宋体" w:cs="宋体"/>
          <w:b/>
          <w:bCs/>
          <w:color w:val="auto"/>
          <w:sz w:val="28"/>
          <w:szCs w:val="28"/>
          <w:highlight w:val="none"/>
        </w:rPr>
      </w:pPr>
    </w:p>
    <w:p w14:paraId="4830917C">
      <w:pPr>
        <w:widowControl/>
        <w:spacing w:line="360" w:lineRule="exact"/>
        <w:jc w:val="left"/>
        <w:rPr>
          <w:rFonts w:hint="eastAsia" w:ascii="宋体" w:hAnsi="宋体" w:cs="宋体"/>
          <w:b/>
          <w:bCs/>
          <w:color w:val="auto"/>
          <w:sz w:val="28"/>
          <w:szCs w:val="28"/>
          <w:highlight w:val="none"/>
        </w:rPr>
      </w:pPr>
    </w:p>
    <w:p w14:paraId="144C912C">
      <w:pPr>
        <w:widowControl/>
        <w:spacing w:line="360" w:lineRule="exact"/>
        <w:jc w:val="left"/>
        <w:rPr>
          <w:rFonts w:hint="eastAsia" w:ascii="宋体" w:hAnsi="宋体" w:cs="宋体"/>
          <w:b/>
          <w:bCs/>
          <w:color w:val="auto"/>
          <w:sz w:val="28"/>
          <w:szCs w:val="28"/>
          <w:highlight w:val="none"/>
        </w:rPr>
      </w:pPr>
    </w:p>
    <w:p w14:paraId="4C19C165">
      <w:pPr>
        <w:widowControl/>
        <w:spacing w:line="360" w:lineRule="exact"/>
        <w:jc w:val="left"/>
        <w:rPr>
          <w:rFonts w:hint="eastAsia" w:ascii="宋体" w:hAnsi="宋体" w:cs="宋体"/>
          <w:b/>
          <w:bCs/>
          <w:color w:val="auto"/>
          <w:sz w:val="28"/>
          <w:szCs w:val="28"/>
          <w:highlight w:val="none"/>
        </w:rPr>
      </w:pPr>
    </w:p>
    <w:p w14:paraId="52A9C43B">
      <w:pPr>
        <w:pStyle w:val="25"/>
        <w:rPr>
          <w:rFonts w:hint="eastAsia" w:ascii="宋体" w:hAnsi="宋体" w:cs="宋体"/>
          <w:b/>
          <w:bCs/>
          <w:color w:val="auto"/>
          <w:sz w:val="28"/>
          <w:szCs w:val="28"/>
          <w:highlight w:val="none"/>
        </w:rPr>
      </w:pPr>
    </w:p>
    <w:p w14:paraId="373B8CFA">
      <w:pPr>
        <w:pStyle w:val="25"/>
        <w:rPr>
          <w:rFonts w:hint="eastAsia" w:ascii="宋体" w:hAnsi="宋体" w:cs="宋体"/>
          <w:b/>
          <w:bCs/>
          <w:color w:val="auto"/>
          <w:sz w:val="28"/>
          <w:szCs w:val="28"/>
          <w:highlight w:val="none"/>
        </w:rPr>
      </w:pPr>
    </w:p>
    <w:p w14:paraId="5759717A">
      <w:pPr>
        <w:widowControl/>
        <w:spacing w:line="360" w:lineRule="exact"/>
        <w:jc w:val="left"/>
        <w:rPr>
          <w:rFonts w:hint="eastAsia" w:ascii="宋体" w:hAnsi="宋体" w:cs="宋体"/>
          <w:b/>
          <w:bCs/>
          <w:color w:val="auto"/>
          <w:sz w:val="28"/>
          <w:szCs w:val="28"/>
          <w:highlight w:val="none"/>
        </w:rPr>
      </w:pPr>
    </w:p>
    <w:p w14:paraId="2CB95B7B">
      <w:pPr>
        <w:pStyle w:val="25"/>
        <w:rPr>
          <w:rFonts w:hint="eastAsia"/>
          <w:highlight w:val="none"/>
        </w:rPr>
      </w:pPr>
    </w:p>
    <w:p w14:paraId="699FE5FD">
      <w:pPr>
        <w:widowControl/>
        <w:spacing w:line="360" w:lineRule="exact"/>
        <w:jc w:val="left"/>
        <w:rPr>
          <w:rFonts w:hint="eastAsia" w:ascii="宋体" w:hAnsi="宋体" w:cs="宋体"/>
          <w:b/>
          <w:bCs/>
          <w:color w:val="auto"/>
          <w:sz w:val="28"/>
          <w:szCs w:val="28"/>
          <w:highlight w:val="none"/>
        </w:rPr>
      </w:pPr>
    </w:p>
    <w:p w14:paraId="08F00B34">
      <w:pPr>
        <w:tabs>
          <w:tab w:val="left" w:pos="5580"/>
        </w:tabs>
        <w:spacing w:line="36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单位三证合一营业执照（事业单位法人证书）</w:t>
      </w:r>
    </w:p>
    <w:p w14:paraId="52946592">
      <w:pPr>
        <w:tabs>
          <w:tab w:val="left" w:pos="5580"/>
        </w:tabs>
        <w:spacing w:line="360" w:lineRule="exact"/>
        <w:rPr>
          <w:rFonts w:hint="eastAsia" w:ascii="宋体" w:hAnsi="宋体" w:cs="宋体"/>
          <w:b/>
          <w:bCs/>
          <w:color w:val="auto"/>
          <w:sz w:val="28"/>
          <w:szCs w:val="28"/>
          <w:highlight w:val="none"/>
        </w:rPr>
      </w:pPr>
    </w:p>
    <w:p w14:paraId="74FD41E0">
      <w:pPr>
        <w:tabs>
          <w:tab w:val="left" w:pos="5580"/>
        </w:tabs>
        <w:spacing w:line="360" w:lineRule="exact"/>
        <w:rPr>
          <w:rFonts w:hint="eastAsia" w:ascii="宋体" w:hAnsi="宋体" w:cs="宋体"/>
          <w:b/>
          <w:bCs/>
          <w:color w:val="auto"/>
          <w:sz w:val="28"/>
          <w:szCs w:val="28"/>
          <w:highlight w:val="none"/>
        </w:rPr>
      </w:pPr>
    </w:p>
    <w:p w14:paraId="3A9FA89B">
      <w:pPr>
        <w:tabs>
          <w:tab w:val="left" w:pos="5580"/>
        </w:tabs>
        <w:spacing w:line="360" w:lineRule="exact"/>
        <w:rPr>
          <w:rFonts w:hint="eastAsia" w:ascii="宋体" w:hAnsi="宋体" w:cs="宋体"/>
          <w:b/>
          <w:bCs/>
          <w:color w:val="auto"/>
          <w:sz w:val="28"/>
          <w:szCs w:val="28"/>
          <w:highlight w:val="none"/>
        </w:rPr>
      </w:pPr>
    </w:p>
    <w:p w14:paraId="04D3454D">
      <w:pPr>
        <w:tabs>
          <w:tab w:val="left" w:pos="5580"/>
        </w:tabs>
        <w:spacing w:line="360" w:lineRule="exact"/>
        <w:rPr>
          <w:rFonts w:hint="eastAsia" w:ascii="宋体" w:hAnsi="宋体" w:cs="宋体"/>
          <w:b/>
          <w:bCs/>
          <w:color w:val="auto"/>
          <w:sz w:val="28"/>
          <w:szCs w:val="28"/>
          <w:highlight w:val="none"/>
        </w:rPr>
      </w:pPr>
    </w:p>
    <w:p w14:paraId="2D26477E">
      <w:pPr>
        <w:tabs>
          <w:tab w:val="left" w:pos="5580"/>
        </w:tabs>
        <w:spacing w:line="360" w:lineRule="exact"/>
        <w:rPr>
          <w:rFonts w:hint="eastAsia" w:ascii="宋体" w:hAnsi="宋体" w:cs="宋体"/>
          <w:b/>
          <w:bCs/>
          <w:color w:val="auto"/>
          <w:sz w:val="28"/>
          <w:szCs w:val="28"/>
          <w:highlight w:val="none"/>
        </w:rPr>
      </w:pPr>
    </w:p>
    <w:p w14:paraId="466563BC">
      <w:pPr>
        <w:tabs>
          <w:tab w:val="left" w:pos="5580"/>
        </w:tabs>
        <w:spacing w:line="360" w:lineRule="exact"/>
        <w:rPr>
          <w:rFonts w:hint="eastAsia" w:ascii="宋体" w:hAnsi="宋体" w:cs="宋体"/>
          <w:b/>
          <w:bCs/>
          <w:color w:val="auto"/>
          <w:sz w:val="28"/>
          <w:szCs w:val="28"/>
          <w:highlight w:val="none"/>
        </w:rPr>
      </w:pPr>
    </w:p>
    <w:p w14:paraId="7255ADE1">
      <w:pPr>
        <w:tabs>
          <w:tab w:val="left" w:pos="5580"/>
        </w:tabs>
        <w:spacing w:line="360" w:lineRule="exact"/>
        <w:rPr>
          <w:rFonts w:hint="eastAsia" w:ascii="宋体" w:hAnsi="宋体" w:cs="宋体"/>
          <w:b/>
          <w:bCs/>
          <w:color w:val="auto"/>
          <w:sz w:val="28"/>
          <w:szCs w:val="28"/>
          <w:highlight w:val="none"/>
        </w:rPr>
      </w:pPr>
    </w:p>
    <w:p w14:paraId="161C9413">
      <w:pPr>
        <w:pStyle w:val="5"/>
        <w:rPr>
          <w:rFonts w:hint="eastAsia" w:hAnsi="宋体" w:cs="宋体"/>
          <w:b/>
          <w:bCs/>
          <w:color w:val="auto"/>
          <w:sz w:val="28"/>
          <w:szCs w:val="28"/>
          <w:highlight w:val="none"/>
        </w:rPr>
      </w:pPr>
    </w:p>
    <w:p w14:paraId="19714D28">
      <w:pPr>
        <w:pStyle w:val="5"/>
        <w:rPr>
          <w:rFonts w:hint="eastAsia" w:hAnsi="宋体" w:cs="宋体"/>
          <w:b/>
          <w:bCs/>
          <w:color w:val="auto"/>
          <w:sz w:val="28"/>
          <w:szCs w:val="28"/>
          <w:highlight w:val="none"/>
        </w:rPr>
      </w:pPr>
    </w:p>
    <w:p w14:paraId="5094362D">
      <w:pPr>
        <w:pStyle w:val="5"/>
        <w:rPr>
          <w:rFonts w:hint="eastAsia" w:hAnsi="宋体" w:cs="宋体"/>
          <w:b/>
          <w:bCs/>
          <w:color w:val="auto"/>
          <w:sz w:val="28"/>
          <w:szCs w:val="28"/>
          <w:highlight w:val="none"/>
        </w:rPr>
      </w:pPr>
    </w:p>
    <w:p w14:paraId="6702C683">
      <w:pPr>
        <w:pStyle w:val="5"/>
        <w:rPr>
          <w:rFonts w:hint="eastAsia" w:hAnsi="宋体" w:cs="宋体"/>
          <w:b/>
          <w:bCs/>
          <w:color w:val="auto"/>
          <w:sz w:val="28"/>
          <w:szCs w:val="28"/>
          <w:highlight w:val="none"/>
        </w:rPr>
      </w:pPr>
    </w:p>
    <w:p w14:paraId="26F0F01E">
      <w:pPr>
        <w:tabs>
          <w:tab w:val="left" w:pos="5580"/>
        </w:tabs>
        <w:spacing w:line="360" w:lineRule="exact"/>
        <w:rPr>
          <w:rFonts w:hint="eastAsia" w:ascii="宋体" w:hAnsi="宋体" w:cs="宋体"/>
          <w:b/>
          <w:bCs/>
          <w:color w:val="auto"/>
          <w:sz w:val="28"/>
          <w:szCs w:val="28"/>
          <w:highlight w:val="none"/>
        </w:rPr>
      </w:pPr>
    </w:p>
    <w:p w14:paraId="3B043F2F">
      <w:pPr>
        <w:tabs>
          <w:tab w:val="left" w:pos="5580"/>
        </w:tabs>
        <w:spacing w:line="360" w:lineRule="exact"/>
        <w:ind w:left="1" w:firstLine="658" w:firstLineChars="235"/>
        <w:rPr>
          <w:rFonts w:hint="eastAsia" w:ascii="宋体" w:hAnsi="宋体" w:cs="宋体"/>
          <w:color w:val="auto"/>
          <w:sz w:val="28"/>
          <w:szCs w:val="28"/>
          <w:highlight w:val="none"/>
        </w:rPr>
      </w:pPr>
    </w:p>
    <w:p w14:paraId="037A2765">
      <w:pPr>
        <w:adjustRightInd w:val="0"/>
        <w:snapToGrid w:val="0"/>
        <w:spacing w:before="312" w:beforeLines="100" w:after="312" w:afterLines="100" w:line="360" w:lineRule="exact"/>
        <w:rPr>
          <w:rFonts w:hint="eastAsia" w:ascii="宋体" w:hAnsi="宋体" w:cs="宋体"/>
          <w:b/>
          <w:bCs/>
          <w:color w:val="auto"/>
          <w:sz w:val="28"/>
          <w:szCs w:val="28"/>
          <w:highlight w:val="none"/>
        </w:rPr>
      </w:pPr>
    </w:p>
    <w:p w14:paraId="4BDDAC06">
      <w:pPr>
        <w:pStyle w:val="5"/>
        <w:rPr>
          <w:rFonts w:hint="eastAsia" w:hAnsi="宋体" w:cs="宋体"/>
          <w:b/>
          <w:bCs/>
          <w:color w:val="auto"/>
          <w:sz w:val="28"/>
          <w:szCs w:val="28"/>
          <w:highlight w:val="none"/>
        </w:rPr>
      </w:pPr>
    </w:p>
    <w:p w14:paraId="05E941F0">
      <w:pPr>
        <w:pStyle w:val="5"/>
        <w:rPr>
          <w:rFonts w:hint="eastAsia" w:hAnsi="宋体" w:cs="宋体"/>
          <w:b/>
          <w:bCs/>
          <w:color w:val="auto"/>
          <w:sz w:val="28"/>
          <w:szCs w:val="28"/>
          <w:highlight w:val="none"/>
        </w:rPr>
      </w:pPr>
    </w:p>
    <w:p w14:paraId="3133367A">
      <w:pPr>
        <w:pStyle w:val="5"/>
        <w:rPr>
          <w:rFonts w:hint="eastAsia" w:hAnsi="宋体" w:cs="宋体"/>
          <w:b/>
          <w:bCs/>
          <w:color w:val="auto"/>
          <w:sz w:val="28"/>
          <w:szCs w:val="28"/>
          <w:highlight w:val="none"/>
        </w:rPr>
      </w:pPr>
    </w:p>
    <w:p w14:paraId="173BEABA">
      <w:pPr>
        <w:pStyle w:val="5"/>
        <w:rPr>
          <w:rFonts w:hint="eastAsia" w:hAnsi="宋体" w:cs="宋体"/>
          <w:b/>
          <w:bCs/>
          <w:color w:val="auto"/>
          <w:sz w:val="28"/>
          <w:szCs w:val="28"/>
          <w:highlight w:val="none"/>
        </w:rPr>
      </w:pPr>
    </w:p>
    <w:p w14:paraId="21CB76E7">
      <w:pPr>
        <w:pStyle w:val="5"/>
        <w:rPr>
          <w:rFonts w:hint="eastAsia" w:hAnsi="宋体" w:cs="宋体"/>
          <w:b/>
          <w:bCs/>
          <w:color w:val="auto"/>
          <w:sz w:val="28"/>
          <w:szCs w:val="28"/>
          <w:highlight w:val="none"/>
        </w:rPr>
      </w:pPr>
    </w:p>
    <w:p w14:paraId="1A6C8F58">
      <w:pPr>
        <w:pStyle w:val="5"/>
        <w:rPr>
          <w:rFonts w:hint="eastAsia" w:hAnsi="宋体" w:cs="宋体"/>
          <w:b/>
          <w:bCs/>
          <w:color w:val="auto"/>
          <w:sz w:val="28"/>
          <w:szCs w:val="28"/>
          <w:highlight w:val="none"/>
        </w:rPr>
      </w:pPr>
    </w:p>
    <w:p w14:paraId="227CAF9B">
      <w:pPr>
        <w:pStyle w:val="5"/>
        <w:rPr>
          <w:rFonts w:hint="eastAsia" w:hAnsi="宋体" w:cs="宋体"/>
          <w:b/>
          <w:bCs/>
          <w:color w:val="auto"/>
          <w:sz w:val="28"/>
          <w:szCs w:val="28"/>
          <w:highlight w:val="none"/>
        </w:rPr>
      </w:pPr>
    </w:p>
    <w:p w14:paraId="58689436">
      <w:pPr>
        <w:pStyle w:val="5"/>
        <w:rPr>
          <w:rFonts w:hint="eastAsia" w:hAnsi="宋体" w:cs="宋体"/>
          <w:b/>
          <w:bCs/>
          <w:color w:val="auto"/>
          <w:sz w:val="28"/>
          <w:szCs w:val="28"/>
          <w:highlight w:val="none"/>
        </w:rPr>
      </w:pPr>
    </w:p>
    <w:p w14:paraId="23DB2367">
      <w:pPr>
        <w:pStyle w:val="5"/>
        <w:rPr>
          <w:rFonts w:hint="eastAsia" w:hAnsi="宋体" w:cs="宋体"/>
          <w:b/>
          <w:bCs/>
          <w:color w:val="auto"/>
          <w:sz w:val="28"/>
          <w:szCs w:val="28"/>
          <w:highlight w:val="none"/>
        </w:rPr>
      </w:pPr>
    </w:p>
    <w:p w14:paraId="7EFAFE39">
      <w:pPr>
        <w:numPr>
          <w:ilvl w:val="0"/>
          <w:numId w:val="0"/>
        </w:numPr>
        <w:adjustRightInd w:val="0"/>
        <w:snapToGrid w:val="0"/>
        <w:spacing w:before="312" w:beforeLines="100" w:after="312" w:afterLines="100" w:line="360" w:lineRule="exact"/>
        <w:jc w:val="both"/>
        <w:rPr>
          <w:rFonts w:hint="eastAsia" w:ascii="宋体" w:hAnsi="宋体" w:cs="宋体"/>
          <w:b/>
          <w:bCs/>
          <w:color w:val="auto"/>
          <w:kern w:val="0"/>
          <w:sz w:val="24"/>
          <w:szCs w:val="24"/>
          <w:highlight w:val="none"/>
          <w:lang w:val="en-US" w:eastAsia="zh-CN"/>
        </w:rPr>
      </w:pPr>
    </w:p>
    <w:p w14:paraId="1687E80C">
      <w:pPr>
        <w:pStyle w:val="25"/>
        <w:numPr>
          <w:ilvl w:val="0"/>
          <w:numId w:val="4"/>
        </w:numPr>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城乡规划（国土空间规划）编制乙级及以上（含乙级）资质</w:t>
      </w:r>
      <w:r>
        <w:rPr>
          <w:rFonts w:hint="eastAsia" w:ascii="宋体" w:hAnsi="宋体" w:eastAsia="宋体" w:cs="宋体"/>
          <w:b/>
          <w:bCs/>
          <w:color w:val="auto"/>
          <w:kern w:val="0"/>
          <w:sz w:val="24"/>
          <w:szCs w:val="24"/>
          <w:highlight w:val="none"/>
          <w:lang w:val="en-US" w:eastAsia="zh-CN" w:bidi="ar-SA"/>
        </w:rPr>
        <w:t>；</w:t>
      </w:r>
    </w:p>
    <w:p w14:paraId="3BDE236E">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7A0D4C99">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7EAA3B19">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48A10CD0">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3F017F06">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0FB8D80F">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05C71F89">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4FE9AB5A">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42F04D10">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352244CC">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48B4EB80">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137DEED1">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29594AC5">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50AB0CCE">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5EBD5379">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040DB776">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67AA7428">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7E2B2960">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79DE2651">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2CF7D031">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58B8FB0F">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7FAD52E9">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79A6C202">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56BB62F3">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0B45DD00">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06A4D9E2">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434DA234">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6C8C4FE0">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6ABADB3C">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6011175A">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74FC398C">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2AB75E64">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2B119F89">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3761EF18">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60E4F245">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606656A5">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5056FDC1">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1B7DD46A">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17CA0353">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49AB6604">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41EBF423">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59CDED6D">
      <w:pPr>
        <w:pStyle w:val="25"/>
        <w:widowControl w:val="0"/>
        <w:numPr>
          <w:ilvl w:val="0"/>
          <w:numId w:val="0"/>
        </w:numPr>
        <w:snapToGrid w:val="0"/>
        <w:jc w:val="center"/>
        <w:rPr>
          <w:rFonts w:hint="eastAsia" w:ascii="宋体" w:hAnsi="宋体" w:eastAsia="宋体" w:cs="宋体"/>
          <w:b/>
          <w:bCs/>
          <w:color w:val="auto"/>
          <w:kern w:val="0"/>
          <w:sz w:val="24"/>
          <w:szCs w:val="24"/>
          <w:highlight w:val="none"/>
          <w:lang w:val="en-US" w:eastAsia="zh-CN" w:bidi="ar-SA"/>
        </w:rPr>
      </w:pPr>
    </w:p>
    <w:p w14:paraId="34D69954">
      <w:pPr>
        <w:numPr>
          <w:ilvl w:val="0"/>
          <w:numId w:val="0"/>
        </w:numPr>
        <w:adjustRightInd w:val="0"/>
        <w:snapToGrid w:val="0"/>
        <w:spacing w:before="312" w:beforeLines="100" w:after="312" w:afterLines="100" w:line="36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、法定代表人身份证明书；法定代表人授权委托书；</w:t>
      </w:r>
    </w:p>
    <w:p w14:paraId="394B6AAA">
      <w:pPr>
        <w:adjustRightInd w:val="0"/>
        <w:snapToGrid w:val="0"/>
        <w:spacing w:before="312" w:beforeLines="100" w:after="312" w:afterLines="100"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（一）法定代表人身份证明书</w:t>
      </w:r>
    </w:p>
    <w:p w14:paraId="7341A139">
      <w:pPr>
        <w:spacing w:line="360" w:lineRule="auto"/>
        <w:rPr>
          <w:rFonts w:hint="eastAsia" w:ascii="宋体" w:hAnsi="宋体" w:cs="宋体"/>
          <w:color w:val="auto"/>
          <w:sz w:val="24"/>
          <w:highlight w:val="none"/>
        </w:rPr>
      </w:pPr>
      <w:r>
        <w:rPr>
          <w:rFonts w:hint="eastAsia" w:ascii="仿宋" w:hAnsi="仿宋" w:eastAsia="仿宋"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（职务）为法定代表人，特此证明。</w:t>
      </w:r>
    </w:p>
    <w:p w14:paraId="550D0D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                      签发日期：</w:t>
      </w:r>
    </w:p>
    <w:p w14:paraId="542769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性别：            年龄：           </w:t>
      </w:r>
    </w:p>
    <w:p w14:paraId="342E2C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                联系电话：</w:t>
      </w:r>
    </w:p>
    <w:p w14:paraId="7D04563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14:paraId="7FF6B4FE">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1F06519D">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1、法定代表人为企业事业单位、国家机关、社会团体的主要行政负责人。</w:t>
      </w:r>
    </w:p>
    <w:p w14:paraId="048E99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w:t>
      </w:r>
    </w:p>
    <w:p w14:paraId="49EC625B">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3、将此证明书原件提交采购代理机构作为谈判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附件。</w:t>
      </w:r>
    </w:p>
    <w:p w14:paraId="58ECC17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F7CDD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附：法定代表人身份证复印件</w:t>
      </w:r>
    </w:p>
    <w:p w14:paraId="33B35EE4">
      <w:pPr>
        <w:spacing w:line="360" w:lineRule="auto"/>
        <w:rPr>
          <w:rFonts w:hint="eastAsia" w:ascii="宋体" w:hAnsi="宋体" w:cs="宋体"/>
          <w:color w:val="auto"/>
          <w:sz w:val="24"/>
          <w:highlight w:val="none"/>
        </w:rPr>
      </w:pPr>
      <w:r>
        <w:rPr>
          <w:rFonts w:hint="eastAsia" w:ascii="宋体" w:hAnsi="宋体" w:cs="宋体"/>
          <w:color w:val="auto"/>
          <w:sz w:val="24"/>
          <w:highlight w:val="none"/>
        </w:rPr>
        <w:pict>
          <v:shape id="流程图: 可选过程 14" o:spid="_x0000_s1034"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lZOvXWAAAACAEAAA8AAAAAAAAA&#10;AQAgAAAAIgAAAGRycy9kb3ducmV2LnhtbFBLAQIUABQAAAAIAIdO4kAHChysEwIAABIEAAAOAAAA&#10;AAAAAAEAIAAAACUBAABkcnMvZTJvRG9jLnhtbFBLBQYAAAAABgAGAFkBAACqBQAAAAA=&#10;">
            <v:path/>
            <v:fill on="t" focussize="0,0"/>
            <v:stroke/>
            <v:imagedata o:title=""/>
            <o:lock v:ext="edit" aspectratio="f"/>
            <v:textbox>
              <w:txbxContent>
                <w:p w14:paraId="4086C739">
                  <w:pPr>
                    <w:jc w:val="center"/>
                    <w:rPr>
                      <w:rFonts w:hAnsi="宋体"/>
                      <w:szCs w:val="21"/>
                    </w:rPr>
                  </w:pPr>
                </w:p>
                <w:p w14:paraId="6AC3DB5D">
                  <w:pPr>
                    <w:jc w:val="center"/>
                    <w:rPr>
                      <w:rFonts w:hAnsi="宋体"/>
                      <w:szCs w:val="21"/>
                    </w:rPr>
                  </w:pPr>
                </w:p>
                <w:p w14:paraId="5593ABF9">
                  <w:pPr>
                    <w:jc w:val="center"/>
                    <w:rPr>
                      <w:rFonts w:hAnsi="宋体"/>
                      <w:szCs w:val="21"/>
                    </w:rPr>
                  </w:pPr>
                </w:p>
                <w:p w14:paraId="418FB14D">
                  <w:pPr>
                    <w:jc w:val="center"/>
                    <w:rPr>
                      <w:rFonts w:hint="eastAsia"/>
                      <w:szCs w:val="21"/>
                    </w:rPr>
                  </w:pPr>
                  <w:r>
                    <w:rPr>
                      <w:rFonts w:hint="eastAsia" w:hAnsi="宋体"/>
                      <w:szCs w:val="21"/>
                    </w:rPr>
                    <w:t>法定代表人身份证复印件正面</w:t>
                  </w:r>
                </w:p>
              </w:txbxContent>
            </v:textbox>
          </v:shape>
        </w:pict>
      </w:r>
      <w:r>
        <w:rPr>
          <w:rFonts w:hint="eastAsia" w:ascii="宋体" w:hAnsi="宋体" w:cs="宋体"/>
          <w:color w:val="auto"/>
          <w:sz w:val="24"/>
          <w:highlight w:val="none"/>
        </w:rPr>
        <w:pict>
          <v:roundrect id="圆角矩形 15" o:spid="_x0000_s1035" o:spt="2" style="position:absolute;left:0pt;margin-left:229.8pt;margin-top:2.25pt;height:122.6pt;width:205.5pt;z-index:25166028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9jX9oAAAAJAQAADwAAAAAA&#10;AAABACAAAAAiAAAAZHJzL2Rvd25yZXYueG1sUEsBAhQAFAAAAAgAh07iQDULHsMRAgAAGgQAAA4A&#10;AAAAAAAAAQAgAAAAKQEAAGRycy9lMm9Eb2MueG1sUEsFBgAAAAAGAAYAWQEAAKwFAAAAAA==&#10;">
            <v:path/>
            <v:fill on="t" focussize="0,0"/>
            <v:stroke weight="1.25pt" color="#808080"/>
            <v:imagedata o:title=""/>
            <o:lock v:ext="edit" aspectratio="f"/>
            <v:textbox>
              <w:txbxContent>
                <w:p w14:paraId="6CD201CB">
                  <w:pPr>
                    <w:jc w:val="center"/>
                    <w:rPr>
                      <w:rFonts w:hAnsi="宋体"/>
                      <w:szCs w:val="21"/>
                    </w:rPr>
                  </w:pPr>
                  <w:r>
                    <w:rPr>
                      <w:rFonts w:hint="eastAsia" w:hAnsi="宋体"/>
                      <w:szCs w:val="21"/>
                    </w:rPr>
                    <w:t xml:space="preserve">  </w:t>
                  </w:r>
                </w:p>
                <w:p w14:paraId="345B032F">
                  <w:pPr>
                    <w:jc w:val="center"/>
                    <w:rPr>
                      <w:rFonts w:hAnsi="宋体"/>
                      <w:szCs w:val="21"/>
                    </w:rPr>
                  </w:pPr>
                </w:p>
                <w:p w14:paraId="19CF4881">
                  <w:pPr>
                    <w:jc w:val="center"/>
                    <w:rPr>
                      <w:rFonts w:hAnsi="宋体"/>
                      <w:szCs w:val="21"/>
                    </w:rPr>
                  </w:pPr>
                </w:p>
                <w:p w14:paraId="05AC8028">
                  <w:pPr>
                    <w:jc w:val="center"/>
                    <w:rPr>
                      <w:szCs w:val="21"/>
                    </w:rPr>
                  </w:pPr>
                  <w:r>
                    <w:rPr>
                      <w:rFonts w:hint="eastAsia" w:hAnsi="宋体"/>
                      <w:szCs w:val="21"/>
                    </w:rPr>
                    <w:t>法定代表人身份证复印件反面</w:t>
                  </w:r>
                </w:p>
                <w:p w14:paraId="1F55B81F"/>
                <w:p w14:paraId="70190266">
                  <w:pPr>
                    <w:pStyle w:val="5"/>
                  </w:pPr>
                </w:p>
                <w:p w14:paraId="13A8C53A">
                  <w:pPr>
                    <w:pStyle w:val="5"/>
                  </w:pPr>
                </w:p>
                <w:p w14:paraId="20EB9256">
                  <w:pPr>
                    <w:pStyle w:val="5"/>
                  </w:pPr>
                </w:p>
                <w:p w14:paraId="527A109C">
                  <w:pPr>
                    <w:pStyle w:val="5"/>
                  </w:pPr>
                </w:p>
              </w:txbxContent>
            </v:textbox>
          </v:roundrect>
        </w:pict>
      </w:r>
    </w:p>
    <w:p w14:paraId="471A7A79">
      <w:pPr>
        <w:spacing w:line="360" w:lineRule="auto"/>
        <w:rPr>
          <w:rFonts w:hint="eastAsia" w:ascii="宋体" w:hAnsi="宋体" w:cs="宋体"/>
          <w:color w:val="auto"/>
          <w:sz w:val="24"/>
          <w:highlight w:val="none"/>
        </w:rPr>
      </w:pPr>
    </w:p>
    <w:p w14:paraId="279428C7">
      <w:pPr>
        <w:spacing w:line="360" w:lineRule="auto"/>
        <w:rPr>
          <w:rFonts w:hint="eastAsia" w:ascii="宋体" w:hAnsi="宋体" w:cs="宋体"/>
          <w:color w:val="auto"/>
          <w:sz w:val="24"/>
          <w:highlight w:val="none"/>
        </w:rPr>
      </w:pPr>
    </w:p>
    <w:p w14:paraId="026AD09F">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auto"/>
          <w:sz w:val="24"/>
          <w:highlight w:val="none"/>
        </w:rPr>
      </w:pPr>
    </w:p>
    <w:p w14:paraId="5BB5031C">
      <w:pPr>
        <w:autoSpaceDE w:val="0"/>
        <w:autoSpaceDN w:val="0"/>
        <w:adjustRightInd w:val="0"/>
        <w:spacing w:line="360" w:lineRule="auto"/>
        <w:ind w:right="246"/>
        <w:rPr>
          <w:rFonts w:hint="eastAsia" w:ascii="宋体" w:hAnsi="宋体" w:cs="宋体"/>
          <w:color w:val="auto"/>
          <w:kern w:val="0"/>
          <w:sz w:val="24"/>
          <w:highlight w:val="none"/>
        </w:rPr>
      </w:pPr>
    </w:p>
    <w:p w14:paraId="00C09110">
      <w:pPr>
        <w:autoSpaceDE w:val="0"/>
        <w:autoSpaceDN w:val="0"/>
        <w:adjustRightInd w:val="0"/>
        <w:spacing w:line="360" w:lineRule="auto"/>
        <w:ind w:right="246"/>
        <w:rPr>
          <w:rFonts w:hint="eastAsia" w:ascii="宋体" w:hAnsi="宋体" w:cs="宋体"/>
          <w:color w:val="auto"/>
          <w:kern w:val="0"/>
          <w:sz w:val="24"/>
          <w:highlight w:val="none"/>
        </w:rPr>
      </w:pPr>
    </w:p>
    <w:p w14:paraId="76B79FB0">
      <w:pPr>
        <w:pStyle w:val="25"/>
        <w:rPr>
          <w:rFonts w:hint="eastAsia"/>
          <w:color w:val="auto"/>
          <w:highlight w:val="none"/>
        </w:rPr>
      </w:pPr>
    </w:p>
    <w:p w14:paraId="0330D2D9">
      <w:pPr>
        <w:autoSpaceDE w:val="0"/>
        <w:autoSpaceDN w:val="0"/>
        <w:adjustRightInd w:val="0"/>
        <w:spacing w:line="360" w:lineRule="auto"/>
        <w:ind w:right="246" w:firstLine="784" w:firstLineChars="32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投标人（盖章）：         </w:t>
      </w:r>
      <w:r>
        <w:rPr>
          <w:rFonts w:hint="eastAsia" w:ascii="宋体" w:hAnsi="宋体" w:cs="宋体"/>
          <w:color w:val="auto"/>
          <w:kern w:val="0"/>
          <w:sz w:val="24"/>
          <w:highlight w:val="none"/>
          <w:u w:val="single"/>
        </w:rPr>
        <w:t xml:space="preserve">           </w:t>
      </w:r>
    </w:p>
    <w:p w14:paraId="0EB84B50">
      <w:pPr>
        <w:adjustRightInd w:val="0"/>
        <w:snapToGrid w:val="0"/>
        <w:spacing w:line="360" w:lineRule="auto"/>
        <w:ind w:firstLine="784" w:firstLineChars="327"/>
        <w:rPr>
          <w:rFonts w:hint="eastAsia" w:ascii="宋体" w:hAnsi="宋体" w:cs="宋体"/>
          <w:color w:val="auto"/>
          <w:sz w:val="24"/>
          <w:highlight w:val="none"/>
        </w:rPr>
      </w:pPr>
      <w:r>
        <w:rPr>
          <w:rFonts w:hint="eastAsia" w:ascii="宋体" w:hAnsi="宋体" w:cs="宋体"/>
          <w:color w:val="auto"/>
          <w:sz w:val="24"/>
          <w:highlight w:val="none"/>
        </w:rPr>
        <w:t>法定代表人（签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p>
    <w:p w14:paraId="3DBC88E5">
      <w:pPr>
        <w:adjustRightInd w:val="0"/>
        <w:snapToGrid w:val="0"/>
        <w:spacing w:line="360" w:lineRule="auto"/>
        <w:ind w:firstLine="784" w:firstLineChars="327"/>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1C08DB16">
      <w:pPr>
        <w:pStyle w:val="15"/>
        <w:tabs>
          <w:tab w:val="left" w:pos="5580"/>
        </w:tabs>
        <w:spacing w:line="240" w:lineRule="atLeast"/>
        <w:ind w:left="1079" w:leftChars="257" w:hanging="540"/>
        <w:rPr>
          <w:rFonts w:hint="eastAsia" w:ascii="仿宋" w:hAnsi="仿宋" w:eastAsia="仿宋"/>
          <w:b/>
          <w:color w:val="auto"/>
          <w:sz w:val="24"/>
          <w:highlight w:val="none"/>
        </w:rPr>
      </w:pPr>
    </w:p>
    <w:p w14:paraId="2D46BFF1">
      <w:pPr>
        <w:pStyle w:val="15"/>
        <w:tabs>
          <w:tab w:val="left" w:pos="5580"/>
        </w:tabs>
        <w:spacing w:line="240" w:lineRule="atLeast"/>
        <w:ind w:left="1108" w:leftChars="371" w:hanging="329" w:hangingChars="157"/>
        <w:rPr>
          <w:rFonts w:hint="eastAsia" w:hAnsi="宋体" w:cs="宋体"/>
          <w:color w:val="auto"/>
          <w:sz w:val="24"/>
          <w:highlight w:val="none"/>
        </w:rPr>
      </w:pPr>
      <w:r>
        <w:rPr>
          <w:rFonts w:hint="eastAsia"/>
          <w:color w:val="auto"/>
          <w:highlight w:val="none"/>
        </w:rPr>
        <w:t>注：</w:t>
      </w:r>
      <w:r>
        <w:rPr>
          <w:rFonts w:hint="eastAsia" w:hAnsi="宋体" w:cs="宋体"/>
          <w:color w:val="auto"/>
          <w:sz w:val="24"/>
          <w:highlight w:val="none"/>
        </w:rPr>
        <w:t>1. 投标人为自然人的，应提供身份证明的复印件。</w:t>
      </w:r>
    </w:p>
    <w:p w14:paraId="4D59BB65">
      <w:pPr>
        <w:pStyle w:val="15"/>
        <w:tabs>
          <w:tab w:val="left" w:pos="5580"/>
        </w:tabs>
        <w:spacing w:line="240" w:lineRule="atLeast"/>
        <w:ind w:left="1079" w:leftChars="257" w:hanging="540"/>
        <w:rPr>
          <w:rFonts w:hint="eastAsia" w:hAnsi="宋体" w:cs="宋体"/>
          <w:color w:val="auto"/>
          <w:sz w:val="24"/>
          <w:highlight w:val="none"/>
        </w:rPr>
      </w:pPr>
      <w:r>
        <w:rPr>
          <w:rFonts w:hint="eastAsia" w:hAnsi="宋体" w:cs="宋体"/>
          <w:color w:val="auto"/>
          <w:sz w:val="24"/>
          <w:highlight w:val="none"/>
        </w:rPr>
        <w:t xml:space="preserve">     </w:t>
      </w:r>
    </w:p>
    <w:p w14:paraId="5FD2FF46">
      <w:pPr>
        <w:pStyle w:val="3"/>
        <w:tabs>
          <w:tab w:val="left" w:pos="540"/>
        </w:tabs>
        <w:spacing w:line="240" w:lineRule="atLeast"/>
        <w:jc w:val="center"/>
        <w:rPr>
          <w:rFonts w:hint="eastAsia" w:ascii="宋体" w:hAnsi="宋体" w:cs="宋体"/>
          <w:color w:val="auto"/>
          <w:szCs w:val="28"/>
          <w:highlight w:val="none"/>
        </w:rPr>
      </w:pPr>
      <w:r>
        <w:rPr>
          <w:rFonts w:hint="eastAsia" w:ascii="宋体" w:hAnsi="宋体" w:cs="宋体"/>
          <w:color w:val="auto"/>
          <w:sz w:val="24"/>
          <w:szCs w:val="24"/>
          <w:highlight w:val="none"/>
        </w:rPr>
        <w:br w:type="page"/>
      </w:r>
      <w:bookmarkStart w:id="275" w:name="_Toc22472"/>
      <w:bookmarkStart w:id="276" w:name="_Toc515647807"/>
      <w:bookmarkStart w:id="277" w:name="_Toc23503"/>
      <w:bookmarkStart w:id="278" w:name="_Toc1083"/>
      <w:r>
        <w:rPr>
          <w:rFonts w:hint="eastAsia" w:asciiTheme="minorEastAsia" w:hAnsiTheme="minorEastAsia" w:eastAsiaTheme="minorEastAsia" w:cstheme="minorEastAsia"/>
          <w:color w:val="auto"/>
          <w:sz w:val="24"/>
          <w:szCs w:val="24"/>
          <w:highlight w:val="none"/>
        </w:rPr>
        <w:t xml:space="preserve"> </w:t>
      </w:r>
      <w:bookmarkStart w:id="279" w:name="_Toc29028"/>
      <w:bookmarkStart w:id="280" w:name="_Toc1846"/>
      <w:bookmarkStart w:id="281" w:name="_Toc23386"/>
      <w:r>
        <w:rPr>
          <w:rFonts w:hint="eastAsia" w:asciiTheme="minorEastAsia" w:hAnsiTheme="minorEastAsia" w:eastAsiaTheme="minorEastAsia" w:cstheme="minorEastAsia"/>
          <w:color w:val="auto"/>
          <w:sz w:val="24"/>
          <w:szCs w:val="24"/>
          <w:highlight w:val="none"/>
        </w:rPr>
        <w:t>（二）法定代表人授权委托书</w:t>
      </w:r>
      <w:bookmarkEnd w:id="275"/>
      <w:bookmarkEnd w:id="276"/>
      <w:bookmarkEnd w:id="277"/>
      <w:bookmarkEnd w:id="278"/>
      <w:bookmarkEnd w:id="279"/>
      <w:bookmarkEnd w:id="280"/>
      <w:bookmarkEnd w:id="281"/>
    </w:p>
    <w:p w14:paraId="59CB048D">
      <w:pPr>
        <w:pStyle w:val="3"/>
        <w:tabs>
          <w:tab w:val="left" w:pos="540"/>
        </w:tabs>
        <w:jc w:val="both"/>
        <w:rPr>
          <w:rFonts w:hint="eastAsia" w:ascii="宋体" w:hAnsi="宋体" w:cs="宋体"/>
          <w:color w:val="auto"/>
          <w:sz w:val="24"/>
          <w:highlight w:val="none"/>
        </w:rPr>
      </w:pPr>
      <w:bookmarkStart w:id="282" w:name="_Toc5232"/>
      <w:bookmarkStart w:id="283" w:name="_Toc6592"/>
      <w:bookmarkStart w:id="284" w:name="_Toc30228"/>
      <w:r>
        <w:rPr>
          <w:rFonts w:hint="eastAsia" w:ascii="宋体" w:hAnsi="宋体" w:cs="宋体"/>
          <w:color w:val="auto"/>
          <w:szCs w:val="28"/>
          <w:highlight w:val="none"/>
        </w:rPr>
        <w:cr/>
      </w:r>
      <w:r>
        <w:rPr>
          <w:rFonts w:hint="eastAsia" w:asciiTheme="minorEastAsia" w:hAnsiTheme="minorEastAsia" w:eastAsiaTheme="minorEastAsia" w:cstheme="minorEastAsia"/>
          <w:color w:val="auto"/>
          <w:sz w:val="24"/>
          <w:highlight w:val="none"/>
        </w:rPr>
        <w:t xml:space="preserve">    本授权书声明：注册于</w:t>
      </w:r>
      <w:r>
        <w:rPr>
          <w:rFonts w:hint="eastAsia" w:asciiTheme="minorEastAsia" w:hAnsiTheme="minorEastAsia" w:eastAsiaTheme="minorEastAsia" w:cstheme="minorEastAsia"/>
          <w:bCs/>
          <w:color w:val="auto"/>
          <w:sz w:val="24"/>
          <w:highlight w:val="none"/>
          <w:u w:val="single"/>
        </w:rPr>
        <w:t>（国家或地区的名称）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投标人</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法人代表姓名、职务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代表我单位授权</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单位名称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被授权人的姓名、职务</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为我单位的合法代理人，就</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bCs/>
          <w:color w:val="auto"/>
          <w:sz w:val="24"/>
          <w:highlight w:val="none"/>
          <w:u w:val="single"/>
        </w:rPr>
        <w:t>项目名称</w:t>
      </w:r>
      <w:r>
        <w:rPr>
          <w:rFonts w:hint="eastAsia" w:asciiTheme="minorEastAsia" w:hAnsiTheme="minorEastAsia" w:eastAsiaTheme="minorEastAsia" w:cstheme="minorEastAsia"/>
          <w:bCs/>
          <w:color w:val="auto"/>
          <w:sz w:val="24"/>
          <w:highlight w:val="none"/>
        </w:rPr>
        <w:t>）</w:t>
      </w:r>
      <w:r>
        <w:rPr>
          <w:rFonts w:hint="eastAsia" w:asciiTheme="minorEastAsia" w:hAnsiTheme="minorEastAsia" w:eastAsiaTheme="minorEastAsia" w:cstheme="minorEastAsia"/>
          <w:color w:val="auto"/>
          <w:sz w:val="24"/>
          <w:highlight w:val="none"/>
        </w:rPr>
        <w:t>的投标，以我单位名义处理一切与之有关的事务。</w:t>
      </w:r>
      <w:r>
        <w:rPr>
          <w:rFonts w:hint="eastAsia" w:ascii="宋体" w:hAnsi="宋体" w:cs="宋体"/>
          <w:color w:val="auto"/>
          <w:sz w:val="24"/>
          <w:highlight w:val="none"/>
        </w:rPr>
        <w:cr/>
      </w:r>
      <w:bookmarkEnd w:id="282"/>
      <w:bookmarkEnd w:id="283"/>
      <w:bookmarkEnd w:id="284"/>
      <w:r>
        <w:rPr>
          <w:rFonts w:hint="eastAsia" w:ascii="宋体" w:hAnsi="宋体" w:cs="宋体"/>
          <w:color w:val="auto"/>
          <w:sz w:val="24"/>
          <w:highlight w:val="none"/>
        </w:rPr>
        <w:t>　　</w:t>
      </w:r>
    </w:p>
    <w:p w14:paraId="35F7043B">
      <w:pPr>
        <w:pStyle w:val="15"/>
        <w:tabs>
          <w:tab w:val="left" w:pos="5580"/>
        </w:tabs>
        <w:spacing w:line="240" w:lineRule="atLeast"/>
        <w:ind w:left="-539" w:leftChars="-257" w:firstLine="900" w:firstLineChars="375"/>
        <w:rPr>
          <w:rFonts w:hint="eastAsia" w:hAnsi="宋体" w:cs="宋体"/>
          <w:color w:val="auto"/>
          <w:sz w:val="24"/>
          <w:highlight w:val="none"/>
        </w:rPr>
      </w:pPr>
    </w:p>
    <w:p w14:paraId="358E80E4">
      <w:pPr>
        <w:pStyle w:val="15"/>
        <w:tabs>
          <w:tab w:val="left" w:pos="5580"/>
        </w:tabs>
        <w:spacing w:line="240" w:lineRule="atLeast"/>
        <w:ind w:left="-539" w:leftChars="-257" w:firstLine="900" w:firstLineChars="375"/>
        <w:rPr>
          <w:rFonts w:hint="eastAsia" w:hAnsi="宋体" w:cs="宋体"/>
          <w:color w:val="auto"/>
          <w:sz w:val="24"/>
          <w:highlight w:val="none"/>
        </w:rPr>
      </w:pPr>
      <w:r>
        <w:rPr>
          <w:rFonts w:hint="eastAsia" w:hAnsi="宋体" w:cs="宋体"/>
          <w:color w:val="auto"/>
          <w:sz w:val="24"/>
          <w:highlight w:val="none"/>
        </w:rPr>
        <w:pict>
          <v:roundrect id="_x0000_s1036" o:spid="_x0000_s1036" o:spt="2" style="position:absolute;left:0pt;margin-left:222.65pt;margin-top:45.75pt;height:97.6pt;width:175.65pt;z-index:251664384;mso-width-relative:page;mso-height-relative:page;" fillcolor="#FFFFFF" filled="t" stroked="t" coordsize="21600,21600" arcsize="0.166666666666667">
            <v:path/>
            <v:fill on="t" focussize="0,0"/>
            <v:stroke weight="1.25pt" color="#808080"/>
            <v:imagedata o:title=""/>
            <o:lock v:ext="edit" aspectratio="f"/>
            <v:textbox>
              <w:txbxContent>
                <w:p w14:paraId="6E126DAB">
                  <w:pPr>
                    <w:jc w:val="center"/>
                    <w:rPr>
                      <w:rFonts w:hint="eastAsia" w:hAnsi="宋体"/>
                    </w:rPr>
                  </w:pPr>
                  <w:r>
                    <w:rPr>
                      <w:rFonts w:hint="eastAsia" w:hAnsi="宋体"/>
                    </w:rPr>
                    <w:t xml:space="preserve">  </w:t>
                  </w:r>
                </w:p>
                <w:p w14:paraId="4189B880">
                  <w:pPr>
                    <w:rPr>
                      <w:rFonts w:hint="eastAsia" w:hAnsi="宋体"/>
                    </w:rPr>
                  </w:pPr>
                </w:p>
                <w:p w14:paraId="2C9CF938">
                  <w:pPr>
                    <w:jc w:val="center"/>
                    <w:rPr>
                      <w:szCs w:val="21"/>
                    </w:rPr>
                  </w:pPr>
                  <w:r>
                    <w:rPr>
                      <w:rFonts w:hint="eastAsia" w:hAnsi="宋体"/>
                      <w:szCs w:val="21"/>
                    </w:rPr>
                    <w:t>法定代表人身份证复印件反面</w:t>
                  </w:r>
                </w:p>
                <w:p w14:paraId="44FC56DE"/>
              </w:txbxContent>
            </v:textbox>
          </v:roundrect>
        </w:pict>
      </w:r>
      <w:r>
        <w:rPr>
          <w:rFonts w:hint="eastAsia" w:hAnsi="宋体" w:cs="宋体"/>
          <w:color w:val="auto"/>
          <w:sz w:val="24"/>
          <w:highlight w:val="none"/>
        </w:rPr>
        <w:pict>
          <v:roundrect id="_x0000_s1037" o:spid="_x0000_s1037" o:spt="2" style="position:absolute;left:0pt;margin-left:25.35pt;margin-top:44.6pt;height:102.55pt;width:178.8pt;z-index:251663360;mso-width-relative:page;mso-height-relative:page;" fillcolor="#FFFFFF" filled="t" stroked="t" coordsize="21600,21600" arcsize="0.166666666666667">
            <v:path/>
            <v:fill on="t" focussize="0,0"/>
            <v:stroke weight="1.25pt" color="#808080"/>
            <v:imagedata o:title=""/>
            <o:lock v:ext="edit" aspectratio="f"/>
            <v:textbox>
              <w:txbxContent>
                <w:p w14:paraId="4D384EAC">
                  <w:pPr>
                    <w:jc w:val="center"/>
                    <w:rPr>
                      <w:rFonts w:hint="eastAsia" w:hAnsi="宋体"/>
                    </w:rPr>
                  </w:pPr>
                </w:p>
                <w:p w14:paraId="5DF0A44F">
                  <w:pPr>
                    <w:rPr>
                      <w:rFonts w:hint="eastAsia" w:hAnsi="宋体"/>
                    </w:rPr>
                  </w:pPr>
                </w:p>
                <w:p w14:paraId="5F267DF1">
                  <w:pPr>
                    <w:jc w:val="center"/>
                    <w:rPr>
                      <w:rFonts w:hint="eastAsia"/>
                      <w:szCs w:val="21"/>
                    </w:rPr>
                  </w:pPr>
                  <w:r>
                    <w:rPr>
                      <w:rFonts w:hint="eastAsia" w:hAnsi="宋体"/>
                      <w:szCs w:val="21"/>
                    </w:rPr>
                    <w:t>法定代表人身份证复印件正面</w:t>
                  </w:r>
                </w:p>
                <w:p w14:paraId="73140367"/>
              </w:txbxContent>
            </v:textbox>
          </v:roundrect>
        </w:pict>
      </w:r>
      <w:r>
        <w:rPr>
          <w:rFonts w:hint="eastAsia" w:hAnsi="宋体" w:cs="宋体"/>
          <w:color w:val="auto"/>
          <w:sz w:val="24"/>
          <w:highlight w:val="none"/>
        </w:rPr>
        <w:t>本授权书于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日签字生效,特此声明。</w:t>
      </w:r>
      <w:r>
        <w:rPr>
          <w:rFonts w:hint="eastAsia" w:hAnsi="宋体" w:cs="宋体"/>
          <w:color w:val="auto"/>
          <w:sz w:val="24"/>
          <w:highlight w:val="none"/>
        </w:rPr>
        <w:cr/>
      </w:r>
      <w:r>
        <w:rPr>
          <w:rFonts w:hint="eastAsia" w:hAnsi="宋体" w:cs="宋体"/>
          <w:color w:val="auto"/>
          <w:sz w:val="24"/>
          <w:highlight w:val="none"/>
        </w:rPr>
        <w:cr/>
      </w:r>
    </w:p>
    <w:p w14:paraId="43CF5F9C">
      <w:pPr>
        <w:pStyle w:val="15"/>
        <w:tabs>
          <w:tab w:val="left" w:pos="5580"/>
        </w:tabs>
        <w:spacing w:line="240" w:lineRule="atLeast"/>
        <w:ind w:left="-539" w:leftChars="-257" w:firstLine="900" w:firstLineChars="375"/>
        <w:rPr>
          <w:rFonts w:hint="eastAsia" w:hAnsi="宋体" w:cs="宋体"/>
          <w:color w:val="auto"/>
          <w:sz w:val="24"/>
          <w:highlight w:val="none"/>
        </w:rPr>
      </w:pPr>
    </w:p>
    <w:p w14:paraId="1FE508E0">
      <w:pPr>
        <w:spacing w:line="360" w:lineRule="auto"/>
        <w:ind w:firstLine="240" w:firstLineChars="100"/>
        <w:rPr>
          <w:rFonts w:hint="eastAsia" w:ascii="宋体" w:hAnsi="宋体" w:cs="宋体"/>
          <w:color w:val="auto"/>
          <w:sz w:val="24"/>
          <w:highlight w:val="none"/>
        </w:rPr>
      </w:pPr>
    </w:p>
    <w:p w14:paraId="03143ED9">
      <w:pPr>
        <w:spacing w:line="360" w:lineRule="auto"/>
        <w:ind w:firstLine="240" w:firstLineChars="100"/>
        <w:rPr>
          <w:rFonts w:hint="eastAsia" w:ascii="宋体" w:hAnsi="宋体" w:cs="宋体"/>
          <w:color w:val="auto"/>
          <w:sz w:val="24"/>
          <w:highlight w:val="none"/>
        </w:rPr>
      </w:pPr>
    </w:p>
    <w:p w14:paraId="052365F2">
      <w:pPr>
        <w:spacing w:line="360" w:lineRule="auto"/>
        <w:ind w:firstLine="240" w:firstLineChars="100"/>
        <w:rPr>
          <w:rFonts w:hint="eastAsia" w:ascii="宋体" w:hAnsi="宋体" w:cs="宋体"/>
          <w:color w:val="auto"/>
          <w:sz w:val="24"/>
          <w:highlight w:val="none"/>
        </w:rPr>
      </w:pPr>
    </w:p>
    <w:p w14:paraId="2AF8E21C">
      <w:pPr>
        <w:spacing w:line="360" w:lineRule="auto"/>
        <w:ind w:firstLine="240" w:firstLineChars="100"/>
        <w:rPr>
          <w:rFonts w:hint="eastAsia" w:ascii="宋体" w:hAnsi="宋体" w:cs="宋体"/>
          <w:color w:val="auto"/>
          <w:sz w:val="24"/>
          <w:highlight w:val="none"/>
        </w:rPr>
      </w:pPr>
    </w:p>
    <w:p w14:paraId="256033AE">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pict>
          <v:roundrect id="_x0000_s1038" o:spid="_x0000_s1038" o:spt="2" style="position:absolute;left:0pt;margin-left:226.55pt;margin-top:3.5pt;height:95.4pt;width:178.65pt;z-index:251662336;mso-width-relative:page;mso-height-relative:page;" fillcolor="#FFFFFF" filled="t" stroked="t" coordsize="21600,21600" arcsize="0.166666666666667">
            <v:path/>
            <v:fill on="t" focussize="0,0"/>
            <v:stroke weight="1.25pt" color="#808080"/>
            <v:imagedata o:title=""/>
            <o:lock v:ext="edit" aspectratio="f"/>
            <v:textbox>
              <w:txbxContent>
                <w:p w14:paraId="21542376">
                  <w:pPr>
                    <w:rPr>
                      <w:rFonts w:hint="eastAsia" w:hAnsi="宋体"/>
                    </w:rPr>
                  </w:pPr>
                </w:p>
                <w:p w14:paraId="7EDA30FC">
                  <w:pPr>
                    <w:rPr>
                      <w:rFonts w:hint="eastAsia" w:hAnsi="宋体"/>
                    </w:rPr>
                  </w:pPr>
                </w:p>
                <w:p w14:paraId="265955B0">
                  <w:r>
                    <w:rPr>
                      <w:rFonts w:hint="eastAsia" w:hAnsi="宋体"/>
                    </w:rPr>
                    <w:t>被授权委托人身份证复印件反面</w:t>
                  </w:r>
                </w:p>
                <w:p w14:paraId="04C4F07E"/>
              </w:txbxContent>
            </v:textbox>
          </v:roundrect>
        </w:pict>
      </w:r>
      <w:r>
        <w:rPr>
          <w:rFonts w:hint="eastAsia" w:ascii="宋体" w:hAnsi="宋体" w:cs="宋体"/>
          <w:color w:val="auto"/>
          <w:sz w:val="24"/>
          <w:highlight w:val="none"/>
        </w:rPr>
        <w:pict>
          <v:shape id="_x0000_s1039" o:spid="_x0000_s1039" o:spt="176" type="#_x0000_t176" style="position:absolute;left:0pt;margin-left:27.9pt;margin-top:4.75pt;height:95.25pt;width:177.95pt;z-index:251661312;mso-width-relative:page;mso-height-relative:page;" fillcolor="#FFFFFF" filled="t" stroked="t" coordsize="21600,21600">
            <v:path/>
            <v:fill on="t" focussize="0,0"/>
            <v:stroke/>
            <v:imagedata o:title=""/>
            <o:lock v:ext="edit" aspectratio="f"/>
            <v:textbox>
              <w:txbxContent>
                <w:p w14:paraId="7B584462">
                  <w:pPr>
                    <w:rPr>
                      <w:rFonts w:hint="eastAsia" w:hAnsi="宋体"/>
                    </w:rPr>
                  </w:pPr>
                </w:p>
                <w:p w14:paraId="43B02466">
                  <w:pPr>
                    <w:jc w:val="center"/>
                    <w:rPr>
                      <w:rFonts w:hint="eastAsia" w:hAnsi="宋体"/>
                    </w:rPr>
                  </w:pPr>
                </w:p>
                <w:p w14:paraId="30E4F74E">
                  <w:pPr>
                    <w:jc w:val="center"/>
                  </w:pPr>
                  <w:r>
                    <w:rPr>
                      <w:rFonts w:hint="eastAsia" w:hAnsi="宋体"/>
                    </w:rPr>
                    <w:t>被授权委托人身份证复印件正面</w:t>
                  </w:r>
                </w:p>
              </w:txbxContent>
            </v:textbox>
          </v:shape>
        </w:pict>
      </w:r>
    </w:p>
    <w:p w14:paraId="372E7B1A">
      <w:pPr>
        <w:spacing w:line="360" w:lineRule="auto"/>
        <w:ind w:firstLine="240" w:firstLineChars="100"/>
        <w:rPr>
          <w:rFonts w:hint="eastAsia" w:ascii="宋体" w:hAnsi="宋体" w:cs="宋体"/>
          <w:color w:val="auto"/>
          <w:sz w:val="24"/>
          <w:highlight w:val="none"/>
        </w:rPr>
      </w:pPr>
    </w:p>
    <w:p w14:paraId="3569E8B8">
      <w:pPr>
        <w:spacing w:line="360" w:lineRule="auto"/>
        <w:ind w:firstLine="240" w:firstLineChars="100"/>
        <w:rPr>
          <w:rFonts w:hint="eastAsia" w:ascii="宋体" w:hAnsi="宋体" w:cs="宋体"/>
          <w:color w:val="auto"/>
          <w:sz w:val="24"/>
          <w:highlight w:val="none"/>
        </w:rPr>
      </w:pPr>
    </w:p>
    <w:p w14:paraId="235F5372">
      <w:pPr>
        <w:spacing w:line="360" w:lineRule="auto"/>
        <w:rPr>
          <w:rFonts w:hint="eastAsia" w:ascii="宋体" w:hAnsi="宋体" w:cs="宋体"/>
          <w:color w:val="auto"/>
          <w:sz w:val="24"/>
          <w:highlight w:val="none"/>
        </w:rPr>
      </w:pPr>
    </w:p>
    <w:p w14:paraId="4ACDAA89">
      <w:pPr>
        <w:pStyle w:val="15"/>
        <w:tabs>
          <w:tab w:val="left" w:pos="5580"/>
        </w:tabs>
        <w:spacing w:line="240" w:lineRule="atLeast"/>
        <w:rPr>
          <w:rFonts w:hint="eastAsia" w:hAnsi="宋体" w:cs="宋体"/>
          <w:color w:val="auto"/>
          <w:sz w:val="24"/>
          <w:highlight w:val="none"/>
        </w:rPr>
      </w:pPr>
    </w:p>
    <w:p w14:paraId="48C4BFA8">
      <w:pPr>
        <w:pStyle w:val="15"/>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投 标 人（盖章）：</w:t>
      </w:r>
      <w:r>
        <w:rPr>
          <w:rFonts w:hint="eastAsia" w:hAnsi="宋体" w:cs="宋体"/>
          <w:color w:val="auto"/>
          <w:sz w:val="24"/>
          <w:highlight w:val="none"/>
          <w:u w:val="single"/>
        </w:rPr>
        <w:t xml:space="preserve">                           </w:t>
      </w:r>
    </w:p>
    <w:p w14:paraId="224AFACE">
      <w:pPr>
        <w:pStyle w:val="15"/>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法定代表人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p>
    <w:p w14:paraId="2C4B148A">
      <w:pPr>
        <w:pStyle w:val="15"/>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u w:val="single" w:color="EEECE1"/>
        </w:rPr>
        <w:t>身</w:t>
      </w:r>
      <w:r>
        <w:rPr>
          <w:rFonts w:hint="eastAsia" w:hAnsi="宋体" w:cs="宋体"/>
          <w:color w:val="auto"/>
          <w:sz w:val="24"/>
          <w:highlight w:val="none"/>
        </w:rPr>
        <w:t>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5B66382">
      <w:pPr>
        <w:pStyle w:val="15"/>
        <w:tabs>
          <w:tab w:val="left" w:pos="5580"/>
        </w:tabs>
        <w:spacing w:line="360" w:lineRule="auto"/>
        <w:ind w:firstLine="960" w:firstLineChars="400"/>
        <w:rPr>
          <w:rFonts w:hint="eastAsia" w:hAnsi="宋体" w:eastAsia="宋体" w:cs="宋体"/>
          <w:color w:val="auto"/>
          <w:sz w:val="24"/>
          <w:highlight w:val="none"/>
          <w:u w:val="single"/>
          <w:lang w:val="en-US" w:eastAsia="zh-CN"/>
        </w:rPr>
      </w:pPr>
      <w:r>
        <w:rPr>
          <w:rFonts w:hint="eastAsia" w:hAnsi="宋体" w:cs="宋体"/>
          <w:color w:val="auto"/>
          <w:sz w:val="24"/>
          <w:highlight w:val="none"/>
        </w:rPr>
        <w:t>委托代理人</w:t>
      </w:r>
      <w:r>
        <w:rPr>
          <w:rFonts w:hint="eastAsia" w:ascii="宋体" w:hAnsi="宋体" w:cs="宋体"/>
          <w:color w:val="auto"/>
          <w:sz w:val="24"/>
          <w:highlight w:val="none"/>
        </w:rPr>
        <w:t>（签</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章）</w:t>
      </w:r>
      <w:r>
        <w:rPr>
          <w:rFonts w:hint="eastAsia" w:hAnsi="宋体" w:cs="宋体"/>
          <w:color w:val="auto"/>
          <w:sz w:val="24"/>
          <w:highlight w:val="none"/>
        </w:rPr>
        <w:t>：</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p>
    <w:p w14:paraId="6122B8B2">
      <w:pPr>
        <w:pStyle w:val="15"/>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身份证号码：</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1E9359E">
      <w:pPr>
        <w:pStyle w:val="15"/>
        <w:tabs>
          <w:tab w:val="left" w:pos="5580"/>
        </w:tabs>
        <w:spacing w:line="360" w:lineRule="auto"/>
        <w:ind w:firstLine="960" w:firstLineChars="400"/>
        <w:rPr>
          <w:rFonts w:hint="eastAsia" w:hAnsi="宋体" w:cs="宋体"/>
          <w:color w:val="auto"/>
          <w:sz w:val="24"/>
          <w:highlight w:val="none"/>
        </w:rPr>
      </w:pPr>
      <w:r>
        <w:rPr>
          <w:rFonts w:hint="eastAsia" w:hAnsi="宋体" w:cs="宋体"/>
          <w:color w:val="auto"/>
          <w:sz w:val="24"/>
          <w:highlight w:val="none"/>
        </w:rPr>
        <w:t>详细通讯地址：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3C5F9E8C">
      <w:pPr>
        <w:pStyle w:val="15"/>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邮 政 编 码 ：</w:t>
      </w:r>
      <w:r>
        <w:rPr>
          <w:rFonts w:hint="eastAsia" w:hAnsi="宋体" w:cs="宋体"/>
          <w:color w:val="auto"/>
          <w:sz w:val="24"/>
          <w:highlight w:val="none"/>
          <w:u w:val="single"/>
        </w:rPr>
        <w:t xml:space="preserve">                               </w:t>
      </w:r>
    </w:p>
    <w:p w14:paraId="4F2C054F">
      <w:pPr>
        <w:pStyle w:val="15"/>
        <w:tabs>
          <w:tab w:val="left" w:pos="5580"/>
        </w:tabs>
        <w:spacing w:line="360" w:lineRule="auto"/>
        <w:ind w:firstLine="960" w:firstLineChars="400"/>
        <w:rPr>
          <w:rFonts w:hint="eastAsia" w:hAnsi="宋体" w:cs="宋体"/>
          <w:color w:val="auto"/>
          <w:sz w:val="24"/>
          <w:highlight w:val="none"/>
          <w:u w:val="single"/>
        </w:rPr>
      </w:pPr>
      <w:r>
        <w:rPr>
          <w:rFonts w:hint="eastAsia" w:hAnsi="宋体" w:cs="宋体"/>
          <w:color w:val="auto"/>
          <w:sz w:val="24"/>
          <w:highlight w:val="none"/>
        </w:rPr>
        <w:t>日       期 ：</w:t>
      </w:r>
      <w:r>
        <w:rPr>
          <w:rFonts w:hint="eastAsia" w:hAnsi="宋体" w:cs="宋体"/>
          <w:color w:val="auto"/>
          <w:sz w:val="24"/>
          <w:highlight w:val="none"/>
          <w:u w:val="single"/>
        </w:rPr>
        <w:t xml:space="preserve">                               </w:t>
      </w:r>
    </w:p>
    <w:p w14:paraId="30F016BD">
      <w:pPr>
        <w:pStyle w:val="15"/>
        <w:tabs>
          <w:tab w:val="left" w:pos="5580"/>
        </w:tabs>
        <w:spacing w:line="360" w:lineRule="auto"/>
        <w:ind w:firstLine="480" w:firstLineChars="200"/>
        <w:rPr>
          <w:rFonts w:hint="eastAsia" w:hAnsi="宋体" w:cs="宋体"/>
          <w:color w:val="auto"/>
          <w:sz w:val="24"/>
          <w:highlight w:val="none"/>
          <w:u w:val="single"/>
        </w:rPr>
      </w:pPr>
    </w:p>
    <w:p w14:paraId="0196298B">
      <w:pPr>
        <w:pStyle w:val="15"/>
        <w:tabs>
          <w:tab w:val="left" w:pos="5580"/>
        </w:tabs>
        <w:spacing w:line="360" w:lineRule="auto"/>
        <w:ind w:firstLine="480" w:firstLineChars="200"/>
        <w:rPr>
          <w:rFonts w:hint="eastAsia" w:hAnsi="宋体" w:cs="宋体"/>
          <w:color w:val="auto"/>
          <w:sz w:val="24"/>
          <w:highlight w:val="none"/>
          <w:u w:val="single"/>
        </w:rPr>
      </w:pPr>
    </w:p>
    <w:p w14:paraId="66946537">
      <w:pPr>
        <w:tabs>
          <w:tab w:val="left" w:pos="5580"/>
        </w:tabs>
        <w:spacing w:line="360" w:lineRule="exact"/>
        <w:rPr>
          <w:rFonts w:hint="eastAsia" w:ascii="宋体" w:hAnsi="宋体" w:cs="宋体"/>
          <w:b/>
          <w:bCs/>
          <w:color w:val="auto"/>
          <w:sz w:val="28"/>
          <w:szCs w:val="28"/>
          <w:highlight w:val="none"/>
        </w:rPr>
      </w:pPr>
    </w:p>
    <w:p w14:paraId="433AC8D5">
      <w:pPr>
        <w:pStyle w:val="25"/>
        <w:rPr>
          <w:rFonts w:hint="eastAsia"/>
          <w:highlight w:val="none"/>
        </w:rPr>
      </w:pPr>
    </w:p>
    <w:p w14:paraId="281BFAD0">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atLeast"/>
        <w:jc w:val="center"/>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2BDD3EB6">
      <w:pPr>
        <w:pStyle w:val="5"/>
        <w:ind w:firstLine="0"/>
        <w:rPr>
          <w:color w:val="auto"/>
          <w:highlight w:val="none"/>
        </w:rPr>
      </w:pPr>
    </w:p>
    <w:p w14:paraId="0EB4C04C">
      <w:pPr>
        <w:pStyle w:val="5"/>
        <w:ind w:firstLine="480" w:firstLineChars="200"/>
        <w:rPr>
          <w:color w:val="auto"/>
          <w:highlight w:val="none"/>
        </w:rPr>
      </w:pPr>
      <w:r>
        <w:rPr>
          <w:rFonts w:hint="eastAsia"/>
          <w:color w:val="auto"/>
          <w:highlight w:val="none"/>
        </w:rPr>
        <w:t>注：</w:t>
      </w:r>
      <w:r>
        <w:rPr>
          <w:color w:val="auto"/>
          <w:highlight w:val="none"/>
        </w:rPr>
        <w:t>如果是联合体投标，联合体各方均需提供上述证明。</w:t>
      </w:r>
    </w:p>
    <w:p w14:paraId="1F41FD35">
      <w:pPr>
        <w:pStyle w:val="5"/>
        <w:ind w:firstLine="0"/>
        <w:rPr>
          <w:color w:val="auto"/>
          <w:highlight w:val="none"/>
        </w:rPr>
      </w:pPr>
    </w:p>
    <w:p w14:paraId="22FF22C3">
      <w:pPr>
        <w:pStyle w:val="5"/>
        <w:ind w:firstLine="0"/>
        <w:rPr>
          <w:color w:val="auto"/>
          <w:highlight w:val="none"/>
        </w:rPr>
      </w:pPr>
    </w:p>
    <w:p w14:paraId="14CF3882">
      <w:pPr>
        <w:pStyle w:val="5"/>
        <w:ind w:firstLine="0"/>
        <w:rPr>
          <w:color w:val="auto"/>
          <w:highlight w:val="none"/>
        </w:rPr>
      </w:pPr>
    </w:p>
    <w:p w14:paraId="12C5BF75">
      <w:pPr>
        <w:pStyle w:val="5"/>
        <w:ind w:firstLine="0"/>
        <w:rPr>
          <w:color w:val="auto"/>
          <w:highlight w:val="none"/>
        </w:rPr>
      </w:pPr>
    </w:p>
    <w:p w14:paraId="4D28FAF1">
      <w:pPr>
        <w:pStyle w:val="5"/>
        <w:ind w:firstLine="0"/>
        <w:rPr>
          <w:color w:val="auto"/>
          <w:highlight w:val="none"/>
        </w:rPr>
      </w:pPr>
    </w:p>
    <w:p w14:paraId="3E989C5D">
      <w:pPr>
        <w:pStyle w:val="5"/>
        <w:ind w:firstLine="0"/>
        <w:rPr>
          <w:color w:val="auto"/>
          <w:highlight w:val="none"/>
        </w:rPr>
      </w:pPr>
    </w:p>
    <w:p w14:paraId="7E6A3223">
      <w:pPr>
        <w:pStyle w:val="5"/>
        <w:keepNext w:val="0"/>
        <w:keepLines w:val="0"/>
        <w:pageBreakBefore w:val="0"/>
        <w:widowControl w:val="0"/>
        <w:kinsoku/>
        <w:wordWrap/>
        <w:overflowPunct/>
        <w:topLinePunct w:val="0"/>
        <w:bidi w:val="0"/>
        <w:snapToGrid/>
        <w:spacing w:line="440" w:lineRule="exact"/>
        <w:ind w:firstLine="0"/>
        <w:textAlignment w:val="auto"/>
        <w:rPr>
          <w:color w:val="auto"/>
          <w:highlight w:val="none"/>
        </w:rPr>
      </w:pPr>
    </w:p>
    <w:p w14:paraId="777D2009">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atLeast"/>
        <w:jc w:val="center"/>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2024年度或2025年度经会计师事务所出具财务审计报告（事业法人单位可提供内审财务报表或征信证明）（2026年新成立的公司须提供近六个月任意一个月的银行资信证明）</w:t>
      </w:r>
      <w:r>
        <w:rPr>
          <w:rFonts w:hint="eastAsia" w:ascii="宋体" w:hAnsi="宋体" w:eastAsia="宋体" w:cs="宋体"/>
          <w:b/>
          <w:bCs/>
          <w:color w:val="auto"/>
          <w:sz w:val="24"/>
          <w:highlight w:val="none"/>
          <w:lang w:val="en-US" w:eastAsia="zh-CN"/>
        </w:rPr>
        <w:t>；</w:t>
      </w:r>
    </w:p>
    <w:p w14:paraId="3809F1AB">
      <w:pPr>
        <w:pStyle w:val="5"/>
        <w:ind w:firstLine="480" w:firstLineChars="200"/>
        <w:rPr>
          <w:color w:val="auto"/>
          <w:highlight w:val="none"/>
        </w:rPr>
      </w:pPr>
      <w:r>
        <w:rPr>
          <w:rFonts w:hint="eastAsia"/>
          <w:color w:val="auto"/>
          <w:highlight w:val="none"/>
        </w:rPr>
        <w:t>注：</w:t>
      </w:r>
      <w:r>
        <w:rPr>
          <w:color w:val="auto"/>
          <w:highlight w:val="none"/>
        </w:rPr>
        <w:t>如果是联合体投标，联合体各方均需提供上述证明。</w:t>
      </w:r>
    </w:p>
    <w:p w14:paraId="0C5F8E1C">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atLeast"/>
        <w:jc w:val="center"/>
        <w:textAlignment w:val="auto"/>
        <w:rPr>
          <w:rFonts w:hint="eastAsia" w:ascii="宋体" w:hAnsi="宋体" w:eastAsia="宋体" w:cs="宋体"/>
          <w:b/>
          <w:bCs/>
          <w:color w:val="auto"/>
          <w:sz w:val="24"/>
          <w:szCs w:val="24"/>
          <w:highlight w:val="none"/>
          <w:lang w:val="en-US" w:eastAsia="zh-CN"/>
        </w:rPr>
      </w:pPr>
    </w:p>
    <w:p w14:paraId="21D62550">
      <w:pPr>
        <w:pStyle w:val="25"/>
        <w:rPr>
          <w:rFonts w:hint="eastAsia" w:ascii="宋体" w:hAnsi="宋体" w:eastAsia="宋体" w:cs="宋体"/>
          <w:b/>
          <w:bCs/>
          <w:color w:val="auto"/>
          <w:sz w:val="28"/>
          <w:szCs w:val="28"/>
          <w:highlight w:val="none"/>
          <w:lang w:val="en-US" w:eastAsia="zh-CN"/>
        </w:rPr>
      </w:pPr>
    </w:p>
    <w:p w14:paraId="68D0C08E">
      <w:pPr>
        <w:pStyle w:val="25"/>
        <w:rPr>
          <w:rFonts w:hint="eastAsia" w:ascii="宋体" w:hAnsi="宋体" w:eastAsia="宋体" w:cs="宋体"/>
          <w:b/>
          <w:bCs/>
          <w:color w:val="auto"/>
          <w:sz w:val="28"/>
          <w:szCs w:val="28"/>
          <w:highlight w:val="none"/>
          <w:lang w:val="en-US" w:eastAsia="zh-CN"/>
        </w:rPr>
      </w:pPr>
    </w:p>
    <w:p w14:paraId="468EBB01">
      <w:pPr>
        <w:pStyle w:val="25"/>
        <w:rPr>
          <w:rFonts w:hint="eastAsia" w:ascii="宋体" w:hAnsi="宋体" w:eastAsia="宋体" w:cs="宋体"/>
          <w:b/>
          <w:bCs/>
          <w:color w:val="auto"/>
          <w:sz w:val="28"/>
          <w:szCs w:val="28"/>
          <w:highlight w:val="none"/>
          <w:lang w:val="en-US" w:eastAsia="zh-CN"/>
        </w:rPr>
      </w:pPr>
    </w:p>
    <w:p w14:paraId="098F8416">
      <w:pPr>
        <w:pStyle w:val="25"/>
        <w:rPr>
          <w:rFonts w:hint="eastAsia" w:ascii="宋体" w:hAnsi="宋体" w:eastAsia="宋体" w:cs="宋体"/>
          <w:b/>
          <w:bCs/>
          <w:color w:val="auto"/>
          <w:sz w:val="28"/>
          <w:szCs w:val="28"/>
          <w:highlight w:val="none"/>
          <w:lang w:val="en-US" w:eastAsia="zh-CN"/>
        </w:rPr>
      </w:pPr>
    </w:p>
    <w:p w14:paraId="69A4BA13">
      <w:pPr>
        <w:pStyle w:val="25"/>
        <w:rPr>
          <w:rFonts w:hint="eastAsia" w:ascii="宋体" w:hAnsi="宋体" w:eastAsia="宋体" w:cs="宋体"/>
          <w:b/>
          <w:bCs/>
          <w:color w:val="auto"/>
          <w:sz w:val="28"/>
          <w:szCs w:val="28"/>
          <w:highlight w:val="none"/>
          <w:lang w:val="en-US" w:eastAsia="zh-CN"/>
        </w:rPr>
      </w:pPr>
    </w:p>
    <w:p w14:paraId="6DF047A4">
      <w:pPr>
        <w:numPr>
          <w:ilvl w:val="0"/>
          <w:numId w:val="0"/>
        </w:numPr>
        <w:tabs>
          <w:tab w:val="left" w:pos="5580"/>
        </w:tabs>
        <w:spacing w:line="240" w:lineRule="atLeast"/>
        <w:jc w:val="both"/>
        <w:rPr>
          <w:rFonts w:hint="eastAsia" w:ascii="宋体" w:hAnsi="宋体" w:eastAsia="宋体" w:cs="宋体"/>
          <w:b/>
          <w:bCs/>
          <w:color w:val="auto"/>
          <w:sz w:val="28"/>
          <w:szCs w:val="28"/>
          <w:highlight w:val="none"/>
          <w:lang w:val="en-US" w:eastAsia="zh-CN"/>
        </w:rPr>
      </w:pPr>
    </w:p>
    <w:p w14:paraId="32A2A1A8">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atLeast"/>
        <w:ind w:left="539" w:leftChars="257"/>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未被“信用中国”网站列入失信被执行人、重大税收违法案件当事人名单；“中国政府采购网”网站列入政府采购严重违法失信行为信息记录名单（处罚期限尚未届满的）的；“国家企业信用信息公示系统”被列入经营异常名录信息、列入严重违法失信企业名单（黑名单）的企业，</w:t>
      </w:r>
      <w:r>
        <w:rPr>
          <w:rFonts w:hint="eastAsia" w:ascii="宋体" w:hAnsi="宋体" w:cs="宋体"/>
          <w:b/>
          <w:bCs/>
          <w:color w:val="auto"/>
          <w:sz w:val="24"/>
          <w:szCs w:val="24"/>
          <w:highlight w:val="none"/>
          <w:lang w:val="en-US" w:eastAsia="zh-CN"/>
        </w:rPr>
        <w:t>附网站截图或报告；</w:t>
      </w:r>
    </w:p>
    <w:p w14:paraId="3F8DB8E6">
      <w:pPr>
        <w:pStyle w:val="5"/>
        <w:ind w:firstLine="480" w:firstLineChars="200"/>
        <w:rPr>
          <w:color w:val="auto"/>
          <w:highlight w:val="none"/>
        </w:rPr>
      </w:pPr>
      <w:r>
        <w:rPr>
          <w:rFonts w:hint="eastAsia"/>
          <w:color w:val="auto"/>
          <w:highlight w:val="none"/>
        </w:rPr>
        <w:t>注：</w:t>
      </w:r>
      <w:r>
        <w:rPr>
          <w:color w:val="auto"/>
          <w:highlight w:val="none"/>
        </w:rPr>
        <w:t>如果是联合体投标，联合体各方均需提供上述证明。</w:t>
      </w:r>
    </w:p>
    <w:p w14:paraId="4B79BA2B">
      <w:pPr>
        <w:pStyle w:val="5"/>
        <w:ind w:firstLine="0"/>
        <w:rPr>
          <w:rFonts w:hint="eastAsia"/>
          <w:color w:val="auto"/>
          <w:highlight w:val="none"/>
        </w:rPr>
      </w:pPr>
    </w:p>
    <w:p w14:paraId="4E59133E">
      <w:pPr>
        <w:pStyle w:val="5"/>
        <w:ind w:firstLine="0"/>
        <w:rPr>
          <w:rFonts w:hint="eastAsia"/>
          <w:color w:val="auto"/>
          <w:highlight w:val="none"/>
        </w:rPr>
      </w:pPr>
    </w:p>
    <w:p w14:paraId="7B4A67F5">
      <w:pPr>
        <w:pStyle w:val="5"/>
        <w:ind w:firstLine="0"/>
        <w:rPr>
          <w:rFonts w:hint="eastAsia"/>
          <w:color w:val="auto"/>
          <w:highlight w:val="none"/>
        </w:rPr>
      </w:pPr>
    </w:p>
    <w:p w14:paraId="1FAD1F54">
      <w:pPr>
        <w:pStyle w:val="5"/>
        <w:ind w:firstLine="0"/>
        <w:rPr>
          <w:rFonts w:hint="eastAsia"/>
          <w:color w:val="auto"/>
          <w:highlight w:val="none"/>
        </w:rPr>
      </w:pPr>
    </w:p>
    <w:p w14:paraId="5EA59753">
      <w:pPr>
        <w:pStyle w:val="5"/>
        <w:ind w:firstLine="0"/>
        <w:rPr>
          <w:rFonts w:hint="eastAsia"/>
          <w:color w:val="auto"/>
          <w:highlight w:val="none"/>
        </w:rPr>
      </w:pPr>
    </w:p>
    <w:p w14:paraId="77505D27">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jc w:val="center"/>
        <w:textAlignment w:val="auto"/>
        <w:rPr>
          <w:rFonts w:hAnsi="宋体" w:cs="宋体"/>
          <w:b/>
          <w:bCs/>
          <w:color w:val="auto"/>
          <w:sz w:val="24"/>
          <w:szCs w:val="24"/>
          <w:highlight w:val="none"/>
        </w:rPr>
      </w:pPr>
      <w:r>
        <w:rPr>
          <w:rFonts w:hint="eastAsia" w:hAnsi="宋体" w:cs="宋体"/>
          <w:b/>
          <w:bCs/>
          <w:color w:val="auto"/>
          <w:sz w:val="24"/>
          <w:szCs w:val="24"/>
          <w:highlight w:val="none"/>
          <w:lang w:val="en-US" w:eastAsia="zh-CN"/>
        </w:rPr>
        <w:t>8、</w:t>
      </w:r>
      <w:r>
        <w:rPr>
          <w:rFonts w:hAnsi="宋体" w:cs="宋体"/>
          <w:b/>
          <w:bCs/>
          <w:color w:val="auto"/>
          <w:sz w:val="24"/>
          <w:szCs w:val="24"/>
          <w:highlight w:val="none"/>
        </w:rPr>
        <w:t>参加政府采购活动近3年内，在经营活动中没有重大违法记录的书面声明；</w:t>
      </w:r>
    </w:p>
    <w:p w14:paraId="250F9FDC">
      <w:pPr>
        <w:pStyle w:val="5"/>
        <w:ind w:firstLine="480" w:firstLineChars="200"/>
        <w:rPr>
          <w:color w:val="auto"/>
          <w:highlight w:val="none"/>
        </w:rPr>
      </w:pPr>
      <w:r>
        <w:rPr>
          <w:rFonts w:hint="eastAsia"/>
          <w:color w:val="auto"/>
          <w:highlight w:val="none"/>
        </w:rPr>
        <w:t>注：</w:t>
      </w:r>
      <w:r>
        <w:rPr>
          <w:color w:val="auto"/>
          <w:highlight w:val="none"/>
        </w:rPr>
        <w:t>如果是联合体投标，联合体各方均需提供上述证明。</w:t>
      </w:r>
    </w:p>
    <w:p w14:paraId="4319209F">
      <w:pPr>
        <w:pStyle w:val="5"/>
        <w:ind w:firstLine="0"/>
        <w:rPr>
          <w:color w:val="auto"/>
          <w:highlight w:val="none"/>
        </w:rPr>
      </w:pPr>
    </w:p>
    <w:p w14:paraId="5EC0F04D">
      <w:pPr>
        <w:pStyle w:val="16"/>
        <w:ind w:left="0" w:leftChars="0" w:firstLine="0" w:firstLineChars="0"/>
        <w:rPr>
          <w:rFonts w:hint="eastAsia"/>
          <w:lang w:val="en-US" w:eastAsia="zh-CN"/>
        </w:rPr>
      </w:pPr>
    </w:p>
    <w:p w14:paraId="4B70C4B6">
      <w:pPr>
        <w:pStyle w:val="15"/>
        <w:tabs>
          <w:tab w:val="left" w:pos="5580"/>
        </w:tabs>
        <w:spacing w:line="240" w:lineRule="atLeast"/>
        <w:jc w:val="center"/>
        <w:outlineLvl w:val="1"/>
        <w:rPr>
          <w:rFonts w:hint="eastAsia" w:ascii="宋体" w:hAnsi="宋体" w:eastAsia="宋体" w:cs="宋体"/>
          <w:b/>
          <w:color w:val="000000"/>
          <w:kern w:val="0"/>
          <w:sz w:val="24"/>
          <w:szCs w:val="24"/>
          <w:highlight w:val="none"/>
        </w:rPr>
      </w:pPr>
      <w:r>
        <w:rPr>
          <w:rFonts w:hint="eastAsia" w:hAnsi="宋体" w:cs="宋体"/>
          <w:b/>
          <w:color w:val="000000"/>
          <w:kern w:val="0"/>
          <w:sz w:val="24"/>
          <w:szCs w:val="24"/>
          <w:highlight w:val="none"/>
          <w:lang w:val="en-US" w:eastAsia="zh-CN"/>
        </w:rPr>
        <w:t>9</w:t>
      </w:r>
      <w:r>
        <w:rPr>
          <w:rFonts w:hint="eastAsia" w:ascii="宋体" w:hAnsi="宋体" w:eastAsia="宋体" w:cs="宋体"/>
          <w:b/>
          <w:color w:val="000000"/>
          <w:kern w:val="0"/>
          <w:sz w:val="24"/>
          <w:szCs w:val="24"/>
          <w:highlight w:val="none"/>
          <w:lang w:val="en-US" w:eastAsia="zh-CN"/>
        </w:rPr>
        <w:t>、</w:t>
      </w:r>
      <w:r>
        <w:rPr>
          <w:rFonts w:hint="eastAsia" w:ascii="宋体" w:hAnsi="宋体" w:eastAsia="宋体" w:cs="宋体"/>
          <w:b/>
          <w:color w:val="000000"/>
          <w:kern w:val="0"/>
          <w:sz w:val="24"/>
          <w:szCs w:val="24"/>
          <w:highlight w:val="none"/>
        </w:rPr>
        <w:t>针对本次项目《反商业贿赂承诺书》；</w:t>
      </w:r>
    </w:p>
    <w:p w14:paraId="755DA994">
      <w:pPr>
        <w:pStyle w:val="15"/>
        <w:tabs>
          <w:tab w:val="left" w:pos="5580"/>
        </w:tabs>
        <w:spacing w:line="240" w:lineRule="atLeast"/>
        <w:outlineLvl w:val="1"/>
        <w:rPr>
          <w:rFonts w:hint="eastAsia" w:ascii="宋体" w:hAnsi="宋体" w:eastAsia="宋体" w:cs="宋体"/>
          <w:b/>
          <w:color w:val="000000"/>
          <w:kern w:val="0"/>
          <w:sz w:val="24"/>
          <w:szCs w:val="24"/>
          <w:highlight w:val="none"/>
        </w:rPr>
      </w:pPr>
    </w:p>
    <w:p w14:paraId="02CF1251">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我公司承诺在</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3D63778">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公司法人代表（</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202FBD6D">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法人授权代表（</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1528EFA9">
      <w:pPr>
        <w:pStyle w:val="5"/>
        <w:spacing w:line="600" w:lineRule="auto"/>
        <w:ind w:firstLine="720" w:firstLineChars="300"/>
        <w:rPr>
          <w:rFonts w:hint="eastAsia" w:ascii="宋体" w:hAnsi="宋体" w:eastAsia="宋体" w:cs="宋体"/>
          <w:color w:val="000000"/>
          <w:highlight w:val="none"/>
        </w:rPr>
      </w:pPr>
      <w:r>
        <w:rPr>
          <w:rFonts w:hint="eastAsia" w:ascii="宋体" w:hAnsi="宋体" w:eastAsia="宋体" w:cs="宋体"/>
          <w:color w:val="000000"/>
          <w:highlight w:val="none"/>
        </w:rPr>
        <w:t>项目经办人（</w:t>
      </w:r>
      <w:r>
        <w:rPr>
          <w:rFonts w:hint="eastAsia" w:ascii="宋体" w:hAnsi="宋体" w:eastAsia="宋体" w:cs="宋体"/>
          <w:color w:val="000000"/>
          <w:highlight w:val="none"/>
          <w:lang w:val="en-US" w:eastAsia="zh-CN"/>
        </w:rPr>
        <w:t>签/章</w:t>
      </w:r>
      <w:r>
        <w:rPr>
          <w:rFonts w:hint="eastAsia" w:ascii="宋体" w:hAnsi="宋体" w:eastAsia="宋体" w:cs="宋体"/>
          <w:color w:val="000000"/>
          <w:highlight w:val="none"/>
        </w:rPr>
        <w:t>）：</w:t>
      </w:r>
    </w:p>
    <w:p w14:paraId="52CF4BAD">
      <w:pPr>
        <w:pStyle w:val="25"/>
        <w:jc w:val="center"/>
        <w:rPr>
          <w:rFonts w:hint="eastAsia" w:ascii="宋体" w:hAnsi="宋体" w:eastAsia="宋体" w:cs="宋体"/>
          <w:color w:val="000000"/>
          <w:highlight w:val="none"/>
        </w:rPr>
      </w:pPr>
    </w:p>
    <w:p w14:paraId="1529B6AD">
      <w:pPr>
        <w:pStyle w:val="25"/>
        <w:jc w:val="center"/>
        <w:rPr>
          <w:rFonts w:hint="eastAsia" w:ascii="宋体" w:hAnsi="宋体" w:eastAsia="宋体" w:cs="宋体"/>
          <w:color w:val="000000"/>
          <w:highlight w:val="none"/>
        </w:rPr>
      </w:pPr>
    </w:p>
    <w:p w14:paraId="33114774">
      <w:pPr>
        <w:pStyle w:val="25"/>
        <w:jc w:val="center"/>
        <w:rPr>
          <w:rFonts w:hint="eastAsia" w:ascii="宋体" w:hAnsi="宋体" w:eastAsia="宋体" w:cs="宋体"/>
          <w:color w:val="000000"/>
          <w:highlight w:val="none"/>
        </w:rPr>
      </w:pPr>
    </w:p>
    <w:p w14:paraId="5549278F">
      <w:pPr>
        <w:pStyle w:val="25"/>
        <w:jc w:val="center"/>
        <w:rPr>
          <w:rFonts w:hint="eastAsia" w:ascii="宋体" w:hAnsi="宋体" w:eastAsia="宋体" w:cs="宋体"/>
          <w:color w:val="000000"/>
          <w:highlight w:val="none"/>
        </w:rPr>
      </w:pPr>
    </w:p>
    <w:p w14:paraId="6B13E01D">
      <w:pPr>
        <w:pStyle w:val="25"/>
        <w:jc w:val="center"/>
        <w:rPr>
          <w:rFonts w:hint="eastAsia" w:ascii="宋体" w:hAnsi="宋体" w:eastAsia="宋体" w:cs="宋体"/>
          <w:color w:val="000000"/>
          <w:highlight w:val="none"/>
        </w:rPr>
      </w:pPr>
    </w:p>
    <w:p w14:paraId="3D1716E5">
      <w:pPr>
        <w:pStyle w:val="25"/>
        <w:jc w:val="center"/>
        <w:rPr>
          <w:rFonts w:hint="eastAsia" w:ascii="宋体" w:hAnsi="宋体" w:eastAsia="宋体" w:cs="宋体"/>
          <w:color w:val="000000"/>
          <w:highlight w:val="none"/>
        </w:rPr>
      </w:pPr>
    </w:p>
    <w:p w14:paraId="2F9C9FDF">
      <w:pPr>
        <w:pStyle w:val="25"/>
        <w:jc w:val="center"/>
        <w:rPr>
          <w:rFonts w:hint="eastAsia" w:ascii="宋体" w:hAnsi="宋体" w:eastAsia="宋体" w:cs="宋体"/>
          <w:color w:val="000000"/>
          <w:highlight w:val="none"/>
        </w:rPr>
      </w:pPr>
    </w:p>
    <w:p w14:paraId="674857B2">
      <w:pPr>
        <w:pStyle w:val="25"/>
        <w:jc w:val="center"/>
        <w:rPr>
          <w:rFonts w:hint="eastAsia" w:ascii="宋体" w:hAnsi="宋体" w:eastAsia="宋体" w:cs="宋体"/>
          <w:color w:val="000000"/>
          <w:highlight w:val="none"/>
        </w:rPr>
      </w:pPr>
    </w:p>
    <w:p w14:paraId="1B43AECF">
      <w:pPr>
        <w:pStyle w:val="25"/>
        <w:jc w:val="center"/>
        <w:rPr>
          <w:rFonts w:hint="eastAsia" w:ascii="宋体" w:hAnsi="宋体" w:eastAsia="宋体" w:cs="宋体"/>
          <w:color w:val="000000"/>
          <w:highlight w:val="none"/>
        </w:rPr>
      </w:pPr>
    </w:p>
    <w:p w14:paraId="6A9F1EF8">
      <w:pPr>
        <w:pStyle w:val="25"/>
        <w:jc w:val="center"/>
        <w:rPr>
          <w:rFonts w:hint="eastAsia" w:ascii="宋体" w:hAnsi="宋体" w:eastAsia="宋体" w:cs="宋体"/>
          <w:color w:val="000000"/>
          <w:highlight w:val="none"/>
        </w:rPr>
      </w:pPr>
    </w:p>
    <w:p w14:paraId="73AD13AF">
      <w:pPr>
        <w:pStyle w:val="25"/>
        <w:jc w:val="center"/>
        <w:rPr>
          <w:rFonts w:hint="eastAsia" w:ascii="宋体" w:hAnsi="宋体" w:eastAsia="宋体" w:cs="宋体"/>
          <w:color w:val="000000"/>
          <w:highlight w:val="none"/>
        </w:rPr>
      </w:pPr>
    </w:p>
    <w:p w14:paraId="10B02D26">
      <w:pPr>
        <w:pStyle w:val="25"/>
        <w:jc w:val="center"/>
        <w:rPr>
          <w:rFonts w:hint="eastAsia" w:ascii="宋体" w:hAnsi="宋体" w:eastAsia="宋体" w:cs="宋体"/>
          <w:color w:val="000000"/>
          <w:highlight w:val="none"/>
        </w:rPr>
      </w:pPr>
    </w:p>
    <w:p w14:paraId="21A307FF">
      <w:pPr>
        <w:pStyle w:val="25"/>
        <w:jc w:val="center"/>
        <w:rPr>
          <w:rFonts w:hint="eastAsia" w:ascii="宋体" w:hAnsi="宋体" w:eastAsia="宋体" w:cs="宋体"/>
          <w:color w:val="000000"/>
          <w:highlight w:val="none"/>
        </w:rPr>
      </w:pPr>
    </w:p>
    <w:p w14:paraId="16BC97CF">
      <w:pPr>
        <w:pStyle w:val="25"/>
        <w:jc w:val="center"/>
        <w:rPr>
          <w:rFonts w:hint="eastAsia" w:ascii="宋体" w:hAnsi="宋体" w:eastAsia="宋体" w:cs="宋体"/>
          <w:color w:val="000000"/>
          <w:highlight w:val="none"/>
        </w:rPr>
      </w:pPr>
    </w:p>
    <w:p w14:paraId="7BDFF651">
      <w:pPr>
        <w:pStyle w:val="25"/>
        <w:jc w:val="center"/>
        <w:rPr>
          <w:rFonts w:hint="eastAsia" w:ascii="宋体" w:hAnsi="宋体" w:eastAsia="宋体" w:cs="宋体"/>
          <w:color w:val="000000"/>
          <w:highlight w:val="none"/>
        </w:rPr>
      </w:pPr>
    </w:p>
    <w:p w14:paraId="38AD2A8B">
      <w:pPr>
        <w:pStyle w:val="25"/>
        <w:jc w:val="center"/>
        <w:rPr>
          <w:rFonts w:hint="eastAsia" w:ascii="宋体" w:hAnsi="宋体" w:eastAsia="宋体" w:cs="宋体"/>
          <w:color w:val="000000"/>
          <w:highlight w:val="none"/>
        </w:rPr>
      </w:pPr>
    </w:p>
    <w:p w14:paraId="6A6EEFC5">
      <w:pPr>
        <w:pStyle w:val="25"/>
        <w:jc w:val="center"/>
        <w:rPr>
          <w:rFonts w:hint="eastAsia" w:ascii="宋体" w:hAnsi="宋体" w:eastAsia="宋体" w:cs="宋体"/>
          <w:color w:val="000000"/>
          <w:highlight w:val="none"/>
        </w:rPr>
      </w:pPr>
    </w:p>
    <w:p w14:paraId="0AF152A7">
      <w:pPr>
        <w:pStyle w:val="25"/>
        <w:jc w:val="center"/>
        <w:rPr>
          <w:rFonts w:hint="eastAsia" w:ascii="宋体" w:hAnsi="宋体" w:eastAsia="宋体" w:cs="宋体"/>
          <w:color w:val="000000"/>
          <w:highlight w:val="none"/>
        </w:rPr>
      </w:pPr>
    </w:p>
    <w:p w14:paraId="760267DD">
      <w:pPr>
        <w:pStyle w:val="25"/>
        <w:jc w:val="center"/>
        <w:rPr>
          <w:rFonts w:hint="eastAsia" w:ascii="宋体" w:hAnsi="宋体" w:eastAsia="宋体" w:cs="宋体"/>
          <w:color w:val="000000"/>
          <w:highlight w:val="none"/>
        </w:rPr>
      </w:pPr>
    </w:p>
    <w:p w14:paraId="2AE3C962">
      <w:pPr>
        <w:pStyle w:val="25"/>
        <w:jc w:val="center"/>
        <w:rPr>
          <w:rFonts w:hint="eastAsia" w:ascii="宋体" w:hAnsi="宋体" w:eastAsia="宋体" w:cs="宋体"/>
          <w:color w:val="000000"/>
          <w:highlight w:val="none"/>
        </w:rPr>
      </w:pPr>
    </w:p>
    <w:p w14:paraId="14CF88B0">
      <w:pPr>
        <w:pStyle w:val="25"/>
        <w:jc w:val="center"/>
        <w:rPr>
          <w:rFonts w:hint="eastAsia" w:ascii="宋体" w:hAnsi="宋体" w:eastAsia="宋体" w:cs="宋体"/>
          <w:color w:val="000000"/>
          <w:highlight w:val="none"/>
        </w:rPr>
      </w:pPr>
    </w:p>
    <w:p w14:paraId="52006A17">
      <w:pPr>
        <w:pStyle w:val="25"/>
        <w:jc w:val="center"/>
        <w:rPr>
          <w:rFonts w:hint="eastAsia" w:ascii="宋体" w:hAnsi="宋体" w:eastAsia="宋体" w:cs="宋体"/>
          <w:color w:val="000000"/>
          <w:highlight w:val="none"/>
        </w:rPr>
      </w:pPr>
    </w:p>
    <w:p w14:paraId="3B2EF435">
      <w:pPr>
        <w:pStyle w:val="25"/>
        <w:jc w:val="center"/>
        <w:rPr>
          <w:rFonts w:hint="eastAsia" w:ascii="宋体" w:hAnsi="宋体" w:eastAsia="宋体" w:cs="宋体"/>
          <w:color w:val="000000"/>
          <w:highlight w:val="none"/>
        </w:rPr>
      </w:pPr>
    </w:p>
    <w:p w14:paraId="5696C5CB">
      <w:pPr>
        <w:pStyle w:val="25"/>
        <w:jc w:val="center"/>
        <w:rPr>
          <w:rFonts w:hint="eastAsia" w:ascii="宋体" w:hAnsi="宋体" w:eastAsia="宋体" w:cs="宋体"/>
          <w:color w:val="000000"/>
          <w:highlight w:val="none"/>
        </w:rPr>
      </w:pPr>
    </w:p>
    <w:p w14:paraId="233626C4">
      <w:pPr>
        <w:pStyle w:val="25"/>
        <w:jc w:val="center"/>
        <w:rPr>
          <w:rFonts w:hint="eastAsia" w:ascii="宋体" w:hAnsi="宋体" w:eastAsia="宋体" w:cs="宋体"/>
          <w:color w:val="000000"/>
          <w:highlight w:val="none"/>
        </w:rPr>
      </w:pPr>
    </w:p>
    <w:p w14:paraId="539A102F">
      <w:pPr>
        <w:pStyle w:val="25"/>
        <w:jc w:val="center"/>
        <w:rPr>
          <w:rFonts w:hint="eastAsia" w:ascii="宋体" w:hAnsi="宋体" w:eastAsia="宋体" w:cs="宋体"/>
          <w:color w:val="000000"/>
          <w:highlight w:val="none"/>
        </w:rPr>
      </w:pPr>
    </w:p>
    <w:p w14:paraId="3D04857E">
      <w:pPr>
        <w:pStyle w:val="25"/>
        <w:jc w:val="center"/>
        <w:rPr>
          <w:rFonts w:hint="eastAsia" w:ascii="宋体" w:hAnsi="宋体" w:eastAsia="宋体" w:cs="宋体"/>
          <w:color w:val="000000"/>
          <w:highlight w:val="none"/>
        </w:rPr>
      </w:pPr>
    </w:p>
    <w:p w14:paraId="5F845997">
      <w:pPr>
        <w:pStyle w:val="25"/>
        <w:jc w:val="center"/>
        <w:rPr>
          <w:rFonts w:hint="eastAsia" w:ascii="宋体" w:hAnsi="宋体" w:eastAsia="宋体" w:cs="宋体"/>
          <w:color w:val="000000"/>
          <w:highlight w:val="none"/>
        </w:rPr>
      </w:pPr>
    </w:p>
    <w:p w14:paraId="4536D147">
      <w:pPr>
        <w:pStyle w:val="25"/>
        <w:jc w:val="center"/>
        <w:rPr>
          <w:rFonts w:hint="eastAsia" w:ascii="宋体" w:hAnsi="宋体" w:eastAsia="宋体" w:cs="宋体"/>
          <w:color w:val="000000"/>
          <w:highlight w:val="none"/>
        </w:rPr>
      </w:pPr>
    </w:p>
    <w:p w14:paraId="1B51C89A">
      <w:pPr>
        <w:pStyle w:val="25"/>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、投标保证金缴纳凭证或投标担保函</w:t>
      </w:r>
    </w:p>
    <w:p w14:paraId="05DB9761">
      <w:pPr>
        <w:pStyle w:val="25"/>
        <w:ind w:left="718" w:leftChars="342"/>
        <w:jc w:val="center"/>
        <w:rPr>
          <w:rFonts w:hint="eastAsia" w:ascii="宋体" w:hAnsi="宋体" w:eastAsia="宋体" w:cs="宋体"/>
          <w:color w:val="auto"/>
          <w:highlight w:val="none"/>
        </w:rPr>
      </w:pPr>
    </w:p>
    <w:p w14:paraId="62E47759">
      <w:pPr>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投标人可将本项目投标保证金支付的汇款凭证、支票、汇票或保证金收据（如有）的复印件作为缴纳凭证装订在本部分，复印件上应加盖本单位章；使用银行保函等其他投标担保函的，应将担保函</w:t>
      </w:r>
      <w:r>
        <w:rPr>
          <w:rFonts w:hint="eastAsia" w:ascii="宋体" w:hAnsi="宋体" w:eastAsia="宋体" w:cs="宋体"/>
          <w:color w:val="auto"/>
          <w:sz w:val="24"/>
          <w:highlight w:val="none"/>
          <w:lang w:val="en-US" w:eastAsia="zh-CN"/>
        </w:rPr>
        <w:t>扫描件做入电子文件中</w:t>
      </w:r>
      <w:r>
        <w:rPr>
          <w:rFonts w:hint="eastAsia" w:ascii="宋体" w:hAnsi="宋体" w:eastAsia="宋体" w:cs="宋体"/>
          <w:color w:val="auto"/>
          <w:sz w:val="24"/>
          <w:highlight w:val="none"/>
        </w:rPr>
        <w:t>；如采用政府采购信用担保形式的，应使用政府采购投标担保函。</w:t>
      </w:r>
    </w:p>
    <w:p w14:paraId="0C608C9A">
      <w:pPr>
        <w:pStyle w:val="25"/>
        <w:jc w:val="both"/>
        <w:rPr>
          <w:rFonts w:hint="eastAsia"/>
          <w:color w:val="auto"/>
          <w:highlight w:val="none"/>
        </w:rPr>
      </w:pPr>
    </w:p>
    <w:p w14:paraId="5E1EFA7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政府采购投标担保函 </w:t>
      </w:r>
    </w:p>
    <w:p w14:paraId="5DC7A6DD">
      <w:pP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1C098E2E">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（采购人或采购代理机构）：</w:t>
      </w:r>
    </w:p>
    <w:p w14:paraId="42CFAD0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（以下简称“投标人”）拟参加编号为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C1AE777">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6BDD74D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42F31C83">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（一）在投标人出现下列情形之一时，我方承担保证责任：</w:t>
      </w:r>
    </w:p>
    <w:p w14:paraId="2CCD539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1．中标后投标人无正当理由不与采购人或者采购代理机构签订《政府采购合同》；</w:t>
      </w:r>
    </w:p>
    <w:p w14:paraId="544F253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2．招标文件规定的投标人应当缴纳保证金的其他情形。</w:t>
      </w:r>
    </w:p>
    <w:p w14:paraId="3351E596">
      <w:pPr>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（二）我方承担保证责任的最高金额为人民币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），即本项目的投标保证金金额。</w:t>
      </w:r>
    </w:p>
    <w:p w14:paraId="21586F6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147DF56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0201EEE6">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我方的保证期间为：自本保函生效之日起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个月止。</w:t>
      </w:r>
    </w:p>
    <w:p w14:paraId="5AB11EC1">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31F3CD2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459CF7F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2．我方在收到索赔通知及相关证明材料后，在</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个工作日内进行审查，符合应承担保证责任情形的，我方应按照你方的要求代投标人向你方支付投标保证金。</w:t>
      </w:r>
    </w:p>
    <w:p w14:paraId="72F6E0C4">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5E3CF01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w:t>
      </w:r>
    </w:p>
    <w:p w14:paraId="33F4FD4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2．我方按照本保函向你贵方履行了保证责任后，自我方向你贵方支付款项（支付款项从我方账户划出）之日起，保证责任终止。</w:t>
      </w:r>
    </w:p>
    <w:p w14:paraId="0E64E05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3．按照法律法规的规定或出现我方保证责任终止的</w:t>
      </w:r>
      <w:r>
        <w:rPr>
          <w:rFonts w:hint="eastAsia" w:ascii="宋体" w:hAnsi="宋体" w:cs="宋体"/>
          <w:color w:val="auto"/>
          <w:sz w:val="24"/>
          <w:highlight w:val="none"/>
          <w:lang w:eastAsia="zh-CN"/>
        </w:rPr>
        <w:t>其他情形的</w:t>
      </w:r>
      <w:r>
        <w:rPr>
          <w:rFonts w:hint="eastAsia" w:ascii="宋体" w:hAnsi="宋体" w:eastAsia="宋体" w:cs="宋体"/>
          <w:color w:val="auto"/>
          <w:sz w:val="24"/>
          <w:highlight w:val="none"/>
        </w:rPr>
        <w:t>，我方在本保函项下的保证责任亦终止。</w:t>
      </w:r>
    </w:p>
    <w:p w14:paraId="7EA529B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63820465">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1．依照法律规定或你方与投标人的另行约定，全部或者部分免除投标人投标保证金义务时，我方亦免除相应的保证责任。</w:t>
      </w:r>
    </w:p>
    <w:p w14:paraId="1FAF679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2．因你方原因致使投标人发生本保函第一条第（一）款约定情形的，我方不承担保证责任。</w:t>
      </w:r>
    </w:p>
    <w:p w14:paraId="69CD36FF">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3．因不可抗力造成投标人发生本保函第一条约定情形的，我方不承担保证责任。</w:t>
      </w:r>
    </w:p>
    <w:p w14:paraId="07091B59">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4．你方或其他有权机关对招标文件进行任何澄清或修改，加重我方保证责任的，我方对加重部分不承担保证责任，但该澄清或修改经我方事先书面同意的除外。</w:t>
      </w:r>
    </w:p>
    <w:p w14:paraId="5F63CCF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68CB448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4E7BC6AA">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396D7A8B">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3DB4662A">
      <w:pPr>
        <w:ind w:firstLine="6360" w:firstLineChars="26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0D97FE09">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7B65ECF">
      <w:pPr>
        <w:tabs>
          <w:tab w:val="left" w:pos="5580"/>
        </w:tabs>
        <w:spacing w:line="360" w:lineRule="exact"/>
        <w:jc w:val="right"/>
        <w:rPr>
          <w:rFonts w:hint="eastAsia"/>
          <w:color w:val="auto"/>
          <w:highlight w:val="none"/>
        </w:rPr>
      </w:pPr>
      <w:r>
        <w:rPr>
          <w:rFonts w:hint="eastAsia" w:ascii="宋体" w:hAnsi="宋体" w:eastAsia="宋体" w:cs="宋体"/>
          <w:color w:val="auto"/>
          <w:sz w:val="24"/>
          <w:highlight w:val="none"/>
        </w:rPr>
        <w:t>年     月</w:t>
      </w:r>
      <w:r>
        <w:rPr>
          <w:rFonts w:hint="eastAsia"/>
          <w:color w:val="auto"/>
          <w:highlight w:val="none"/>
        </w:rPr>
        <w:br w:type="page"/>
      </w:r>
    </w:p>
    <w:p w14:paraId="7CA6248C">
      <w:pPr>
        <w:tabs>
          <w:tab w:val="left" w:pos="5580"/>
        </w:tabs>
        <w:spacing w:line="360" w:lineRule="exact"/>
        <w:jc w:val="center"/>
        <w:rPr>
          <w:rFonts w:hint="eastAsia" w:ascii="宋体"/>
          <w:color w:val="auto"/>
          <w:sz w:val="24"/>
          <w:szCs w:val="24"/>
          <w:highlight w:val="none"/>
        </w:rPr>
      </w:pP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、投标人须知资料表要求的其他资格证明文件</w:t>
      </w:r>
    </w:p>
    <w:p w14:paraId="7868248C">
      <w:pPr>
        <w:pStyle w:val="5"/>
        <w:ind w:left="719" w:leftChars="114" w:hanging="480" w:hangingChars="200"/>
        <w:rPr>
          <w:rFonts w:hint="eastAsia"/>
          <w:color w:val="auto"/>
          <w:highlight w:val="none"/>
        </w:rPr>
      </w:pPr>
      <w:r>
        <w:rPr>
          <w:rFonts w:hint="eastAsia"/>
          <w:color w:val="auto"/>
          <w:highlight w:val="none"/>
        </w:rPr>
        <w:t>注：1.应提供投标人须知资料表要求的其他资格证明文件。</w:t>
      </w:r>
    </w:p>
    <w:p w14:paraId="14859B5A">
      <w:pPr>
        <w:pStyle w:val="5"/>
        <w:ind w:left="720" w:hanging="720" w:hangingChars="300"/>
        <w:rPr>
          <w:rFonts w:hint="eastAsia"/>
          <w:color w:val="auto"/>
          <w:highlight w:val="none"/>
        </w:rPr>
      </w:pPr>
      <w:r>
        <w:rPr>
          <w:rFonts w:hint="eastAsia"/>
          <w:color w:val="auto"/>
          <w:highlight w:val="none"/>
        </w:rPr>
        <w:t xml:space="preserve">      2.复印件上应加盖本单位章（自然人投标的无需盖章，需要签字）。</w:t>
      </w:r>
    </w:p>
    <w:p w14:paraId="74104C2B">
      <w:pPr>
        <w:pStyle w:val="5"/>
        <w:ind w:left="720" w:hanging="720" w:hangingChars="300"/>
        <w:rPr>
          <w:rFonts w:hint="eastAsia"/>
          <w:color w:val="auto"/>
          <w:highlight w:val="none"/>
        </w:rPr>
      </w:pPr>
      <w:r>
        <w:rPr>
          <w:rFonts w:hint="eastAsia"/>
          <w:color w:val="auto"/>
          <w:highlight w:val="none"/>
        </w:rPr>
        <w:t xml:space="preserve">      3. 如果是联合体投标，联合体各方需</w:t>
      </w:r>
      <w:r>
        <w:rPr>
          <w:rFonts w:hint="eastAsia"/>
          <w:color w:val="auto"/>
          <w:highlight w:val="none"/>
          <w:lang w:eastAsia="zh-CN"/>
        </w:rPr>
        <w:t>提供</w:t>
      </w:r>
      <w:r>
        <w:rPr>
          <w:rFonts w:hint="eastAsia"/>
          <w:color w:val="auto"/>
          <w:highlight w:val="none"/>
        </w:rPr>
        <w:t>满足招标文件要求的其他资格证明文件。</w:t>
      </w:r>
    </w:p>
    <w:p w14:paraId="50469126">
      <w:pPr>
        <w:rPr>
          <w:rFonts w:hint="eastAsia"/>
          <w:color w:val="auto"/>
          <w:sz w:val="24"/>
          <w:highlight w:val="none"/>
        </w:rPr>
      </w:pPr>
    </w:p>
    <w:p w14:paraId="267EB32F">
      <w:pPr>
        <w:ind w:firstLine="240"/>
        <w:rPr>
          <w:color w:val="auto"/>
          <w:highlight w:val="none"/>
        </w:rPr>
      </w:pPr>
    </w:p>
    <w:p w14:paraId="1B368471">
      <w:pPr>
        <w:rPr>
          <w:rFonts w:hint="eastAsia"/>
          <w:color w:val="auto"/>
          <w:sz w:val="24"/>
          <w:highlight w:val="none"/>
        </w:rPr>
      </w:pPr>
    </w:p>
    <w:p w14:paraId="52860573">
      <w:pPr>
        <w:pStyle w:val="3"/>
        <w:tabs>
          <w:tab w:val="left" w:pos="540"/>
        </w:tabs>
        <w:rPr>
          <w:rFonts w:hint="eastAsia"/>
          <w:color w:val="auto"/>
          <w:sz w:val="24"/>
          <w:szCs w:val="24"/>
          <w:highlight w:val="none"/>
        </w:rPr>
      </w:pPr>
    </w:p>
    <w:p w14:paraId="7F80EE68">
      <w:pPr>
        <w:tabs>
          <w:tab w:val="left" w:pos="5580"/>
        </w:tabs>
        <w:spacing w:line="360" w:lineRule="exact"/>
        <w:rPr>
          <w:rFonts w:hint="eastAsia" w:ascii="宋体" w:hAnsi="宋体" w:cs="宋体"/>
          <w:b/>
          <w:bCs/>
          <w:color w:val="auto"/>
          <w:sz w:val="28"/>
          <w:szCs w:val="28"/>
          <w:highlight w:val="none"/>
        </w:rPr>
      </w:pPr>
    </w:p>
    <w:p w14:paraId="78C6EC1D">
      <w:pPr>
        <w:pStyle w:val="32"/>
        <w:spacing w:line="360" w:lineRule="auto"/>
        <w:rPr>
          <w:rFonts w:hint="eastAsia"/>
          <w:b/>
          <w:bCs/>
          <w:color w:val="auto"/>
          <w:sz w:val="28"/>
          <w:szCs w:val="28"/>
          <w:highlight w:val="none"/>
        </w:rPr>
      </w:pPr>
    </w:p>
    <w:p w14:paraId="0F775B1D">
      <w:pPr>
        <w:pStyle w:val="32"/>
        <w:spacing w:line="360" w:lineRule="auto"/>
        <w:rPr>
          <w:rFonts w:hint="eastAsia"/>
          <w:b/>
          <w:bCs/>
          <w:color w:val="auto"/>
          <w:sz w:val="28"/>
          <w:szCs w:val="28"/>
          <w:highlight w:val="none"/>
        </w:rPr>
      </w:pPr>
    </w:p>
    <w:p w14:paraId="72A46087">
      <w:pPr>
        <w:pStyle w:val="5"/>
        <w:ind w:firstLine="0"/>
        <w:rPr>
          <w:rFonts w:hint="eastAsia"/>
          <w:color w:val="auto"/>
          <w:highlight w:val="none"/>
        </w:rPr>
      </w:pPr>
    </w:p>
    <w:p w14:paraId="26B4B6BC">
      <w:pPr>
        <w:pStyle w:val="5"/>
        <w:ind w:firstLine="0"/>
        <w:rPr>
          <w:rFonts w:hint="eastAsia"/>
          <w:color w:val="auto"/>
          <w:highlight w:val="none"/>
        </w:rPr>
      </w:pPr>
    </w:p>
    <w:p w14:paraId="173BF265">
      <w:pPr>
        <w:pStyle w:val="5"/>
        <w:ind w:firstLine="0"/>
        <w:rPr>
          <w:rFonts w:hint="eastAsia"/>
          <w:color w:val="auto"/>
          <w:highlight w:val="none"/>
        </w:rPr>
      </w:pPr>
    </w:p>
    <w:p w14:paraId="295E2075">
      <w:pPr>
        <w:pStyle w:val="5"/>
        <w:ind w:firstLine="0"/>
        <w:rPr>
          <w:rFonts w:hint="eastAsia"/>
          <w:color w:val="auto"/>
          <w:highlight w:val="none"/>
        </w:rPr>
      </w:pPr>
    </w:p>
    <w:p w14:paraId="48C1AC30">
      <w:pPr>
        <w:pStyle w:val="5"/>
        <w:ind w:firstLine="0"/>
        <w:rPr>
          <w:rFonts w:hint="eastAsia"/>
          <w:color w:val="auto"/>
          <w:highlight w:val="none"/>
        </w:rPr>
      </w:pPr>
    </w:p>
    <w:p w14:paraId="596E110A">
      <w:pPr>
        <w:pStyle w:val="5"/>
        <w:ind w:firstLine="0"/>
        <w:rPr>
          <w:rFonts w:hint="eastAsia"/>
          <w:color w:val="auto"/>
          <w:highlight w:val="none"/>
        </w:rPr>
      </w:pPr>
    </w:p>
    <w:p w14:paraId="6E712F0D">
      <w:pPr>
        <w:pStyle w:val="5"/>
        <w:ind w:firstLine="0"/>
        <w:rPr>
          <w:rFonts w:hint="eastAsia"/>
          <w:color w:val="auto"/>
          <w:highlight w:val="none"/>
        </w:rPr>
      </w:pPr>
    </w:p>
    <w:p w14:paraId="5C50B103">
      <w:pPr>
        <w:pStyle w:val="5"/>
        <w:ind w:firstLine="0"/>
        <w:rPr>
          <w:rFonts w:hint="eastAsia"/>
          <w:color w:val="auto"/>
          <w:highlight w:val="none"/>
        </w:rPr>
      </w:pPr>
    </w:p>
    <w:p w14:paraId="59AF7715">
      <w:pPr>
        <w:pStyle w:val="5"/>
        <w:ind w:firstLine="0"/>
        <w:rPr>
          <w:rFonts w:hint="eastAsia"/>
          <w:color w:val="auto"/>
          <w:highlight w:val="none"/>
        </w:rPr>
      </w:pPr>
    </w:p>
    <w:p w14:paraId="7A16E3DD">
      <w:pPr>
        <w:pStyle w:val="5"/>
        <w:ind w:firstLine="0"/>
        <w:rPr>
          <w:rFonts w:hint="eastAsia"/>
          <w:color w:val="auto"/>
          <w:highlight w:val="none"/>
        </w:rPr>
      </w:pPr>
    </w:p>
    <w:p w14:paraId="56C96A57">
      <w:pPr>
        <w:pStyle w:val="5"/>
        <w:ind w:firstLine="0"/>
        <w:rPr>
          <w:rFonts w:hint="eastAsia"/>
          <w:color w:val="auto"/>
          <w:highlight w:val="none"/>
        </w:rPr>
      </w:pPr>
    </w:p>
    <w:p w14:paraId="55327C56">
      <w:pPr>
        <w:pStyle w:val="5"/>
        <w:ind w:firstLine="0"/>
        <w:rPr>
          <w:rFonts w:hint="eastAsia"/>
          <w:color w:val="auto"/>
          <w:highlight w:val="none"/>
        </w:rPr>
      </w:pPr>
    </w:p>
    <w:p w14:paraId="4D607E9F">
      <w:pPr>
        <w:pStyle w:val="5"/>
        <w:ind w:firstLine="0"/>
        <w:rPr>
          <w:rFonts w:hint="eastAsia"/>
          <w:color w:val="auto"/>
          <w:highlight w:val="none"/>
        </w:rPr>
      </w:pPr>
    </w:p>
    <w:p w14:paraId="5C49C631">
      <w:pPr>
        <w:pStyle w:val="5"/>
        <w:ind w:firstLine="0"/>
        <w:rPr>
          <w:rFonts w:hint="eastAsia"/>
          <w:color w:val="auto"/>
          <w:highlight w:val="none"/>
        </w:rPr>
      </w:pPr>
    </w:p>
    <w:p w14:paraId="2F15477D">
      <w:pPr>
        <w:pStyle w:val="5"/>
        <w:ind w:firstLine="0"/>
        <w:rPr>
          <w:rFonts w:hint="eastAsia"/>
          <w:color w:val="auto"/>
          <w:highlight w:val="none"/>
        </w:rPr>
      </w:pPr>
    </w:p>
    <w:p w14:paraId="092D964B">
      <w:pPr>
        <w:pStyle w:val="5"/>
        <w:ind w:firstLine="0"/>
        <w:rPr>
          <w:rFonts w:hint="eastAsia"/>
          <w:color w:val="auto"/>
          <w:highlight w:val="none"/>
        </w:rPr>
      </w:pPr>
    </w:p>
    <w:p w14:paraId="6D3EB73A">
      <w:pPr>
        <w:pStyle w:val="5"/>
        <w:ind w:firstLine="0"/>
        <w:rPr>
          <w:rFonts w:hint="eastAsia"/>
          <w:color w:val="auto"/>
          <w:highlight w:val="none"/>
        </w:rPr>
      </w:pPr>
    </w:p>
    <w:p w14:paraId="773E276E">
      <w:pPr>
        <w:pStyle w:val="5"/>
        <w:ind w:firstLine="0"/>
        <w:rPr>
          <w:rFonts w:hint="eastAsia"/>
          <w:color w:val="auto"/>
          <w:highlight w:val="none"/>
        </w:rPr>
      </w:pPr>
    </w:p>
    <w:p w14:paraId="5446DF42">
      <w:pPr>
        <w:pStyle w:val="5"/>
        <w:ind w:firstLine="0"/>
        <w:rPr>
          <w:rFonts w:hint="eastAsia"/>
          <w:color w:val="auto"/>
          <w:highlight w:val="none"/>
        </w:rPr>
      </w:pPr>
    </w:p>
    <w:p w14:paraId="3AE02EA8">
      <w:pPr>
        <w:pStyle w:val="5"/>
        <w:ind w:firstLine="0"/>
        <w:rPr>
          <w:rFonts w:hint="eastAsia"/>
          <w:color w:val="auto"/>
          <w:highlight w:val="none"/>
        </w:rPr>
      </w:pPr>
    </w:p>
    <w:p w14:paraId="6CCBE811">
      <w:pPr>
        <w:pStyle w:val="5"/>
        <w:ind w:firstLine="0"/>
        <w:rPr>
          <w:rFonts w:hint="eastAsia"/>
          <w:color w:val="auto"/>
          <w:highlight w:val="none"/>
        </w:rPr>
      </w:pPr>
    </w:p>
    <w:p w14:paraId="7EC42266">
      <w:pPr>
        <w:pStyle w:val="5"/>
        <w:ind w:firstLine="0"/>
        <w:rPr>
          <w:rFonts w:hint="eastAsia"/>
          <w:color w:val="auto"/>
          <w:highlight w:val="none"/>
        </w:rPr>
      </w:pPr>
    </w:p>
    <w:p w14:paraId="40A9CEC2">
      <w:pPr>
        <w:pStyle w:val="5"/>
        <w:ind w:firstLine="0"/>
        <w:rPr>
          <w:rFonts w:hint="eastAsia"/>
          <w:color w:val="auto"/>
          <w:highlight w:val="none"/>
        </w:rPr>
      </w:pPr>
    </w:p>
    <w:p w14:paraId="26BCF98D">
      <w:pPr>
        <w:pStyle w:val="5"/>
        <w:ind w:firstLine="0"/>
        <w:rPr>
          <w:rFonts w:hint="eastAsia"/>
          <w:color w:val="auto"/>
          <w:highlight w:val="none"/>
        </w:rPr>
      </w:pPr>
    </w:p>
    <w:p w14:paraId="796D9158">
      <w:pPr>
        <w:pStyle w:val="5"/>
        <w:ind w:firstLine="0"/>
        <w:rPr>
          <w:rFonts w:hint="eastAsia"/>
          <w:color w:val="auto"/>
          <w:highlight w:val="none"/>
        </w:rPr>
      </w:pPr>
    </w:p>
    <w:p w14:paraId="171B7027">
      <w:pPr>
        <w:pStyle w:val="5"/>
        <w:ind w:firstLine="0"/>
        <w:rPr>
          <w:rFonts w:hint="eastAsia"/>
          <w:color w:val="auto"/>
          <w:highlight w:val="none"/>
        </w:rPr>
      </w:pPr>
    </w:p>
    <w:p w14:paraId="47391450">
      <w:pPr>
        <w:pStyle w:val="3"/>
        <w:tabs>
          <w:tab w:val="left" w:pos="1050"/>
        </w:tabs>
        <w:spacing w:before="0" w:line="240" w:lineRule="atLeast"/>
        <w:ind w:left="1079" w:leftChars="257" w:hanging="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商务及技术文件</w:t>
      </w:r>
    </w:p>
    <w:p w14:paraId="1521126F">
      <w:pPr>
        <w:pStyle w:val="5"/>
        <w:ind w:firstLine="0"/>
        <w:rPr>
          <w:rFonts w:hint="eastAsia"/>
          <w:color w:val="auto"/>
          <w:highlight w:val="none"/>
        </w:rPr>
      </w:pPr>
    </w:p>
    <w:p w14:paraId="37BD6362">
      <w:pPr>
        <w:pStyle w:val="5"/>
        <w:ind w:firstLine="0"/>
        <w:rPr>
          <w:rFonts w:hint="eastAsia"/>
          <w:color w:val="auto"/>
          <w:highlight w:val="none"/>
        </w:rPr>
      </w:pPr>
    </w:p>
    <w:p w14:paraId="12ADB9CB">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1、</w:t>
      </w:r>
      <w:r>
        <w:rPr>
          <w:rFonts w:hint="eastAsia" w:hAnsi="宋体" w:cs="宋体"/>
          <w:color w:val="000000"/>
          <w:sz w:val="24"/>
          <w:szCs w:val="24"/>
          <w:lang w:val="en-US" w:eastAsia="zh-CN"/>
        </w:rPr>
        <w:t>投标</w:t>
      </w:r>
      <w:r>
        <w:rPr>
          <w:rFonts w:hint="eastAsia" w:hAnsi="宋体" w:cs="宋体"/>
          <w:color w:val="000000"/>
          <w:sz w:val="24"/>
          <w:szCs w:val="24"/>
        </w:rPr>
        <w:t>书</w:t>
      </w:r>
    </w:p>
    <w:p w14:paraId="7F2C21F8">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2、</w:t>
      </w:r>
      <w:r>
        <w:rPr>
          <w:rFonts w:hint="eastAsia" w:hAnsi="宋体" w:cs="宋体"/>
          <w:color w:val="000000"/>
          <w:sz w:val="24"/>
          <w:szCs w:val="24"/>
          <w:lang w:val="en-US" w:eastAsia="zh-CN"/>
        </w:rPr>
        <w:t>投标</w:t>
      </w:r>
      <w:r>
        <w:rPr>
          <w:rFonts w:hint="eastAsia" w:hAnsi="宋体" w:cs="宋体"/>
          <w:color w:val="000000"/>
          <w:sz w:val="24"/>
          <w:szCs w:val="24"/>
        </w:rPr>
        <w:t>分项报价表</w:t>
      </w:r>
    </w:p>
    <w:p w14:paraId="48208BF1">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3、服务说明一览表</w:t>
      </w:r>
    </w:p>
    <w:p w14:paraId="33C21D71">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4、商务条款偏离表</w:t>
      </w:r>
    </w:p>
    <w:p w14:paraId="1EC0E7E9">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5、投标人企业（单位）类型声明函</w:t>
      </w:r>
    </w:p>
    <w:p w14:paraId="3147A45E">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5-1、中小企业声明函</w:t>
      </w:r>
    </w:p>
    <w:p w14:paraId="6D762E75">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6、供应商关联单位的说明</w:t>
      </w:r>
    </w:p>
    <w:p w14:paraId="1AF972B8">
      <w:pPr>
        <w:pStyle w:val="15"/>
        <w:spacing w:line="400" w:lineRule="exact"/>
        <w:ind w:firstLine="480" w:firstLineChars="200"/>
        <w:rPr>
          <w:rFonts w:hint="eastAsia" w:hAnsi="宋体" w:eastAsia="宋体" w:cs="宋体"/>
          <w:color w:val="000000"/>
          <w:sz w:val="24"/>
          <w:szCs w:val="24"/>
          <w:lang w:eastAsia="zh-CN"/>
        </w:rPr>
      </w:pPr>
      <w:r>
        <w:rPr>
          <w:rFonts w:hint="eastAsia" w:hAnsi="宋体" w:cs="宋体"/>
          <w:color w:val="000000"/>
          <w:sz w:val="24"/>
          <w:szCs w:val="24"/>
        </w:rPr>
        <w:t>7、项目负责人及实施班子人员简历表</w:t>
      </w:r>
      <w:r>
        <w:rPr>
          <w:rFonts w:hint="eastAsia" w:hAnsi="宋体" w:cs="宋体"/>
          <w:color w:val="000000"/>
          <w:sz w:val="24"/>
          <w:szCs w:val="24"/>
          <w:lang w:eastAsia="zh-CN"/>
        </w:rPr>
        <w:t>（</w:t>
      </w:r>
      <w:r>
        <w:rPr>
          <w:rFonts w:hint="eastAsia" w:hAnsi="宋体" w:cs="宋体"/>
          <w:color w:val="000000"/>
          <w:sz w:val="24"/>
          <w:szCs w:val="24"/>
          <w:lang w:val="en-US" w:eastAsia="zh-CN"/>
        </w:rPr>
        <w:t>格式自拟</w:t>
      </w:r>
      <w:r>
        <w:rPr>
          <w:rFonts w:hint="eastAsia" w:hAnsi="宋体" w:cs="宋体"/>
          <w:color w:val="000000"/>
          <w:sz w:val="24"/>
          <w:szCs w:val="24"/>
          <w:lang w:eastAsia="zh-CN"/>
        </w:rPr>
        <w:t>）</w:t>
      </w:r>
    </w:p>
    <w:p w14:paraId="7E609E4A">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8、近</w:t>
      </w:r>
      <w:r>
        <w:rPr>
          <w:rFonts w:hint="eastAsia" w:hAnsi="宋体" w:cs="宋体"/>
          <w:color w:val="000000"/>
          <w:sz w:val="24"/>
          <w:szCs w:val="24"/>
          <w:lang w:val="en-US" w:eastAsia="zh-CN"/>
        </w:rPr>
        <w:t>三年</w:t>
      </w:r>
      <w:r>
        <w:rPr>
          <w:rFonts w:hint="eastAsia" w:hAnsi="宋体" w:cs="宋体"/>
          <w:color w:val="000000"/>
          <w:sz w:val="24"/>
          <w:szCs w:val="24"/>
        </w:rPr>
        <w:t>(具体指</w:t>
      </w:r>
      <w:r>
        <w:rPr>
          <w:rFonts w:hint="eastAsia" w:hAnsi="宋体" w:cs="宋体"/>
          <w:color w:val="000000"/>
          <w:sz w:val="24"/>
          <w:szCs w:val="24"/>
          <w:lang w:eastAsia="zh-CN"/>
        </w:rPr>
        <w:t>2023年5月1日</w:t>
      </w:r>
      <w:r>
        <w:rPr>
          <w:rFonts w:hint="eastAsia" w:hAnsi="宋体" w:cs="宋体"/>
          <w:color w:val="000000"/>
          <w:sz w:val="24"/>
          <w:szCs w:val="24"/>
        </w:rPr>
        <w:t>至本项目投标截止之日) 同类项目业绩一览表</w:t>
      </w:r>
    </w:p>
    <w:p w14:paraId="78F9A500">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lang w:val="en-US" w:eastAsia="zh-CN"/>
        </w:rPr>
        <w:t>9</w:t>
      </w:r>
      <w:r>
        <w:rPr>
          <w:rFonts w:hint="eastAsia" w:hAnsi="宋体" w:cs="宋体"/>
          <w:color w:val="000000"/>
          <w:sz w:val="24"/>
          <w:szCs w:val="24"/>
        </w:rPr>
        <w:t>、</w:t>
      </w:r>
      <w:r>
        <w:rPr>
          <w:rFonts w:hint="eastAsia" w:hAnsi="宋体" w:cs="宋体"/>
          <w:color w:val="000000"/>
          <w:sz w:val="24"/>
          <w:szCs w:val="24"/>
          <w:lang w:eastAsia="zh-CN"/>
        </w:rPr>
        <w:t xml:space="preserve">总体技术方案 </w:t>
      </w:r>
    </w:p>
    <w:p w14:paraId="350D8D3E">
      <w:pPr>
        <w:pStyle w:val="15"/>
        <w:spacing w:line="400" w:lineRule="exact"/>
        <w:ind w:firstLine="480" w:firstLineChars="200"/>
        <w:rPr>
          <w:rFonts w:hint="eastAsia" w:hAnsi="宋体" w:eastAsia="宋体" w:cs="宋体"/>
          <w:color w:val="000000"/>
          <w:sz w:val="24"/>
          <w:szCs w:val="24"/>
          <w:lang w:eastAsia="zh-CN"/>
        </w:rPr>
      </w:pPr>
      <w:r>
        <w:rPr>
          <w:rFonts w:hint="eastAsia" w:hAnsi="宋体" w:cs="宋体"/>
          <w:color w:val="000000"/>
          <w:sz w:val="24"/>
          <w:szCs w:val="24"/>
        </w:rPr>
        <w:t>1</w:t>
      </w:r>
      <w:r>
        <w:rPr>
          <w:rFonts w:hint="eastAsia" w:hAnsi="宋体" w:cs="宋体"/>
          <w:color w:val="000000"/>
          <w:sz w:val="24"/>
          <w:szCs w:val="24"/>
          <w:lang w:val="en-US" w:eastAsia="zh-CN"/>
        </w:rPr>
        <w:t>0</w:t>
      </w:r>
      <w:r>
        <w:rPr>
          <w:rFonts w:hint="eastAsia" w:hAnsi="宋体" w:cs="宋体"/>
          <w:color w:val="000000"/>
          <w:sz w:val="24"/>
          <w:szCs w:val="24"/>
        </w:rPr>
        <w:t>、</w:t>
      </w:r>
      <w:r>
        <w:rPr>
          <w:rFonts w:hint="eastAsia" w:hAnsi="宋体" w:cs="宋体"/>
          <w:color w:val="000000"/>
          <w:sz w:val="24"/>
          <w:szCs w:val="24"/>
          <w:lang w:eastAsia="zh-CN"/>
        </w:rPr>
        <w:t>项目背景及现状分析</w:t>
      </w:r>
    </w:p>
    <w:p w14:paraId="645C0C3C">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1</w:t>
      </w:r>
      <w:r>
        <w:rPr>
          <w:rFonts w:hint="eastAsia" w:hAnsi="宋体" w:cs="宋体"/>
          <w:color w:val="000000"/>
          <w:sz w:val="24"/>
          <w:szCs w:val="24"/>
          <w:lang w:val="en-US" w:eastAsia="zh-CN"/>
        </w:rPr>
        <w:t>1</w:t>
      </w:r>
      <w:r>
        <w:rPr>
          <w:rFonts w:hint="eastAsia" w:hAnsi="宋体" w:cs="宋体"/>
          <w:color w:val="000000"/>
          <w:sz w:val="24"/>
          <w:szCs w:val="24"/>
        </w:rPr>
        <w:t>、</w:t>
      </w:r>
      <w:r>
        <w:rPr>
          <w:rFonts w:hint="eastAsia" w:hAnsi="宋体" w:cs="宋体"/>
          <w:color w:val="000000"/>
          <w:sz w:val="24"/>
          <w:szCs w:val="24"/>
          <w:lang w:eastAsia="zh-CN"/>
        </w:rPr>
        <w:t>质量保证措施</w:t>
      </w:r>
      <w:r>
        <w:rPr>
          <w:rFonts w:hint="eastAsia" w:hAnsi="宋体" w:cs="宋体"/>
          <w:color w:val="000000"/>
          <w:sz w:val="24"/>
          <w:szCs w:val="24"/>
        </w:rPr>
        <w:t xml:space="preserve"> </w:t>
      </w:r>
    </w:p>
    <w:p w14:paraId="3003ED97">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1</w:t>
      </w:r>
      <w:r>
        <w:rPr>
          <w:rFonts w:hint="eastAsia" w:hAnsi="宋体" w:cs="宋体"/>
          <w:color w:val="000000"/>
          <w:sz w:val="24"/>
          <w:szCs w:val="24"/>
          <w:lang w:val="en-US" w:eastAsia="zh-CN"/>
        </w:rPr>
        <w:t>2</w:t>
      </w:r>
      <w:r>
        <w:rPr>
          <w:rFonts w:hint="eastAsia" w:hAnsi="宋体" w:cs="宋体"/>
          <w:color w:val="000000"/>
          <w:sz w:val="24"/>
          <w:szCs w:val="24"/>
        </w:rPr>
        <w:t>、</w:t>
      </w:r>
      <w:r>
        <w:rPr>
          <w:rFonts w:hint="eastAsia" w:hAnsi="宋体" w:cs="宋体"/>
          <w:color w:val="000000"/>
          <w:sz w:val="24"/>
          <w:szCs w:val="24"/>
          <w:lang w:eastAsia="zh-CN"/>
        </w:rPr>
        <w:t>对项目合理化建议</w:t>
      </w:r>
      <w:r>
        <w:rPr>
          <w:rFonts w:hint="eastAsia" w:hAnsi="宋体" w:cs="宋体"/>
          <w:color w:val="000000"/>
          <w:sz w:val="24"/>
          <w:szCs w:val="24"/>
        </w:rPr>
        <w:t xml:space="preserve"> </w:t>
      </w:r>
    </w:p>
    <w:p w14:paraId="28382D05">
      <w:pPr>
        <w:pStyle w:val="15"/>
        <w:spacing w:line="400" w:lineRule="exact"/>
        <w:ind w:firstLine="480" w:firstLineChars="200"/>
        <w:rPr>
          <w:rFonts w:hint="eastAsia" w:hAnsi="宋体" w:cs="宋体"/>
          <w:color w:val="000000"/>
          <w:sz w:val="24"/>
          <w:szCs w:val="24"/>
        </w:rPr>
      </w:pPr>
      <w:r>
        <w:rPr>
          <w:rFonts w:hint="eastAsia" w:hAnsi="宋体" w:cs="宋体"/>
          <w:color w:val="000000"/>
          <w:sz w:val="24"/>
          <w:szCs w:val="24"/>
        </w:rPr>
        <w:t>1</w:t>
      </w:r>
      <w:r>
        <w:rPr>
          <w:rFonts w:hint="eastAsia" w:hAnsi="宋体" w:cs="宋体"/>
          <w:color w:val="000000"/>
          <w:sz w:val="24"/>
          <w:szCs w:val="24"/>
          <w:lang w:val="en-US" w:eastAsia="zh-CN"/>
        </w:rPr>
        <w:t>3</w:t>
      </w:r>
      <w:r>
        <w:rPr>
          <w:rFonts w:hint="eastAsia" w:hAnsi="宋体" w:cs="宋体"/>
          <w:color w:val="000000"/>
          <w:sz w:val="24"/>
          <w:szCs w:val="24"/>
        </w:rPr>
        <w:t>、</w:t>
      </w:r>
      <w:r>
        <w:rPr>
          <w:rFonts w:hint="eastAsia" w:hAnsi="宋体" w:cs="宋体"/>
          <w:color w:val="000000"/>
          <w:sz w:val="24"/>
          <w:szCs w:val="24"/>
          <w:lang w:eastAsia="zh-CN"/>
        </w:rPr>
        <w:t>进度安排</w:t>
      </w:r>
      <w:r>
        <w:rPr>
          <w:rFonts w:hint="eastAsia" w:hAnsi="宋体" w:cs="宋体"/>
          <w:color w:val="000000"/>
          <w:sz w:val="24"/>
          <w:szCs w:val="24"/>
        </w:rPr>
        <w:t xml:space="preserve"> </w:t>
      </w:r>
    </w:p>
    <w:p w14:paraId="3D5B3FD6">
      <w:pPr>
        <w:pStyle w:val="15"/>
        <w:spacing w:line="400" w:lineRule="exact"/>
        <w:ind w:firstLine="480" w:firstLineChars="200"/>
        <w:rPr>
          <w:rFonts w:hint="eastAsia" w:hAnsi="宋体" w:eastAsia="宋体" w:cs="宋体"/>
          <w:color w:val="000000"/>
          <w:sz w:val="24"/>
          <w:szCs w:val="24"/>
          <w:lang w:eastAsia="zh-CN"/>
        </w:rPr>
      </w:pPr>
      <w:r>
        <w:rPr>
          <w:rFonts w:hint="eastAsia" w:hAnsi="宋体" w:cs="宋体"/>
          <w:color w:val="000000"/>
          <w:sz w:val="24"/>
          <w:szCs w:val="24"/>
        </w:rPr>
        <w:t>1</w:t>
      </w:r>
      <w:r>
        <w:rPr>
          <w:rFonts w:hint="eastAsia" w:hAnsi="宋体" w:cs="宋体"/>
          <w:color w:val="000000"/>
          <w:sz w:val="24"/>
          <w:szCs w:val="24"/>
          <w:lang w:val="en-US" w:eastAsia="zh-CN"/>
        </w:rPr>
        <w:t>4</w:t>
      </w:r>
      <w:r>
        <w:rPr>
          <w:rFonts w:hint="eastAsia" w:hAnsi="宋体" w:cs="宋体"/>
          <w:color w:val="000000"/>
          <w:sz w:val="24"/>
          <w:szCs w:val="24"/>
        </w:rPr>
        <w:t>、</w:t>
      </w:r>
      <w:r>
        <w:rPr>
          <w:rFonts w:hint="eastAsia" w:hAnsi="宋体" w:cs="宋体"/>
          <w:color w:val="000000"/>
          <w:sz w:val="24"/>
          <w:szCs w:val="24"/>
          <w:lang w:eastAsia="zh-CN"/>
        </w:rPr>
        <w:t>管理制度</w:t>
      </w:r>
    </w:p>
    <w:p w14:paraId="4C2C6B8B">
      <w:pPr>
        <w:pStyle w:val="15"/>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、投标人认为需要提交的其他资料（如有）</w:t>
      </w:r>
    </w:p>
    <w:p w14:paraId="56321E11">
      <w:pPr>
        <w:pStyle w:val="5"/>
        <w:ind w:left="0" w:leftChars="0" w:firstLine="0" w:firstLineChars="0"/>
        <w:jc w:val="center"/>
        <w:rPr>
          <w:rFonts w:hint="eastAsia" w:hAnsi="宋体" w:cs="宋体"/>
          <w:color w:val="auto"/>
          <w:szCs w:val="24"/>
          <w:highlight w:val="none"/>
        </w:rPr>
      </w:pPr>
      <w:r>
        <w:rPr>
          <w:rFonts w:hint="eastAsia" w:hAnsi="宋体" w:cs="宋体"/>
          <w:b/>
          <w:color w:val="auto"/>
          <w:szCs w:val="24"/>
          <w:highlight w:val="none"/>
        </w:rPr>
        <w:br w:type="page"/>
      </w:r>
      <w:r>
        <w:rPr>
          <w:rFonts w:hint="eastAsia" w:hAnsi="宋体" w:cs="宋体"/>
          <w:b/>
          <w:bCs/>
          <w:color w:val="auto"/>
          <w:sz w:val="24"/>
          <w:szCs w:val="24"/>
          <w:highlight w:val="none"/>
        </w:rPr>
        <w:t xml:space="preserve">1   </w:t>
      </w:r>
      <w:bookmarkStart w:id="285" w:name="_Hlt520355504"/>
      <w:bookmarkEnd w:id="285"/>
      <w:r>
        <w:rPr>
          <w:rFonts w:hint="eastAsia" w:hAnsi="宋体" w:cs="宋体"/>
          <w:b/>
          <w:bCs/>
          <w:color w:val="auto"/>
          <w:sz w:val="24"/>
          <w:szCs w:val="24"/>
          <w:highlight w:val="none"/>
        </w:rPr>
        <w:t>投标书</w:t>
      </w:r>
    </w:p>
    <w:p w14:paraId="1C19D6C9">
      <w:pPr>
        <w:tabs>
          <w:tab w:val="left" w:pos="5580"/>
        </w:tabs>
        <w:spacing w:line="360" w:lineRule="exact"/>
        <w:ind w:left="1079" w:leftChars="257" w:hanging="540"/>
        <w:rPr>
          <w:rFonts w:hint="eastAsia" w:ascii="宋体" w:hAnsi="宋体" w:cs="宋体"/>
          <w:color w:val="auto"/>
          <w:sz w:val="24"/>
          <w:highlight w:val="none"/>
        </w:rPr>
      </w:pPr>
    </w:p>
    <w:p w14:paraId="6941BE5A">
      <w:pPr>
        <w:tabs>
          <w:tab w:val="left" w:pos="5580"/>
        </w:tabs>
        <w:spacing w:line="360" w:lineRule="exact"/>
        <w:ind w:left="1080" w:hanging="108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w:t>
      </w:r>
    </w:p>
    <w:p w14:paraId="74205D70">
      <w:pPr>
        <w:pStyle w:val="15"/>
        <w:keepNext w:val="0"/>
        <w:keepLines w:val="0"/>
        <w:pageBreakBefore w:val="0"/>
        <w:widowControl w:val="0"/>
        <w:tabs>
          <w:tab w:val="left" w:pos="5580"/>
        </w:tabs>
        <w:kinsoku/>
        <w:wordWrap w:val="0"/>
        <w:overflowPunct/>
        <w:topLinePunct/>
        <w:autoSpaceDE/>
        <w:autoSpaceDN/>
        <w:bidi w:val="0"/>
        <w:adjustRightInd/>
        <w:snapToGrid/>
        <w:spacing w:line="360" w:lineRule="atLeast"/>
        <w:ind w:left="2" w:leftChars="1"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i/>
          <w:color w:val="auto"/>
          <w:sz w:val="24"/>
          <w:highlight w:val="none"/>
          <w:u w:val="single"/>
        </w:rPr>
        <w:t>项目名称</w:t>
      </w:r>
      <w:r>
        <w:rPr>
          <w:rFonts w:hint="eastAsia" w:ascii="宋体" w:hAnsi="宋体" w:eastAsia="宋体" w:cs="宋体"/>
          <w:color w:val="auto"/>
          <w:sz w:val="24"/>
          <w:highlight w:val="none"/>
        </w:rPr>
        <w:t>)项目的</w:t>
      </w:r>
      <w:r>
        <w:rPr>
          <w:rFonts w:hint="eastAsia" w:hAnsi="宋体" w:cs="宋体"/>
          <w:color w:val="auto"/>
          <w:sz w:val="24"/>
          <w:highlight w:val="none"/>
          <w:lang w:eastAsia="zh-CN"/>
        </w:rPr>
        <w:t>招标公告</w:t>
      </w:r>
      <w:r>
        <w:rPr>
          <w:rFonts w:hint="eastAsia" w:ascii="宋体" w:hAnsi="宋体" w:eastAsia="宋体" w:cs="宋体"/>
          <w:color w:val="auto"/>
          <w:sz w:val="24"/>
          <w:highlight w:val="none"/>
        </w:rPr>
        <w:t>(</w:t>
      </w:r>
      <w:r>
        <w:rPr>
          <w:rFonts w:hint="eastAsia" w:ascii="宋体" w:hAnsi="宋体" w:eastAsia="宋体" w:cs="宋体"/>
          <w:i/>
          <w:color w:val="auto"/>
          <w:sz w:val="24"/>
          <w:highlight w:val="none"/>
          <w:u w:val="single"/>
        </w:rPr>
        <w:t>招标编号</w:t>
      </w:r>
      <w:r>
        <w:rPr>
          <w:rFonts w:hint="eastAsia" w:ascii="宋体" w:hAnsi="宋体" w:eastAsia="宋体" w:cs="宋体"/>
          <w:color w:val="auto"/>
          <w:sz w:val="24"/>
          <w:highlight w:val="none"/>
        </w:rPr>
        <w:t>),签字代表(</w:t>
      </w:r>
      <w:r>
        <w:rPr>
          <w:rFonts w:hint="eastAsia" w:ascii="宋体" w:hAnsi="宋体" w:eastAsia="宋体" w:cs="宋体"/>
          <w:i/>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i/>
          <w:color w:val="auto"/>
          <w:sz w:val="24"/>
          <w:highlight w:val="none"/>
          <w:u w:val="single"/>
        </w:rPr>
        <w:t>名称、地址</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形式出具的金额为人民币</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元的投标保证金。</w:t>
      </w:r>
    </w:p>
    <w:p w14:paraId="6F16B6E8">
      <w:pPr>
        <w:pStyle w:val="15"/>
        <w:tabs>
          <w:tab w:val="left" w:pos="5580"/>
        </w:tabs>
        <w:spacing w:line="360" w:lineRule="exact"/>
        <w:ind w:left="1079" w:leftChars="257" w:hanging="540"/>
        <w:rPr>
          <w:rFonts w:hint="eastAsia" w:hAnsi="宋体" w:cs="宋体"/>
          <w:color w:val="auto"/>
          <w:sz w:val="24"/>
          <w:szCs w:val="24"/>
          <w:highlight w:val="none"/>
        </w:rPr>
      </w:pPr>
      <w:r>
        <w:rPr>
          <w:rFonts w:hint="eastAsia" w:hAnsi="宋体" w:cs="宋体"/>
          <w:color w:val="auto"/>
          <w:sz w:val="24"/>
          <w:szCs w:val="24"/>
          <w:highlight w:val="none"/>
        </w:rPr>
        <w:t>据此，签字代表宣布同意如下：</w:t>
      </w:r>
    </w:p>
    <w:p w14:paraId="0A9306F1">
      <w:pPr>
        <w:pStyle w:val="15"/>
        <w:keepNext w:val="0"/>
        <w:keepLines w:val="0"/>
        <w:pageBreakBefore w:val="0"/>
        <w:widowControl w:val="0"/>
        <w:tabs>
          <w:tab w:val="left" w:pos="720"/>
          <w:tab w:val="left" w:pos="900"/>
        </w:tabs>
        <w:kinsoku/>
        <w:wordWrap w:val="0"/>
        <w:overflowPunct/>
        <w:topLinePunct/>
        <w:autoSpaceDE/>
        <w:autoSpaceDN/>
        <w:bidi w:val="0"/>
        <w:adjustRightInd/>
        <w:snapToGrid/>
        <w:spacing w:line="360" w:lineRule="exact"/>
        <w:ind w:left="480" w:hanging="480" w:hangingChars="200"/>
        <w:textAlignment w:val="auto"/>
        <w:rPr>
          <w:rFonts w:hint="eastAsia" w:hAnsi="宋体" w:cs="宋体"/>
          <w:color w:val="auto"/>
          <w:sz w:val="24"/>
          <w:szCs w:val="24"/>
          <w:highlight w:val="none"/>
          <w:u w:val="none"/>
        </w:rPr>
      </w:pPr>
      <w:r>
        <w:rPr>
          <w:rFonts w:hint="eastAsia" w:hAnsi="宋体" w:cs="宋体"/>
          <w:color w:val="auto"/>
          <w:sz w:val="24"/>
          <w:szCs w:val="24"/>
          <w:highlight w:val="none"/>
        </w:rPr>
        <w:t>（1）附投标价格表中规定的应提供服务的投标总价详见开标一览表，</w:t>
      </w:r>
      <w:r>
        <w:rPr>
          <w:rFonts w:hint="eastAsia" w:hAnsi="宋体" w:cs="宋体"/>
          <w:color w:val="000000"/>
          <w:sz w:val="24"/>
          <w:szCs w:val="24"/>
          <w:highlight w:val="none"/>
        </w:rPr>
        <w:t>价格为</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u w:val="single"/>
          <w:lang w:val="en-US" w:eastAsia="zh-CN"/>
        </w:rPr>
        <w:t xml:space="preserve">                    </w:t>
      </w:r>
      <w:r>
        <w:rPr>
          <w:rFonts w:hint="eastAsia" w:hAnsi="宋体" w:cs="宋体"/>
          <w:color w:val="000000"/>
          <w:sz w:val="24"/>
          <w:szCs w:val="24"/>
          <w:highlight w:val="none"/>
          <w:u w:val="single"/>
        </w:rPr>
        <w:t>（用文字和数字表示）</w:t>
      </w:r>
      <w:r>
        <w:rPr>
          <w:rFonts w:hint="eastAsia" w:ascii="宋体" w:hAnsi="宋体" w:eastAsia="宋体" w:cs="宋体"/>
          <w:color w:val="000000"/>
          <w:sz w:val="24"/>
          <w:szCs w:val="24"/>
          <w:highlight w:val="none"/>
        </w:rPr>
        <w:t>。</w:t>
      </w:r>
    </w:p>
    <w:p w14:paraId="3A38D875">
      <w:pPr>
        <w:pStyle w:val="15"/>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（2）本投标有效期为自投标截止之日起</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个日历日。</w:t>
      </w:r>
    </w:p>
    <w:p w14:paraId="6C256778">
      <w:pPr>
        <w:pStyle w:val="15"/>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（3）联合体中的大中型企业和其他自然人、法人或者非法人组织，与联合体中的小型、微型企业之间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存在、不存在）投资关系（如果联合体的话）。</w:t>
      </w:r>
    </w:p>
    <w:p w14:paraId="309FF13A">
      <w:pPr>
        <w:pStyle w:val="15"/>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（4）已详细审查全部招标文件，包括所有补充通知（如果有的话），完全理解并同意放弃对这方面有不明、误解和质疑的权力。</w:t>
      </w:r>
    </w:p>
    <w:p w14:paraId="0006DD1C">
      <w:pPr>
        <w:pStyle w:val="15"/>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（5）在规定的开标时间后，遵守招标文件中有关保证金的规定。</w:t>
      </w:r>
    </w:p>
    <w:p w14:paraId="196E4756">
      <w:pPr>
        <w:pStyle w:val="15"/>
        <w:tabs>
          <w:tab w:val="left" w:pos="5580"/>
        </w:tabs>
        <w:spacing w:line="360" w:lineRule="exact"/>
        <w:rPr>
          <w:rFonts w:hint="eastAsia"/>
          <w:highlight w:val="none"/>
        </w:rPr>
      </w:pPr>
      <w:r>
        <w:rPr>
          <w:rFonts w:hint="eastAsia" w:ascii="宋体" w:hAnsi="宋体" w:eastAsia="宋体" w:cs="宋体"/>
          <w:color w:val="auto"/>
          <w:sz w:val="24"/>
          <w:szCs w:val="24"/>
          <w:highlight w:val="none"/>
        </w:rPr>
        <w:t>（6）我方不是为本项目提供整体设计、规范编制或者项目管理、监理、检测等</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的供应商，我方不是采购代理机构的附属机构。</w:t>
      </w:r>
    </w:p>
    <w:p w14:paraId="181EB186">
      <w:pPr>
        <w:pStyle w:val="15"/>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）在领取中标通知书的同时按招标文件规定的形式，向贵方一次性支付中标服务费。</w:t>
      </w:r>
    </w:p>
    <w:p w14:paraId="3B2FCA9E">
      <w:pPr>
        <w:pStyle w:val="15"/>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8</w:t>
      </w:r>
      <w:r>
        <w:rPr>
          <w:rFonts w:hint="eastAsia" w:hAnsi="宋体" w:cs="宋体"/>
          <w:color w:val="auto"/>
          <w:sz w:val="24"/>
          <w:szCs w:val="24"/>
          <w:highlight w:val="none"/>
        </w:rPr>
        <w:t>）按照贵方可能要求，提供与其投标有关的一切数据或资料，完全理解贵方不一定接受最低价的投标或收到的任何投标。</w:t>
      </w:r>
    </w:p>
    <w:p w14:paraId="2251FC16">
      <w:pPr>
        <w:pStyle w:val="15"/>
        <w:tabs>
          <w:tab w:val="left" w:pos="5580"/>
        </w:tabs>
        <w:spacing w:line="360" w:lineRule="exact"/>
        <w:rPr>
          <w:rFonts w:hint="eastAsia" w:hAnsi="宋体" w:cs="宋体"/>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9</w:t>
      </w:r>
      <w:r>
        <w:rPr>
          <w:rFonts w:hint="eastAsia" w:hAnsi="宋体" w:cs="宋体"/>
          <w:color w:val="auto"/>
          <w:sz w:val="24"/>
          <w:szCs w:val="24"/>
          <w:highlight w:val="none"/>
        </w:rPr>
        <w:t>）按照招标文件的规定履行合同责任和义务。</w:t>
      </w:r>
    </w:p>
    <w:p w14:paraId="40DEA989">
      <w:pPr>
        <w:pStyle w:val="15"/>
        <w:tabs>
          <w:tab w:val="left" w:pos="5580"/>
        </w:tabs>
        <w:spacing w:line="360" w:lineRule="exact"/>
        <w:ind w:left="358" w:leftChars="68" w:hanging="216" w:hangingChars="90"/>
        <w:rPr>
          <w:rFonts w:hint="eastAsia" w:hAnsi="宋体" w:cs="宋体"/>
          <w:color w:val="auto"/>
          <w:sz w:val="24"/>
          <w:szCs w:val="24"/>
          <w:highlight w:val="none"/>
        </w:rPr>
      </w:pPr>
      <w:r>
        <w:rPr>
          <w:rFonts w:hint="eastAsia" w:hAnsi="宋体" w:cs="宋体"/>
          <w:color w:val="auto"/>
          <w:sz w:val="24"/>
          <w:szCs w:val="24"/>
          <w:highlight w:val="none"/>
        </w:rPr>
        <w:t xml:space="preserve">  </w:t>
      </w:r>
    </w:p>
    <w:p w14:paraId="0B4FD56A">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与本投标有关的一切正式往来信函请寄：</w:t>
      </w:r>
    </w:p>
    <w:p w14:paraId="7FC3719F">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rPr>
      </w:pPr>
      <w:bookmarkStart w:id="286" w:name="_Toc216582815"/>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传真</w:t>
      </w:r>
      <w:r>
        <w:rPr>
          <w:rFonts w:hint="eastAsia" w:ascii="宋体" w:hAnsi="宋体" w:eastAsia="宋体" w:cs="宋体"/>
          <w:color w:val="000000"/>
          <w:sz w:val="24"/>
          <w:szCs w:val="24"/>
          <w:highlight w:val="none"/>
          <w:u w:val="single"/>
        </w:rPr>
        <w:t xml:space="preserve">                             </w:t>
      </w:r>
    </w:p>
    <w:p w14:paraId="271D6498">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电子函件</w:t>
      </w:r>
      <w:r>
        <w:rPr>
          <w:rFonts w:hint="eastAsia" w:ascii="宋体" w:hAnsi="宋体" w:eastAsia="宋体" w:cs="宋体"/>
          <w:color w:val="000000"/>
          <w:sz w:val="24"/>
          <w:szCs w:val="24"/>
          <w:highlight w:val="none"/>
          <w:u w:val="single"/>
        </w:rPr>
        <w:t xml:space="preserve">                         </w:t>
      </w:r>
    </w:p>
    <w:p w14:paraId="414449C8">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法定代表人或其委托代理人（签/章）</w:t>
      </w:r>
      <w:r>
        <w:rPr>
          <w:rFonts w:hint="eastAsia" w:ascii="宋体" w:hAnsi="宋体" w:eastAsia="宋体" w:cs="宋体"/>
          <w:color w:val="000000"/>
          <w:sz w:val="24"/>
          <w:szCs w:val="24"/>
          <w:highlight w:val="none"/>
          <w:u w:val="single"/>
        </w:rPr>
        <w:t xml:space="preserve">　　　　　　 </w:t>
      </w:r>
    </w:p>
    <w:p w14:paraId="22679757">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名称（全称）</w:t>
      </w:r>
      <w:r>
        <w:rPr>
          <w:rFonts w:hint="eastAsia" w:ascii="宋体" w:hAnsi="宋体" w:eastAsia="宋体" w:cs="宋体"/>
          <w:color w:val="000000"/>
          <w:sz w:val="24"/>
          <w:szCs w:val="24"/>
          <w:highlight w:val="none"/>
          <w:u w:val="single"/>
        </w:rPr>
        <w:t xml:space="preserve">　　　　　　 </w:t>
      </w:r>
    </w:p>
    <w:p w14:paraId="24F9CAD7">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开户银行（全称）</w:t>
      </w:r>
      <w:r>
        <w:rPr>
          <w:rFonts w:hint="eastAsia" w:ascii="宋体" w:hAnsi="宋体" w:eastAsia="宋体" w:cs="宋体"/>
          <w:color w:val="000000"/>
          <w:sz w:val="24"/>
          <w:szCs w:val="24"/>
          <w:highlight w:val="none"/>
          <w:u w:val="single"/>
        </w:rPr>
        <w:t xml:space="preserve">　　　　　　 </w:t>
      </w:r>
    </w:p>
    <w:p w14:paraId="010F5131">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rPr>
      </w:pPr>
      <w:r>
        <w:rPr>
          <w:rFonts w:hint="eastAsia" w:hAnsi="宋体" w:cs="宋体"/>
          <w:color w:val="000000"/>
          <w:sz w:val="24"/>
          <w:szCs w:val="24"/>
          <w:highlight w:val="none"/>
          <w:lang w:val="en-US" w:eastAsia="zh-CN"/>
        </w:rPr>
        <w:t>投标人银行账号</w:t>
      </w:r>
      <w:r>
        <w:rPr>
          <w:rFonts w:hint="eastAsia" w:ascii="宋体" w:hAnsi="宋体" w:eastAsia="宋体" w:cs="宋体"/>
          <w:color w:val="000000"/>
          <w:sz w:val="24"/>
          <w:szCs w:val="24"/>
          <w:highlight w:val="none"/>
          <w:u w:val="single"/>
        </w:rPr>
        <w:t>　　　　　　　　 　　</w:t>
      </w:r>
    </w:p>
    <w:p w14:paraId="090C363B">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u w:val="single"/>
        </w:rPr>
      </w:pPr>
      <w:r>
        <w:rPr>
          <w:rFonts w:hint="eastAsia"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（公章）</w:t>
      </w:r>
      <w:r>
        <w:rPr>
          <w:rFonts w:hint="eastAsia" w:ascii="宋体" w:hAnsi="宋体" w:eastAsia="宋体" w:cs="宋体"/>
          <w:color w:val="000000"/>
          <w:sz w:val="24"/>
          <w:szCs w:val="24"/>
          <w:highlight w:val="none"/>
          <w:u w:val="single"/>
        </w:rPr>
        <w:t xml:space="preserve">　　　　　　       </w:t>
      </w:r>
    </w:p>
    <w:p w14:paraId="05A241A9">
      <w:pPr>
        <w:pStyle w:val="15"/>
        <w:keepNext w:val="0"/>
        <w:keepLines w:val="0"/>
        <w:pageBreakBefore w:val="0"/>
        <w:widowControl w:val="0"/>
        <w:tabs>
          <w:tab w:val="left" w:pos="5580"/>
        </w:tabs>
        <w:kinsoku/>
        <w:wordWrap/>
        <w:overflowPunct/>
        <w:topLinePunct w:val="0"/>
        <w:autoSpaceDE/>
        <w:autoSpaceDN/>
        <w:bidi w:val="0"/>
        <w:adjustRightInd/>
        <w:snapToGrid/>
        <w:spacing w:line="360" w:lineRule="exact"/>
        <w:ind w:left="1079" w:leftChars="257" w:hanging="54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日期</w:t>
      </w:r>
      <w:r>
        <w:rPr>
          <w:rFonts w:hint="eastAsia" w:ascii="宋体" w:hAnsi="宋体" w:eastAsia="宋体" w:cs="宋体"/>
          <w:color w:val="000000"/>
          <w:sz w:val="24"/>
          <w:szCs w:val="24"/>
          <w:highlight w:val="none"/>
          <w:u w:val="single"/>
        </w:rPr>
        <w:t>　　　　　　</w:t>
      </w:r>
    </w:p>
    <w:p w14:paraId="6526D528">
      <w:pPr>
        <w:pStyle w:val="15"/>
        <w:tabs>
          <w:tab w:val="left" w:pos="5580"/>
        </w:tabs>
        <w:spacing w:line="360" w:lineRule="exact"/>
        <w:ind w:left="1079" w:leftChars="257" w:hanging="540"/>
        <w:rPr>
          <w:rFonts w:hint="eastAsia" w:hAnsi="宋体" w:cs="宋体"/>
          <w:color w:val="auto"/>
          <w:sz w:val="24"/>
          <w:szCs w:val="24"/>
          <w:highlight w:val="none"/>
        </w:rPr>
      </w:pPr>
    </w:p>
    <w:p w14:paraId="5ADB8BA8">
      <w:pPr>
        <w:pStyle w:val="15"/>
        <w:spacing w:line="360" w:lineRule="auto"/>
        <w:jc w:val="both"/>
        <w:rPr>
          <w:rFonts w:hint="eastAsia" w:ascii="宋体" w:hAnsi="宋体" w:eastAsia="宋体" w:cs="宋体"/>
          <w:b/>
          <w:bCs/>
          <w:color w:val="auto"/>
          <w:sz w:val="24"/>
          <w:szCs w:val="24"/>
          <w:highlight w:val="none"/>
        </w:rPr>
      </w:pPr>
    </w:p>
    <w:p w14:paraId="18B63752">
      <w:pPr>
        <w:pStyle w:val="16"/>
        <w:rPr>
          <w:rFonts w:hint="eastAsia" w:ascii="宋体" w:hAnsi="宋体" w:eastAsia="宋体" w:cs="宋体"/>
          <w:b/>
          <w:bCs/>
          <w:color w:val="auto"/>
          <w:sz w:val="24"/>
          <w:szCs w:val="24"/>
          <w:highlight w:val="none"/>
        </w:rPr>
      </w:pPr>
    </w:p>
    <w:p w14:paraId="6586EE20">
      <w:pPr>
        <w:rPr>
          <w:rFonts w:hint="eastAsia"/>
          <w:color w:val="auto"/>
          <w:highlight w:val="none"/>
        </w:rPr>
      </w:pPr>
    </w:p>
    <w:p w14:paraId="26AD7E1E">
      <w:pPr>
        <w:pStyle w:val="25"/>
        <w:rPr>
          <w:rFonts w:hint="eastAsia"/>
          <w:color w:val="auto"/>
          <w:highlight w:val="none"/>
        </w:rPr>
      </w:pPr>
    </w:p>
    <w:p w14:paraId="60CB7B38">
      <w:pPr>
        <w:pStyle w:val="25"/>
        <w:rPr>
          <w:rFonts w:hint="eastAsia"/>
          <w:color w:val="auto"/>
          <w:highlight w:val="none"/>
        </w:rPr>
      </w:pPr>
    </w:p>
    <w:p w14:paraId="55C24863">
      <w:pPr>
        <w:pStyle w:val="15"/>
        <w:spacing w:line="360" w:lineRule="auto"/>
        <w:jc w:val="both"/>
        <w:rPr>
          <w:rFonts w:hint="eastAsia" w:ascii="宋体" w:hAnsi="宋体" w:eastAsia="宋体" w:cs="宋体"/>
          <w:b/>
          <w:bCs/>
          <w:color w:val="auto"/>
          <w:sz w:val="24"/>
          <w:szCs w:val="24"/>
          <w:highlight w:val="none"/>
        </w:rPr>
      </w:pPr>
    </w:p>
    <w:p w14:paraId="0220112D">
      <w:pPr>
        <w:pStyle w:val="15"/>
        <w:tabs>
          <w:tab w:val="left" w:pos="5580"/>
        </w:tabs>
        <w:spacing w:line="360" w:lineRule="exact"/>
        <w:rPr>
          <w:rFonts w:hint="eastAsia" w:hAnsi="宋体" w:cs="宋体"/>
          <w:color w:val="auto"/>
          <w:sz w:val="24"/>
          <w:szCs w:val="24"/>
          <w:highlight w:val="none"/>
        </w:rPr>
        <w:sectPr>
          <w:footerReference r:id="rId12" w:type="first"/>
          <w:headerReference r:id="rId9" w:type="default"/>
          <w:footerReference r:id="rId10" w:type="default"/>
          <w:footerReference r:id="rId11" w:type="even"/>
          <w:pgSz w:w="11906" w:h="16838"/>
          <w:pgMar w:top="1474" w:right="1701" w:bottom="1474" w:left="1701" w:header="851" w:footer="992" w:gutter="0"/>
          <w:pgNumType w:fmt="decimal" w:start="1"/>
          <w:cols w:space="720" w:num="1"/>
          <w:docGrid w:type="linesAndChars" w:linePitch="312" w:charSpace="0"/>
        </w:sectPr>
      </w:pPr>
    </w:p>
    <w:bookmarkEnd w:id="286"/>
    <w:p w14:paraId="6C7182F2">
      <w:pPr>
        <w:pStyle w:val="15"/>
        <w:spacing w:line="240" w:lineRule="atLeast"/>
        <w:jc w:val="center"/>
        <w:rPr>
          <w:rFonts w:hint="eastAsia" w:hAnsi="宋体" w:cs="宋体"/>
          <w:b/>
          <w:bCs/>
          <w:color w:val="auto"/>
          <w:sz w:val="24"/>
          <w:szCs w:val="24"/>
          <w:highlight w:val="none"/>
        </w:rPr>
      </w:pPr>
      <w:bookmarkStart w:id="287" w:name="_Toc518923118"/>
      <w:bookmarkStart w:id="288" w:name="_Toc1893"/>
      <w:r>
        <w:rPr>
          <w:rFonts w:hint="eastAsia" w:hAnsi="宋体" w:cs="宋体"/>
          <w:b/>
          <w:bCs/>
          <w:color w:val="auto"/>
          <w:sz w:val="24"/>
          <w:szCs w:val="24"/>
          <w:highlight w:val="none"/>
          <w:lang w:val="en-US" w:eastAsia="zh-CN"/>
        </w:rPr>
        <w:t>2</w:t>
      </w:r>
      <w:r>
        <w:rPr>
          <w:rFonts w:hint="eastAsia" w:hAnsi="宋体" w:cs="宋体"/>
          <w:b/>
          <w:bCs/>
          <w:color w:val="auto"/>
          <w:sz w:val="24"/>
          <w:szCs w:val="24"/>
          <w:highlight w:val="none"/>
        </w:rPr>
        <w:t xml:space="preserve"> </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rPr>
        <w:t>投标分项报价表</w:t>
      </w:r>
      <w:bookmarkEnd w:id="287"/>
      <w:bookmarkEnd w:id="288"/>
    </w:p>
    <w:p w14:paraId="3AF8A4B3">
      <w:pPr>
        <w:pStyle w:val="15"/>
        <w:spacing w:line="240" w:lineRule="atLeast"/>
        <w:ind w:left="1080" w:leftChars="257" w:hanging="540"/>
        <w:rPr>
          <w:rFonts w:hint="eastAsia" w:hAnsi="宋体" w:cs="宋体"/>
          <w:color w:val="auto"/>
          <w:sz w:val="24"/>
          <w:szCs w:val="24"/>
          <w:highlight w:val="none"/>
        </w:rPr>
      </w:pPr>
    </w:p>
    <w:p w14:paraId="7A23E241">
      <w:pPr>
        <w:pStyle w:val="15"/>
        <w:spacing w:line="240" w:lineRule="atLeast"/>
        <w:ind w:left="1080" w:leftChars="257" w:hanging="540"/>
        <w:rPr>
          <w:rFonts w:hint="eastAsia" w:hAnsi="宋体" w:cs="宋体"/>
          <w:color w:val="auto"/>
          <w:sz w:val="24"/>
          <w:szCs w:val="24"/>
          <w:highlight w:val="none"/>
          <w:lang w:val="en-US" w:eastAsia="zh-CN"/>
        </w:rPr>
      </w:pPr>
      <w:r>
        <w:rPr>
          <w:rFonts w:hint="eastAsia" w:hAnsi="宋体" w:cs="宋体"/>
          <w:color w:val="auto"/>
          <w:sz w:val="24"/>
          <w:szCs w:val="24"/>
          <w:highlight w:val="none"/>
        </w:rPr>
        <w:t xml:space="preserve">项目名称:                     </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 xml:space="preserve"> </w:t>
      </w:r>
      <w:r>
        <w:rPr>
          <w:rFonts w:hint="eastAsia" w:hAnsi="宋体" w:cs="宋体"/>
          <w:color w:val="auto"/>
          <w:sz w:val="24"/>
          <w:szCs w:val="24"/>
          <w:highlight w:val="none"/>
          <w:lang w:val="en-US" w:eastAsia="zh-CN"/>
        </w:rPr>
        <w:t xml:space="preserve"> </w:t>
      </w:r>
    </w:p>
    <w:p w14:paraId="34D4A972">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招标编号:                    　</w:t>
      </w:r>
    </w:p>
    <w:p w14:paraId="5A22B66D">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报价单位：人民币元</w:t>
      </w:r>
    </w:p>
    <w:tbl>
      <w:tblPr>
        <w:tblStyle w:val="37"/>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3607"/>
        <w:gridCol w:w="750"/>
        <w:gridCol w:w="733"/>
        <w:gridCol w:w="1036"/>
        <w:gridCol w:w="843"/>
        <w:gridCol w:w="801"/>
      </w:tblGrid>
      <w:tr w14:paraId="2B6B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0"/>
            <w:vAlign w:val="center"/>
          </w:tcPr>
          <w:p w14:paraId="61635AC6">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序号</w:t>
            </w:r>
          </w:p>
        </w:tc>
        <w:tc>
          <w:tcPr>
            <w:tcW w:w="1336" w:type="dxa"/>
            <w:noWrap w:val="0"/>
            <w:vAlign w:val="center"/>
          </w:tcPr>
          <w:p w14:paraId="6801C15E">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名称</w:t>
            </w:r>
          </w:p>
        </w:tc>
        <w:tc>
          <w:tcPr>
            <w:tcW w:w="3607" w:type="dxa"/>
            <w:noWrap w:val="0"/>
            <w:vAlign w:val="center"/>
          </w:tcPr>
          <w:p w14:paraId="2192BC61">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服务内容</w:t>
            </w:r>
          </w:p>
        </w:tc>
        <w:tc>
          <w:tcPr>
            <w:tcW w:w="750" w:type="dxa"/>
            <w:noWrap w:val="0"/>
            <w:vAlign w:val="center"/>
          </w:tcPr>
          <w:p w14:paraId="6E4FD632">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数量</w:t>
            </w:r>
          </w:p>
        </w:tc>
        <w:tc>
          <w:tcPr>
            <w:tcW w:w="733" w:type="dxa"/>
            <w:noWrap w:val="0"/>
            <w:vAlign w:val="center"/>
          </w:tcPr>
          <w:p w14:paraId="7E3701CE">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单位</w:t>
            </w:r>
          </w:p>
        </w:tc>
        <w:tc>
          <w:tcPr>
            <w:tcW w:w="1036" w:type="dxa"/>
            <w:noWrap w:val="0"/>
            <w:vAlign w:val="center"/>
          </w:tcPr>
          <w:p w14:paraId="7320ED22">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单价</w:t>
            </w:r>
          </w:p>
        </w:tc>
        <w:tc>
          <w:tcPr>
            <w:tcW w:w="843" w:type="dxa"/>
            <w:noWrap w:val="0"/>
            <w:vAlign w:val="center"/>
          </w:tcPr>
          <w:p w14:paraId="36202263">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总价</w:t>
            </w:r>
          </w:p>
        </w:tc>
        <w:tc>
          <w:tcPr>
            <w:tcW w:w="801" w:type="dxa"/>
            <w:noWrap w:val="0"/>
            <w:vAlign w:val="center"/>
          </w:tcPr>
          <w:p w14:paraId="24C0F699">
            <w:pPr>
              <w:pStyle w:val="15"/>
              <w:spacing w:line="240" w:lineRule="atLeas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备注</w:t>
            </w:r>
          </w:p>
        </w:tc>
      </w:tr>
      <w:tr w14:paraId="5817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0"/>
            <w:vAlign w:val="center"/>
          </w:tcPr>
          <w:p w14:paraId="54EEF28B">
            <w:pPr>
              <w:pStyle w:val="15"/>
              <w:spacing w:line="240" w:lineRule="atLeas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336" w:type="dxa"/>
            <w:noWrap w:val="0"/>
            <w:vAlign w:val="center"/>
          </w:tcPr>
          <w:p w14:paraId="2B543076">
            <w:pPr>
              <w:pStyle w:val="15"/>
              <w:spacing w:line="240" w:lineRule="atLeast"/>
              <w:jc w:val="left"/>
              <w:rPr>
                <w:rFonts w:hint="eastAsia" w:ascii="宋体" w:hAnsi="宋体" w:eastAsia="宋体" w:cs="宋体"/>
                <w:color w:val="000000"/>
                <w:sz w:val="24"/>
                <w:szCs w:val="24"/>
                <w:highlight w:val="none"/>
                <w:lang w:val="en-US" w:eastAsia="zh-CN"/>
              </w:rPr>
            </w:pPr>
          </w:p>
        </w:tc>
        <w:tc>
          <w:tcPr>
            <w:tcW w:w="3607" w:type="dxa"/>
            <w:noWrap w:val="0"/>
            <w:vAlign w:val="center"/>
          </w:tcPr>
          <w:p w14:paraId="5AB299EC">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50" w:type="dxa"/>
            <w:noWrap w:val="0"/>
            <w:vAlign w:val="center"/>
          </w:tcPr>
          <w:p w14:paraId="1FE518E3">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33" w:type="dxa"/>
            <w:noWrap w:val="0"/>
            <w:vAlign w:val="center"/>
          </w:tcPr>
          <w:p w14:paraId="36FD6BAD">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1036" w:type="dxa"/>
            <w:noWrap w:val="0"/>
            <w:vAlign w:val="center"/>
          </w:tcPr>
          <w:p w14:paraId="3DDA9D41">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43" w:type="dxa"/>
            <w:noWrap w:val="0"/>
            <w:vAlign w:val="center"/>
          </w:tcPr>
          <w:p w14:paraId="06342AF8">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01" w:type="dxa"/>
            <w:noWrap w:val="0"/>
            <w:vAlign w:val="center"/>
          </w:tcPr>
          <w:p w14:paraId="52C5691D">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r w14:paraId="6E9D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31606E7C">
            <w:pPr>
              <w:pStyle w:val="15"/>
              <w:spacing w:line="240" w:lineRule="atLeas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1336" w:type="dxa"/>
            <w:noWrap w:val="0"/>
            <w:vAlign w:val="center"/>
          </w:tcPr>
          <w:p w14:paraId="46FE531A">
            <w:pPr>
              <w:pStyle w:val="15"/>
              <w:spacing w:line="240" w:lineRule="atLeast"/>
              <w:jc w:val="left"/>
              <w:rPr>
                <w:rFonts w:hint="eastAsia" w:ascii="宋体" w:hAnsi="宋体" w:eastAsia="宋体" w:cs="宋体"/>
                <w:color w:val="000000"/>
                <w:sz w:val="24"/>
                <w:szCs w:val="24"/>
                <w:highlight w:val="none"/>
                <w:lang w:val="en-US" w:eastAsia="zh-CN"/>
              </w:rPr>
            </w:pPr>
          </w:p>
        </w:tc>
        <w:tc>
          <w:tcPr>
            <w:tcW w:w="3607" w:type="dxa"/>
            <w:noWrap w:val="0"/>
            <w:vAlign w:val="center"/>
          </w:tcPr>
          <w:p w14:paraId="2E95D47B">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50" w:type="dxa"/>
            <w:noWrap w:val="0"/>
            <w:vAlign w:val="center"/>
          </w:tcPr>
          <w:p w14:paraId="16ADD2FE">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33" w:type="dxa"/>
            <w:noWrap w:val="0"/>
            <w:vAlign w:val="center"/>
          </w:tcPr>
          <w:p w14:paraId="1F4D8004">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1036" w:type="dxa"/>
            <w:noWrap w:val="0"/>
            <w:vAlign w:val="center"/>
          </w:tcPr>
          <w:p w14:paraId="4C647133">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43" w:type="dxa"/>
            <w:noWrap w:val="0"/>
            <w:vAlign w:val="center"/>
          </w:tcPr>
          <w:p w14:paraId="5A91B49D">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01" w:type="dxa"/>
            <w:noWrap w:val="0"/>
            <w:vAlign w:val="center"/>
          </w:tcPr>
          <w:p w14:paraId="459A341E">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r w14:paraId="3886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0"/>
            <w:vAlign w:val="center"/>
          </w:tcPr>
          <w:p w14:paraId="32AD1A69">
            <w:pPr>
              <w:pStyle w:val="15"/>
              <w:spacing w:line="240" w:lineRule="atLeas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1336" w:type="dxa"/>
            <w:noWrap w:val="0"/>
            <w:vAlign w:val="center"/>
          </w:tcPr>
          <w:p w14:paraId="4E8C12AD">
            <w:pPr>
              <w:pStyle w:val="15"/>
              <w:spacing w:line="240" w:lineRule="atLeast"/>
              <w:jc w:val="left"/>
              <w:rPr>
                <w:rFonts w:hint="eastAsia" w:ascii="宋体" w:hAnsi="宋体" w:eastAsia="宋体" w:cs="宋体"/>
                <w:color w:val="000000"/>
                <w:sz w:val="24"/>
                <w:szCs w:val="24"/>
                <w:highlight w:val="none"/>
                <w:lang w:val="en-US" w:eastAsia="zh-CN"/>
              </w:rPr>
            </w:pPr>
          </w:p>
        </w:tc>
        <w:tc>
          <w:tcPr>
            <w:tcW w:w="3607" w:type="dxa"/>
            <w:noWrap w:val="0"/>
            <w:vAlign w:val="center"/>
          </w:tcPr>
          <w:p w14:paraId="51E9F423">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50" w:type="dxa"/>
            <w:noWrap w:val="0"/>
            <w:vAlign w:val="center"/>
          </w:tcPr>
          <w:p w14:paraId="40DC5B96">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33" w:type="dxa"/>
            <w:noWrap w:val="0"/>
            <w:vAlign w:val="center"/>
          </w:tcPr>
          <w:p w14:paraId="5457A237">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1036" w:type="dxa"/>
            <w:noWrap w:val="0"/>
            <w:vAlign w:val="center"/>
          </w:tcPr>
          <w:p w14:paraId="4E0079B2">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43" w:type="dxa"/>
            <w:noWrap w:val="0"/>
            <w:vAlign w:val="center"/>
          </w:tcPr>
          <w:p w14:paraId="141E9D98">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01" w:type="dxa"/>
            <w:noWrap w:val="0"/>
            <w:vAlign w:val="center"/>
          </w:tcPr>
          <w:p w14:paraId="2DEF2D70">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r w14:paraId="2883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01A6F717">
            <w:pPr>
              <w:pStyle w:val="15"/>
              <w:spacing w:line="240" w:lineRule="atLeas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336" w:type="dxa"/>
            <w:noWrap w:val="0"/>
            <w:vAlign w:val="center"/>
          </w:tcPr>
          <w:p w14:paraId="31859971">
            <w:pPr>
              <w:pStyle w:val="15"/>
              <w:spacing w:line="240" w:lineRule="atLeast"/>
              <w:jc w:val="left"/>
              <w:rPr>
                <w:rFonts w:hint="eastAsia" w:ascii="宋体" w:hAnsi="宋体" w:eastAsia="宋体" w:cs="宋体"/>
                <w:color w:val="000000"/>
                <w:sz w:val="24"/>
                <w:szCs w:val="24"/>
                <w:highlight w:val="none"/>
                <w:lang w:val="en-US" w:eastAsia="zh-CN"/>
              </w:rPr>
            </w:pPr>
          </w:p>
        </w:tc>
        <w:tc>
          <w:tcPr>
            <w:tcW w:w="3607" w:type="dxa"/>
            <w:noWrap w:val="0"/>
            <w:vAlign w:val="center"/>
          </w:tcPr>
          <w:p w14:paraId="2DADFB0D">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50" w:type="dxa"/>
            <w:noWrap w:val="0"/>
            <w:vAlign w:val="center"/>
          </w:tcPr>
          <w:p w14:paraId="720B9925">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33" w:type="dxa"/>
            <w:noWrap w:val="0"/>
            <w:vAlign w:val="center"/>
          </w:tcPr>
          <w:p w14:paraId="00F58B8F">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1036" w:type="dxa"/>
            <w:noWrap w:val="0"/>
            <w:vAlign w:val="center"/>
          </w:tcPr>
          <w:p w14:paraId="42AE2E8E">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43" w:type="dxa"/>
            <w:noWrap w:val="0"/>
            <w:vAlign w:val="center"/>
          </w:tcPr>
          <w:p w14:paraId="58007A30">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01" w:type="dxa"/>
            <w:noWrap w:val="0"/>
            <w:vAlign w:val="center"/>
          </w:tcPr>
          <w:p w14:paraId="0C0C6FF5">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r w14:paraId="5274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0"/>
            <w:vAlign w:val="center"/>
          </w:tcPr>
          <w:p w14:paraId="51921842">
            <w:pPr>
              <w:pStyle w:val="15"/>
              <w:spacing w:line="240" w:lineRule="atLeast"/>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1336" w:type="dxa"/>
            <w:noWrap w:val="0"/>
            <w:vAlign w:val="center"/>
          </w:tcPr>
          <w:p w14:paraId="20B6A623">
            <w:pPr>
              <w:pStyle w:val="15"/>
              <w:spacing w:line="240" w:lineRule="atLeast"/>
              <w:jc w:val="left"/>
              <w:rPr>
                <w:rFonts w:hint="eastAsia" w:ascii="宋体" w:hAnsi="宋体" w:eastAsia="宋体" w:cs="宋体"/>
                <w:color w:val="000000"/>
                <w:sz w:val="24"/>
                <w:szCs w:val="24"/>
                <w:highlight w:val="none"/>
                <w:lang w:val="en-US" w:eastAsia="zh-CN"/>
              </w:rPr>
            </w:pPr>
          </w:p>
        </w:tc>
        <w:tc>
          <w:tcPr>
            <w:tcW w:w="3607" w:type="dxa"/>
            <w:noWrap w:val="0"/>
            <w:vAlign w:val="center"/>
          </w:tcPr>
          <w:p w14:paraId="245A3064">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50" w:type="dxa"/>
            <w:noWrap w:val="0"/>
            <w:vAlign w:val="center"/>
          </w:tcPr>
          <w:p w14:paraId="71298A7D">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733" w:type="dxa"/>
            <w:noWrap w:val="0"/>
            <w:vAlign w:val="center"/>
          </w:tcPr>
          <w:p w14:paraId="5BCCC424">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1036" w:type="dxa"/>
            <w:noWrap w:val="0"/>
            <w:vAlign w:val="center"/>
          </w:tcPr>
          <w:p w14:paraId="5961121A">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43" w:type="dxa"/>
            <w:noWrap w:val="0"/>
            <w:vAlign w:val="center"/>
          </w:tcPr>
          <w:p w14:paraId="2CB7FB90">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c>
          <w:tcPr>
            <w:tcW w:w="801" w:type="dxa"/>
            <w:noWrap w:val="0"/>
            <w:vAlign w:val="center"/>
          </w:tcPr>
          <w:p w14:paraId="3C1A7D7C">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r w14:paraId="42CF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9059" w:type="dxa"/>
            <w:gridSpan w:val="7"/>
            <w:noWrap w:val="0"/>
            <w:vAlign w:val="center"/>
          </w:tcPr>
          <w:p w14:paraId="71CDB7D4">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总价：</w:t>
            </w:r>
          </w:p>
        </w:tc>
        <w:tc>
          <w:tcPr>
            <w:tcW w:w="801" w:type="dxa"/>
            <w:noWrap w:val="0"/>
            <w:vAlign w:val="center"/>
          </w:tcPr>
          <w:p w14:paraId="33ADB293">
            <w:pPr>
              <w:pStyle w:val="15"/>
              <w:spacing w:line="240" w:lineRule="atLeast"/>
              <w:ind w:left="1080" w:leftChars="257" w:hanging="540"/>
              <w:jc w:val="left"/>
              <w:rPr>
                <w:rFonts w:hint="eastAsia" w:ascii="宋体" w:hAnsi="宋体" w:eastAsia="宋体" w:cs="宋体"/>
                <w:color w:val="000000"/>
                <w:sz w:val="24"/>
                <w:szCs w:val="24"/>
                <w:highlight w:val="none"/>
                <w:lang w:val="en-US" w:eastAsia="zh-CN"/>
              </w:rPr>
            </w:pPr>
          </w:p>
        </w:tc>
      </w:tr>
    </w:tbl>
    <w:p w14:paraId="75A422A7">
      <w:pPr>
        <w:pStyle w:val="15"/>
        <w:spacing w:line="240" w:lineRule="atLeast"/>
        <w:ind w:left="1080" w:leftChars="257" w:hanging="540"/>
        <w:rPr>
          <w:rFonts w:hint="eastAsia" w:hAnsi="宋体" w:cs="宋体"/>
          <w:color w:val="auto"/>
          <w:sz w:val="24"/>
          <w:szCs w:val="24"/>
          <w:highlight w:val="none"/>
        </w:rPr>
      </w:pPr>
    </w:p>
    <w:p w14:paraId="38767AA2">
      <w:pPr>
        <w:pStyle w:val="15"/>
        <w:tabs>
          <w:tab w:val="left" w:pos="5370"/>
        </w:tabs>
        <w:spacing w:line="240" w:lineRule="atLeast"/>
        <w:ind w:left="1154" w:leftChars="485" w:hanging="136" w:hangingChars="57"/>
        <w:rPr>
          <w:rFonts w:hint="eastAsia" w:hAnsi="宋体" w:cs="宋体"/>
          <w:color w:val="auto"/>
          <w:sz w:val="24"/>
          <w:szCs w:val="24"/>
          <w:highlight w:val="none"/>
        </w:rPr>
      </w:pPr>
    </w:p>
    <w:p w14:paraId="5910525D">
      <w:pPr>
        <w:pStyle w:val="15"/>
        <w:tabs>
          <w:tab w:val="left" w:pos="5370"/>
        </w:tabs>
        <w:spacing w:line="240" w:lineRule="atLeast"/>
        <w:ind w:firstLine="720" w:firstLineChars="300"/>
        <w:rPr>
          <w:rFonts w:hint="eastAsia" w:hAnsi="宋体" w:cs="宋体"/>
          <w:color w:val="auto"/>
          <w:sz w:val="24"/>
          <w:szCs w:val="24"/>
          <w:highlight w:val="none"/>
          <w:u w:val="single"/>
        </w:rPr>
      </w:pPr>
      <w:r>
        <w:rPr>
          <w:rFonts w:hint="eastAsia" w:hAnsi="宋体" w:cs="宋体"/>
          <w:color w:val="auto"/>
          <w:sz w:val="24"/>
          <w:szCs w:val="24"/>
          <w:highlight w:val="none"/>
        </w:rPr>
        <w:t>投标人(盖单位章):</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 xml:space="preserve">      </w:t>
      </w:r>
    </w:p>
    <w:p w14:paraId="3CEBE192">
      <w:pPr>
        <w:pStyle w:val="15"/>
        <w:tabs>
          <w:tab w:val="left" w:pos="5370"/>
        </w:tabs>
        <w:spacing w:line="240" w:lineRule="atLeast"/>
        <w:ind w:firstLine="720" w:firstLineChars="300"/>
        <w:rPr>
          <w:rFonts w:hint="eastAsia" w:ascii="宋体" w:hAnsi="宋体" w:eastAsia="宋体" w:cs="宋体"/>
          <w:color w:val="auto"/>
          <w:sz w:val="24"/>
          <w:szCs w:val="24"/>
          <w:highlight w:val="none"/>
        </w:rPr>
      </w:pPr>
    </w:p>
    <w:p w14:paraId="633D16C7">
      <w:pPr>
        <w:pStyle w:val="15"/>
        <w:tabs>
          <w:tab w:val="left" w:pos="5370"/>
        </w:tabs>
        <w:spacing w:line="240" w:lineRule="atLeas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法定代表人或其委托代理人（签/章）: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p>
    <w:p w14:paraId="4526E9B2">
      <w:pPr>
        <w:pStyle w:val="15"/>
        <w:spacing w:line="240" w:lineRule="atLeast"/>
        <w:ind w:left="1080" w:leftChars="257" w:hanging="540"/>
        <w:rPr>
          <w:rFonts w:hint="eastAsia" w:ascii="宋体" w:hAnsi="宋体" w:eastAsia="宋体" w:cs="宋体"/>
          <w:color w:val="000000"/>
          <w:sz w:val="24"/>
          <w:szCs w:val="24"/>
          <w:highlight w:val="none"/>
        </w:rPr>
      </w:pPr>
    </w:p>
    <w:p w14:paraId="18703F0A">
      <w:pPr>
        <w:pStyle w:val="15"/>
        <w:spacing w:line="240" w:lineRule="atLeast"/>
        <w:ind w:left="1080" w:leftChars="257" w:hanging="5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注:1.如果</w:t>
      </w:r>
      <w:r>
        <w:rPr>
          <w:rFonts w:hint="eastAsia" w:ascii="宋体" w:hAnsi="宋体" w:eastAsia="宋体" w:cs="宋体"/>
          <w:color w:val="000000"/>
          <w:sz w:val="24"/>
          <w:szCs w:val="24"/>
          <w:highlight w:val="none"/>
          <w:lang w:val="en-US" w:eastAsia="zh-CN"/>
        </w:rPr>
        <w:t>投标单位</w:t>
      </w:r>
      <w:r>
        <w:rPr>
          <w:rFonts w:hint="eastAsia" w:ascii="宋体" w:hAnsi="宋体" w:eastAsia="宋体" w:cs="宋体"/>
          <w:color w:val="000000"/>
          <w:sz w:val="24"/>
          <w:szCs w:val="24"/>
          <w:highlight w:val="none"/>
        </w:rPr>
        <w:t>认为需要，每种</w:t>
      </w: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填写一份该表。</w:t>
      </w:r>
    </w:p>
    <w:p w14:paraId="7D204CA2">
      <w:pPr>
        <w:pStyle w:val="15"/>
        <w:spacing w:line="240" w:lineRule="atLeast"/>
        <w:ind w:left="1079" w:leftChars="428" w:hanging="180" w:hangingChars="7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2.如果按单价计算的结果与总价不一致,以单价为准修正总价。</w:t>
      </w:r>
    </w:p>
    <w:p w14:paraId="35F6BB80">
      <w:pPr>
        <w:pStyle w:val="15"/>
        <w:spacing w:line="240" w:lineRule="atLeast"/>
        <w:ind w:left="1080" w:leftChars="257" w:hanging="5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3.如果不提供详细分项报价将视为没有实质性响应</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文件。</w:t>
      </w:r>
    </w:p>
    <w:p w14:paraId="762FF3D0">
      <w:pPr>
        <w:pStyle w:val="15"/>
        <w:keepNext w:val="0"/>
        <w:keepLines w:val="0"/>
        <w:pageBreakBefore w:val="0"/>
        <w:widowControl w:val="0"/>
        <w:kinsoku/>
        <w:wordWrap/>
        <w:overflowPunct/>
        <w:topLinePunct w:val="0"/>
        <w:autoSpaceDE/>
        <w:autoSpaceDN/>
        <w:bidi w:val="0"/>
        <w:adjustRightInd/>
        <w:snapToGrid/>
        <w:spacing w:line="240" w:lineRule="atLeast"/>
        <w:ind w:left="780" w:leftChars="257" w:hanging="240" w:hanging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.如果</w:t>
      </w:r>
      <w:r>
        <w:rPr>
          <w:rFonts w:hint="eastAsia" w:ascii="宋体" w:hAnsi="宋体" w:eastAsia="宋体" w:cs="宋体"/>
          <w:color w:val="000000"/>
          <w:sz w:val="24"/>
          <w:szCs w:val="24"/>
          <w:highlight w:val="none"/>
          <w:lang w:val="en-US" w:eastAsia="zh-CN"/>
        </w:rPr>
        <w:t>报价</w:t>
      </w:r>
      <w:r>
        <w:rPr>
          <w:rFonts w:hint="eastAsia" w:ascii="宋体" w:hAnsi="宋体" w:eastAsia="宋体" w:cs="宋体"/>
          <w:color w:val="000000"/>
          <w:sz w:val="24"/>
          <w:szCs w:val="24"/>
          <w:highlight w:val="none"/>
        </w:rPr>
        <w:t>一览表（报价表）内容与投标分项报价表中明细表内容不一致的，以</w:t>
      </w:r>
      <w:r>
        <w:rPr>
          <w:rFonts w:hint="eastAsia" w:ascii="宋体" w:hAnsi="宋体" w:eastAsia="宋体" w:cs="宋体"/>
          <w:color w:val="000000"/>
          <w:sz w:val="24"/>
          <w:szCs w:val="24"/>
          <w:highlight w:val="none"/>
          <w:lang w:val="en-US" w:eastAsia="zh-CN"/>
        </w:rPr>
        <w:t>报价</w:t>
      </w:r>
      <w:r>
        <w:rPr>
          <w:rFonts w:hint="eastAsia" w:ascii="宋体" w:hAnsi="宋体" w:eastAsia="宋体" w:cs="宋体"/>
          <w:color w:val="000000"/>
          <w:sz w:val="24"/>
          <w:szCs w:val="24"/>
          <w:highlight w:val="none"/>
        </w:rPr>
        <w:t>一览表（报价表）内容为准。</w:t>
      </w:r>
    </w:p>
    <w:p w14:paraId="06CD74A1">
      <w:pPr>
        <w:pStyle w:val="15"/>
        <w:spacing w:line="240" w:lineRule="atLeast"/>
        <w:jc w:val="center"/>
        <w:rPr>
          <w:rFonts w:hint="eastAsia" w:hAnsi="宋体" w:cs="宋体"/>
          <w:b/>
          <w:bCs/>
          <w:color w:val="auto"/>
          <w:sz w:val="24"/>
          <w:szCs w:val="24"/>
          <w:highlight w:val="none"/>
        </w:rPr>
      </w:pPr>
      <w:r>
        <w:rPr>
          <w:rFonts w:hint="eastAsia" w:hAnsi="宋体" w:cs="宋体"/>
          <w:color w:val="auto"/>
          <w:sz w:val="24"/>
          <w:szCs w:val="24"/>
          <w:highlight w:val="none"/>
        </w:rPr>
        <w:br w:type="page"/>
      </w:r>
      <w:bookmarkStart w:id="289" w:name="_Toc8079"/>
      <w:bookmarkStart w:id="290" w:name="_Toc216582818"/>
      <w:bookmarkStart w:id="291" w:name="_Toc518923119"/>
      <w:r>
        <w:rPr>
          <w:rFonts w:hint="eastAsia" w:hAnsi="宋体" w:cs="宋体"/>
          <w:b/>
          <w:bCs/>
          <w:color w:val="auto"/>
          <w:sz w:val="24"/>
          <w:szCs w:val="24"/>
          <w:highlight w:val="none"/>
          <w:lang w:val="en-US" w:eastAsia="zh-CN"/>
        </w:rPr>
        <w:t>3、</w:t>
      </w:r>
      <w:r>
        <w:rPr>
          <w:rFonts w:hint="eastAsia" w:hAnsi="宋体" w:cs="宋体"/>
          <w:b/>
          <w:bCs/>
          <w:color w:val="auto"/>
          <w:sz w:val="24"/>
          <w:szCs w:val="24"/>
          <w:highlight w:val="none"/>
        </w:rPr>
        <w:t>服务需求偏离表</w:t>
      </w:r>
      <w:bookmarkEnd w:id="289"/>
      <w:bookmarkEnd w:id="290"/>
      <w:bookmarkEnd w:id="291"/>
    </w:p>
    <w:p w14:paraId="45B55A57">
      <w:pPr>
        <w:pStyle w:val="16"/>
        <w:rPr>
          <w:rFonts w:hint="eastAsia"/>
          <w:highlight w:val="none"/>
        </w:rPr>
      </w:pPr>
    </w:p>
    <w:p w14:paraId="5FD563E7">
      <w:pPr>
        <w:pStyle w:val="5"/>
        <w:ind w:firstLine="480"/>
        <w:rPr>
          <w:rFonts w:hint="eastAsia" w:hAnsi="宋体" w:cs="宋体"/>
          <w:color w:val="auto"/>
          <w:szCs w:val="24"/>
          <w:highlight w:val="none"/>
        </w:rPr>
      </w:pPr>
      <w:r>
        <w:rPr>
          <w:rFonts w:hint="eastAsia" w:hAnsi="宋体" w:cs="宋体"/>
          <w:color w:val="auto"/>
          <w:szCs w:val="24"/>
          <w:highlight w:val="none"/>
        </w:rPr>
        <w:t xml:space="preserve">项目名称:               </w:t>
      </w:r>
      <w:r>
        <w:rPr>
          <w:rFonts w:hint="eastAsia" w:hAnsi="宋体" w:cs="宋体"/>
          <w:color w:val="auto"/>
          <w:szCs w:val="24"/>
          <w:highlight w:val="none"/>
          <w:lang w:val="en-US" w:eastAsia="zh-CN"/>
        </w:rPr>
        <w:t xml:space="preserve">        </w:t>
      </w:r>
      <w:r>
        <w:rPr>
          <w:rFonts w:hint="eastAsia" w:hAnsi="宋体" w:cs="宋体"/>
          <w:color w:val="auto"/>
          <w:szCs w:val="24"/>
          <w:highlight w:val="none"/>
        </w:rPr>
        <w:t xml:space="preserve">       </w:t>
      </w:r>
      <w:r>
        <w:rPr>
          <w:rFonts w:hint="eastAsia" w:ascii="宋体" w:hAnsi="宋体" w:eastAsia="宋体" w:cs="宋体"/>
          <w:color w:val="000000"/>
          <w:sz w:val="24"/>
          <w:szCs w:val="24"/>
          <w:highlight w:val="none"/>
        </w:rPr>
        <w:t xml:space="preserve"> </w:t>
      </w:r>
    </w:p>
    <w:p w14:paraId="66016A71">
      <w:pPr>
        <w:pStyle w:val="5"/>
        <w:ind w:firstLine="480"/>
        <w:rPr>
          <w:rFonts w:hint="eastAsia" w:hAnsi="宋体" w:cs="宋体"/>
          <w:color w:val="auto"/>
          <w:szCs w:val="24"/>
          <w:highlight w:val="none"/>
        </w:rPr>
      </w:pPr>
      <w:r>
        <w:rPr>
          <w:rFonts w:hint="eastAsia" w:hAnsi="宋体" w:cs="宋体"/>
          <w:color w:val="auto"/>
          <w:szCs w:val="24"/>
          <w:highlight w:val="none"/>
          <w:lang w:val="en-US" w:eastAsia="zh-CN"/>
        </w:rPr>
        <w:t>项目</w:t>
      </w:r>
      <w:r>
        <w:rPr>
          <w:rFonts w:hint="eastAsia" w:hAnsi="宋体" w:cs="宋体"/>
          <w:color w:val="auto"/>
          <w:szCs w:val="24"/>
          <w:highlight w:val="none"/>
        </w:rPr>
        <w:t xml:space="preserve">编号:            </w:t>
      </w:r>
    </w:p>
    <w:tbl>
      <w:tblPr>
        <w:tblStyle w:val="3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278"/>
        <w:gridCol w:w="2090"/>
        <w:gridCol w:w="1755"/>
        <w:gridCol w:w="1425"/>
        <w:gridCol w:w="1593"/>
      </w:tblGrid>
      <w:tr w14:paraId="795E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920" w:type="dxa"/>
            <w:noWrap w:val="0"/>
            <w:vAlign w:val="center"/>
          </w:tcPr>
          <w:p w14:paraId="4F715AB4">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1278" w:type="dxa"/>
            <w:noWrap w:val="0"/>
            <w:vAlign w:val="center"/>
          </w:tcPr>
          <w:p w14:paraId="350AC06F">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项目名称</w:t>
            </w:r>
          </w:p>
        </w:tc>
        <w:tc>
          <w:tcPr>
            <w:tcW w:w="2090" w:type="dxa"/>
            <w:noWrap w:val="0"/>
            <w:vAlign w:val="center"/>
          </w:tcPr>
          <w:p w14:paraId="094758DD">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招标服务内容</w:t>
            </w:r>
          </w:p>
        </w:tc>
        <w:tc>
          <w:tcPr>
            <w:tcW w:w="1755" w:type="dxa"/>
            <w:noWrap w:val="0"/>
            <w:vAlign w:val="center"/>
          </w:tcPr>
          <w:p w14:paraId="68DA33CD">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响应服务内容</w:t>
            </w:r>
          </w:p>
        </w:tc>
        <w:tc>
          <w:tcPr>
            <w:tcW w:w="1425" w:type="dxa"/>
            <w:noWrap w:val="0"/>
            <w:vAlign w:val="center"/>
          </w:tcPr>
          <w:p w14:paraId="302E5438">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偏离情况</w:t>
            </w:r>
          </w:p>
        </w:tc>
        <w:tc>
          <w:tcPr>
            <w:tcW w:w="1593" w:type="dxa"/>
            <w:noWrap w:val="0"/>
            <w:vAlign w:val="center"/>
          </w:tcPr>
          <w:p w14:paraId="38549180">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说明</w:t>
            </w:r>
          </w:p>
        </w:tc>
      </w:tr>
      <w:tr w14:paraId="386E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noWrap w:val="0"/>
            <w:vAlign w:val="center"/>
          </w:tcPr>
          <w:p w14:paraId="09E53C52">
            <w:pPr>
              <w:snapToGrid w:val="0"/>
              <w:spacing w:line="24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278" w:type="dxa"/>
            <w:noWrap w:val="0"/>
            <w:vAlign w:val="center"/>
          </w:tcPr>
          <w:p w14:paraId="2968380E">
            <w:pPr>
              <w:snapToGrid w:val="0"/>
              <w:spacing w:line="240" w:lineRule="auto"/>
              <w:jc w:val="center"/>
              <w:rPr>
                <w:rFonts w:hint="eastAsia" w:ascii="宋体" w:hAnsi="宋体" w:cs="宋体"/>
                <w:bCs/>
                <w:color w:val="auto"/>
                <w:sz w:val="24"/>
                <w:highlight w:val="none"/>
              </w:rPr>
            </w:pPr>
          </w:p>
        </w:tc>
        <w:tc>
          <w:tcPr>
            <w:tcW w:w="2090" w:type="dxa"/>
            <w:noWrap w:val="0"/>
            <w:vAlign w:val="center"/>
          </w:tcPr>
          <w:p w14:paraId="0D7F56D0">
            <w:pPr>
              <w:snapToGrid w:val="0"/>
              <w:spacing w:line="240" w:lineRule="auto"/>
              <w:jc w:val="center"/>
              <w:rPr>
                <w:rFonts w:hint="eastAsia" w:ascii="宋体" w:hAnsi="宋体" w:cs="宋体"/>
                <w:bCs/>
                <w:color w:val="auto"/>
                <w:sz w:val="24"/>
                <w:highlight w:val="none"/>
              </w:rPr>
            </w:pPr>
          </w:p>
        </w:tc>
        <w:tc>
          <w:tcPr>
            <w:tcW w:w="1755" w:type="dxa"/>
            <w:noWrap w:val="0"/>
            <w:vAlign w:val="center"/>
          </w:tcPr>
          <w:p w14:paraId="39864805">
            <w:pPr>
              <w:snapToGrid w:val="0"/>
              <w:spacing w:line="240" w:lineRule="auto"/>
              <w:jc w:val="center"/>
              <w:rPr>
                <w:rFonts w:hint="eastAsia" w:ascii="宋体" w:hAnsi="宋体" w:cs="宋体"/>
                <w:bCs/>
                <w:color w:val="auto"/>
                <w:sz w:val="24"/>
                <w:highlight w:val="none"/>
              </w:rPr>
            </w:pPr>
          </w:p>
        </w:tc>
        <w:tc>
          <w:tcPr>
            <w:tcW w:w="1425" w:type="dxa"/>
            <w:noWrap w:val="0"/>
            <w:vAlign w:val="center"/>
          </w:tcPr>
          <w:p w14:paraId="39175F0D">
            <w:pPr>
              <w:snapToGrid w:val="0"/>
              <w:spacing w:line="240" w:lineRule="auto"/>
              <w:jc w:val="center"/>
              <w:rPr>
                <w:rFonts w:hint="eastAsia" w:ascii="宋体" w:hAnsi="宋体" w:cs="宋体"/>
                <w:bCs/>
                <w:color w:val="auto"/>
                <w:sz w:val="24"/>
                <w:highlight w:val="none"/>
              </w:rPr>
            </w:pPr>
          </w:p>
        </w:tc>
        <w:tc>
          <w:tcPr>
            <w:tcW w:w="1593" w:type="dxa"/>
            <w:noWrap w:val="0"/>
            <w:vAlign w:val="center"/>
          </w:tcPr>
          <w:p w14:paraId="0961A789">
            <w:pPr>
              <w:snapToGrid w:val="0"/>
              <w:spacing w:line="240" w:lineRule="auto"/>
              <w:jc w:val="center"/>
              <w:rPr>
                <w:rFonts w:hint="eastAsia" w:ascii="宋体" w:hAnsi="宋体" w:cs="宋体"/>
                <w:bCs/>
                <w:color w:val="auto"/>
                <w:sz w:val="24"/>
                <w:highlight w:val="none"/>
              </w:rPr>
            </w:pPr>
          </w:p>
        </w:tc>
      </w:tr>
      <w:tr w14:paraId="2E8A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noWrap w:val="0"/>
            <w:vAlign w:val="center"/>
          </w:tcPr>
          <w:p w14:paraId="392CB1FC">
            <w:pPr>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278" w:type="dxa"/>
            <w:noWrap w:val="0"/>
            <w:vAlign w:val="center"/>
          </w:tcPr>
          <w:p w14:paraId="21435A6E">
            <w:pPr>
              <w:snapToGrid w:val="0"/>
              <w:spacing w:line="240" w:lineRule="auto"/>
              <w:jc w:val="center"/>
              <w:rPr>
                <w:rFonts w:hint="eastAsia" w:ascii="宋体" w:hAnsi="宋体" w:cs="宋体"/>
                <w:color w:val="auto"/>
                <w:sz w:val="24"/>
                <w:highlight w:val="none"/>
              </w:rPr>
            </w:pPr>
          </w:p>
        </w:tc>
        <w:tc>
          <w:tcPr>
            <w:tcW w:w="2090" w:type="dxa"/>
            <w:noWrap w:val="0"/>
            <w:vAlign w:val="center"/>
          </w:tcPr>
          <w:p w14:paraId="65EBD068">
            <w:pPr>
              <w:snapToGrid w:val="0"/>
              <w:spacing w:line="240" w:lineRule="auto"/>
              <w:jc w:val="center"/>
              <w:rPr>
                <w:rFonts w:hint="eastAsia" w:ascii="宋体" w:hAnsi="宋体" w:cs="宋体"/>
                <w:color w:val="auto"/>
                <w:sz w:val="24"/>
                <w:highlight w:val="none"/>
              </w:rPr>
            </w:pPr>
          </w:p>
        </w:tc>
        <w:tc>
          <w:tcPr>
            <w:tcW w:w="1755" w:type="dxa"/>
            <w:noWrap w:val="0"/>
            <w:vAlign w:val="center"/>
          </w:tcPr>
          <w:p w14:paraId="2EA0ADCF">
            <w:pPr>
              <w:snapToGrid w:val="0"/>
              <w:spacing w:line="240" w:lineRule="auto"/>
              <w:jc w:val="center"/>
              <w:rPr>
                <w:rFonts w:hint="eastAsia" w:ascii="宋体" w:hAnsi="宋体" w:cs="宋体"/>
                <w:color w:val="auto"/>
                <w:sz w:val="24"/>
                <w:highlight w:val="none"/>
              </w:rPr>
            </w:pPr>
          </w:p>
        </w:tc>
        <w:tc>
          <w:tcPr>
            <w:tcW w:w="1425" w:type="dxa"/>
            <w:noWrap w:val="0"/>
            <w:vAlign w:val="center"/>
          </w:tcPr>
          <w:p w14:paraId="6842165F">
            <w:pPr>
              <w:snapToGrid w:val="0"/>
              <w:spacing w:line="240" w:lineRule="auto"/>
              <w:jc w:val="center"/>
              <w:rPr>
                <w:rFonts w:hint="eastAsia" w:ascii="宋体" w:hAnsi="宋体" w:cs="宋体"/>
                <w:color w:val="auto"/>
                <w:sz w:val="24"/>
                <w:highlight w:val="none"/>
              </w:rPr>
            </w:pPr>
          </w:p>
        </w:tc>
        <w:tc>
          <w:tcPr>
            <w:tcW w:w="1593" w:type="dxa"/>
            <w:noWrap w:val="0"/>
            <w:vAlign w:val="center"/>
          </w:tcPr>
          <w:p w14:paraId="6167BFCA">
            <w:pPr>
              <w:snapToGrid w:val="0"/>
              <w:spacing w:line="240" w:lineRule="auto"/>
              <w:jc w:val="center"/>
              <w:rPr>
                <w:rFonts w:hint="eastAsia" w:ascii="宋体" w:hAnsi="宋体" w:cs="宋体"/>
                <w:color w:val="auto"/>
                <w:sz w:val="24"/>
                <w:highlight w:val="none"/>
              </w:rPr>
            </w:pPr>
          </w:p>
        </w:tc>
      </w:tr>
      <w:tr w14:paraId="2F5A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noWrap w:val="0"/>
            <w:vAlign w:val="center"/>
          </w:tcPr>
          <w:p w14:paraId="3DFAF819">
            <w:pPr>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278" w:type="dxa"/>
            <w:noWrap w:val="0"/>
            <w:vAlign w:val="center"/>
          </w:tcPr>
          <w:p w14:paraId="26F74D7D">
            <w:pPr>
              <w:snapToGrid w:val="0"/>
              <w:spacing w:line="240" w:lineRule="auto"/>
              <w:jc w:val="center"/>
              <w:rPr>
                <w:rFonts w:hint="eastAsia" w:ascii="宋体" w:hAnsi="宋体" w:cs="宋体"/>
                <w:color w:val="auto"/>
                <w:sz w:val="24"/>
                <w:highlight w:val="none"/>
              </w:rPr>
            </w:pPr>
          </w:p>
        </w:tc>
        <w:tc>
          <w:tcPr>
            <w:tcW w:w="2090" w:type="dxa"/>
            <w:noWrap w:val="0"/>
            <w:vAlign w:val="center"/>
          </w:tcPr>
          <w:p w14:paraId="7A71BBE8">
            <w:pPr>
              <w:snapToGrid w:val="0"/>
              <w:spacing w:line="240" w:lineRule="auto"/>
              <w:jc w:val="center"/>
              <w:rPr>
                <w:rFonts w:hint="eastAsia" w:ascii="宋体" w:hAnsi="宋体" w:cs="宋体"/>
                <w:color w:val="auto"/>
                <w:sz w:val="24"/>
                <w:highlight w:val="none"/>
              </w:rPr>
            </w:pPr>
          </w:p>
        </w:tc>
        <w:tc>
          <w:tcPr>
            <w:tcW w:w="1755" w:type="dxa"/>
            <w:noWrap w:val="0"/>
            <w:vAlign w:val="center"/>
          </w:tcPr>
          <w:p w14:paraId="07193547">
            <w:pPr>
              <w:snapToGrid w:val="0"/>
              <w:spacing w:line="240" w:lineRule="auto"/>
              <w:jc w:val="center"/>
              <w:rPr>
                <w:rFonts w:hint="eastAsia" w:ascii="宋体" w:hAnsi="宋体" w:cs="宋体"/>
                <w:color w:val="auto"/>
                <w:sz w:val="24"/>
                <w:highlight w:val="none"/>
              </w:rPr>
            </w:pPr>
          </w:p>
        </w:tc>
        <w:tc>
          <w:tcPr>
            <w:tcW w:w="1425" w:type="dxa"/>
            <w:noWrap w:val="0"/>
            <w:vAlign w:val="center"/>
          </w:tcPr>
          <w:p w14:paraId="29D55DCD">
            <w:pPr>
              <w:snapToGrid w:val="0"/>
              <w:spacing w:line="240" w:lineRule="auto"/>
              <w:jc w:val="center"/>
              <w:rPr>
                <w:rFonts w:hint="eastAsia" w:ascii="宋体" w:hAnsi="宋体" w:cs="宋体"/>
                <w:color w:val="auto"/>
                <w:sz w:val="24"/>
                <w:highlight w:val="none"/>
              </w:rPr>
            </w:pPr>
          </w:p>
        </w:tc>
        <w:tc>
          <w:tcPr>
            <w:tcW w:w="1593" w:type="dxa"/>
            <w:noWrap w:val="0"/>
            <w:vAlign w:val="center"/>
          </w:tcPr>
          <w:p w14:paraId="6296B073">
            <w:pPr>
              <w:snapToGrid w:val="0"/>
              <w:spacing w:line="240" w:lineRule="auto"/>
              <w:jc w:val="center"/>
              <w:rPr>
                <w:rFonts w:hint="eastAsia" w:ascii="宋体" w:hAnsi="宋体" w:cs="宋体"/>
                <w:color w:val="auto"/>
                <w:sz w:val="24"/>
                <w:highlight w:val="none"/>
              </w:rPr>
            </w:pPr>
          </w:p>
        </w:tc>
      </w:tr>
      <w:tr w14:paraId="788B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noWrap w:val="0"/>
            <w:vAlign w:val="center"/>
          </w:tcPr>
          <w:p w14:paraId="7B61928B">
            <w:pPr>
              <w:snapToGrid w:val="0"/>
              <w:spacing w:line="24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1278" w:type="dxa"/>
            <w:noWrap w:val="0"/>
            <w:vAlign w:val="center"/>
          </w:tcPr>
          <w:p w14:paraId="4738456B">
            <w:pPr>
              <w:snapToGrid w:val="0"/>
              <w:spacing w:line="240" w:lineRule="auto"/>
              <w:jc w:val="center"/>
              <w:rPr>
                <w:rFonts w:hint="eastAsia" w:ascii="宋体" w:hAnsi="宋体" w:cs="宋体"/>
                <w:color w:val="auto"/>
                <w:sz w:val="24"/>
                <w:highlight w:val="none"/>
              </w:rPr>
            </w:pPr>
          </w:p>
        </w:tc>
        <w:tc>
          <w:tcPr>
            <w:tcW w:w="2090" w:type="dxa"/>
            <w:noWrap w:val="0"/>
            <w:vAlign w:val="center"/>
          </w:tcPr>
          <w:p w14:paraId="463F12D3">
            <w:pPr>
              <w:snapToGrid w:val="0"/>
              <w:spacing w:line="240" w:lineRule="auto"/>
              <w:jc w:val="center"/>
              <w:rPr>
                <w:rFonts w:hint="eastAsia" w:ascii="宋体" w:hAnsi="宋体" w:cs="宋体"/>
                <w:color w:val="auto"/>
                <w:sz w:val="24"/>
                <w:highlight w:val="none"/>
              </w:rPr>
            </w:pPr>
          </w:p>
        </w:tc>
        <w:tc>
          <w:tcPr>
            <w:tcW w:w="1755" w:type="dxa"/>
            <w:noWrap w:val="0"/>
            <w:vAlign w:val="center"/>
          </w:tcPr>
          <w:p w14:paraId="72EA0DF9">
            <w:pPr>
              <w:snapToGrid w:val="0"/>
              <w:spacing w:line="240" w:lineRule="auto"/>
              <w:jc w:val="center"/>
              <w:rPr>
                <w:rFonts w:hint="eastAsia" w:ascii="宋体" w:hAnsi="宋体" w:cs="宋体"/>
                <w:color w:val="auto"/>
                <w:sz w:val="24"/>
                <w:highlight w:val="none"/>
              </w:rPr>
            </w:pPr>
          </w:p>
        </w:tc>
        <w:tc>
          <w:tcPr>
            <w:tcW w:w="1425" w:type="dxa"/>
            <w:noWrap w:val="0"/>
            <w:vAlign w:val="center"/>
          </w:tcPr>
          <w:p w14:paraId="13F84E2E">
            <w:pPr>
              <w:snapToGrid w:val="0"/>
              <w:spacing w:line="240" w:lineRule="auto"/>
              <w:jc w:val="center"/>
              <w:rPr>
                <w:rFonts w:hint="eastAsia" w:ascii="宋体" w:hAnsi="宋体" w:cs="宋体"/>
                <w:color w:val="auto"/>
                <w:sz w:val="24"/>
                <w:highlight w:val="none"/>
              </w:rPr>
            </w:pPr>
          </w:p>
        </w:tc>
        <w:tc>
          <w:tcPr>
            <w:tcW w:w="1593" w:type="dxa"/>
            <w:noWrap w:val="0"/>
            <w:vAlign w:val="center"/>
          </w:tcPr>
          <w:p w14:paraId="64ED1B32">
            <w:pPr>
              <w:snapToGrid w:val="0"/>
              <w:spacing w:line="240" w:lineRule="auto"/>
              <w:jc w:val="center"/>
              <w:rPr>
                <w:rFonts w:hint="eastAsia" w:ascii="宋体" w:hAnsi="宋体" w:cs="宋体"/>
                <w:color w:val="auto"/>
                <w:sz w:val="24"/>
                <w:highlight w:val="none"/>
              </w:rPr>
            </w:pPr>
          </w:p>
        </w:tc>
      </w:tr>
      <w:tr w14:paraId="4719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noWrap w:val="0"/>
            <w:vAlign w:val="center"/>
          </w:tcPr>
          <w:p w14:paraId="1D3A9386">
            <w:pPr>
              <w:snapToGrid w:val="0"/>
              <w:spacing w:line="240" w:lineRule="auto"/>
              <w:jc w:val="center"/>
              <w:rPr>
                <w:rFonts w:hint="eastAsia" w:ascii="宋体" w:hAnsi="宋体" w:cs="宋体"/>
                <w:color w:val="auto"/>
                <w:sz w:val="24"/>
                <w:highlight w:val="none"/>
              </w:rPr>
            </w:pPr>
          </w:p>
        </w:tc>
        <w:tc>
          <w:tcPr>
            <w:tcW w:w="1278" w:type="dxa"/>
            <w:noWrap w:val="0"/>
            <w:vAlign w:val="center"/>
          </w:tcPr>
          <w:p w14:paraId="7C51859C">
            <w:pPr>
              <w:snapToGrid w:val="0"/>
              <w:spacing w:line="240" w:lineRule="auto"/>
              <w:jc w:val="center"/>
              <w:rPr>
                <w:rFonts w:hint="eastAsia" w:ascii="宋体" w:hAnsi="宋体" w:cs="宋体"/>
                <w:color w:val="auto"/>
                <w:sz w:val="24"/>
                <w:highlight w:val="none"/>
              </w:rPr>
            </w:pPr>
          </w:p>
        </w:tc>
        <w:tc>
          <w:tcPr>
            <w:tcW w:w="2090" w:type="dxa"/>
            <w:noWrap w:val="0"/>
            <w:vAlign w:val="center"/>
          </w:tcPr>
          <w:p w14:paraId="408AE8ED">
            <w:pPr>
              <w:snapToGrid w:val="0"/>
              <w:spacing w:line="240" w:lineRule="auto"/>
              <w:jc w:val="center"/>
              <w:rPr>
                <w:rFonts w:hint="eastAsia" w:ascii="宋体" w:hAnsi="宋体" w:cs="宋体"/>
                <w:color w:val="auto"/>
                <w:sz w:val="24"/>
                <w:highlight w:val="none"/>
              </w:rPr>
            </w:pPr>
          </w:p>
        </w:tc>
        <w:tc>
          <w:tcPr>
            <w:tcW w:w="1755" w:type="dxa"/>
            <w:noWrap w:val="0"/>
            <w:vAlign w:val="center"/>
          </w:tcPr>
          <w:p w14:paraId="3EE424FA">
            <w:pPr>
              <w:snapToGrid w:val="0"/>
              <w:spacing w:line="240" w:lineRule="auto"/>
              <w:jc w:val="center"/>
              <w:rPr>
                <w:rFonts w:hint="eastAsia" w:ascii="宋体" w:hAnsi="宋体" w:cs="宋体"/>
                <w:color w:val="auto"/>
                <w:sz w:val="24"/>
                <w:highlight w:val="none"/>
              </w:rPr>
            </w:pPr>
          </w:p>
        </w:tc>
        <w:tc>
          <w:tcPr>
            <w:tcW w:w="1425" w:type="dxa"/>
            <w:noWrap w:val="0"/>
            <w:vAlign w:val="center"/>
          </w:tcPr>
          <w:p w14:paraId="3E0DCF6C">
            <w:pPr>
              <w:snapToGrid w:val="0"/>
              <w:spacing w:line="240" w:lineRule="auto"/>
              <w:jc w:val="center"/>
              <w:rPr>
                <w:rFonts w:hint="eastAsia" w:ascii="宋体" w:hAnsi="宋体" w:cs="宋体"/>
                <w:color w:val="auto"/>
                <w:sz w:val="24"/>
                <w:highlight w:val="none"/>
              </w:rPr>
            </w:pPr>
          </w:p>
        </w:tc>
        <w:tc>
          <w:tcPr>
            <w:tcW w:w="1593" w:type="dxa"/>
            <w:noWrap w:val="0"/>
            <w:vAlign w:val="center"/>
          </w:tcPr>
          <w:p w14:paraId="3BF1B7E6">
            <w:pPr>
              <w:snapToGrid w:val="0"/>
              <w:spacing w:line="240" w:lineRule="auto"/>
              <w:jc w:val="center"/>
              <w:rPr>
                <w:rFonts w:hint="eastAsia" w:ascii="宋体" w:hAnsi="宋体" w:cs="宋体"/>
                <w:color w:val="auto"/>
                <w:sz w:val="24"/>
                <w:highlight w:val="none"/>
              </w:rPr>
            </w:pPr>
          </w:p>
        </w:tc>
      </w:tr>
    </w:tbl>
    <w:p w14:paraId="01B141AD">
      <w:pPr>
        <w:pStyle w:val="5"/>
        <w:ind w:firstLine="480"/>
        <w:rPr>
          <w:rFonts w:hint="eastAsia" w:hAnsi="宋体" w:cs="宋体"/>
          <w:color w:val="auto"/>
          <w:szCs w:val="24"/>
          <w:highlight w:val="none"/>
        </w:rPr>
      </w:pPr>
      <w:r>
        <w:rPr>
          <w:rFonts w:hint="eastAsia" w:hAnsi="宋体" w:cs="宋体"/>
          <w:color w:val="auto"/>
          <w:szCs w:val="24"/>
          <w:highlight w:val="none"/>
        </w:rPr>
        <w:t xml:space="preserve"> </w:t>
      </w:r>
    </w:p>
    <w:p w14:paraId="34C4D5B4">
      <w:pPr>
        <w:pStyle w:val="15"/>
        <w:spacing w:line="240" w:lineRule="atLeast"/>
        <w:ind w:left="1080" w:leftChars="257" w:hanging="540"/>
        <w:rPr>
          <w:rFonts w:hint="eastAsia" w:hAnsi="宋体" w:cs="宋体"/>
          <w:color w:val="auto"/>
          <w:sz w:val="24"/>
          <w:szCs w:val="24"/>
          <w:highlight w:val="none"/>
        </w:rPr>
      </w:pPr>
    </w:p>
    <w:p w14:paraId="1946EE07">
      <w:pPr>
        <w:pStyle w:val="15"/>
        <w:spacing w:line="240" w:lineRule="atLeast"/>
        <w:ind w:left="1080" w:leftChars="257" w:hanging="540"/>
        <w:rPr>
          <w:rFonts w:hint="eastAsia" w:hAnsi="宋体" w:cs="宋体"/>
          <w:color w:val="auto"/>
          <w:sz w:val="24"/>
          <w:szCs w:val="24"/>
          <w:highlight w:val="none"/>
        </w:rPr>
      </w:pPr>
    </w:p>
    <w:p w14:paraId="1283DC14">
      <w:pPr>
        <w:pStyle w:val="15"/>
        <w:spacing w:line="240" w:lineRule="atLeast"/>
        <w:ind w:left="1080" w:leftChars="257" w:hanging="540"/>
        <w:rPr>
          <w:rFonts w:hint="eastAsia" w:hAnsi="宋体" w:cs="宋体"/>
          <w:color w:val="auto"/>
          <w:sz w:val="24"/>
          <w:szCs w:val="24"/>
          <w:highlight w:val="none"/>
        </w:rPr>
      </w:pPr>
    </w:p>
    <w:p w14:paraId="2F8559C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注：凡</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中服务条款（包括项目服务期、内容）与招标文件有偏差的，均应在此表中列出（内容较多的可以标注见</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第几页，偏差包括正偏差和负偏差），未在此表中列出的视同完全满足</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要求。</w:t>
      </w:r>
    </w:p>
    <w:p w14:paraId="1175B017">
      <w:pPr>
        <w:pStyle w:val="15"/>
        <w:spacing w:line="240" w:lineRule="atLeast"/>
        <w:ind w:left="1080" w:leftChars="257" w:hanging="540"/>
        <w:rPr>
          <w:rFonts w:hint="eastAsia" w:hAnsi="宋体" w:cs="宋体"/>
          <w:color w:val="auto"/>
          <w:sz w:val="24"/>
          <w:szCs w:val="24"/>
          <w:highlight w:val="none"/>
        </w:rPr>
      </w:pPr>
    </w:p>
    <w:p w14:paraId="18F48A6E">
      <w:pPr>
        <w:ind w:firstLine="240"/>
        <w:rPr>
          <w:rFonts w:ascii="宋体" w:hAnsi="宋体" w:eastAsia="宋体" w:cs="宋体"/>
          <w:color w:val="auto"/>
          <w:szCs w:val="24"/>
          <w:highlight w:val="none"/>
        </w:rPr>
      </w:pPr>
    </w:p>
    <w:p w14:paraId="53560140">
      <w:pPr>
        <w:pStyle w:val="15"/>
        <w:tabs>
          <w:tab w:val="left" w:pos="5370"/>
        </w:tabs>
        <w:spacing w:line="240" w:lineRule="atLeast"/>
        <w:ind w:left="1154" w:leftChars="485" w:hanging="136" w:hanging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p>
    <w:p w14:paraId="68B23992">
      <w:pPr>
        <w:pStyle w:val="15"/>
        <w:tabs>
          <w:tab w:val="left" w:pos="5370"/>
        </w:tabs>
        <w:spacing w:line="240" w:lineRule="atLeast"/>
        <w:ind w:left="1154" w:leftChars="485" w:hanging="136" w:hangingChars="57"/>
        <w:rPr>
          <w:rFonts w:hint="eastAsia" w:ascii="宋体" w:hAnsi="宋体" w:eastAsia="宋体" w:cs="宋体"/>
          <w:color w:val="auto"/>
          <w:sz w:val="24"/>
          <w:szCs w:val="24"/>
          <w:highlight w:val="none"/>
        </w:rPr>
      </w:pPr>
    </w:p>
    <w:p w14:paraId="53A6456E">
      <w:pPr>
        <w:pStyle w:val="15"/>
        <w:tabs>
          <w:tab w:val="left" w:pos="5370"/>
        </w:tabs>
        <w:spacing w:line="240" w:lineRule="atLeast"/>
        <w:ind w:left="1154" w:leftChars="485" w:hanging="136" w:hangingChars="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法定代表人或其委托代理人（签/章）: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p>
    <w:p w14:paraId="1F4F9CEF">
      <w:pPr>
        <w:snapToGrid w:val="0"/>
        <w:spacing w:line="360" w:lineRule="auto"/>
        <w:ind w:right="105" w:rightChars="50"/>
        <w:rPr>
          <w:rFonts w:hint="eastAsia" w:ascii="宋体" w:hAnsi="宋体" w:cs="宋体"/>
          <w:color w:val="auto"/>
          <w:sz w:val="24"/>
          <w:highlight w:val="none"/>
        </w:rPr>
      </w:pPr>
    </w:p>
    <w:p w14:paraId="63E685D6">
      <w:pPr>
        <w:pStyle w:val="15"/>
        <w:spacing w:line="240" w:lineRule="atLeast"/>
        <w:ind w:left="1080" w:leftChars="257" w:hanging="540"/>
        <w:rPr>
          <w:rFonts w:hint="eastAsia" w:hAnsi="宋体" w:cs="宋体"/>
          <w:color w:val="auto"/>
          <w:sz w:val="24"/>
          <w:szCs w:val="24"/>
          <w:highlight w:val="none"/>
          <w:u w:val="single"/>
        </w:rPr>
      </w:pPr>
    </w:p>
    <w:p w14:paraId="1746BA5B">
      <w:pPr>
        <w:pStyle w:val="15"/>
        <w:spacing w:line="240" w:lineRule="atLeast"/>
        <w:ind w:left="1080" w:leftChars="257" w:hanging="540"/>
        <w:rPr>
          <w:rFonts w:hint="eastAsia" w:hAnsi="宋体" w:cs="宋体"/>
          <w:color w:val="auto"/>
          <w:sz w:val="24"/>
          <w:szCs w:val="24"/>
          <w:highlight w:val="none"/>
          <w:u w:val="single"/>
        </w:rPr>
      </w:pPr>
    </w:p>
    <w:p w14:paraId="7EF1AE9C">
      <w:pPr>
        <w:pStyle w:val="15"/>
        <w:spacing w:line="240" w:lineRule="atLeast"/>
        <w:ind w:left="1080" w:leftChars="257" w:hanging="540"/>
        <w:rPr>
          <w:rFonts w:hint="eastAsia" w:hAnsi="宋体" w:cs="宋体"/>
          <w:color w:val="auto"/>
          <w:sz w:val="24"/>
          <w:szCs w:val="24"/>
          <w:highlight w:val="none"/>
          <w:u w:val="single"/>
        </w:rPr>
      </w:pPr>
    </w:p>
    <w:p w14:paraId="3C62DAFA">
      <w:pPr>
        <w:pStyle w:val="15"/>
        <w:spacing w:line="240" w:lineRule="atLeast"/>
        <w:ind w:left="1080" w:leftChars="257" w:hanging="540"/>
        <w:rPr>
          <w:rFonts w:hint="eastAsia" w:hAnsi="宋体" w:cs="宋体"/>
          <w:color w:val="auto"/>
          <w:sz w:val="24"/>
          <w:szCs w:val="24"/>
          <w:highlight w:val="none"/>
          <w:u w:val="single"/>
        </w:rPr>
      </w:pPr>
    </w:p>
    <w:p w14:paraId="7C14AE22">
      <w:pPr>
        <w:pStyle w:val="15"/>
        <w:spacing w:line="240" w:lineRule="atLeast"/>
        <w:ind w:left="1080" w:leftChars="257" w:hanging="540"/>
        <w:rPr>
          <w:rFonts w:hint="eastAsia" w:hAnsi="宋体" w:cs="宋体"/>
          <w:color w:val="auto"/>
          <w:sz w:val="24"/>
          <w:szCs w:val="24"/>
          <w:highlight w:val="none"/>
          <w:u w:val="single"/>
        </w:rPr>
      </w:pPr>
    </w:p>
    <w:p w14:paraId="2E4156E2">
      <w:pPr>
        <w:pStyle w:val="15"/>
        <w:spacing w:line="240" w:lineRule="atLeast"/>
        <w:ind w:left="1080" w:leftChars="257" w:hanging="540"/>
        <w:rPr>
          <w:rFonts w:hint="eastAsia" w:hAnsi="宋体" w:cs="宋体"/>
          <w:color w:val="auto"/>
          <w:sz w:val="24"/>
          <w:szCs w:val="24"/>
          <w:highlight w:val="none"/>
          <w:u w:val="single"/>
        </w:rPr>
      </w:pPr>
    </w:p>
    <w:p w14:paraId="2FC97952">
      <w:pPr>
        <w:pStyle w:val="15"/>
        <w:spacing w:line="240" w:lineRule="atLeast"/>
        <w:ind w:left="1080" w:leftChars="257" w:hanging="540"/>
        <w:rPr>
          <w:rFonts w:hint="eastAsia" w:hAnsi="宋体" w:cs="宋体"/>
          <w:color w:val="auto"/>
          <w:sz w:val="24"/>
          <w:szCs w:val="24"/>
          <w:highlight w:val="none"/>
          <w:u w:val="single"/>
        </w:rPr>
      </w:pPr>
    </w:p>
    <w:p w14:paraId="1180448B">
      <w:pPr>
        <w:pStyle w:val="15"/>
        <w:spacing w:line="240" w:lineRule="atLeast"/>
        <w:ind w:left="1080" w:leftChars="257" w:hanging="540"/>
        <w:rPr>
          <w:rFonts w:hint="eastAsia" w:hAnsi="宋体" w:cs="宋体"/>
          <w:color w:val="auto"/>
          <w:sz w:val="24"/>
          <w:szCs w:val="24"/>
          <w:highlight w:val="none"/>
          <w:u w:val="single"/>
        </w:rPr>
      </w:pPr>
    </w:p>
    <w:p w14:paraId="0054138E">
      <w:pPr>
        <w:pStyle w:val="15"/>
        <w:spacing w:line="240" w:lineRule="atLeast"/>
        <w:ind w:left="1080" w:leftChars="257" w:hanging="540"/>
        <w:rPr>
          <w:rFonts w:hint="eastAsia" w:hAnsi="宋体" w:cs="宋体"/>
          <w:color w:val="auto"/>
          <w:sz w:val="24"/>
          <w:szCs w:val="24"/>
          <w:highlight w:val="none"/>
          <w:u w:val="single"/>
        </w:rPr>
      </w:pPr>
    </w:p>
    <w:p w14:paraId="15BB97FB">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p>
    <w:p w14:paraId="328A2E47">
      <w:pPr>
        <w:rPr>
          <w:rFonts w:hint="eastAsia"/>
          <w:color w:val="auto"/>
          <w:highlight w:val="none"/>
          <w:lang w:val="en-US" w:eastAsia="zh-CN"/>
        </w:rPr>
      </w:pPr>
    </w:p>
    <w:p w14:paraId="2872F5DF">
      <w:pPr>
        <w:pStyle w:val="3"/>
        <w:keepNext/>
        <w:keepLines/>
        <w:pageBreakBefore w:val="0"/>
        <w:widowControl w:val="0"/>
        <w:numPr>
          <w:ilvl w:val="0"/>
          <w:numId w:val="0"/>
        </w:numPr>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kern w:val="0"/>
          <w:sz w:val="24"/>
          <w:szCs w:val="24"/>
          <w:highlight w:val="none"/>
          <w:lang w:val="en-US" w:eastAsia="zh-CN" w:bidi="ar-SA"/>
        </w:rPr>
        <w:t>4、</w:t>
      </w:r>
      <w:r>
        <w:rPr>
          <w:rFonts w:hint="eastAsia" w:ascii="宋体" w:hAnsi="宋体" w:eastAsia="宋体" w:cs="宋体"/>
          <w:color w:val="auto"/>
          <w:sz w:val="24"/>
          <w:szCs w:val="24"/>
          <w:highlight w:val="none"/>
          <w:lang w:val="en-US" w:eastAsia="zh-CN"/>
        </w:rPr>
        <w:t>商务条款偏离表</w:t>
      </w:r>
    </w:p>
    <w:p w14:paraId="6A1E1425">
      <w:pPr>
        <w:numPr>
          <w:ilvl w:val="0"/>
          <w:numId w:val="0"/>
        </w:numPr>
        <w:rPr>
          <w:rFonts w:hint="eastAsia"/>
          <w:highlight w:val="none"/>
          <w:lang w:val="en-US" w:eastAsia="zh-CN"/>
        </w:rPr>
      </w:pPr>
    </w:p>
    <w:p w14:paraId="65A52F43">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r>
        <w:rPr>
          <w:rFonts w:hint="eastAsia"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769FC2E5">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37"/>
        <w:tblW w:w="55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085"/>
        <w:gridCol w:w="2614"/>
        <w:gridCol w:w="2614"/>
        <w:gridCol w:w="765"/>
        <w:gridCol w:w="765"/>
      </w:tblGrid>
      <w:tr w14:paraId="2ADE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396" w:type="pct"/>
            <w:vAlign w:val="center"/>
          </w:tcPr>
          <w:p w14:paraId="36E8BD42">
            <w:pPr>
              <w:pStyle w:val="15"/>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5" w:type="pct"/>
            <w:vAlign w:val="center"/>
          </w:tcPr>
          <w:p w14:paraId="3E9B1F70">
            <w:pPr>
              <w:pStyle w:val="15"/>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60" w:type="pct"/>
            <w:vAlign w:val="center"/>
          </w:tcPr>
          <w:p w14:paraId="2D912994">
            <w:pPr>
              <w:pStyle w:val="15"/>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1360" w:type="pct"/>
            <w:vAlign w:val="center"/>
          </w:tcPr>
          <w:p w14:paraId="1BE2064E">
            <w:pPr>
              <w:pStyle w:val="15"/>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398" w:type="pct"/>
            <w:vAlign w:val="center"/>
          </w:tcPr>
          <w:p w14:paraId="2AC093AB">
            <w:pPr>
              <w:pStyle w:val="15"/>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398" w:type="pct"/>
            <w:vAlign w:val="center"/>
          </w:tcPr>
          <w:p w14:paraId="78B18990">
            <w:pPr>
              <w:pStyle w:val="15"/>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5F17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E03BC07">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08D89B5D">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7AEF2C34">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25AC4BEC">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03DB4EA">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4612010">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0275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55F7DD56">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7D7E21C2">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31A92C3B">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A421621">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1D133AC1">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16BBC782">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40A7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6F414E84">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547CDB6F">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762C947E">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A6910D2">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B8F4655">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53E6ED9E">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3491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0F3B9D53">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4EA15FDF">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18EC7871">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F99E4B5">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78E795B8">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ACBA1FD">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5AC4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361D877">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18211581">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56D46248">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2FF48682">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1B465F2">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55B05115">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5F76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61191D9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6EEFDE1A">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3239E56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52B6FDE6">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E69D01E">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2037E2D">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5BA0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2786D3F4">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7211E05A">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18CB8BA7">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361E7E02">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36602AB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41669E4">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5B79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1558982F">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748E6F3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5179252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47BDB5E6">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1D502891">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93CE31C">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7E13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B22B882">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49F53ED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E75F747">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758DC98C">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2F09F43F">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7B13AC21">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646C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A8072E7">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407F7D77">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99EC9DF">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29CA29C3">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5E27760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46CBAE60">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2EE0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4A9F1D5D">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2F9FA055">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5ED5DBCD">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9A0A354">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535BBFE">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6EF50909">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6D0A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7B9DA679">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28383D7C">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33173A81">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7B87F86D">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3FE27479">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FC6EA6A">
            <w:pPr>
              <w:pStyle w:val="15"/>
              <w:spacing w:line="240" w:lineRule="auto"/>
              <w:ind w:left="1080" w:leftChars="257" w:hanging="540"/>
              <w:jc w:val="center"/>
              <w:rPr>
                <w:rFonts w:hint="eastAsia" w:ascii="宋体" w:hAnsi="宋体" w:eastAsia="宋体" w:cs="宋体"/>
                <w:color w:val="auto"/>
                <w:sz w:val="24"/>
                <w:szCs w:val="24"/>
                <w:highlight w:val="none"/>
              </w:rPr>
            </w:pPr>
          </w:p>
        </w:tc>
      </w:tr>
      <w:tr w14:paraId="6C57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2136A317">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085" w:type="pct"/>
            <w:vAlign w:val="center"/>
          </w:tcPr>
          <w:p w14:paraId="251A8025">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26199B8B">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1360" w:type="pct"/>
            <w:vAlign w:val="center"/>
          </w:tcPr>
          <w:p w14:paraId="6E105B10">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0B9DBB79">
            <w:pPr>
              <w:pStyle w:val="15"/>
              <w:spacing w:line="240" w:lineRule="auto"/>
              <w:ind w:left="1080" w:leftChars="257" w:hanging="540"/>
              <w:jc w:val="center"/>
              <w:rPr>
                <w:rFonts w:hint="eastAsia" w:ascii="宋体" w:hAnsi="宋体" w:eastAsia="宋体" w:cs="宋体"/>
                <w:color w:val="auto"/>
                <w:sz w:val="24"/>
                <w:szCs w:val="24"/>
                <w:highlight w:val="none"/>
              </w:rPr>
            </w:pPr>
          </w:p>
        </w:tc>
        <w:tc>
          <w:tcPr>
            <w:tcW w:w="398" w:type="pct"/>
            <w:vAlign w:val="center"/>
          </w:tcPr>
          <w:p w14:paraId="4D202F18">
            <w:pPr>
              <w:pStyle w:val="15"/>
              <w:spacing w:line="240" w:lineRule="auto"/>
              <w:ind w:left="1080" w:leftChars="257" w:hanging="540"/>
              <w:jc w:val="center"/>
              <w:rPr>
                <w:rFonts w:hint="eastAsia" w:ascii="宋体" w:hAnsi="宋体" w:eastAsia="宋体" w:cs="宋体"/>
                <w:color w:val="auto"/>
                <w:sz w:val="24"/>
                <w:szCs w:val="24"/>
                <w:highlight w:val="none"/>
              </w:rPr>
            </w:pPr>
          </w:p>
        </w:tc>
      </w:tr>
    </w:tbl>
    <w:p w14:paraId="3C923F46">
      <w:pPr>
        <w:pStyle w:val="15"/>
        <w:spacing w:line="400" w:lineRule="exact"/>
        <w:ind w:left="1080" w:leftChars="257" w:hanging="540"/>
        <w:rPr>
          <w:rFonts w:hint="eastAsia" w:ascii="宋体" w:hAnsi="宋体" w:eastAsia="宋体" w:cs="宋体"/>
          <w:color w:val="auto"/>
          <w:sz w:val="24"/>
          <w:szCs w:val="24"/>
          <w:highlight w:val="none"/>
        </w:rPr>
      </w:pPr>
    </w:p>
    <w:p w14:paraId="6938BD27">
      <w:pPr>
        <w:pStyle w:val="15"/>
        <w:spacing w:line="400" w:lineRule="exact"/>
        <w:ind w:left="1080" w:leftChars="257" w:hanging="540"/>
        <w:rPr>
          <w:rFonts w:hint="eastAsia" w:ascii="宋体" w:hAnsi="宋体" w:eastAsia="宋体" w:cs="宋体"/>
          <w:color w:val="auto"/>
          <w:sz w:val="24"/>
          <w:szCs w:val="24"/>
          <w:highlight w:val="none"/>
        </w:rPr>
      </w:pPr>
    </w:p>
    <w:p w14:paraId="48DB439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注：凡</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中</w:t>
      </w:r>
      <w:r>
        <w:rPr>
          <w:rFonts w:hint="eastAsia" w:ascii="宋体" w:hAnsi="宋体" w:cs="宋体"/>
          <w:color w:val="auto"/>
          <w:sz w:val="24"/>
          <w:highlight w:val="none"/>
          <w:lang w:val="en-US" w:eastAsia="zh-CN"/>
        </w:rPr>
        <w:t>商务</w:t>
      </w:r>
      <w:r>
        <w:rPr>
          <w:rFonts w:hint="eastAsia" w:ascii="宋体" w:hAnsi="宋体" w:cs="宋体"/>
          <w:color w:val="auto"/>
          <w:sz w:val="24"/>
          <w:highlight w:val="none"/>
        </w:rPr>
        <w:t>条款与招标文件有偏差的，均应在此表中列出（内容较多的可以标注见</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第几页，偏差包括正偏差和负偏差），未在此表中列出的视同完全满足</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要求。</w:t>
      </w:r>
    </w:p>
    <w:p w14:paraId="04D13970">
      <w:pPr>
        <w:pStyle w:val="15"/>
        <w:spacing w:line="240" w:lineRule="atLeast"/>
        <w:ind w:left="1080" w:leftChars="257" w:hanging="540"/>
        <w:rPr>
          <w:rFonts w:hint="eastAsia" w:hAnsi="宋体" w:cs="宋体"/>
          <w:color w:val="auto"/>
          <w:sz w:val="24"/>
          <w:szCs w:val="24"/>
          <w:highlight w:val="none"/>
        </w:rPr>
      </w:pPr>
    </w:p>
    <w:p w14:paraId="13FEDD00">
      <w:pPr>
        <w:ind w:firstLine="240"/>
        <w:rPr>
          <w:rFonts w:ascii="宋体" w:hAnsi="宋体" w:eastAsia="宋体" w:cs="宋体"/>
          <w:color w:val="auto"/>
          <w:szCs w:val="24"/>
          <w:highlight w:val="none"/>
        </w:rPr>
      </w:pPr>
    </w:p>
    <w:p w14:paraId="06AC1EDD">
      <w:pPr>
        <w:rPr>
          <w:rFonts w:ascii="宋体" w:hAnsi="宋体" w:eastAsia="宋体" w:cs="宋体"/>
          <w:color w:val="auto"/>
          <w:szCs w:val="24"/>
          <w:highlight w:val="none"/>
        </w:rPr>
      </w:pPr>
    </w:p>
    <w:p w14:paraId="5322DDA7">
      <w:pPr>
        <w:pStyle w:val="25"/>
        <w:rPr>
          <w:color w:val="auto"/>
          <w:highlight w:val="none"/>
        </w:rPr>
      </w:pPr>
    </w:p>
    <w:p w14:paraId="7CB4C1A6">
      <w:pPr>
        <w:pStyle w:val="15"/>
        <w:tabs>
          <w:tab w:val="left" w:pos="5370"/>
        </w:tabs>
        <w:spacing w:line="240" w:lineRule="atLeast"/>
        <w:ind w:left="1154" w:leftChars="485" w:hanging="136" w:hangingChars="57"/>
        <w:rPr>
          <w:rFonts w:hint="eastAsia" w:hAnsi="宋体" w:cs="宋体"/>
          <w:color w:val="auto"/>
          <w:sz w:val="24"/>
          <w:szCs w:val="24"/>
          <w:highlight w:val="none"/>
          <w:u w:val="single"/>
        </w:rPr>
      </w:pPr>
      <w:r>
        <w:rPr>
          <w:rFonts w:hint="eastAsia" w:hAnsi="宋体" w:cs="宋体"/>
          <w:color w:val="auto"/>
          <w:sz w:val="24"/>
          <w:szCs w:val="24"/>
          <w:highlight w:val="none"/>
        </w:rPr>
        <w:t>投标人(盖单位章):</w:t>
      </w:r>
      <w:r>
        <w:rPr>
          <w:rFonts w:hint="eastAsia" w:hAnsi="宋体" w:cs="宋体"/>
          <w:color w:val="auto"/>
          <w:sz w:val="24"/>
          <w:szCs w:val="24"/>
          <w:highlight w:val="none"/>
          <w:u w:val="single"/>
        </w:rPr>
        <w:tab/>
      </w:r>
      <w:r>
        <w:rPr>
          <w:rFonts w:hint="eastAsia" w:hAnsi="宋体" w:cs="宋体"/>
          <w:color w:val="auto"/>
          <w:sz w:val="24"/>
          <w:szCs w:val="24"/>
          <w:highlight w:val="none"/>
          <w:u w:val="single"/>
        </w:rPr>
        <w:t xml:space="preserve">      </w:t>
      </w:r>
    </w:p>
    <w:p w14:paraId="6EE05C53">
      <w:pPr>
        <w:pStyle w:val="15"/>
        <w:tabs>
          <w:tab w:val="left" w:pos="5370"/>
        </w:tabs>
        <w:spacing w:line="240" w:lineRule="atLeast"/>
        <w:ind w:left="1080" w:leftChars="257" w:hanging="540"/>
        <w:rPr>
          <w:rFonts w:hint="eastAsia" w:hAnsi="宋体" w:cs="宋体"/>
          <w:color w:val="auto"/>
          <w:sz w:val="24"/>
          <w:szCs w:val="24"/>
          <w:highlight w:val="none"/>
          <w:u w:val="single"/>
        </w:rPr>
      </w:pPr>
    </w:p>
    <w:p w14:paraId="25B6833D">
      <w:pPr>
        <w:pStyle w:val="15"/>
        <w:tabs>
          <w:tab w:val="left" w:pos="5370"/>
        </w:tabs>
        <w:spacing w:line="240" w:lineRule="atLeas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法定代表人或其委托代理人（签/章）: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p>
    <w:p w14:paraId="133FA2A3">
      <w:pPr>
        <w:pStyle w:val="15"/>
        <w:spacing w:line="240" w:lineRule="atLeast"/>
        <w:jc w:val="center"/>
        <w:rPr>
          <w:rFonts w:hint="eastAsia" w:hAnsi="宋体" w:cs="宋体"/>
          <w:b/>
          <w:bCs/>
          <w:color w:val="000000"/>
          <w:sz w:val="24"/>
          <w:szCs w:val="24"/>
          <w:highlight w:val="none"/>
        </w:rPr>
      </w:pPr>
      <w:r>
        <w:rPr>
          <w:rFonts w:hint="eastAsia" w:hAnsi="宋体" w:cs="宋体"/>
          <w:b/>
          <w:bCs/>
          <w:color w:val="auto"/>
          <w:sz w:val="24"/>
          <w:szCs w:val="24"/>
          <w:highlight w:val="none"/>
        </w:rPr>
        <w:br w:type="page"/>
      </w:r>
      <w:bookmarkStart w:id="292" w:name="_Toc10725"/>
      <w:bookmarkStart w:id="293" w:name="_Toc10444"/>
      <w:bookmarkStart w:id="294" w:name="_Toc6526"/>
      <w:bookmarkStart w:id="295" w:name="_Toc515647823"/>
      <w:bookmarkStart w:id="296" w:name="_Toc15566"/>
      <w:bookmarkStart w:id="297" w:name="_Toc21312"/>
      <w:bookmarkStart w:id="298" w:name="_Toc29837"/>
      <w:bookmarkStart w:id="299" w:name="_Toc6055"/>
      <w:bookmarkStart w:id="300" w:name="_Toc32368"/>
      <w:bookmarkStart w:id="301" w:name="_Toc22578"/>
      <w:bookmarkStart w:id="302" w:name="_Toc388"/>
      <w:r>
        <w:rPr>
          <w:rFonts w:hint="eastAsia" w:ascii="宋体" w:hAnsi="宋体" w:eastAsia="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lang w:eastAsia="zh-CN"/>
        </w:rPr>
        <w:t>、</w:t>
      </w:r>
      <w:bookmarkEnd w:id="292"/>
      <w:bookmarkEnd w:id="293"/>
      <w:bookmarkEnd w:id="294"/>
      <w:bookmarkEnd w:id="295"/>
      <w:bookmarkEnd w:id="296"/>
      <w:bookmarkEnd w:id="297"/>
      <w:bookmarkEnd w:id="298"/>
      <w:bookmarkEnd w:id="299"/>
      <w:bookmarkEnd w:id="300"/>
      <w:bookmarkEnd w:id="301"/>
      <w:bookmarkEnd w:id="302"/>
      <w:r>
        <w:rPr>
          <w:rFonts w:hint="eastAsia" w:ascii="宋体" w:hAnsi="宋体" w:eastAsia="宋体" w:cs="宋体"/>
          <w:b/>
          <w:bCs/>
          <w:color w:val="000000"/>
          <w:sz w:val="24"/>
          <w:szCs w:val="24"/>
          <w:highlight w:val="none"/>
        </w:rPr>
        <w:t>投</w:t>
      </w:r>
      <w:r>
        <w:rPr>
          <w:rFonts w:hint="eastAsia" w:hAnsi="宋体" w:cs="宋体"/>
          <w:b/>
          <w:bCs/>
          <w:color w:val="000000"/>
          <w:sz w:val="24"/>
          <w:szCs w:val="24"/>
          <w:highlight w:val="none"/>
        </w:rPr>
        <w:t>标人企业（单位）类型声明</w:t>
      </w:r>
      <w:r>
        <w:rPr>
          <w:rFonts w:hint="eastAsia" w:ascii="宋体" w:hAnsi="宋体" w:eastAsia="宋体" w:cs="宋体"/>
          <w:b/>
          <w:bCs/>
          <w:color w:val="000000"/>
          <w:sz w:val="24"/>
          <w:szCs w:val="24"/>
          <w:highlight w:val="none"/>
        </w:rPr>
        <w:t>函</w:t>
      </w:r>
    </w:p>
    <w:p w14:paraId="63E6BF04">
      <w:pPr>
        <w:spacing w:line="240" w:lineRule="atLeast"/>
        <w:ind w:left="1080" w:leftChars="257" w:hanging="540"/>
        <w:jc w:val="center"/>
        <w:rPr>
          <w:rFonts w:ascii="方正仿宋_GB2312" w:hAnsi="Arial" w:eastAsia="方正仿宋_GB2312"/>
          <w:b/>
          <w:color w:val="000000"/>
          <w:kern w:val="0"/>
          <w:sz w:val="24"/>
          <w:szCs w:val="20"/>
          <w:highlight w:val="none"/>
        </w:rPr>
      </w:pPr>
    </w:p>
    <w:p w14:paraId="06EDDA25">
      <w:pPr>
        <w:widowControl/>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本企业（单位）郑重声明下列事项（按照实际情况勾选或填空）：</w:t>
      </w:r>
    </w:p>
    <w:p w14:paraId="4E39AB13">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1、□本企业（单位）为直接投标人，提供本企业（单位）服务。</w:t>
      </w:r>
    </w:p>
    <w:p w14:paraId="59212F52">
      <w:pPr>
        <w:widowControl/>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《政府采购促进中小企业发展管理办法》（财库﹝2020﹞46号）的规定</w:t>
      </w:r>
      <w:r>
        <w:rPr>
          <w:rFonts w:hint="eastAsia" w:ascii="宋体" w:hAnsi="宋体" w:cs="宋体"/>
          <w:color w:val="000000"/>
          <w:kern w:val="0"/>
          <w:sz w:val="24"/>
          <w:highlight w:val="none"/>
        </w:rPr>
        <w:t>的划分标准，本企业为______（请填写：中型、小型、微型）企业。</w:t>
      </w:r>
    </w:p>
    <w:p w14:paraId="375AE8E0">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（2）本企业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（请填写：是、不是）监狱企业。后附省级以上监狱管理局、戒毒管理局（含新疆生产建设兵团）出具的属于监狱企业的证明文件。</w:t>
      </w:r>
    </w:p>
    <w:p w14:paraId="09D519F3">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（3）根据《关于促进残疾人就业政府采购政策的通知》（财库〔2017〕141号）。本单位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（请填写：是、不是）残疾人福利性单位。</w:t>
      </w:r>
    </w:p>
    <w:p w14:paraId="5B16A94F">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rPr>
        <w:t>、□本企业（单位）为联合体一方，提供本企业（单位）</w:t>
      </w:r>
      <w:r>
        <w:rPr>
          <w:rFonts w:hint="eastAsia" w:ascii="宋体" w:hAnsi="宋体" w:cs="宋体"/>
          <w:color w:val="000000"/>
          <w:kern w:val="0"/>
          <w:sz w:val="24"/>
          <w:highlight w:val="none"/>
          <w:lang w:val="en-US" w:eastAsia="zh-CN"/>
        </w:rPr>
        <w:t>服务</w:t>
      </w:r>
      <w:r>
        <w:rPr>
          <w:rFonts w:hint="eastAsia" w:ascii="宋体" w:hAnsi="宋体" w:cs="宋体"/>
          <w:color w:val="000000"/>
          <w:kern w:val="0"/>
          <w:sz w:val="24"/>
          <w:highlight w:val="none"/>
        </w:rPr>
        <w:t>，由本企业（单位）提供服务。本企业（单位）提供协议合同金额占到共同投标协议合同总金额的比例为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0BB979">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本企业（单位）对上述声明的真实性负责。如有虚假，将依法承担相应责任。</w:t>
      </w:r>
    </w:p>
    <w:p w14:paraId="0A27E8C6">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w:t>
      </w:r>
    </w:p>
    <w:p w14:paraId="72A531FD">
      <w:pPr>
        <w:widowControl/>
        <w:spacing w:before="100" w:beforeAutospacing="1" w:after="100" w:afterAutospacing="1" w:line="330" w:lineRule="atLeast"/>
        <w:jc w:val="left"/>
        <w:rPr>
          <w:rFonts w:hint="eastAsia" w:ascii="宋体" w:hAnsi="宋体" w:cs="宋体"/>
          <w:color w:val="000000"/>
          <w:kern w:val="0"/>
          <w:sz w:val="24"/>
          <w:highlight w:val="none"/>
        </w:rPr>
      </w:pPr>
    </w:p>
    <w:p w14:paraId="3BDA142D">
      <w:pPr>
        <w:widowControl/>
        <w:spacing w:before="100" w:beforeAutospacing="1" w:after="100" w:afterAutospacing="1" w:line="330" w:lineRule="atLeast"/>
        <w:jc w:val="left"/>
        <w:rPr>
          <w:rFonts w:hint="eastAsia" w:ascii="宋体" w:hAnsi="宋体" w:cs="宋体"/>
          <w:color w:val="000000"/>
          <w:kern w:val="0"/>
          <w:sz w:val="24"/>
          <w:highlight w:val="none"/>
        </w:rPr>
      </w:pPr>
    </w:p>
    <w:p w14:paraId="0522B55F">
      <w:pPr>
        <w:pStyle w:val="25"/>
        <w:rPr>
          <w:rFonts w:hint="eastAsia" w:ascii="宋体" w:hAnsi="宋体" w:cs="宋体"/>
          <w:color w:val="000000"/>
          <w:kern w:val="0"/>
          <w:sz w:val="24"/>
          <w:highlight w:val="none"/>
        </w:rPr>
      </w:pPr>
    </w:p>
    <w:p w14:paraId="181AFBB6">
      <w:pPr>
        <w:pStyle w:val="10"/>
        <w:rPr>
          <w:rFonts w:hint="eastAsia"/>
          <w:highlight w:val="none"/>
        </w:rPr>
      </w:pPr>
    </w:p>
    <w:p w14:paraId="394A3CAB">
      <w:pPr>
        <w:spacing w:line="240" w:lineRule="atLeast"/>
        <w:ind w:left="1080" w:leftChars="257" w:hanging="540"/>
        <w:jc w:val="center"/>
        <w:rPr>
          <w:rFonts w:hint="eastAsia" w:ascii="宋体" w:hAnsi="宋体" w:cs="宋体"/>
          <w:b/>
          <w:color w:val="000000"/>
          <w:kern w:val="0"/>
          <w:sz w:val="24"/>
          <w:szCs w:val="20"/>
          <w:highlight w:val="none"/>
        </w:rPr>
      </w:pPr>
      <w:r>
        <w:rPr>
          <w:rFonts w:hint="eastAsia" w:ascii="宋体" w:hAnsi="宋体" w:cs="宋体"/>
          <w:b/>
          <w:color w:val="000000"/>
          <w:kern w:val="0"/>
          <w:sz w:val="24"/>
          <w:szCs w:val="20"/>
          <w:highlight w:val="none"/>
        </w:rPr>
        <w:t>　</w:t>
      </w:r>
    </w:p>
    <w:p w14:paraId="5AE67E3D">
      <w:pPr>
        <w:widowControl/>
        <w:spacing w:before="100" w:beforeAutospacing="1" w:after="100" w:afterAutospacing="1" w:line="330" w:lineRule="atLeast"/>
        <w:ind w:firstLine="3960" w:firstLineChars="165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投标人名称（盖单位章）：</w:t>
      </w:r>
      <w:r>
        <w:rPr>
          <w:rFonts w:hint="eastAsia" w:ascii="宋体" w:hAnsi="宋体" w:cs="宋体"/>
          <w:color w:val="000000"/>
          <w:kern w:val="0"/>
          <w:sz w:val="24"/>
          <w:highlight w:val="none"/>
          <w:u w:val="single"/>
        </w:rPr>
        <w:t xml:space="preserve">             </w:t>
      </w:r>
    </w:p>
    <w:p w14:paraId="3C9CF502">
      <w:pPr>
        <w:widowControl/>
        <w:spacing w:before="100" w:beforeAutospacing="1" w:after="100" w:afterAutospacing="1" w:line="330" w:lineRule="atLeast"/>
        <w:ind w:firstLine="3720" w:firstLineChars="1550"/>
        <w:jc w:val="left"/>
        <w:rPr>
          <w:rFonts w:hint="eastAsia" w:ascii="宋体" w:hAnsi="宋体" w:cs="宋体"/>
          <w:color w:val="000000"/>
          <w:kern w:val="0"/>
          <w:sz w:val="24"/>
          <w:highlight w:val="none"/>
          <w:u w:val="single"/>
        </w:rPr>
      </w:pPr>
      <w:r>
        <w:rPr>
          <w:rFonts w:hint="eastAsia" w:ascii="宋体" w:hAnsi="宋体" w:cs="宋体"/>
          <w:color w:val="000000"/>
          <w:kern w:val="0"/>
          <w:sz w:val="24"/>
          <w:highlight w:val="none"/>
        </w:rPr>
        <w:t>　日　                期：</w:t>
      </w:r>
      <w:r>
        <w:rPr>
          <w:rFonts w:hint="eastAsia" w:ascii="宋体" w:hAnsi="宋体" w:cs="宋体"/>
          <w:color w:val="000000"/>
          <w:kern w:val="0"/>
          <w:sz w:val="24"/>
          <w:highlight w:val="none"/>
          <w:u w:val="single"/>
        </w:rPr>
        <w:t xml:space="preserve">             </w:t>
      </w:r>
    </w:p>
    <w:p w14:paraId="4A6C2048">
      <w:pPr>
        <w:rPr>
          <w:rFonts w:hint="eastAsia" w:ascii="微软雅黑" w:hAnsi="微软雅黑" w:eastAsia="微软雅黑" w:cs="微软雅黑"/>
          <w:b/>
          <w:bCs/>
          <w:color w:val="auto"/>
          <w:kern w:val="0"/>
          <w:sz w:val="32"/>
          <w:szCs w:val="32"/>
          <w:highlight w:val="none"/>
          <w:lang w:val="en-US" w:eastAsia="zh-CN"/>
        </w:rPr>
      </w:pPr>
    </w:p>
    <w:p w14:paraId="7496E3C4">
      <w:pPr>
        <w:rPr>
          <w:rFonts w:hint="eastAsia" w:ascii="微软雅黑" w:hAnsi="微软雅黑" w:eastAsia="微软雅黑" w:cs="微软雅黑"/>
          <w:b/>
          <w:bCs/>
          <w:color w:val="auto"/>
          <w:kern w:val="0"/>
          <w:sz w:val="32"/>
          <w:szCs w:val="32"/>
          <w:highlight w:val="none"/>
          <w:lang w:val="en-US" w:eastAsia="zh-CN"/>
        </w:rPr>
      </w:pPr>
    </w:p>
    <w:p w14:paraId="066F46F5">
      <w:pPr>
        <w:rPr>
          <w:rFonts w:hint="eastAsia" w:ascii="微软雅黑" w:hAnsi="微软雅黑" w:eastAsia="微软雅黑" w:cs="微软雅黑"/>
          <w:b/>
          <w:bCs/>
          <w:color w:val="auto"/>
          <w:kern w:val="0"/>
          <w:sz w:val="32"/>
          <w:szCs w:val="32"/>
          <w:highlight w:val="none"/>
          <w:lang w:val="en-US" w:eastAsia="zh-CN"/>
        </w:rPr>
      </w:pPr>
    </w:p>
    <w:p w14:paraId="3869FC7D">
      <w:pPr>
        <w:pStyle w:val="3"/>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5-1、中小企业声明</w:t>
      </w:r>
      <w:r>
        <w:rPr>
          <w:rFonts w:hint="eastAsia" w:ascii="宋体" w:hAnsi="宋体" w:eastAsia="宋体" w:cs="宋体"/>
          <w:b/>
          <w:color w:val="auto"/>
          <w:sz w:val="24"/>
          <w:szCs w:val="24"/>
          <w:highlight w:val="none"/>
          <w:lang w:val="en-US" w:eastAsia="zh-CN"/>
        </w:rPr>
        <w:t>函</w:t>
      </w:r>
    </w:p>
    <w:p w14:paraId="6BAEFF91">
      <w:pPr>
        <w:keepNext w:val="0"/>
        <w:keepLines w:val="0"/>
        <w:widowControl/>
        <w:suppressLineNumbers w:val="0"/>
        <w:shd w:val="clear" w:color="auto" w:fill="auto"/>
        <w:spacing w:before="100" w:beforeAutospacing="1" w:after="100" w:afterAutospacing="1" w:line="348" w:lineRule="atLeast"/>
        <w:ind w:left="0" w:right="0" w:firstLine="676" w:firstLineChars="282"/>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本公司郑重声明，根据《政府采购促进中小企业发展管理办法》（财库﹝2020﹞46号）的规定，本公司参加</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（单位名称）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的</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（项目名称）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采购活动，服务全部由符合政策要求的中小企业承接。相关企业（含联合体中的中小企业、签订分包意向协议的中小企业）的具体情况如下：</w:t>
      </w:r>
    </w:p>
    <w:p w14:paraId="6456B1D1">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1.</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行业；承接企业为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14:paraId="6B7CBFB3">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2.</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行业；承接企业为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14:paraId="3FE0D765">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14:paraId="223037A7">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0FE2F581">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14:paraId="5F3123C8">
      <w:pPr>
        <w:keepNext w:val="0"/>
        <w:keepLines w:val="0"/>
        <w:widowControl/>
        <w:suppressLineNumbers w:val="0"/>
        <w:shd w:val="clear" w:color="auto" w:fill="auto"/>
        <w:spacing w:before="100" w:beforeAutospacing="1" w:after="10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14:paraId="3005B23E">
      <w:pPr>
        <w:keepNext w:val="0"/>
        <w:keepLines w:val="0"/>
        <w:widowControl/>
        <w:suppressLineNumbers w:val="0"/>
        <w:shd w:val="clear" w:color="auto" w:fill="auto"/>
        <w:spacing w:before="100" w:beforeAutospacing="1" w:after="10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企业名称（盖章）：</w:t>
      </w:r>
    </w:p>
    <w:p w14:paraId="23FA9D3C">
      <w:pPr>
        <w:jc w:val="center"/>
        <w:rPr>
          <w:rFonts w:hint="eastAsia" w:ascii="宋体" w:hAnsi="宋体" w:eastAsia="宋体" w:cs="宋体"/>
          <w:i w:val="0"/>
          <w:iCs w:val="0"/>
          <w:caps w:val="0"/>
          <w:color w:val="auto"/>
          <w:spacing w:val="0"/>
          <w:kern w:val="0"/>
          <w:sz w:val="24"/>
          <w:szCs w:val="24"/>
          <w:highlight w:val="none"/>
          <w:shd w:val="clear" w:color="auto" w:fill="FFFFFF"/>
          <w:lang w:val="en-US" w:eastAsia="zh-CN"/>
        </w:rPr>
      </w:pPr>
      <w:r>
        <w:rPr>
          <w:rFonts w:hint="eastAsia" w:ascii="宋体" w:hAnsi="宋体" w:cs="宋体"/>
          <w:i w:val="0"/>
          <w:iCs w:val="0"/>
          <w:caps w:val="0"/>
          <w:color w:val="auto"/>
          <w:spacing w:val="0"/>
          <w:kern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日 期：</w:t>
      </w:r>
    </w:p>
    <w:p w14:paraId="5E44E3FD">
      <w:pPr>
        <w:rPr>
          <w:rFonts w:hint="eastAsia" w:ascii="微软雅黑" w:hAnsi="微软雅黑" w:eastAsia="微软雅黑" w:cs="微软雅黑"/>
          <w:b/>
          <w:bCs/>
          <w:color w:val="auto"/>
          <w:kern w:val="0"/>
          <w:sz w:val="32"/>
          <w:szCs w:val="32"/>
          <w:highlight w:val="none"/>
          <w:lang w:val="en-US" w:eastAsia="zh-CN"/>
        </w:rPr>
      </w:pPr>
    </w:p>
    <w:p w14:paraId="4E88B5E2">
      <w:pPr>
        <w:rPr>
          <w:rFonts w:hint="eastAsia" w:ascii="微软雅黑" w:hAnsi="微软雅黑" w:eastAsia="微软雅黑" w:cs="微软雅黑"/>
          <w:b/>
          <w:bCs/>
          <w:color w:val="auto"/>
          <w:kern w:val="0"/>
          <w:sz w:val="32"/>
          <w:szCs w:val="32"/>
          <w:highlight w:val="none"/>
          <w:lang w:val="en-US" w:eastAsia="zh-CN"/>
        </w:rPr>
      </w:pPr>
    </w:p>
    <w:p w14:paraId="3D2976AB">
      <w:pPr>
        <w:rPr>
          <w:rFonts w:hint="eastAsia" w:ascii="微软雅黑" w:hAnsi="微软雅黑" w:eastAsia="微软雅黑" w:cs="微软雅黑"/>
          <w:b/>
          <w:bCs/>
          <w:color w:val="auto"/>
          <w:kern w:val="0"/>
          <w:sz w:val="32"/>
          <w:szCs w:val="32"/>
          <w:highlight w:val="none"/>
          <w:lang w:val="en-US" w:eastAsia="zh-CN"/>
        </w:rPr>
      </w:pPr>
    </w:p>
    <w:p w14:paraId="324007C3">
      <w:pPr>
        <w:pStyle w:val="10"/>
        <w:rPr>
          <w:rFonts w:hint="eastAsia"/>
          <w:highlight w:val="none"/>
          <w:lang w:val="en-US" w:eastAsia="zh-CN"/>
        </w:rPr>
      </w:pPr>
    </w:p>
    <w:p w14:paraId="394D8A17">
      <w:pPr>
        <w:pStyle w:val="10"/>
        <w:rPr>
          <w:rFonts w:hint="eastAsia"/>
          <w:highlight w:val="none"/>
          <w:lang w:val="en-US" w:eastAsia="zh-CN"/>
        </w:rPr>
      </w:pPr>
    </w:p>
    <w:p w14:paraId="68DF0652">
      <w:pPr>
        <w:rPr>
          <w:rFonts w:hint="eastAsia"/>
          <w:highlight w:val="none"/>
          <w:lang w:val="en-US" w:eastAsia="zh-CN"/>
        </w:rPr>
      </w:pPr>
    </w:p>
    <w:p w14:paraId="66FC242B">
      <w:pPr>
        <w:rPr>
          <w:rFonts w:hint="default" w:ascii="宋体" w:hAnsi="宋体" w:eastAsia="微软雅黑" w:cs="宋体"/>
          <w:b/>
          <w:bCs/>
          <w:color w:val="auto"/>
          <w:kern w:val="0"/>
          <w:sz w:val="32"/>
          <w:szCs w:val="32"/>
          <w:highlight w:val="none"/>
          <w:lang w:val="en-US" w:eastAsia="zh-CN"/>
        </w:rPr>
      </w:pPr>
      <w:r>
        <w:rPr>
          <w:rFonts w:hint="eastAsia" w:ascii="微软雅黑" w:hAnsi="微软雅黑" w:eastAsia="微软雅黑" w:cs="微软雅黑"/>
          <w:b/>
          <w:bCs/>
          <w:color w:val="auto"/>
          <w:kern w:val="0"/>
          <w:sz w:val="32"/>
          <w:szCs w:val="32"/>
          <w:highlight w:val="none"/>
          <w:lang w:val="en-US" w:eastAsia="zh-CN"/>
        </w:rPr>
        <w:t>本项目所属行业为其他未列明行业。</w:t>
      </w:r>
    </w:p>
    <w:p w14:paraId="3E9E20AA">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注：潜在投标企业属于中小微企业的，请在投标文件中提供“投标人企业（单位）类型声明函”，如果未提供或提供虚假的“中小企业声明函”，投标企业将承担由此造成的一切不利后果。</w:t>
      </w:r>
    </w:p>
    <w:p w14:paraId="6710CF9A">
      <w:pPr>
        <w:jc w:val="left"/>
        <w:rPr>
          <w:rFonts w:hint="eastAsia" w:ascii="宋体" w:hAnsi="宋体" w:eastAsia="宋体" w:cs="宋体"/>
          <w:b/>
          <w:bCs/>
          <w:color w:val="auto"/>
          <w:kern w:val="0"/>
          <w:sz w:val="24"/>
          <w:szCs w:val="24"/>
          <w:highlight w:val="none"/>
        </w:rPr>
      </w:pPr>
    </w:p>
    <w:p w14:paraId="1CA0617F">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14:paraId="246986E5">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7"/>
        <w:tblW w:w="9610" w:type="dxa"/>
        <w:jc w:val="center"/>
        <w:tblLayout w:type="fixed"/>
        <w:tblCellMar>
          <w:top w:w="0" w:type="dxa"/>
          <w:left w:w="108" w:type="dxa"/>
          <w:bottom w:w="0" w:type="dxa"/>
          <w:right w:w="108" w:type="dxa"/>
        </w:tblCellMar>
      </w:tblPr>
      <w:tblGrid>
        <w:gridCol w:w="1570"/>
        <w:gridCol w:w="1660"/>
        <w:gridCol w:w="1466"/>
        <w:gridCol w:w="1903"/>
        <w:gridCol w:w="1877"/>
        <w:gridCol w:w="1134"/>
      </w:tblGrid>
      <w:tr w14:paraId="420BFF5D">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2A47B105">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14:paraId="04BD138C">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14:paraId="0E1CC7BE">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14:paraId="5F95D7DA">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877" w:type="dxa"/>
            <w:tcBorders>
              <w:top w:val="single" w:color="auto" w:sz="4" w:space="0"/>
              <w:left w:val="nil"/>
              <w:bottom w:val="single" w:color="auto" w:sz="4" w:space="0"/>
              <w:right w:val="single" w:color="auto" w:sz="4" w:space="0"/>
            </w:tcBorders>
            <w:noWrap w:val="0"/>
            <w:vAlign w:val="center"/>
          </w:tcPr>
          <w:p w14:paraId="4463E8EB">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2B20ACB1">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3C75DA90">
        <w:tblPrEx>
          <w:tblCellMar>
            <w:top w:w="0" w:type="dxa"/>
            <w:left w:w="108" w:type="dxa"/>
            <w:bottom w:w="0" w:type="dxa"/>
            <w:right w:w="108" w:type="dxa"/>
          </w:tblCellMar>
        </w:tblPrEx>
        <w:trPr>
          <w:trHeight w:val="505" w:hRule="atLeast"/>
          <w:jc w:val="center"/>
        </w:trPr>
        <w:tc>
          <w:tcPr>
            <w:tcW w:w="1570" w:type="dxa"/>
            <w:tcBorders>
              <w:top w:val="nil"/>
              <w:left w:val="single" w:color="auto" w:sz="4" w:space="0"/>
              <w:bottom w:val="single" w:color="auto" w:sz="4" w:space="0"/>
              <w:right w:val="single" w:color="auto" w:sz="4" w:space="0"/>
            </w:tcBorders>
            <w:noWrap w:val="0"/>
            <w:vAlign w:val="center"/>
          </w:tcPr>
          <w:p w14:paraId="46F0858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14:paraId="0557046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33FD20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94E4E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273C0E7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34" w:type="dxa"/>
            <w:tcBorders>
              <w:top w:val="nil"/>
              <w:left w:val="nil"/>
              <w:bottom w:val="single" w:color="auto" w:sz="4" w:space="0"/>
              <w:right w:val="single" w:color="auto" w:sz="4" w:space="0"/>
            </w:tcBorders>
            <w:noWrap w:val="0"/>
            <w:vAlign w:val="center"/>
          </w:tcPr>
          <w:p w14:paraId="0EC0D7D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30370BF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3764C0F">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14:paraId="700E280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A29D6F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9B09B7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5502AC8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6501EA9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3D00712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D1FB183">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6CE7BD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C3F54B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AA3916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877" w:type="dxa"/>
            <w:tcBorders>
              <w:top w:val="nil"/>
              <w:left w:val="nil"/>
              <w:bottom w:val="single" w:color="auto" w:sz="4" w:space="0"/>
              <w:right w:val="single" w:color="auto" w:sz="4" w:space="0"/>
            </w:tcBorders>
            <w:noWrap w:val="0"/>
            <w:vAlign w:val="center"/>
          </w:tcPr>
          <w:p w14:paraId="1F906A3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34" w:type="dxa"/>
            <w:tcBorders>
              <w:top w:val="nil"/>
              <w:left w:val="nil"/>
              <w:bottom w:val="single" w:color="auto" w:sz="4" w:space="0"/>
              <w:right w:val="single" w:color="auto" w:sz="4" w:space="0"/>
            </w:tcBorders>
            <w:noWrap w:val="0"/>
            <w:vAlign w:val="center"/>
          </w:tcPr>
          <w:p w14:paraId="5C31A56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131A56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E1EA5F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14:paraId="0377BD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422B90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FB8D69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877" w:type="dxa"/>
            <w:tcBorders>
              <w:top w:val="nil"/>
              <w:left w:val="nil"/>
              <w:bottom w:val="single" w:color="auto" w:sz="4" w:space="0"/>
              <w:right w:val="single" w:color="auto" w:sz="4" w:space="0"/>
            </w:tcBorders>
            <w:noWrap w:val="0"/>
            <w:vAlign w:val="center"/>
          </w:tcPr>
          <w:p w14:paraId="0E39EF7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34" w:type="dxa"/>
            <w:tcBorders>
              <w:top w:val="nil"/>
              <w:left w:val="nil"/>
              <w:bottom w:val="single" w:color="auto" w:sz="4" w:space="0"/>
              <w:right w:val="single" w:color="auto" w:sz="4" w:space="0"/>
            </w:tcBorders>
            <w:noWrap w:val="0"/>
            <w:vAlign w:val="center"/>
          </w:tcPr>
          <w:p w14:paraId="15F8248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05E654E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6E83A74">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00040D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690287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A5C14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877" w:type="dxa"/>
            <w:tcBorders>
              <w:top w:val="nil"/>
              <w:left w:val="nil"/>
              <w:bottom w:val="single" w:color="auto" w:sz="4" w:space="0"/>
              <w:right w:val="single" w:color="auto" w:sz="4" w:space="0"/>
            </w:tcBorders>
            <w:noWrap w:val="0"/>
            <w:vAlign w:val="center"/>
          </w:tcPr>
          <w:p w14:paraId="55208F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34" w:type="dxa"/>
            <w:tcBorders>
              <w:top w:val="nil"/>
              <w:left w:val="nil"/>
              <w:bottom w:val="single" w:color="auto" w:sz="4" w:space="0"/>
              <w:right w:val="single" w:color="auto" w:sz="4" w:space="0"/>
            </w:tcBorders>
            <w:noWrap w:val="0"/>
            <w:vAlign w:val="center"/>
          </w:tcPr>
          <w:p w14:paraId="1E01097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1844930D">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1FCDF196">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14:paraId="75023C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2F8AFF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12F13AA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877" w:type="dxa"/>
            <w:tcBorders>
              <w:top w:val="nil"/>
              <w:left w:val="nil"/>
              <w:bottom w:val="single" w:color="auto" w:sz="4" w:space="0"/>
              <w:right w:val="single" w:color="auto" w:sz="4" w:space="0"/>
            </w:tcBorders>
            <w:noWrap w:val="0"/>
            <w:vAlign w:val="center"/>
          </w:tcPr>
          <w:p w14:paraId="3C3AB9C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34" w:type="dxa"/>
            <w:tcBorders>
              <w:top w:val="nil"/>
              <w:left w:val="nil"/>
              <w:bottom w:val="single" w:color="auto" w:sz="4" w:space="0"/>
              <w:right w:val="single" w:color="auto" w:sz="4" w:space="0"/>
            </w:tcBorders>
            <w:noWrap w:val="0"/>
            <w:vAlign w:val="center"/>
          </w:tcPr>
          <w:p w14:paraId="6BA42EB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3F8DC05A">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C98F7A4">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7597262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426B563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87A9DF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877" w:type="dxa"/>
            <w:tcBorders>
              <w:top w:val="nil"/>
              <w:left w:val="nil"/>
              <w:bottom w:val="single" w:color="auto" w:sz="4" w:space="0"/>
              <w:right w:val="single" w:color="auto" w:sz="4" w:space="0"/>
            </w:tcBorders>
            <w:noWrap w:val="0"/>
            <w:vAlign w:val="center"/>
          </w:tcPr>
          <w:p w14:paraId="5027B36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34" w:type="dxa"/>
            <w:tcBorders>
              <w:top w:val="nil"/>
              <w:left w:val="nil"/>
              <w:bottom w:val="single" w:color="auto" w:sz="4" w:space="0"/>
              <w:right w:val="single" w:color="auto" w:sz="4" w:space="0"/>
            </w:tcBorders>
            <w:noWrap w:val="0"/>
            <w:vAlign w:val="center"/>
          </w:tcPr>
          <w:p w14:paraId="504FAE1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473B563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6E9B1D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14:paraId="3E2B096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43EFC1C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867E8C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877" w:type="dxa"/>
            <w:tcBorders>
              <w:top w:val="nil"/>
              <w:left w:val="nil"/>
              <w:bottom w:val="single" w:color="auto" w:sz="4" w:space="0"/>
              <w:right w:val="single" w:color="auto" w:sz="4" w:space="0"/>
            </w:tcBorders>
            <w:noWrap w:val="0"/>
            <w:vAlign w:val="center"/>
          </w:tcPr>
          <w:p w14:paraId="0846554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34" w:type="dxa"/>
            <w:tcBorders>
              <w:top w:val="nil"/>
              <w:left w:val="nil"/>
              <w:bottom w:val="single" w:color="auto" w:sz="4" w:space="0"/>
              <w:right w:val="single" w:color="auto" w:sz="4" w:space="0"/>
            </w:tcBorders>
            <w:noWrap w:val="0"/>
            <w:vAlign w:val="center"/>
          </w:tcPr>
          <w:p w14:paraId="2B33F50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23300C4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A0DE7AF">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8E3C58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38884CC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053DE4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877" w:type="dxa"/>
            <w:tcBorders>
              <w:top w:val="nil"/>
              <w:left w:val="nil"/>
              <w:bottom w:val="single" w:color="auto" w:sz="4" w:space="0"/>
              <w:right w:val="single" w:color="auto" w:sz="4" w:space="0"/>
            </w:tcBorders>
            <w:noWrap w:val="0"/>
            <w:vAlign w:val="center"/>
          </w:tcPr>
          <w:p w14:paraId="36EF8E9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34" w:type="dxa"/>
            <w:tcBorders>
              <w:top w:val="nil"/>
              <w:left w:val="nil"/>
              <w:bottom w:val="single" w:color="auto" w:sz="4" w:space="0"/>
              <w:right w:val="single" w:color="auto" w:sz="4" w:space="0"/>
            </w:tcBorders>
            <w:noWrap w:val="0"/>
            <w:vAlign w:val="center"/>
          </w:tcPr>
          <w:p w14:paraId="3196C43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3BAF389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4DD6DD6A">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14:paraId="38FC76E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5C5911B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A9FFDE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54391F3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3C61C81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F3845E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5673919">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E86202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6D5F6D2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2E51E8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877" w:type="dxa"/>
            <w:tcBorders>
              <w:top w:val="nil"/>
              <w:left w:val="nil"/>
              <w:bottom w:val="single" w:color="auto" w:sz="4" w:space="0"/>
              <w:right w:val="single" w:color="auto" w:sz="4" w:space="0"/>
            </w:tcBorders>
            <w:noWrap w:val="0"/>
            <w:vAlign w:val="center"/>
          </w:tcPr>
          <w:p w14:paraId="0228B1F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34" w:type="dxa"/>
            <w:tcBorders>
              <w:top w:val="nil"/>
              <w:left w:val="nil"/>
              <w:bottom w:val="single" w:color="auto" w:sz="4" w:space="0"/>
              <w:right w:val="single" w:color="auto" w:sz="4" w:space="0"/>
            </w:tcBorders>
            <w:noWrap w:val="0"/>
            <w:vAlign w:val="center"/>
          </w:tcPr>
          <w:p w14:paraId="6BBB4E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131BDB0A">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1D441A9">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14:paraId="5D40474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6960DD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FCDEDF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877" w:type="dxa"/>
            <w:tcBorders>
              <w:top w:val="nil"/>
              <w:left w:val="nil"/>
              <w:bottom w:val="single" w:color="auto" w:sz="4" w:space="0"/>
              <w:right w:val="single" w:color="auto" w:sz="4" w:space="0"/>
            </w:tcBorders>
            <w:noWrap w:val="0"/>
            <w:vAlign w:val="center"/>
          </w:tcPr>
          <w:p w14:paraId="067ED9A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34" w:type="dxa"/>
            <w:tcBorders>
              <w:top w:val="nil"/>
              <w:left w:val="nil"/>
              <w:bottom w:val="single" w:color="auto" w:sz="4" w:space="0"/>
              <w:right w:val="single" w:color="auto" w:sz="4" w:space="0"/>
            </w:tcBorders>
            <w:noWrap w:val="0"/>
            <w:vAlign w:val="center"/>
          </w:tcPr>
          <w:p w14:paraId="5990A18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D011E0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780FAA95">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1864F51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06FB77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E095F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877" w:type="dxa"/>
            <w:tcBorders>
              <w:top w:val="nil"/>
              <w:left w:val="nil"/>
              <w:bottom w:val="single" w:color="auto" w:sz="4" w:space="0"/>
              <w:right w:val="single" w:color="auto" w:sz="4" w:space="0"/>
            </w:tcBorders>
            <w:noWrap w:val="0"/>
            <w:vAlign w:val="center"/>
          </w:tcPr>
          <w:p w14:paraId="65C3C48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34CF2A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37E522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3CC1C24">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14:paraId="0943D1B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2F1869F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54DE07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7E471C6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34" w:type="dxa"/>
            <w:tcBorders>
              <w:top w:val="nil"/>
              <w:left w:val="nil"/>
              <w:bottom w:val="single" w:color="auto" w:sz="4" w:space="0"/>
              <w:right w:val="single" w:color="auto" w:sz="4" w:space="0"/>
            </w:tcBorders>
            <w:noWrap w:val="0"/>
            <w:vAlign w:val="center"/>
          </w:tcPr>
          <w:p w14:paraId="6E14CCB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0020CA4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885D46C">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134571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A352B9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DDC714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877" w:type="dxa"/>
            <w:tcBorders>
              <w:top w:val="nil"/>
              <w:left w:val="nil"/>
              <w:bottom w:val="single" w:color="auto" w:sz="4" w:space="0"/>
              <w:right w:val="single" w:color="auto" w:sz="4" w:space="0"/>
            </w:tcBorders>
            <w:noWrap w:val="0"/>
            <w:vAlign w:val="center"/>
          </w:tcPr>
          <w:p w14:paraId="53F35DC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00D3A55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836B72F">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2D616C9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14:paraId="148D5FF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4AE0FA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3E5E1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5139B38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2DBB6D2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6B29837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31EE8E86">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2FF2F61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A9D357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231FC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2189670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17B9350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028F0C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3DB4E8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14:paraId="6901D9A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AFB248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65CC1EA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703BCD9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436E019F">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69A3C0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C83C8C2">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31101B3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5B12E68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E6F952D">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877" w:type="dxa"/>
            <w:tcBorders>
              <w:top w:val="nil"/>
              <w:left w:val="nil"/>
              <w:bottom w:val="single" w:color="auto" w:sz="4" w:space="0"/>
              <w:right w:val="single" w:color="auto" w:sz="4" w:space="0"/>
            </w:tcBorders>
            <w:noWrap w:val="0"/>
            <w:vAlign w:val="center"/>
          </w:tcPr>
          <w:p w14:paraId="544339C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34" w:type="dxa"/>
            <w:tcBorders>
              <w:top w:val="nil"/>
              <w:left w:val="nil"/>
              <w:bottom w:val="single" w:color="auto" w:sz="4" w:space="0"/>
              <w:right w:val="single" w:color="auto" w:sz="4" w:space="0"/>
            </w:tcBorders>
            <w:noWrap w:val="0"/>
            <w:vAlign w:val="center"/>
          </w:tcPr>
          <w:p w14:paraId="541A5D14">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561FF9D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636EE60C">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14:paraId="1D07D70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50302BA">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0E1136DB">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877" w:type="dxa"/>
            <w:tcBorders>
              <w:top w:val="nil"/>
              <w:left w:val="nil"/>
              <w:bottom w:val="single" w:color="auto" w:sz="4" w:space="0"/>
              <w:right w:val="single" w:color="auto" w:sz="4" w:space="0"/>
            </w:tcBorders>
            <w:noWrap w:val="0"/>
            <w:vAlign w:val="center"/>
          </w:tcPr>
          <w:p w14:paraId="2BA95C14">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7240BC4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6CC95A62">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9FA2ACA">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762BEC4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1587837">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1FD384D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877" w:type="dxa"/>
            <w:tcBorders>
              <w:top w:val="nil"/>
              <w:left w:val="nil"/>
              <w:bottom w:val="single" w:color="auto" w:sz="4" w:space="0"/>
              <w:right w:val="single" w:color="auto" w:sz="4" w:space="0"/>
            </w:tcBorders>
            <w:noWrap w:val="0"/>
            <w:vAlign w:val="center"/>
          </w:tcPr>
          <w:p w14:paraId="162F5AF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134" w:type="dxa"/>
            <w:tcBorders>
              <w:top w:val="nil"/>
              <w:left w:val="nil"/>
              <w:bottom w:val="single" w:color="auto" w:sz="4" w:space="0"/>
              <w:right w:val="single" w:color="auto" w:sz="4" w:space="0"/>
            </w:tcBorders>
            <w:noWrap w:val="0"/>
            <w:vAlign w:val="center"/>
          </w:tcPr>
          <w:p w14:paraId="5F35BD86">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14:paraId="1F5DDCF3">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3EF40FC2">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14:paraId="75FE76D8">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632AA9CF">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D648B51">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763405B0">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7ABBCFC9">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14:paraId="70A401DB">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158C9ED5">
            <w:pPr>
              <w:widowControl/>
              <w:snapToGrid w:val="0"/>
              <w:contextualSpacing/>
              <w:jc w:val="center"/>
              <w:rPr>
                <w:rFonts w:hint="eastAsia" w:ascii="宋体" w:hAnsi="宋体" w:eastAsia="宋体" w:cs="宋体"/>
                <w:b w:val="0"/>
                <w:bCs w:val="0"/>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1A57B42">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074BC87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4BDEF4D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877" w:type="dxa"/>
            <w:tcBorders>
              <w:top w:val="nil"/>
              <w:left w:val="nil"/>
              <w:bottom w:val="single" w:color="auto" w:sz="4" w:space="0"/>
              <w:right w:val="single" w:color="auto" w:sz="4" w:space="0"/>
            </w:tcBorders>
            <w:noWrap w:val="0"/>
            <w:vAlign w:val="center"/>
          </w:tcPr>
          <w:p w14:paraId="6167C1F5">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134" w:type="dxa"/>
            <w:tcBorders>
              <w:top w:val="nil"/>
              <w:left w:val="nil"/>
              <w:bottom w:val="single" w:color="auto" w:sz="4" w:space="0"/>
              <w:right w:val="single" w:color="auto" w:sz="4" w:space="0"/>
            </w:tcBorders>
            <w:noWrap w:val="0"/>
            <w:vAlign w:val="center"/>
          </w:tcPr>
          <w:p w14:paraId="53B267D3">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14:paraId="425A2120">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7D2DE4F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14:paraId="05B817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11CB8C4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30CAE0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877" w:type="dxa"/>
            <w:tcBorders>
              <w:top w:val="nil"/>
              <w:left w:val="nil"/>
              <w:bottom w:val="single" w:color="auto" w:sz="4" w:space="0"/>
              <w:right w:val="single" w:color="auto" w:sz="4" w:space="0"/>
            </w:tcBorders>
            <w:noWrap w:val="0"/>
            <w:vAlign w:val="center"/>
          </w:tcPr>
          <w:p w14:paraId="4393A17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34" w:type="dxa"/>
            <w:tcBorders>
              <w:top w:val="nil"/>
              <w:left w:val="nil"/>
              <w:bottom w:val="single" w:color="auto" w:sz="4" w:space="0"/>
              <w:right w:val="single" w:color="auto" w:sz="4" w:space="0"/>
            </w:tcBorders>
            <w:noWrap w:val="0"/>
            <w:vAlign w:val="center"/>
          </w:tcPr>
          <w:p w14:paraId="6C16F2A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747A193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4AD704C8">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51FC2A4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494B51B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5F2D6F0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877" w:type="dxa"/>
            <w:tcBorders>
              <w:top w:val="nil"/>
              <w:left w:val="nil"/>
              <w:bottom w:val="single" w:color="auto" w:sz="4" w:space="0"/>
              <w:right w:val="single" w:color="auto" w:sz="4" w:space="0"/>
            </w:tcBorders>
            <w:noWrap w:val="0"/>
            <w:vAlign w:val="center"/>
          </w:tcPr>
          <w:p w14:paraId="1A8BF013">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34" w:type="dxa"/>
            <w:tcBorders>
              <w:top w:val="nil"/>
              <w:left w:val="nil"/>
              <w:bottom w:val="single" w:color="auto" w:sz="4" w:space="0"/>
              <w:right w:val="single" w:color="auto" w:sz="4" w:space="0"/>
            </w:tcBorders>
            <w:noWrap w:val="0"/>
            <w:vAlign w:val="center"/>
          </w:tcPr>
          <w:p w14:paraId="436E444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13CB8F39">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3CCBEF8">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14:paraId="3D42D2F5">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17E907FC">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37066B2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877" w:type="dxa"/>
            <w:tcBorders>
              <w:top w:val="nil"/>
              <w:left w:val="nil"/>
              <w:bottom w:val="single" w:color="auto" w:sz="4" w:space="0"/>
              <w:right w:val="single" w:color="auto" w:sz="4" w:space="0"/>
            </w:tcBorders>
            <w:noWrap w:val="0"/>
            <w:vAlign w:val="center"/>
          </w:tcPr>
          <w:p w14:paraId="76D85151">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34" w:type="dxa"/>
            <w:tcBorders>
              <w:top w:val="nil"/>
              <w:left w:val="nil"/>
              <w:bottom w:val="single" w:color="auto" w:sz="4" w:space="0"/>
              <w:right w:val="single" w:color="auto" w:sz="4" w:space="0"/>
            </w:tcBorders>
            <w:noWrap w:val="0"/>
            <w:vAlign w:val="center"/>
          </w:tcPr>
          <w:p w14:paraId="2C77BBE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7F5A4CA0">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624AABE4">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6E94D8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14:paraId="7322055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72E21DD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877" w:type="dxa"/>
            <w:tcBorders>
              <w:top w:val="nil"/>
              <w:left w:val="nil"/>
              <w:bottom w:val="single" w:color="auto" w:sz="4" w:space="0"/>
              <w:right w:val="single" w:color="auto" w:sz="4" w:space="0"/>
            </w:tcBorders>
            <w:noWrap w:val="0"/>
            <w:vAlign w:val="center"/>
          </w:tcPr>
          <w:p w14:paraId="2E885A9A">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34" w:type="dxa"/>
            <w:tcBorders>
              <w:top w:val="nil"/>
              <w:left w:val="nil"/>
              <w:bottom w:val="single" w:color="auto" w:sz="4" w:space="0"/>
              <w:right w:val="single" w:color="auto" w:sz="4" w:space="0"/>
            </w:tcBorders>
            <w:noWrap w:val="0"/>
            <w:vAlign w:val="center"/>
          </w:tcPr>
          <w:p w14:paraId="6A10681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2C647FCF">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14:paraId="09818BED">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14:paraId="562B7777">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DBDFD0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45F6B95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0EC095B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2E981396">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0B007DF3">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14:paraId="20A581DB">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14:paraId="458E05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14:paraId="03D97F3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14:paraId="60D80778">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877" w:type="dxa"/>
            <w:tcBorders>
              <w:top w:val="nil"/>
              <w:left w:val="nil"/>
              <w:bottom w:val="single" w:color="auto" w:sz="4" w:space="0"/>
              <w:right w:val="single" w:color="auto" w:sz="4" w:space="0"/>
            </w:tcBorders>
            <w:noWrap w:val="0"/>
            <w:vAlign w:val="center"/>
          </w:tcPr>
          <w:p w14:paraId="33AD683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34" w:type="dxa"/>
            <w:tcBorders>
              <w:top w:val="nil"/>
              <w:left w:val="nil"/>
              <w:bottom w:val="single" w:color="auto" w:sz="4" w:space="0"/>
              <w:right w:val="single" w:color="auto" w:sz="4" w:space="0"/>
            </w:tcBorders>
            <w:noWrap w:val="0"/>
            <w:vAlign w:val="center"/>
          </w:tcPr>
          <w:p w14:paraId="140908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35A4AE5">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14:paraId="4038EC93">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14:paraId="1B7B37FE">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14:paraId="0D3A0AB2">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14:paraId="2298335B">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877" w:type="dxa"/>
            <w:tcBorders>
              <w:top w:val="nil"/>
              <w:left w:val="nil"/>
              <w:bottom w:val="single" w:color="auto" w:sz="4" w:space="0"/>
              <w:right w:val="single" w:color="auto" w:sz="4" w:space="0"/>
            </w:tcBorders>
            <w:noWrap w:val="0"/>
            <w:vAlign w:val="center"/>
          </w:tcPr>
          <w:p w14:paraId="25771879">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34" w:type="dxa"/>
            <w:tcBorders>
              <w:top w:val="nil"/>
              <w:left w:val="nil"/>
              <w:bottom w:val="single" w:color="auto" w:sz="4" w:space="0"/>
              <w:right w:val="single" w:color="auto" w:sz="4" w:space="0"/>
            </w:tcBorders>
            <w:noWrap w:val="0"/>
            <w:vAlign w:val="center"/>
          </w:tcPr>
          <w:p w14:paraId="6639ECE0">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4FF72D90">
      <w:pPr>
        <w:spacing w:line="240" w:lineRule="atLeast"/>
        <w:jc w:val="both"/>
        <w:rPr>
          <w:rFonts w:hint="eastAsia" w:ascii="宋体" w:hAnsi="宋体" w:eastAsia="宋体" w:cs="宋体"/>
          <w:b/>
          <w:color w:val="000000"/>
          <w:kern w:val="0"/>
          <w:sz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w:t>
      </w:r>
      <w:r>
        <w:rPr>
          <w:rFonts w:hint="eastAsia" w:ascii="宋体" w:hAnsi="宋体" w:cs="宋体"/>
          <w:color w:val="auto"/>
          <w:sz w:val="24"/>
          <w:szCs w:val="24"/>
          <w:highlight w:val="none"/>
          <w:lang w:eastAsia="zh-CN"/>
        </w:rPr>
        <w:t>需</w:t>
      </w:r>
      <w:r>
        <w:rPr>
          <w:rFonts w:hint="eastAsia" w:ascii="宋体" w:hAnsi="宋体" w:eastAsia="宋体" w:cs="宋体"/>
          <w:color w:val="auto"/>
          <w:sz w:val="24"/>
          <w:szCs w:val="24"/>
          <w:highlight w:val="none"/>
        </w:rPr>
        <w:t>满足所列指标中的一项即可。</w:t>
      </w:r>
    </w:p>
    <w:p w14:paraId="4C616D14">
      <w:pPr>
        <w:spacing w:line="240" w:lineRule="atLeast"/>
        <w:ind w:left="1080" w:leftChars="257" w:hanging="540"/>
        <w:jc w:val="center"/>
        <w:rPr>
          <w:rFonts w:hint="eastAsia" w:ascii="宋体" w:hAnsi="宋体" w:eastAsia="宋体" w:cs="宋体"/>
          <w:b/>
          <w:color w:val="000000"/>
          <w:kern w:val="0"/>
          <w:sz w:val="24"/>
          <w:highlight w:val="none"/>
        </w:rPr>
      </w:pPr>
    </w:p>
    <w:p w14:paraId="0B497938">
      <w:pPr>
        <w:pStyle w:val="3"/>
        <w:spacing w:before="0" w:line="240" w:lineRule="atLeast"/>
        <w:ind w:left="1080" w:leftChars="257" w:hanging="540"/>
        <w:rPr>
          <w:rFonts w:hint="eastAsia" w:ascii="宋体" w:hAnsi="宋体" w:eastAsia="宋体" w:cs="宋体"/>
          <w:color w:val="000000"/>
          <w:sz w:val="24"/>
          <w:szCs w:val="24"/>
          <w:highlight w:val="none"/>
        </w:rPr>
      </w:pPr>
      <w:bookmarkStart w:id="303" w:name="_Toc6531"/>
      <w:bookmarkStart w:id="304" w:name="_Toc3587"/>
      <w:bookmarkStart w:id="305" w:name="_Toc18365"/>
      <w:bookmarkStart w:id="306" w:name="_Toc28099"/>
      <w:bookmarkStart w:id="307" w:name="_Toc30054"/>
      <w:bookmarkStart w:id="308" w:name="_Toc4574"/>
      <w:bookmarkStart w:id="309" w:name="_Toc515647827"/>
      <w:bookmarkStart w:id="310" w:name="_Toc30795"/>
      <w:bookmarkStart w:id="311" w:name="_Toc6452"/>
      <w:bookmarkStart w:id="312" w:name="_Toc28516"/>
      <w:bookmarkStart w:id="313" w:name="_Toc17196"/>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关联单位的说明</w:t>
      </w:r>
      <w:bookmarkEnd w:id="303"/>
      <w:bookmarkEnd w:id="304"/>
      <w:bookmarkEnd w:id="305"/>
      <w:bookmarkEnd w:id="306"/>
      <w:bookmarkEnd w:id="307"/>
      <w:bookmarkEnd w:id="308"/>
      <w:bookmarkEnd w:id="309"/>
      <w:bookmarkEnd w:id="310"/>
      <w:bookmarkEnd w:id="311"/>
      <w:bookmarkEnd w:id="312"/>
      <w:bookmarkEnd w:id="313"/>
    </w:p>
    <w:p w14:paraId="4419BEB8">
      <w:pPr>
        <w:pStyle w:val="5"/>
        <w:jc w:val="center"/>
        <w:rPr>
          <w:rFonts w:hint="eastAsia" w:ascii="宋体" w:hAnsi="宋体" w:eastAsia="宋体" w:cs="宋体"/>
          <w:color w:val="000000"/>
          <w:szCs w:val="24"/>
          <w:highlight w:val="none"/>
        </w:rPr>
      </w:pPr>
    </w:p>
    <w:p w14:paraId="6FC7CD0B">
      <w:pPr>
        <w:pStyle w:val="5"/>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说明：</w:t>
      </w:r>
      <w:r>
        <w:rPr>
          <w:rFonts w:hint="eastAsia" w:hAnsi="宋体" w:cs="宋体"/>
          <w:color w:val="000000"/>
          <w:szCs w:val="24"/>
          <w:highlight w:val="none"/>
          <w:lang w:val="en-US" w:eastAsia="zh-CN"/>
        </w:rPr>
        <w:t>投标人</w:t>
      </w:r>
      <w:r>
        <w:rPr>
          <w:rFonts w:hint="eastAsia" w:ascii="宋体" w:hAnsi="宋体" w:eastAsia="宋体" w:cs="宋体"/>
          <w:color w:val="000000"/>
          <w:szCs w:val="24"/>
          <w:highlight w:val="none"/>
        </w:rPr>
        <w:t>应当如实披露与本单位存在下列关联关系的单位名称：</w:t>
      </w:r>
    </w:p>
    <w:p w14:paraId="2408AD6A">
      <w:pPr>
        <w:pStyle w:val="5"/>
        <w:numPr>
          <w:ilvl w:val="0"/>
          <w:numId w:val="5"/>
        </w:numPr>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与</w:t>
      </w:r>
      <w:r>
        <w:rPr>
          <w:rFonts w:hint="eastAsia" w:hAnsi="宋体" w:cs="宋体"/>
          <w:color w:val="000000"/>
          <w:szCs w:val="24"/>
          <w:highlight w:val="none"/>
          <w:lang w:val="en-US" w:eastAsia="zh-CN"/>
        </w:rPr>
        <w:t>投标人</w:t>
      </w:r>
      <w:r>
        <w:rPr>
          <w:rFonts w:hint="eastAsia" w:ascii="宋体" w:hAnsi="宋体" w:eastAsia="宋体" w:cs="宋体"/>
          <w:color w:val="000000"/>
          <w:szCs w:val="24"/>
          <w:highlight w:val="none"/>
        </w:rPr>
        <w:t>单位负责人为同一人的其他单位；</w:t>
      </w:r>
    </w:p>
    <w:p w14:paraId="661BAD96">
      <w:pPr>
        <w:pStyle w:val="5"/>
        <w:numPr>
          <w:ilvl w:val="0"/>
          <w:numId w:val="5"/>
        </w:numPr>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与</w:t>
      </w:r>
      <w:r>
        <w:rPr>
          <w:rFonts w:hint="eastAsia" w:hAnsi="宋体" w:cs="宋体"/>
          <w:color w:val="000000"/>
          <w:szCs w:val="24"/>
          <w:highlight w:val="none"/>
          <w:lang w:val="en-US" w:eastAsia="zh-CN"/>
        </w:rPr>
        <w:t>投标人</w:t>
      </w:r>
      <w:r>
        <w:rPr>
          <w:rFonts w:hint="eastAsia" w:ascii="宋体" w:hAnsi="宋体" w:eastAsia="宋体" w:cs="宋体"/>
          <w:color w:val="000000"/>
          <w:szCs w:val="24"/>
          <w:highlight w:val="none"/>
        </w:rPr>
        <w:t>存在直接控股、管理关系的其他单位。</w:t>
      </w:r>
    </w:p>
    <w:p w14:paraId="013C8331">
      <w:pPr>
        <w:pStyle w:val="15"/>
        <w:spacing w:line="360" w:lineRule="auto"/>
        <w:rPr>
          <w:rFonts w:hint="eastAsia" w:ascii="宋体" w:hAnsi="宋体" w:eastAsia="宋体" w:cs="宋体"/>
          <w:color w:val="000000"/>
          <w:szCs w:val="24"/>
          <w:highlight w:val="none"/>
        </w:rPr>
      </w:pPr>
    </w:p>
    <w:p w14:paraId="3AB2DB1D">
      <w:pPr>
        <w:pStyle w:val="15"/>
        <w:spacing w:line="360" w:lineRule="auto"/>
        <w:rPr>
          <w:rFonts w:hint="eastAsia" w:ascii="宋体" w:hAnsi="宋体" w:eastAsia="宋体" w:cs="宋体"/>
          <w:color w:val="000000"/>
          <w:szCs w:val="24"/>
          <w:highlight w:val="none"/>
        </w:rPr>
      </w:pPr>
    </w:p>
    <w:p w14:paraId="6611B7EF">
      <w:pPr>
        <w:pStyle w:val="15"/>
        <w:spacing w:line="360" w:lineRule="auto"/>
        <w:rPr>
          <w:rFonts w:hint="eastAsia" w:ascii="宋体" w:hAnsi="宋体" w:eastAsia="宋体" w:cs="宋体"/>
          <w:color w:val="000000"/>
          <w:szCs w:val="24"/>
          <w:highlight w:val="none"/>
        </w:rPr>
      </w:pPr>
    </w:p>
    <w:p w14:paraId="479C238A">
      <w:pPr>
        <w:pStyle w:val="15"/>
        <w:spacing w:line="360" w:lineRule="auto"/>
        <w:rPr>
          <w:rFonts w:hint="eastAsia" w:ascii="宋体" w:hAnsi="宋体" w:eastAsia="宋体" w:cs="宋体"/>
          <w:color w:val="000000"/>
          <w:szCs w:val="24"/>
          <w:highlight w:val="none"/>
        </w:rPr>
      </w:pPr>
    </w:p>
    <w:p w14:paraId="0ACCF270">
      <w:pPr>
        <w:pStyle w:val="15"/>
        <w:spacing w:line="360" w:lineRule="auto"/>
        <w:rPr>
          <w:rFonts w:hint="eastAsia" w:ascii="宋体" w:hAnsi="宋体" w:eastAsia="宋体" w:cs="宋体"/>
          <w:color w:val="000000"/>
          <w:szCs w:val="24"/>
          <w:highlight w:val="none"/>
        </w:rPr>
      </w:pPr>
    </w:p>
    <w:p w14:paraId="4C3ADB35">
      <w:pPr>
        <w:pStyle w:val="15"/>
        <w:spacing w:line="360" w:lineRule="auto"/>
        <w:rPr>
          <w:rFonts w:hint="eastAsia" w:ascii="宋体" w:hAnsi="宋体" w:eastAsia="宋体" w:cs="宋体"/>
          <w:color w:val="000000"/>
          <w:szCs w:val="24"/>
          <w:highlight w:val="none"/>
        </w:rPr>
      </w:pPr>
    </w:p>
    <w:p w14:paraId="44DD0509">
      <w:pPr>
        <w:pStyle w:val="16"/>
        <w:rPr>
          <w:rFonts w:hint="eastAsia" w:ascii="宋体" w:hAnsi="宋体" w:eastAsia="宋体" w:cs="宋体"/>
          <w:color w:val="000000"/>
          <w:szCs w:val="24"/>
          <w:highlight w:val="none"/>
        </w:rPr>
      </w:pPr>
    </w:p>
    <w:p w14:paraId="34305EEA">
      <w:pPr>
        <w:rPr>
          <w:rFonts w:hint="eastAsia" w:ascii="宋体" w:hAnsi="宋体" w:eastAsia="宋体" w:cs="宋体"/>
          <w:color w:val="000000"/>
          <w:szCs w:val="24"/>
          <w:highlight w:val="none"/>
        </w:rPr>
      </w:pPr>
    </w:p>
    <w:p w14:paraId="09B49531">
      <w:pPr>
        <w:pStyle w:val="25"/>
        <w:rPr>
          <w:rFonts w:hint="eastAsia" w:ascii="宋体" w:hAnsi="宋体" w:eastAsia="宋体" w:cs="宋体"/>
          <w:color w:val="000000"/>
          <w:szCs w:val="24"/>
          <w:highlight w:val="none"/>
        </w:rPr>
      </w:pPr>
    </w:p>
    <w:p w14:paraId="4552498A">
      <w:pPr>
        <w:pStyle w:val="25"/>
        <w:rPr>
          <w:rFonts w:hint="eastAsia" w:ascii="宋体" w:hAnsi="宋体" w:eastAsia="宋体" w:cs="宋体"/>
          <w:color w:val="000000"/>
          <w:szCs w:val="24"/>
          <w:highlight w:val="none"/>
        </w:rPr>
      </w:pPr>
    </w:p>
    <w:p w14:paraId="01B1C032">
      <w:pPr>
        <w:pStyle w:val="25"/>
        <w:rPr>
          <w:rFonts w:hint="eastAsia" w:ascii="宋体" w:hAnsi="宋体" w:eastAsia="宋体" w:cs="宋体"/>
          <w:color w:val="000000"/>
          <w:szCs w:val="24"/>
          <w:highlight w:val="none"/>
        </w:rPr>
      </w:pPr>
    </w:p>
    <w:p w14:paraId="3BC763F7">
      <w:pPr>
        <w:pStyle w:val="25"/>
        <w:rPr>
          <w:rFonts w:hint="eastAsia" w:ascii="宋体" w:hAnsi="宋体" w:eastAsia="宋体" w:cs="宋体"/>
          <w:color w:val="000000"/>
          <w:szCs w:val="24"/>
          <w:highlight w:val="none"/>
        </w:rPr>
      </w:pPr>
    </w:p>
    <w:p w14:paraId="3C5C3D1F">
      <w:pPr>
        <w:pStyle w:val="25"/>
        <w:rPr>
          <w:rFonts w:hint="eastAsia" w:ascii="宋体" w:hAnsi="宋体" w:eastAsia="宋体" w:cs="宋体"/>
          <w:color w:val="000000"/>
          <w:szCs w:val="24"/>
          <w:highlight w:val="none"/>
        </w:rPr>
      </w:pPr>
    </w:p>
    <w:p w14:paraId="65936EAA">
      <w:pPr>
        <w:pStyle w:val="25"/>
        <w:rPr>
          <w:rFonts w:hint="eastAsia" w:ascii="宋体" w:hAnsi="宋体" w:eastAsia="宋体" w:cs="宋体"/>
          <w:color w:val="000000"/>
          <w:szCs w:val="24"/>
          <w:highlight w:val="none"/>
        </w:rPr>
      </w:pPr>
    </w:p>
    <w:p w14:paraId="05B064E7">
      <w:pPr>
        <w:pStyle w:val="25"/>
        <w:rPr>
          <w:rFonts w:hint="eastAsia" w:ascii="宋体" w:hAnsi="宋体" w:eastAsia="宋体" w:cs="宋体"/>
          <w:color w:val="000000"/>
          <w:szCs w:val="24"/>
          <w:highlight w:val="none"/>
        </w:rPr>
      </w:pPr>
    </w:p>
    <w:p w14:paraId="078B1449">
      <w:pPr>
        <w:pStyle w:val="25"/>
        <w:rPr>
          <w:rFonts w:hint="eastAsia" w:ascii="宋体" w:hAnsi="宋体" w:eastAsia="宋体" w:cs="宋体"/>
          <w:color w:val="000000"/>
          <w:szCs w:val="24"/>
          <w:highlight w:val="none"/>
        </w:rPr>
      </w:pPr>
    </w:p>
    <w:p w14:paraId="060D8621">
      <w:pPr>
        <w:pStyle w:val="25"/>
        <w:rPr>
          <w:rFonts w:hint="eastAsia" w:ascii="宋体" w:hAnsi="宋体" w:eastAsia="宋体" w:cs="宋体"/>
          <w:color w:val="000000"/>
          <w:szCs w:val="24"/>
          <w:highlight w:val="none"/>
        </w:rPr>
      </w:pPr>
    </w:p>
    <w:p w14:paraId="2D2622FB">
      <w:pPr>
        <w:pStyle w:val="25"/>
        <w:rPr>
          <w:rFonts w:hint="eastAsia" w:ascii="宋体" w:hAnsi="宋体" w:eastAsia="宋体" w:cs="宋体"/>
          <w:color w:val="000000"/>
          <w:szCs w:val="24"/>
          <w:highlight w:val="none"/>
        </w:rPr>
      </w:pPr>
    </w:p>
    <w:p w14:paraId="461EE101">
      <w:pPr>
        <w:pStyle w:val="25"/>
        <w:rPr>
          <w:rFonts w:hint="eastAsia" w:ascii="宋体" w:hAnsi="宋体" w:eastAsia="宋体" w:cs="宋体"/>
          <w:color w:val="000000"/>
          <w:szCs w:val="24"/>
          <w:highlight w:val="none"/>
        </w:rPr>
      </w:pPr>
    </w:p>
    <w:p w14:paraId="483EDE4E">
      <w:pPr>
        <w:pStyle w:val="25"/>
        <w:rPr>
          <w:rFonts w:hint="eastAsia" w:ascii="宋体" w:hAnsi="宋体" w:eastAsia="宋体" w:cs="宋体"/>
          <w:color w:val="000000"/>
          <w:szCs w:val="24"/>
          <w:highlight w:val="none"/>
        </w:rPr>
      </w:pPr>
    </w:p>
    <w:p w14:paraId="0C66189E">
      <w:pPr>
        <w:pStyle w:val="25"/>
        <w:rPr>
          <w:rFonts w:hint="eastAsia" w:ascii="宋体" w:hAnsi="宋体" w:eastAsia="宋体" w:cs="宋体"/>
          <w:color w:val="000000"/>
          <w:szCs w:val="24"/>
          <w:highlight w:val="none"/>
        </w:rPr>
      </w:pPr>
    </w:p>
    <w:p w14:paraId="22089D76">
      <w:pPr>
        <w:pStyle w:val="25"/>
        <w:rPr>
          <w:rFonts w:hint="eastAsia" w:ascii="宋体" w:hAnsi="宋体" w:eastAsia="宋体" w:cs="宋体"/>
          <w:color w:val="000000"/>
          <w:szCs w:val="24"/>
          <w:highlight w:val="none"/>
        </w:rPr>
      </w:pPr>
    </w:p>
    <w:p w14:paraId="3EFF2B30">
      <w:pPr>
        <w:pStyle w:val="25"/>
        <w:rPr>
          <w:rFonts w:hint="eastAsia" w:ascii="宋体" w:hAnsi="宋体" w:eastAsia="宋体" w:cs="宋体"/>
          <w:color w:val="000000"/>
          <w:szCs w:val="24"/>
          <w:highlight w:val="none"/>
        </w:rPr>
      </w:pPr>
    </w:p>
    <w:p w14:paraId="7A999D44">
      <w:pPr>
        <w:pStyle w:val="25"/>
        <w:rPr>
          <w:rFonts w:hint="eastAsia" w:ascii="宋体" w:hAnsi="宋体" w:eastAsia="宋体" w:cs="宋体"/>
          <w:color w:val="000000"/>
          <w:szCs w:val="24"/>
          <w:highlight w:val="none"/>
        </w:rPr>
      </w:pPr>
    </w:p>
    <w:p w14:paraId="0D83D2F0">
      <w:pPr>
        <w:pStyle w:val="25"/>
        <w:rPr>
          <w:rFonts w:hint="eastAsia" w:ascii="宋体" w:hAnsi="宋体" w:eastAsia="宋体" w:cs="宋体"/>
          <w:color w:val="000000"/>
          <w:szCs w:val="24"/>
          <w:highlight w:val="none"/>
        </w:rPr>
      </w:pPr>
    </w:p>
    <w:p w14:paraId="25E550BE">
      <w:pPr>
        <w:pStyle w:val="25"/>
        <w:rPr>
          <w:rFonts w:hint="eastAsia" w:ascii="宋体" w:hAnsi="宋体" w:eastAsia="宋体" w:cs="宋体"/>
          <w:color w:val="000000"/>
          <w:szCs w:val="24"/>
          <w:highlight w:val="none"/>
        </w:rPr>
      </w:pPr>
    </w:p>
    <w:p w14:paraId="4EF46F10">
      <w:pPr>
        <w:pStyle w:val="25"/>
        <w:rPr>
          <w:rFonts w:hint="eastAsia" w:ascii="宋体" w:hAnsi="宋体" w:eastAsia="宋体" w:cs="宋体"/>
          <w:color w:val="000000"/>
          <w:szCs w:val="24"/>
          <w:highlight w:val="none"/>
        </w:rPr>
      </w:pPr>
    </w:p>
    <w:p w14:paraId="236C762A">
      <w:pPr>
        <w:pStyle w:val="25"/>
        <w:rPr>
          <w:rFonts w:hint="eastAsia" w:ascii="宋体" w:hAnsi="宋体" w:eastAsia="宋体" w:cs="宋体"/>
          <w:color w:val="000000"/>
          <w:szCs w:val="24"/>
          <w:highlight w:val="none"/>
        </w:rPr>
      </w:pPr>
    </w:p>
    <w:p w14:paraId="41259E05">
      <w:pPr>
        <w:pStyle w:val="25"/>
        <w:rPr>
          <w:rFonts w:hint="eastAsia" w:ascii="宋体" w:hAnsi="宋体" w:eastAsia="宋体" w:cs="宋体"/>
          <w:color w:val="000000"/>
          <w:szCs w:val="24"/>
          <w:highlight w:val="none"/>
        </w:rPr>
      </w:pPr>
    </w:p>
    <w:p w14:paraId="25F51BF2">
      <w:pPr>
        <w:pStyle w:val="25"/>
        <w:rPr>
          <w:rFonts w:hint="eastAsia" w:ascii="宋体" w:hAnsi="宋体" w:eastAsia="宋体" w:cs="宋体"/>
          <w:color w:val="000000"/>
          <w:szCs w:val="24"/>
          <w:highlight w:val="none"/>
        </w:rPr>
      </w:pPr>
    </w:p>
    <w:p w14:paraId="6C9D5ADB">
      <w:pPr>
        <w:pStyle w:val="25"/>
        <w:rPr>
          <w:rFonts w:hint="eastAsia" w:ascii="宋体" w:hAnsi="宋体" w:eastAsia="宋体" w:cs="宋体"/>
          <w:color w:val="000000"/>
          <w:szCs w:val="24"/>
          <w:highlight w:val="none"/>
        </w:rPr>
      </w:pPr>
    </w:p>
    <w:p w14:paraId="299BBF1B">
      <w:pPr>
        <w:pStyle w:val="25"/>
        <w:rPr>
          <w:rFonts w:hint="eastAsia" w:ascii="宋体" w:hAnsi="宋体" w:eastAsia="宋体" w:cs="宋体"/>
          <w:color w:val="000000"/>
          <w:szCs w:val="24"/>
          <w:highlight w:val="none"/>
        </w:rPr>
      </w:pPr>
    </w:p>
    <w:p w14:paraId="34DCC152">
      <w:pPr>
        <w:pStyle w:val="25"/>
        <w:rPr>
          <w:rFonts w:hint="eastAsia" w:ascii="宋体" w:hAnsi="宋体" w:eastAsia="宋体" w:cs="宋体"/>
          <w:color w:val="000000"/>
          <w:szCs w:val="24"/>
          <w:highlight w:val="none"/>
        </w:rPr>
      </w:pPr>
    </w:p>
    <w:p w14:paraId="1378418F">
      <w:pPr>
        <w:pStyle w:val="25"/>
        <w:rPr>
          <w:rFonts w:hint="eastAsia" w:ascii="宋体" w:hAnsi="宋体" w:eastAsia="宋体" w:cs="宋体"/>
          <w:color w:val="000000"/>
          <w:szCs w:val="24"/>
          <w:highlight w:val="none"/>
        </w:rPr>
      </w:pPr>
    </w:p>
    <w:p w14:paraId="06574C10">
      <w:pPr>
        <w:pStyle w:val="25"/>
        <w:rPr>
          <w:rFonts w:hint="eastAsia" w:ascii="宋体" w:hAnsi="宋体" w:eastAsia="宋体" w:cs="宋体"/>
          <w:color w:val="000000"/>
          <w:szCs w:val="24"/>
          <w:highlight w:val="none"/>
        </w:rPr>
      </w:pPr>
    </w:p>
    <w:p w14:paraId="6FA3A14E">
      <w:pPr>
        <w:pStyle w:val="25"/>
        <w:rPr>
          <w:rFonts w:hint="eastAsia" w:ascii="宋体" w:hAnsi="宋体" w:eastAsia="宋体" w:cs="宋体"/>
          <w:color w:val="000000"/>
          <w:szCs w:val="24"/>
          <w:highlight w:val="none"/>
        </w:rPr>
      </w:pPr>
    </w:p>
    <w:p w14:paraId="73D14DC7">
      <w:pPr>
        <w:pStyle w:val="25"/>
        <w:rPr>
          <w:rFonts w:hint="eastAsia" w:ascii="宋体" w:hAnsi="宋体" w:eastAsia="宋体" w:cs="宋体"/>
          <w:color w:val="000000"/>
          <w:szCs w:val="24"/>
          <w:highlight w:val="none"/>
        </w:rPr>
      </w:pPr>
    </w:p>
    <w:p w14:paraId="29D3AC46">
      <w:pPr>
        <w:pStyle w:val="25"/>
        <w:rPr>
          <w:rFonts w:hint="eastAsia" w:ascii="宋体" w:hAnsi="宋体" w:eastAsia="宋体" w:cs="宋体"/>
          <w:color w:val="000000"/>
          <w:szCs w:val="24"/>
          <w:highlight w:val="none"/>
        </w:rPr>
      </w:pPr>
    </w:p>
    <w:p w14:paraId="4BE26FC1">
      <w:pPr>
        <w:pStyle w:val="25"/>
        <w:rPr>
          <w:rFonts w:hint="eastAsia" w:ascii="宋体" w:hAnsi="宋体" w:eastAsia="宋体" w:cs="宋体"/>
          <w:color w:val="000000"/>
          <w:szCs w:val="24"/>
          <w:highlight w:val="none"/>
        </w:rPr>
      </w:pPr>
    </w:p>
    <w:p w14:paraId="31518186">
      <w:pPr>
        <w:pStyle w:val="25"/>
        <w:rPr>
          <w:rFonts w:hint="eastAsia" w:ascii="宋体" w:hAnsi="宋体" w:eastAsia="宋体" w:cs="宋体"/>
          <w:color w:val="000000"/>
          <w:szCs w:val="24"/>
          <w:highlight w:val="none"/>
        </w:rPr>
      </w:pPr>
    </w:p>
    <w:p w14:paraId="54DC71A6">
      <w:pPr>
        <w:pStyle w:val="25"/>
        <w:rPr>
          <w:rFonts w:hint="eastAsia" w:ascii="宋体" w:hAnsi="宋体" w:eastAsia="宋体" w:cs="宋体"/>
          <w:color w:val="000000"/>
          <w:szCs w:val="24"/>
          <w:highlight w:val="none"/>
        </w:rPr>
      </w:pPr>
    </w:p>
    <w:p w14:paraId="5CAB8316">
      <w:pPr>
        <w:pStyle w:val="25"/>
        <w:rPr>
          <w:rFonts w:hint="eastAsia" w:ascii="宋体" w:hAnsi="宋体" w:eastAsia="宋体" w:cs="宋体"/>
          <w:color w:val="000000"/>
          <w:szCs w:val="24"/>
          <w:highlight w:val="none"/>
        </w:rPr>
      </w:pPr>
    </w:p>
    <w:p w14:paraId="75692480">
      <w:pPr>
        <w:pStyle w:val="25"/>
        <w:rPr>
          <w:rFonts w:hint="eastAsia" w:ascii="宋体" w:hAnsi="宋体" w:eastAsia="宋体" w:cs="宋体"/>
          <w:color w:val="000000"/>
          <w:szCs w:val="24"/>
          <w:highlight w:val="none"/>
        </w:rPr>
      </w:pPr>
    </w:p>
    <w:p w14:paraId="14E20A49">
      <w:pPr>
        <w:pStyle w:val="25"/>
        <w:rPr>
          <w:rFonts w:hint="eastAsia" w:ascii="宋体" w:hAnsi="宋体" w:eastAsia="宋体" w:cs="宋体"/>
          <w:color w:val="000000"/>
          <w:szCs w:val="24"/>
          <w:highlight w:val="none"/>
        </w:rPr>
      </w:pPr>
    </w:p>
    <w:p w14:paraId="23A04F9D">
      <w:pPr>
        <w:pStyle w:val="15"/>
        <w:spacing w:line="360" w:lineRule="auto"/>
        <w:rPr>
          <w:rFonts w:hint="eastAsia" w:ascii="宋体" w:hAnsi="宋体" w:eastAsia="宋体" w:cs="宋体"/>
          <w:color w:val="000000"/>
          <w:szCs w:val="24"/>
          <w:highlight w:val="none"/>
        </w:rPr>
      </w:pPr>
    </w:p>
    <w:p w14:paraId="29BB00D6">
      <w:pPr>
        <w:pStyle w:val="15"/>
        <w:spacing w:line="360" w:lineRule="auto"/>
        <w:rPr>
          <w:rFonts w:hint="eastAsia" w:ascii="宋体" w:hAnsi="宋体" w:eastAsia="宋体" w:cs="宋体"/>
          <w:color w:val="000000"/>
          <w:szCs w:val="24"/>
          <w:highlight w:val="none"/>
        </w:rPr>
      </w:pPr>
    </w:p>
    <w:p w14:paraId="663A274B">
      <w:pPr>
        <w:pStyle w:val="16"/>
        <w:ind w:left="0" w:leftChars="0" w:firstLine="0" w:firstLineChars="0"/>
        <w:jc w:val="center"/>
        <w:rPr>
          <w:rFonts w:hint="eastAsia" w:hAnsi="宋体" w:eastAsia="宋体" w:cs="宋体"/>
          <w:b/>
          <w:bCs/>
          <w:color w:val="auto"/>
          <w:sz w:val="24"/>
          <w:szCs w:val="24"/>
          <w:highlight w:val="none"/>
        </w:rPr>
      </w:pPr>
      <w:r>
        <w:rPr>
          <w:rFonts w:hint="eastAsia" w:hAnsi="宋体" w:eastAsia="宋体" w:cs="宋体"/>
          <w:b/>
          <w:bCs/>
          <w:color w:val="auto"/>
          <w:sz w:val="24"/>
          <w:szCs w:val="24"/>
          <w:highlight w:val="none"/>
        </w:rPr>
        <w:t xml:space="preserve">  </w:t>
      </w:r>
      <w:r>
        <w:rPr>
          <w:rFonts w:hint="eastAsia" w:hAnsi="宋体" w:eastAsia="宋体" w:cs="宋体"/>
          <w:b/>
          <w:bCs/>
          <w:color w:val="auto"/>
          <w:sz w:val="24"/>
          <w:szCs w:val="24"/>
          <w:highlight w:val="none"/>
          <w:lang w:val="en-US" w:eastAsia="zh-CN"/>
        </w:rPr>
        <w:t>7、</w:t>
      </w:r>
      <w:r>
        <w:rPr>
          <w:rFonts w:hint="eastAsia" w:hAnsi="宋体" w:eastAsia="宋体" w:cs="宋体"/>
          <w:b/>
          <w:bCs/>
          <w:color w:val="auto"/>
          <w:sz w:val="24"/>
          <w:szCs w:val="24"/>
          <w:highlight w:val="none"/>
        </w:rPr>
        <w:t>项目负责人及实施班子人员简历表</w:t>
      </w:r>
      <w:r>
        <w:rPr>
          <w:rFonts w:hint="eastAsia" w:hAnsi="宋体" w:eastAsia="宋体" w:cs="宋体"/>
          <w:b/>
          <w:bCs/>
          <w:color w:val="auto"/>
          <w:sz w:val="24"/>
          <w:szCs w:val="24"/>
          <w:highlight w:val="none"/>
          <w:lang w:eastAsia="zh-CN"/>
        </w:rPr>
        <w:t>（</w:t>
      </w:r>
      <w:r>
        <w:rPr>
          <w:rFonts w:hint="eastAsia" w:hAnsi="宋体" w:eastAsia="宋体" w:cs="宋体"/>
          <w:b/>
          <w:bCs/>
          <w:color w:val="auto"/>
          <w:sz w:val="24"/>
          <w:szCs w:val="24"/>
          <w:highlight w:val="none"/>
          <w:lang w:val="en-US" w:eastAsia="zh-CN"/>
        </w:rPr>
        <w:t>格式自拟</w:t>
      </w:r>
      <w:r>
        <w:rPr>
          <w:rFonts w:hint="eastAsia" w:hAnsi="宋体" w:eastAsia="宋体" w:cs="宋体"/>
          <w:b/>
          <w:bCs/>
          <w:color w:val="auto"/>
          <w:sz w:val="24"/>
          <w:szCs w:val="24"/>
          <w:highlight w:val="none"/>
          <w:lang w:eastAsia="zh-CN"/>
        </w:rPr>
        <w:t>）</w:t>
      </w:r>
    </w:p>
    <w:p w14:paraId="5B836F54">
      <w:pPr>
        <w:numPr>
          <w:ilvl w:val="0"/>
          <w:numId w:val="0"/>
        </w:numPr>
        <w:snapToGrid w:val="0"/>
        <w:spacing w:line="36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br w:type="page"/>
      </w:r>
      <w:r>
        <w:rPr>
          <w:rFonts w:hint="eastAsia" w:ascii="宋体" w:hAnsi="宋体" w:cs="宋体"/>
          <w:b/>
          <w:bCs/>
          <w:color w:val="000000"/>
          <w:sz w:val="24"/>
          <w:highlight w:val="none"/>
          <w:lang w:val="en-US" w:eastAsia="zh-CN"/>
        </w:rPr>
        <w:t>8、</w:t>
      </w:r>
      <w:r>
        <w:rPr>
          <w:rFonts w:hint="eastAsia" w:ascii="宋体" w:hAnsi="宋体" w:eastAsia="宋体" w:cs="宋体"/>
          <w:b/>
          <w:bCs/>
          <w:color w:val="000000"/>
          <w:sz w:val="24"/>
          <w:highlight w:val="none"/>
        </w:rPr>
        <w:t>近</w:t>
      </w:r>
      <w:r>
        <w:rPr>
          <w:rFonts w:hint="eastAsia" w:ascii="宋体" w:hAnsi="宋体" w:cs="宋体"/>
          <w:b/>
          <w:bCs/>
          <w:color w:val="000000"/>
          <w:sz w:val="24"/>
          <w:highlight w:val="none"/>
          <w:lang w:val="en-US" w:eastAsia="zh-CN"/>
        </w:rPr>
        <w:t>三年</w:t>
      </w:r>
      <w:r>
        <w:rPr>
          <w:rFonts w:hint="eastAsia" w:ascii="宋体" w:hAnsi="宋体" w:eastAsia="宋体" w:cs="宋体"/>
          <w:b/>
          <w:bCs/>
          <w:color w:val="000000"/>
          <w:sz w:val="24"/>
          <w:highlight w:val="none"/>
        </w:rPr>
        <w:t>(具体指</w:t>
      </w:r>
      <w:r>
        <w:rPr>
          <w:rFonts w:hint="eastAsia" w:ascii="宋体" w:hAnsi="宋体" w:cs="宋体"/>
          <w:b/>
          <w:bCs/>
          <w:color w:val="000000"/>
          <w:sz w:val="24"/>
          <w:highlight w:val="none"/>
          <w:lang w:eastAsia="zh-CN"/>
        </w:rPr>
        <w:t>2023年5月1日</w:t>
      </w:r>
      <w:r>
        <w:rPr>
          <w:rFonts w:hint="eastAsia" w:ascii="宋体" w:hAnsi="宋体" w:eastAsia="宋体" w:cs="宋体"/>
          <w:b/>
          <w:bCs/>
          <w:color w:val="000000"/>
          <w:sz w:val="24"/>
          <w:highlight w:val="none"/>
        </w:rPr>
        <w:t>至本项目投标截止之日)</w:t>
      </w:r>
    </w:p>
    <w:p w14:paraId="162D69F0">
      <w:pPr>
        <w:numPr>
          <w:ilvl w:val="0"/>
          <w:numId w:val="0"/>
        </w:numPr>
        <w:snapToGrid w:val="0"/>
        <w:spacing w:line="360" w:lineRule="auto"/>
        <w:jc w:val="center"/>
        <w:rPr>
          <w:rFonts w:hint="eastAsia" w:ascii="宋体" w:hAnsi="宋体" w:eastAsia="宋体" w:cs="宋体"/>
          <w:color w:val="000000"/>
          <w:sz w:val="24"/>
          <w:highlight w:val="none"/>
        </w:rPr>
      </w:pPr>
      <w:r>
        <w:rPr>
          <w:rFonts w:hint="eastAsia" w:ascii="宋体" w:hAnsi="宋体" w:cs="宋体"/>
          <w:b/>
          <w:bCs/>
          <w:color w:val="000000"/>
          <w:sz w:val="24"/>
          <w:highlight w:val="none"/>
          <w:lang w:val="en-US" w:eastAsia="zh-CN"/>
        </w:rPr>
        <w:t>类似</w:t>
      </w:r>
      <w:r>
        <w:rPr>
          <w:rFonts w:hint="eastAsia" w:ascii="宋体" w:hAnsi="宋体" w:eastAsia="宋体" w:cs="宋体"/>
          <w:b/>
          <w:bCs/>
          <w:color w:val="000000"/>
          <w:sz w:val="24"/>
          <w:highlight w:val="none"/>
        </w:rPr>
        <w:t>项目业绩一览表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18"/>
        <w:gridCol w:w="1401"/>
        <w:gridCol w:w="1303"/>
        <w:gridCol w:w="1374"/>
        <w:gridCol w:w="1256"/>
        <w:gridCol w:w="852"/>
      </w:tblGrid>
      <w:tr w14:paraId="2E47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5" w:type="dxa"/>
            <w:noWrap w:val="0"/>
            <w:vAlign w:val="center"/>
          </w:tcPr>
          <w:p w14:paraId="52909D32">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序号</w:t>
            </w:r>
          </w:p>
        </w:tc>
        <w:tc>
          <w:tcPr>
            <w:tcW w:w="2018" w:type="dxa"/>
            <w:noWrap w:val="0"/>
            <w:vAlign w:val="center"/>
          </w:tcPr>
          <w:p w14:paraId="5B50D1B9">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项目名称</w:t>
            </w:r>
          </w:p>
        </w:tc>
        <w:tc>
          <w:tcPr>
            <w:tcW w:w="1401" w:type="dxa"/>
            <w:noWrap w:val="0"/>
            <w:vAlign w:val="center"/>
          </w:tcPr>
          <w:p w14:paraId="5A2E6468">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合同金额</w:t>
            </w:r>
          </w:p>
        </w:tc>
        <w:tc>
          <w:tcPr>
            <w:tcW w:w="1303" w:type="dxa"/>
            <w:noWrap w:val="0"/>
            <w:vAlign w:val="center"/>
          </w:tcPr>
          <w:p w14:paraId="7A2CE6D1">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业主名称</w:t>
            </w:r>
          </w:p>
        </w:tc>
        <w:tc>
          <w:tcPr>
            <w:tcW w:w="1374" w:type="dxa"/>
            <w:noWrap w:val="0"/>
            <w:vAlign w:val="center"/>
          </w:tcPr>
          <w:p w14:paraId="1409AFFC">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签约时间</w:t>
            </w:r>
          </w:p>
        </w:tc>
        <w:tc>
          <w:tcPr>
            <w:tcW w:w="1256" w:type="dxa"/>
            <w:noWrap w:val="0"/>
            <w:vAlign w:val="center"/>
          </w:tcPr>
          <w:p w14:paraId="07E32490">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完成情况</w:t>
            </w:r>
          </w:p>
        </w:tc>
        <w:tc>
          <w:tcPr>
            <w:tcW w:w="852" w:type="dxa"/>
            <w:noWrap w:val="0"/>
            <w:vAlign w:val="center"/>
          </w:tcPr>
          <w:p w14:paraId="3EF258D3">
            <w:pPr>
              <w:snapToGrid w:val="0"/>
              <w:spacing w:line="240" w:lineRule="auto"/>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备注</w:t>
            </w:r>
          </w:p>
        </w:tc>
      </w:tr>
      <w:tr w14:paraId="7D07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0EDC949B">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3018E763">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0AA1A145">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0D48B992">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41375B67">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0CC85EA8">
            <w:pPr>
              <w:snapToGrid w:val="0"/>
              <w:spacing w:line="360" w:lineRule="auto"/>
              <w:rPr>
                <w:rFonts w:hint="eastAsia" w:ascii="宋体" w:hAnsi="宋体" w:eastAsia="宋体" w:cs="宋体"/>
                <w:color w:val="000000"/>
                <w:sz w:val="24"/>
                <w:highlight w:val="none"/>
              </w:rPr>
            </w:pPr>
          </w:p>
        </w:tc>
        <w:tc>
          <w:tcPr>
            <w:tcW w:w="852" w:type="dxa"/>
            <w:noWrap w:val="0"/>
            <w:vAlign w:val="top"/>
          </w:tcPr>
          <w:p w14:paraId="3BA4D6A5">
            <w:pPr>
              <w:snapToGrid w:val="0"/>
              <w:spacing w:line="360" w:lineRule="auto"/>
              <w:rPr>
                <w:rFonts w:hint="eastAsia" w:ascii="宋体" w:hAnsi="宋体" w:eastAsia="宋体" w:cs="宋体"/>
                <w:color w:val="000000"/>
                <w:sz w:val="24"/>
                <w:highlight w:val="none"/>
              </w:rPr>
            </w:pPr>
          </w:p>
        </w:tc>
      </w:tr>
      <w:tr w14:paraId="2B81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6D7D22FD">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1FB2DACD">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2B1ADBDC">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6DB8A6E0">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20F729BC">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2CF3F603">
            <w:pPr>
              <w:snapToGrid w:val="0"/>
              <w:spacing w:line="360" w:lineRule="auto"/>
              <w:rPr>
                <w:rFonts w:hint="eastAsia" w:ascii="宋体" w:hAnsi="宋体" w:eastAsia="宋体" w:cs="宋体"/>
                <w:color w:val="000000"/>
                <w:sz w:val="24"/>
                <w:highlight w:val="none"/>
              </w:rPr>
            </w:pPr>
          </w:p>
        </w:tc>
        <w:tc>
          <w:tcPr>
            <w:tcW w:w="852" w:type="dxa"/>
            <w:noWrap w:val="0"/>
            <w:vAlign w:val="top"/>
          </w:tcPr>
          <w:p w14:paraId="054BBF69">
            <w:pPr>
              <w:snapToGrid w:val="0"/>
              <w:spacing w:line="360" w:lineRule="auto"/>
              <w:rPr>
                <w:rFonts w:hint="eastAsia" w:ascii="宋体" w:hAnsi="宋体" w:eastAsia="宋体" w:cs="宋体"/>
                <w:color w:val="000000"/>
                <w:sz w:val="24"/>
                <w:highlight w:val="none"/>
              </w:rPr>
            </w:pPr>
          </w:p>
        </w:tc>
      </w:tr>
      <w:tr w14:paraId="600A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451DB56B">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6976AC78">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79BACDA0">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339B5F04">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6F6D81AD">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6BEDB9B5">
            <w:pPr>
              <w:snapToGrid w:val="0"/>
              <w:spacing w:line="360" w:lineRule="auto"/>
              <w:rPr>
                <w:rFonts w:hint="eastAsia" w:ascii="宋体" w:hAnsi="宋体" w:eastAsia="宋体" w:cs="宋体"/>
                <w:color w:val="000000"/>
                <w:sz w:val="24"/>
                <w:highlight w:val="none"/>
              </w:rPr>
            </w:pPr>
          </w:p>
        </w:tc>
        <w:tc>
          <w:tcPr>
            <w:tcW w:w="852" w:type="dxa"/>
            <w:noWrap w:val="0"/>
            <w:vAlign w:val="top"/>
          </w:tcPr>
          <w:p w14:paraId="7C0A0BB7">
            <w:pPr>
              <w:snapToGrid w:val="0"/>
              <w:spacing w:line="360" w:lineRule="auto"/>
              <w:rPr>
                <w:rFonts w:hint="eastAsia" w:ascii="宋体" w:hAnsi="宋体" w:eastAsia="宋体" w:cs="宋体"/>
                <w:color w:val="000000"/>
                <w:sz w:val="24"/>
                <w:highlight w:val="none"/>
              </w:rPr>
            </w:pPr>
          </w:p>
        </w:tc>
      </w:tr>
      <w:tr w14:paraId="2002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02F27DA7">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1F44E8EC">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440FA6A8">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3BDDE5E4">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303091EC">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45D74003">
            <w:pPr>
              <w:snapToGrid w:val="0"/>
              <w:spacing w:line="360" w:lineRule="auto"/>
              <w:rPr>
                <w:rFonts w:hint="eastAsia" w:ascii="宋体" w:hAnsi="宋体" w:eastAsia="宋体" w:cs="宋体"/>
                <w:color w:val="000000"/>
                <w:sz w:val="24"/>
                <w:highlight w:val="none"/>
              </w:rPr>
            </w:pPr>
          </w:p>
        </w:tc>
        <w:tc>
          <w:tcPr>
            <w:tcW w:w="852" w:type="dxa"/>
            <w:noWrap w:val="0"/>
            <w:vAlign w:val="top"/>
          </w:tcPr>
          <w:p w14:paraId="6EFE304A">
            <w:pPr>
              <w:snapToGrid w:val="0"/>
              <w:spacing w:line="360" w:lineRule="auto"/>
              <w:rPr>
                <w:rFonts w:hint="eastAsia" w:ascii="宋体" w:hAnsi="宋体" w:eastAsia="宋体" w:cs="宋体"/>
                <w:color w:val="000000"/>
                <w:sz w:val="24"/>
                <w:highlight w:val="none"/>
              </w:rPr>
            </w:pPr>
          </w:p>
        </w:tc>
      </w:tr>
      <w:tr w14:paraId="510C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5E79487D">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10138020">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50799BBB">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52BD8DF1">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1BACE9DA">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36A29553">
            <w:pPr>
              <w:snapToGrid w:val="0"/>
              <w:spacing w:line="360" w:lineRule="auto"/>
              <w:rPr>
                <w:rFonts w:hint="eastAsia" w:ascii="宋体" w:hAnsi="宋体" w:eastAsia="宋体" w:cs="宋体"/>
                <w:color w:val="000000"/>
                <w:sz w:val="24"/>
                <w:highlight w:val="none"/>
              </w:rPr>
            </w:pPr>
          </w:p>
        </w:tc>
        <w:tc>
          <w:tcPr>
            <w:tcW w:w="852" w:type="dxa"/>
            <w:noWrap w:val="0"/>
            <w:vAlign w:val="top"/>
          </w:tcPr>
          <w:p w14:paraId="56F04DD7">
            <w:pPr>
              <w:snapToGrid w:val="0"/>
              <w:spacing w:line="360" w:lineRule="auto"/>
              <w:rPr>
                <w:rFonts w:hint="eastAsia" w:ascii="宋体" w:hAnsi="宋体" w:eastAsia="宋体" w:cs="宋体"/>
                <w:color w:val="000000"/>
                <w:sz w:val="24"/>
                <w:highlight w:val="none"/>
              </w:rPr>
            </w:pPr>
          </w:p>
        </w:tc>
      </w:tr>
      <w:tr w14:paraId="7D87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38128662">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47F3F4BC">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438264EA">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5E30DF67">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388EFA03">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51544DEC">
            <w:pPr>
              <w:snapToGrid w:val="0"/>
              <w:spacing w:line="360" w:lineRule="auto"/>
              <w:rPr>
                <w:rFonts w:hint="eastAsia" w:ascii="宋体" w:hAnsi="宋体" w:eastAsia="宋体" w:cs="宋体"/>
                <w:color w:val="000000"/>
                <w:sz w:val="24"/>
                <w:highlight w:val="none"/>
              </w:rPr>
            </w:pPr>
          </w:p>
        </w:tc>
        <w:tc>
          <w:tcPr>
            <w:tcW w:w="852" w:type="dxa"/>
            <w:noWrap w:val="0"/>
            <w:vAlign w:val="top"/>
          </w:tcPr>
          <w:p w14:paraId="68D627A3">
            <w:pPr>
              <w:snapToGrid w:val="0"/>
              <w:spacing w:line="360" w:lineRule="auto"/>
              <w:rPr>
                <w:rFonts w:hint="eastAsia" w:ascii="宋体" w:hAnsi="宋体" w:eastAsia="宋体" w:cs="宋体"/>
                <w:color w:val="000000"/>
                <w:sz w:val="24"/>
                <w:highlight w:val="none"/>
              </w:rPr>
            </w:pPr>
          </w:p>
        </w:tc>
      </w:tr>
      <w:tr w14:paraId="7BD0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425B1498">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7DEB89F0">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7F38EA9E">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6AA56C74">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07A4344D">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53865962">
            <w:pPr>
              <w:snapToGrid w:val="0"/>
              <w:spacing w:line="360" w:lineRule="auto"/>
              <w:rPr>
                <w:rFonts w:hint="eastAsia" w:ascii="宋体" w:hAnsi="宋体" w:eastAsia="宋体" w:cs="宋体"/>
                <w:color w:val="000000"/>
                <w:sz w:val="24"/>
                <w:highlight w:val="none"/>
              </w:rPr>
            </w:pPr>
          </w:p>
        </w:tc>
        <w:tc>
          <w:tcPr>
            <w:tcW w:w="852" w:type="dxa"/>
            <w:noWrap w:val="0"/>
            <w:vAlign w:val="top"/>
          </w:tcPr>
          <w:p w14:paraId="282AC91B">
            <w:pPr>
              <w:snapToGrid w:val="0"/>
              <w:spacing w:line="360" w:lineRule="auto"/>
              <w:rPr>
                <w:rFonts w:hint="eastAsia" w:ascii="宋体" w:hAnsi="宋体" w:eastAsia="宋体" w:cs="宋体"/>
                <w:color w:val="000000"/>
                <w:sz w:val="24"/>
                <w:highlight w:val="none"/>
              </w:rPr>
            </w:pPr>
          </w:p>
        </w:tc>
      </w:tr>
      <w:tr w14:paraId="297C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54E8D1CC">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758ADAEB">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280ECD09">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12D0F0B7">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170649BE">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6B846908">
            <w:pPr>
              <w:snapToGrid w:val="0"/>
              <w:spacing w:line="360" w:lineRule="auto"/>
              <w:rPr>
                <w:rFonts w:hint="eastAsia" w:ascii="宋体" w:hAnsi="宋体" w:eastAsia="宋体" w:cs="宋体"/>
                <w:color w:val="000000"/>
                <w:sz w:val="24"/>
                <w:highlight w:val="none"/>
              </w:rPr>
            </w:pPr>
          </w:p>
        </w:tc>
        <w:tc>
          <w:tcPr>
            <w:tcW w:w="852" w:type="dxa"/>
            <w:noWrap w:val="0"/>
            <w:vAlign w:val="top"/>
          </w:tcPr>
          <w:p w14:paraId="6FC29CE6">
            <w:pPr>
              <w:snapToGrid w:val="0"/>
              <w:spacing w:line="360" w:lineRule="auto"/>
              <w:rPr>
                <w:rFonts w:hint="eastAsia" w:ascii="宋体" w:hAnsi="宋体" w:eastAsia="宋体" w:cs="宋体"/>
                <w:color w:val="000000"/>
                <w:sz w:val="24"/>
                <w:highlight w:val="none"/>
              </w:rPr>
            </w:pPr>
          </w:p>
        </w:tc>
      </w:tr>
      <w:tr w14:paraId="76872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top"/>
          </w:tcPr>
          <w:p w14:paraId="7DA131FB">
            <w:pPr>
              <w:snapToGrid w:val="0"/>
              <w:spacing w:line="360" w:lineRule="auto"/>
              <w:rPr>
                <w:rFonts w:hint="eastAsia" w:ascii="宋体" w:hAnsi="宋体" w:eastAsia="宋体" w:cs="宋体"/>
                <w:color w:val="000000"/>
                <w:sz w:val="24"/>
                <w:highlight w:val="none"/>
              </w:rPr>
            </w:pPr>
          </w:p>
        </w:tc>
        <w:tc>
          <w:tcPr>
            <w:tcW w:w="2018" w:type="dxa"/>
            <w:noWrap w:val="0"/>
            <w:vAlign w:val="top"/>
          </w:tcPr>
          <w:p w14:paraId="687C0E31">
            <w:pPr>
              <w:snapToGrid w:val="0"/>
              <w:spacing w:line="360" w:lineRule="auto"/>
              <w:rPr>
                <w:rFonts w:hint="eastAsia" w:ascii="宋体" w:hAnsi="宋体" w:eastAsia="宋体" w:cs="宋体"/>
                <w:color w:val="000000"/>
                <w:sz w:val="24"/>
                <w:highlight w:val="none"/>
              </w:rPr>
            </w:pPr>
          </w:p>
        </w:tc>
        <w:tc>
          <w:tcPr>
            <w:tcW w:w="1401" w:type="dxa"/>
            <w:noWrap w:val="0"/>
            <w:vAlign w:val="top"/>
          </w:tcPr>
          <w:p w14:paraId="5EEDD642">
            <w:pPr>
              <w:snapToGrid w:val="0"/>
              <w:spacing w:line="360" w:lineRule="auto"/>
              <w:rPr>
                <w:rFonts w:hint="eastAsia" w:ascii="宋体" w:hAnsi="宋体" w:eastAsia="宋体" w:cs="宋体"/>
                <w:color w:val="000000"/>
                <w:sz w:val="24"/>
                <w:highlight w:val="none"/>
              </w:rPr>
            </w:pPr>
          </w:p>
        </w:tc>
        <w:tc>
          <w:tcPr>
            <w:tcW w:w="1303" w:type="dxa"/>
            <w:noWrap w:val="0"/>
            <w:vAlign w:val="top"/>
          </w:tcPr>
          <w:p w14:paraId="5243AA33">
            <w:pPr>
              <w:snapToGrid w:val="0"/>
              <w:spacing w:line="360" w:lineRule="auto"/>
              <w:rPr>
                <w:rFonts w:hint="eastAsia" w:ascii="宋体" w:hAnsi="宋体" w:eastAsia="宋体" w:cs="宋体"/>
                <w:color w:val="000000"/>
                <w:sz w:val="24"/>
                <w:highlight w:val="none"/>
              </w:rPr>
            </w:pPr>
          </w:p>
        </w:tc>
        <w:tc>
          <w:tcPr>
            <w:tcW w:w="1374" w:type="dxa"/>
            <w:noWrap w:val="0"/>
            <w:vAlign w:val="top"/>
          </w:tcPr>
          <w:p w14:paraId="405DEFE9">
            <w:pPr>
              <w:snapToGrid w:val="0"/>
              <w:spacing w:line="360" w:lineRule="auto"/>
              <w:rPr>
                <w:rFonts w:hint="eastAsia" w:ascii="宋体" w:hAnsi="宋体" w:eastAsia="宋体" w:cs="宋体"/>
                <w:color w:val="000000"/>
                <w:sz w:val="24"/>
                <w:highlight w:val="none"/>
              </w:rPr>
            </w:pPr>
          </w:p>
        </w:tc>
        <w:tc>
          <w:tcPr>
            <w:tcW w:w="1256" w:type="dxa"/>
            <w:noWrap w:val="0"/>
            <w:vAlign w:val="top"/>
          </w:tcPr>
          <w:p w14:paraId="4E113B47">
            <w:pPr>
              <w:snapToGrid w:val="0"/>
              <w:spacing w:line="360" w:lineRule="auto"/>
              <w:rPr>
                <w:rFonts w:hint="eastAsia" w:ascii="宋体" w:hAnsi="宋体" w:eastAsia="宋体" w:cs="宋体"/>
                <w:color w:val="000000"/>
                <w:sz w:val="24"/>
                <w:highlight w:val="none"/>
              </w:rPr>
            </w:pPr>
          </w:p>
        </w:tc>
        <w:tc>
          <w:tcPr>
            <w:tcW w:w="852" w:type="dxa"/>
            <w:noWrap w:val="0"/>
            <w:vAlign w:val="top"/>
          </w:tcPr>
          <w:p w14:paraId="164EF336">
            <w:pPr>
              <w:snapToGrid w:val="0"/>
              <w:spacing w:line="360" w:lineRule="auto"/>
              <w:rPr>
                <w:rFonts w:hint="eastAsia" w:ascii="宋体" w:hAnsi="宋体" w:eastAsia="宋体" w:cs="宋体"/>
                <w:color w:val="000000"/>
                <w:sz w:val="24"/>
                <w:highlight w:val="none"/>
              </w:rPr>
            </w:pPr>
          </w:p>
        </w:tc>
      </w:tr>
    </w:tbl>
    <w:p w14:paraId="2F7C793B">
      <w:pPr>
        <w:snapToGrid w:val="0"/>
        <w:spacing w:line="360" w:lineRule="auto"/>
        <w:ind w:firstLine="480" w:firstLineChars="200"/>
        <w:rPr>
          <w:rFonts w:hint="eastAsia" w:ascii="宋体" w:hAnsi="宋体" w:eastAsia="宋体" w:cs="宋体"/>
          <w:color w:val="000000"/>
          <w:sz w:val="24"/>
          <w:highlight w:val="none"/>
        </w:rPr>
      </w:pPr>
    </w:p>
    <w:p w14:paraId="7A6CE60B">
      <w:pPr>
        <w:snapToGrid w:val="0"/>
        <w:spacing w:line="360" w:lineRule="auto"/>
        <w:ind w:right="105" w:rightChars="50"/>
        <w:rPr>
          <w:rFonts w:hint="eastAsia" w:ascii="宋体" w:hAnsi="宋体" w:eastAsia="宋体" w:cs="宋体"/>
          <w:color w:val="000000"/>
          <w:sz w:val="24"/>
          <w:highlight w:val="none"/>
        </w:rPr>
      </w:pPr>
    </w:p>
    <w:p w14:paraId="33898313">
      <w:pPr>
        <w:pStyle w:val="15"/>
        <w:rPr>
          <w:rFonts w:hint="eastAsia" w:ascii="宋体" w:hAnsi="宋体" w:eastAsia="宋体" w:cs="宋体"/>
          <w:b/>
          <w:bCs/>
          <w:color w:val="000000"/>
          <w:sz w:val="24"/>
          <w:szCs w:val="24"/>
          <w:highlight w:val="none"/>
        </w:rPr>
      </w:pPr>
    </w:p>
    <w:p w14:paraId="39006EC8">
      <w:pPr>
        <w:pStyle w:val="15"/>
        <w:ind w:firstLine="241" w:firstLineChars="100"/>
        <w:rPr>
          <w:rFonts w:hint="eastAsia" w:ascii="宋体" w:hAnsi="宋体" w:eastAsia="宋体" w:cs="宋体"/>
          <w:color w:val="000000"/>
          <w:sz w:val="24"/>
          <w:szCs w:val="24"/>
          <w:highlight w:val="none"/>
        </w:rPr>
      </w:pPr>
      <w:r>
        <w:rPr>
          <w:rFonts w:hint="eastAsia" w:ascii="宋体" w:hAnsi="宋体" w:cs="宋体"/>
          <w:b/>
          <w:bCs/>
          <w:color w:val="000000"/>
          <w:sz w:val="24"/>
          <w:highlight w:val="none"/>
        </w:rPr>
        <w:t>注：类似项目业绩（附中标通知书</w:t>
      </w:r>
      <w:r>
        <w:rPr>
          <w:rFonts w:hint="eastAsia" w:ascii="宋体" w:hAnsi="宋体" w:cs="宋体"/>
          <w:b/>
          <w:bCs/>
          <w:color w:val="000000"/>
          <w:sz w:val="24"/>
          <w:highlight w:val="none"/>
          <w:lang w:val="en-US" w:eastAsia="zh-CN"/>
        </w:rPr>
        <w:t>或</w:t>
      </w:r>
      <w:r>
        <w:rPr>
          <w:rFonts w:hint="eastAsia" w:ascii="宋体" w:hAnsi="宋体" w:cs="宋体"/>
          <w:b/>
          <w:bCs/>
          <w:color w:val="000000"/>
          <w:sz w:val="24"/>
          <w:highlight w:val="none"/>
        </w:rPr>
        <w:t>合同等其他有效证明材料）；</w:t>
      </w:r>
    </w:p>
    <w:p w14:paraId="62DBF65E">
      <w:pPr>
        <w:widowControl/>
        <w:autoSpaceDE w:val="0"/>
        <w:autoSpaceDN w:val="0"/>
        <w:adjustRightInd w:val="0"/>
        <w:spacing w:line="360" w:lineRule="auto"/>
        <w:rPr>
          <w:rFonts w:hint="eastAsia" w:ascii="宋体" w:hAnsi="宋体" w:eastAsia="宋体" w:cs="宋体"/>
          <w:b/>
          <w:bCs/>
          <w:color w:val="000000"/>
          <w:sz w:val="24"/>
          <w:highlight w:val="none"/>
          <w:u w:val="single"/>
        </w:rPr>
      </w:pPr>
    </w:p>
    <w:p w14:paraId="2B369484">
      <w:pPr>
        <w:widowControl/>
        <w:autoSpaceDE w:val="0"/>
        <w:autoSpaceDN w:val="0"/>
        <w:adjustRightInd w:val="0"/>
        <w:spacing w:line="360" w:lineRule="auto"/>
        <w:rPr>
          <w:rFonts w:hint="eastAsia" w:ascii="宋体" w:hAnsi="宋体" w:eastAsia="宋体" w:cs="宋体"/>
          <w:b/>
          <w:bCs/>
          <w:color w:val="000000"/>
          <w:sz w:val="24"/>
          <w:highlight w:val="none"/>
          <w:u w:val="single"/>
        </w:rPr>
      </w:pPr>
    </w:p>
    <w:p w14:paraId="2F15DBDE">
      <w:pPr>
        <w:pStyle w:val="15"/>
        <w:spacing w:line="240" w:lineRule="atLeast"/>
        <w:ind w:firstLine="720" w:firstLineChars="300"/>
        <w:rPr>
          <w:rFonts w:hint="eastAsia" w:ascii="宋体" w:hAnsi="宋体" w:eastAsia="宋体" w:cs="宋体"/>
          <w:color w:val="000000"/>
          <w:sz w:val="24"/>
          <w:szCs w:val="24"/>
          <w:highlight w:val="none"/>
        </w:rPr>
      </w:pPr>
    </w:p>
    <w:p w14:paraId="65F82A9C">
      <w:pPr>
        <w:pStyle w:val="15"/>
        <w:spacing w:line="240" w:lineRule="atLeast"/>
        <w:ind w:firstLine="720" w:firstLineChars="300"/>
        <w:rPr>
          <w:rFonts w:hint="eastAsia" w:ascii="宋体" w:hAnsi="宋体" w:eastAsia="宋体" w:cs="宋体"/>
          <w:color w:val="000000"/>
          <w:sz w:val="24"/>
          <w:szCs w:val="24"/>
          <w:highlight w:val="none"/>
        </w:rPr>
      </w:pPr>
    </w:p>
    <w:p w14:paraId="51AD02FC">
      <w:pPr>
        <w:pStyle w:val="16"/>
        <w:rPr>
          <w:rFonts w:hint="eastAsia" w:ascii="宋体" w:hAnsi="宋体" w:eastAsia="宋体" w:cs="宋体"/>
          <w:color w:val="000000"/>
          <w:sz w:val="24"/>
          <w:szCs w:val="24"/>
          <w:highlight w:val="none"/>
        </w:rPr>
      </w:pPr>
    </w:p>
    <w:p w14:paraId="4B5B4F44">
      <w:pPr>
        <w:rPr>
          <w:rFonts w:hint="eastAsia"/>
          <w:highlight w:val="none"/>
        </w:rPr>
      </w:pPr>
    </w:p>
    <w:p w14:paraId="13775A4D">
      <w:pPr>
        <w:pStyle w:val="15"/>
        <w:spacing w:line="240" w:lineRule="atLeast"/>
        <w:rPr>
          <w:rFonts w:hint="eastAsia" w:ascii="宋体" w:hAnsi="宋体" w:eastAsia="宋体" w:cs="宋体"/>
          <w:color w:val="000000"/>
          <w:sz w:val="24"/>
          <w:szCs w:val="24"/>
          <w:highlight w:val="none"/>
        </w:rPr>
      </w:pPr>
    </w:p>
    <w:p w14:paraId="3D62FF51">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79847635">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3327FDE2">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6FF983BC">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7635F55B">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53B6F622">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1108EA9A">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1A058536">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4CBCC655">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6F505E2A">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4D52603B">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0E5F5680">
      <w:pPr>
        <w:pStyle w:val="15"/>
        <w:numPr>
          <w:ilvl w:val="0"/>
          <w:numId w:val="0"/>
        </w:numPr>
        <w:spacing w:line="240" w:lineRule="atLeast"/>
        <w:ind w:left="0" w:leftChars="0" w:firstLine="0" w:firstLineChars="0"/>
        <w:rPr>
          <w:rFonts w:hint="eastAsia" w:ascii="宋体" w:hAnsi="宋体" w:eastAsia="宋体" w:cs="宋体"/>
          <w:b/>
          <w:bCs/>
          <w:color w:val="000000"/>
          <w:sz w:val="24"/>
          <w:szCs w:val="24"/>
          <w:highlight w:val="none"/>
          <w:lang w:val="en-US" w:eastAsia="zh-CN"/>
        </w:rPr>
      </w:pPr>
    </w:p>
    <w:p w14:paraId="7C0ADD51">
      <w:pPr>
        <w:pStyle w:val="15"/>
        <w:numPr>
          <w:ilvl w:val="0"/>
          <w:numId w:val="0"/>
        </w:numPr>
        <w:spacing w:line="72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 xml:space="preserve">9、总体技术方案 </w:t>
      </w:r>
    </w:p>
    <w:p w14:paraId="6FA9A25C">
      <w:pPr>
        <w:pStyle w:val="15"/>
        <w:numPr>
          <w:ilvl w:val="0"/>
          <w:numId w:val="0"/>
        </w:numPr>
        <w:spacing w:line="72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10、项目背景及现状分析</w:t>
      </w:r>
    </w:p>
    <w:p w14:paraId="6B342223">
      <w:pPr>
        <w:pStyle w:val="15"/>
        <w:numPr>
          <w:ilvl w:val="0"/>
          <w:numId w:val="0"/>
        </w:numPr>
        <w:spacing w:line="72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 xml:space="preserve">11、质量保证措施 </w:t>
      </w:r>
    </w:p>
    <w:p w14:paraId="7146C30D">
      <w:pPr>
        <w:pStyle w:val="15"/>
        <w:numPr>
          <w:ilvl w:val="0"/>
          <w:numId w:val="0"/>
        </w:numPr>
        <w:spacing w:line="72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 xml:space="preserve">12、对项目合理化建议 </w:t>
      </w:r>
    </w:p>
    <w:p w14:paraId="425DD71F">
      <w:pPr>
        <w:pStyle w:val="15"/>
        <w:numPr>
          <w:ilvl w:val="0"/>
          <w:numId w:val="0"/>
        </w:numPr>
        <w:spacing w:line="72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 xml:space="preserve">13、进度安排 </w:t>
      </w:r>
    </w:p>
    <w:p w14:paraId="1A84F67C">
      <w:pPr>
        <w:pStyle w:val="15"/>
        <w:numPr>
          <w:ilvl w:val="0"/>
          <w:numId w:val="0"/>
        </w:numPr>
        <w:spacing w:line="72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14、管理制度</w:t>
      </w:r>
    </w:p>
    <w:p w14:paraId="51DE713D">
      <w:pPr>
        <w:pStyle w:val="15"/>
        <w:numPr>
          <w:ilvl w:val="0"/>
          <w:numId w:val="0"/>
        </w:numPr>
        <w:spacing w:line="720" w:lineRule="auto"/>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w:t>
      </w:r>
      <w:r>
        <w:rPr>
          <w:rFonts w:hint="eastAsia" w:hAnsi="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lang w:val="en-US" w:eastAsia="zh-CN"/>
        </w:rPr>
        <w:t>、投标人认为需要提交的其他资料（如有）</w:t>
      </w:r>
    </w:p>
    <w:p w14:paraId="7EDED557">
      <w:pPr>
        <w:snapToGrid w:val="0"/>
        <w:spacing w:line="720" w:lineRule="auto"/>
        <w:rPr>
          <w:rFonts w:hint="eastAsia" w:ascii="宋体" w:hAnsi="宋体" w:cs="宋体"/>
          <w:b/>
          <w:color w:val="auto"/>
          <w:sz w:val="28"/>
          <w:szCs w:val="28"/>
          <w:highlight w:val="none"/>
        </w:rPr>
      </w:pPr>
    </w:p>
    <w:p w14:paraId="43F8D8D9">
      <w:pPr>
        <w:pStyle w:val="5"/>
        <w:rPr>
          <w:rFonts w:hint="eastAsia" w:hAnsi="宋体" w:cs="宋体"/>
          <w:b/>
          <w:color w:val="auto"/>
          <w:sz w:val="30"/>
          <w:szCs w:val="30"/>
          <w:highlight w:val="none"/>
        </w:rPr>
      </w:pPr>
    </w:p>
    <w:p w14:paraId="74AC8A23">
      <w:pPr>
        <w:pStyle w:val="5"/>
        <w:rPr>
          <w:rFonts w:hint="eastAsia" w:hAnsi="宋体" w:cs="宋体"/>
          <w:b/>
          <w:color w:val="auto"/>
          <w:sz w:val="30"/>
          <w:szCs w:val="30"/>
          <w:highlight w:val="none"/>
        </w:rPr>
      </w:pPr>
    </w:p>
    <w:p w14:paraId="20281BD2">
      <w:pPr>
        <w:pStyle w:val="5"/>
        <w:rPr>
          <w:rFonts w:hint="eastAsia" w:hAnsi="宋体" w:cs="宋体"/>
          <w:b/>
          <w:color w:val="auto"/>
          <w:sz w:val="30"/>
          <w:szCs w:val="30"/>
          <w:highlight w:val="none"/>
        </w:rPr>
      </w:pPr>
    </w:p>
    <w:p w14:paraId="616AB7B4">
      <w:pPr>
        <w:pStyle w:val="5"/>
        <w:rPr>
          <w:rFonts w:hint="eastAsia" w:hAnsi="宋体" w:cs="宋体"/>
          <w:b/>
          <w:color w:val="auto"/>
          <w:sz w:val="30"/>
          <w:szCs w:val="30"/>
          <w:highlight w:val="none"/>
        </w:rPr>
      </w:pPr>
    </w:p>
    <w:p w14:paraId="16CE4FEB">
      <w:pPr>
        <w:pStyle w:val="5"/>
        <w:rPr>
          <w:rFonts w:hint="eastAsia" w:hAnsi="宋体" w:cs="宋体"/>
          <w:b/>
          <w:color w:val="auto"/>
          <w:sz w:val="30"/>
          <w:szCs w:val="30"/>
          <w:highlight w:val="none"/>
        </w:rPr>
      </w:pPr>
    </w:p>
    <w:p w14:paraId="10B364AF">
      <w:pPr>
        <w:pStyle w:val="5"/>
        <w:rPr>
          <w:rFonts w:hint="eastAsia" w:hAnsi="宋体" w:cs="宋体"/>
          <w:b/>
          <w:color w:val="auto"/>
          <w:sz w:val="30"/>
          <w:szCs w:val="30"/>
          <w:highlight w:val="none"/>
        </w:rPr>
      </w:pPr>
    </w:p>
    <w:p w14:paraId="471B6784">
      <w:pPr>
        <w:pStyle w:val="5"/>
        <w:rPr>
          <w:rFonts w:hint="eastAsia" w:hAnsi="宋体" w:cs="宋体"/>
          <w:b/>
          <w:color w:val="auto"/>
          <w:sz w:val="30"/>
          <w:szCs w:val="30"/>
          <w:highlight w:val="none"/>
        </w:rPr>
      </w:pPr>
    </w:p>
    <w:p w14:paraId="31CA36A5">
      <w:pPr>
        <w:pStyle w:val="5"/>
        <w:rPr>
          <w:rFonts w:hint="eastAsia" w:hAnsi="宋体" w:cs="宋体"/>
          <w:b/>
          <w:color w:val="auto"/>
          <w:sz w:val="30"/>
          <w:szCs w:val="30"/>
          <w:highlight w:val="none"/>
        </w:rPr>
      </w:pPr>
    </w:p>
    <w:p w14:paraId="61321581">
      <w:pPr>
        <w:pStyle w:val="5"/>
        <w:rPr>
          <w:rFonts w:hint="eastAsia" w:hAnsi="宋体" w:cs="宋体"/>
          <w:b/>
          <w:color w:val="auto"/>
          <w:sz w:val="30"/>
          <w:szCs w:val="30"/>
          <w:highlight w:val="none"/>
        </w:rPr>
      </w:pPr>
    </w:p>
    <w:p w14:paraId="11BFB9A9">
      <w:pPr>
        <w:pStyle w:val="5"/>
        <w:rPr>
          <w:rFonts w:hint="eastAsia" w:hAnsi="宋体" w:cs="宋体"/>
          <w:b/>
          <w:color w:val="auto"/>
          <w:sz w:val="30"/>
          <w:szCs w:val="30"/>
          <w:highlight w:val="none"/>
        </w:rPr>
      </w:pPr>
    </w:p>
    <w:p w14:paraId="2C6681F3">
      <w:pPr>
        <w:pStyle w:val="5"/>
        <w:rPr>
          <w:rFonts w:hint="eastAsia" w:hAnsi="宋体" w:cs="宋体"/>
          <w:b/>
          <w:color w:val="auto"/>
          <w:sz w:val="30"/>
          <w:szCs w:val="30"/>
          <w:highlight w:val="none"/>
        </w:rPr>
      </w:pPr>
    </w:p>
    <w:p w14:paraId="2565DC90">
      <w:pPr>
        <w:pStyle w:val="5"/>
        <w:rPr>
          <w:rFonts w:hint="eastAsia" w:hAnsi="宋体" w:cs="宋体"/>
          <w:b/>
          <w:color w:val="auto"/>
          <w:sz w:val="30"/>
          <w:szCs w:val="30"/>
          <w:highlight w:val="none"/>
        </w:rPr>
      </w:pPr>
    </w:p>
    <w:p w14:paraId="0393367C">
      <w:pPr>
        <w:pStyle w:val="5"/>
        <w:rPr>
          <w:rFonts w:hint="eastAsia" w:hAnsi="宋体" w:cs="宋体"/>
          <w:b/>
          <w:color w:val="auto"/>
          <w:sz w:val="30"/>
          <w:szCs w:val="30"/>
          <w:highlight w:val="none"/>
        </w:rPr>
      </w:pPr>
    </w:p>
    <w:p w14:paraId="60B17CBC">
      <w:pPr>
        <w:pStyle w:val="5"/>
        <w:rPr>
          <w:rFonts w:hint="eastAsia" w:hAnsi="宋体" w:cs="宋体"/>
          <w:b/>
          <w:color w:val="auto"/>
          <w:sz w:val="30"/>
          <w:szCs w:val="30"/>
          <w:highlight w:val="none"/>
        </w:rPr>
      </w:pPr>
    </w:p>
    <w:p w14:paraId="5BF157A7">
      <w:pPr>
        <w:pStyle w:val="5"/>
        <w:rPr>
          <w:rFonts w:hint="eastAsia" w:hAnsi="宋体" w:cs="宋体"/>
          <w:b/>
          <w:color w:val="auto"/>
          <w:sz w:val="30"/>
          <w:szCs w:val="30"/>
          <w:highlight w:val="none"/>
        </w:rPr>
      </w:pPr>
    </w:p>
    <w:p w14:paraId="165DB838">
      <w:pPr>
        <w:pStyle w:val="5"/>
        <w:rPr>
          <w:rFonts w:hint="eastAsia" w:hAnsi="宋体" w:cs="宋体"/>
          <w:b/>
          <w:color w:val="auto"/>
          <w:sz w:val="30"/>
          <w:szCs w:val="30"/>
          <w:highlight w:val="none"/>
        </w:rPr>
      </w:pPr>
    </w:p>
    <w:p w14:paraId="19201FEC">
      <w:pPr>
        <w:pStyle w:val="15"/>
        <w:spacing w:line="360" w:lineRule="exact"/>
        <w:outlineLvl w:val="2"/>
        <w:rPr>
          <w:rFonts w:hint="eastAsia" w:ascii="宋体" w:hAnsi="宋体" w:eastAsia="宋体" w:cs="宋体"/>
          <w:b/>
          <w:color w:val="auto"/>
          <w:kern w:val="0"/>
          <w:sz w:val="24"/>
          <w:szCs w:val="20"/>
          <w:highlight w:val="none"/>
          <w:lang w:val="en-US" w:eastAsia="zh-CN"/>
        </w:rPr>
      </w:pPr>
    </w:p>
    <w:p w14:paraId="0E65A3D9">
      <w:pPr>
        <w:pStyle w:val="15"/>
        <w:spacing w:line="360" w:lineRule="exact"/>
        <w:outlineLvl w:val="2"/>
        <w:rPr>
          <w:rFonts w:hint="eastAsia" w:ascii="宋体" w:hAnsi="宋体" w:eastAsia="宋体" w:cs="宋体"/>
          <w:color w:val="auto"/>
          <w:sz w:val="24"/>
          <w:highlight w:val="none"/>
        </w:rPr>
      </w:pPr>
      <w:r>
        <w:rPr>
          <w:rFonts w:hint="eastAsia" w:ascii="宋体" w:hAnsi="宋体" w:eastAsia="宋体" w:cs="宋体"/>
          <w:b/>
          <w:color w:val="auto"/>
          <w:kern w:val="0"/>
          <w:sz w:val="24"/>
          <w:szCs w:val="20"/>
          <w:highlight w:val="none"/>
          <w:lang w:val="en-US" w:eastAsia="zh-CN"/>
        </w:rPr>
        <w:t>投标</w:t>
      </w:r>
      <w:r>
        <w:rPr>
          <w:rFonts w:hint="eastAsia" w:ascii="宋体" w:hAnsi="宋体" w:eastAsia="宋体" w:cs="宋体"/>
          <w:b/>
          <w:color w:val="auto"/>
          <w:kern w:val="0"/>
          <w:sz w:val="24"/>
          <w:szCs w:val="20"/>
          <w:highlight w:val="none"/>
          <w:lang w:eastAsia="zh-CN"/>
        </w:rPr>
        <w:t>文件</w:t>
      </w:r>
      <w:r>
        <w:rPr>
          <w:rFonts w:hint="eastAsia" w:ascii="宋体" w:hAnsi="宋体" w:eastAsia="宋体" w:cs="宋体"/>
          <w:b/>
          <w:color w:val="auto"/>
          <w:kern w:val="0"/>
          <w:sz w:val="24"/>
          <w:szCs w:val="20"/>
          <w:highlight w:val="none"/>
        </w:rPr>
        <w:t>格式范本</w:t>
      </w:r>
    </w:p>
    <w:p w14:paraId="2DC087C5">
      <w:pPr>
        <w:spacing w:line="240" w:lineRule="atLeast"/>
        <w:outlineLvl w:val="2"/>
        <w:rPr>
          <w:rFonts w:hint="eastAsia" w:ascii="宋体" w:hAnsi="宋体" w:eastAsia="宋体" w:cs="宋体"/>
          <w:b/>
          <w:color w:val="auto"/>
          <w:kern w:val="0"/>
          <w:sz w:val="24"/>
          <w:szCs w:val="20"/>
          <w:highlight w:val="none"/>
        </w:rPr>
      </w:pPr>
    </w:p>
    <w:tbl>
      <w:tblPr>
        <w:tblStyle w:val="37"/>
        <w:tblpPr w:leftFromText="180" w:rightFromText="180" w:vertAnchor="text" w:horzAnchor="page" w:tblpX="2052"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6401BF8C">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1733" w:hRule="atLeast"/>
        </w:trPr>
        <w:tc>
          <w:tcPr>
            <w:tcW w:w="8060" w:type="dxa"/>
            <w:shd w:val="clear" w:color="auto" w:fill="FCFEEA"/>
            <w:noWrap w:val="0"/>
            <w:vAlign w:val="top"/>
          </w:tcPr>
          <w:p w14:paraId="2DD0562F">
            <w:pPr>
              <w:pStyle w:val="10"/>
              <w:jc w:val="right"/>
              <w:rPr>
                <w:rFonts w:hint="eastAsia" w:ascii="宋体" w:hAnsi="宋体" w:eastAsia="宋体" w:cs="宋体"/>
                <w:b/>
                <w:bCs/>
                <w:color w:val="auto"/>
                <w:sz w:val="28"/>
                <w:szCs w:val="28"/>
                <w:highlight w:val="none"/>
              </w:rPr>
            </w:pPr>
          </w:p>
          <w:p w14:paraId="26B811F6">
            <w:pPr>
              <w:pStyle w:val="10"/>
              <w:ind w:firstLine="4216" w:firstLineChars="1500"/>
              <w:rPr>
                <w:rFonts w:hint="eastAsia" w:ascii="宋体" w:hAnsi="宋体" w:eastAsia="宋体" w:cs="宋体"/>
                <w:b/>
                <w:bCs/>
                <w:color w:val="auto"/>
                <w:sz w:val="28"/>
                <w:szCs w:val="28"/>
                <w:highlight w:val="none"/>
              </w:rPr>
            </w:pPr>
          </w:p>
          <w:p w14:paraId="7151B184">
            <w:pPr>
              <w:pStyle w:val="10"/>
              <w:ind w:firstLine="4216" w:firstLineChars="1500"/>
              <w:rPr>
                <w:rFonts w:hint="eastAsia" w:ascii="宋体" w:hAnsi="宋体" w:eastAsia="宋体" w:cs="宋体"/>
                <w:b/>
                <w:bCs/>
                <w:color w:val="auto"/>
                <w:sz w:val="28"/>
                <w:szCs w:val="28"/>
                <w:highlight w:val="none"/>
              </w:rPr>
            </w:pPr>
          </w:p>
          <w:p w14:paraId="74B798A8">
            <w:pPr>
              <w:pStyle w:val="10"/>
              <w:rPr>
                <w:rFonts w:hint="eastAsia" w:ascii="宋体" w:hAnsi="宋体" w:eastAsia="宋体" w:cs="宋体"/>
                <w:b/>
                <w:bCs/>
                <w:color w:val="auto"/>
                <w:sz w:val="28"/>
                <w:szCs w:val="28"/>
                <w:highlight w:val="none"/>
              </w:rPr>
            </w:pPr>
          </w:p>
          <w:p w14:paraId="1B56B288">
            <w:pPr>
              <w:pStyle w:val="10"/>
              <w:ind w:firstLine="2530"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 *** *** ***   项目</w:t>
            </w:r>
          </w:p>
          <w:p w14:paraId="7BB8E56A">
            <w:pPr>
              <w:pStyle w:val="10"/>
              <w:jc w:val="center"/>
              <w:rPr>
                <w:rFonts w:hint="eastAsia" w:ascii="宋体" w:hAnsi="宋体" w:eastAsia="宋体" w:cs="宋体"/>
                <w:b/>
                <w:bCs/>
                <w:color w:val="auto"/>
                <w:sz w:val="21"/>
                <w:szCs w:val="21"/>
                <w:highlight w:val="none"/>
              </w:rPr>
            </w:pPr>
          </w:p>
          <w:p w14:paraId="7B09A93D">
            <w:pPr>
              <w:pStyle w:val="10"/>
              <w:ind w:firstLine="3162" w:firstLineChars="15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w:t>
            </w:r>
          </w:p>
          <w:p w14:paraId="4E070883">
            <w:pPr>
              <w:pStyle w:val="10"/>
              <w:jc w:val="center"/>
              <w:rPr>
                <w:rFonts w:hint="eastAsia" w:ascii="宋体" w:hAnsi="宋体" w:eastAsia="宋体" w:cs="宋体"/>
                <w:b/>
                <w:bCs/>
                <w:color w:val="auto"/>
                <w:sz w:val="48"/>
                <w:highlight w:val="none"/>
              </w:rPr>
            </w:pPr>
          </w:p>
          <w:p w14:paraId="5E602B0C">
            <w:pPr>
              <w:pStyle w:val="10"/>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lang w:val="en-US" w:eastAsia="zh-CN"/>
              </w:rPr>
              <w:t>投标</w:t>
            </w:r>
            <w:r>
              <w:rPr>
                <w:rFonts w:hint="eastAsia" w:ascii="宋体" w:hAnsi="宋体" w:eastAsia="宋体" w:cs="宋体"/>
                <w:b/>
                <w:bCs/>
                <w:color w:val="auto"/>
                <w:sz w:val="48"/>
                <w:highlight w:val="none"/>
                <w:lang w:eastAsia="zh-CN"/>
              </w:rPr>
              <w:t>文件</w:t>
            </w:r>
          </w:p>
          <w:p w14:paraId="7DB0FDE3">
            <w:pPr>
              <w:jc w:val="center"/>
              <w:rPr>
                <w:rFonts w:hint="eastAsia" w:ascii="宋体" w:hAnsi="宋体" w:eastAsia="宋体" w:cs="宋体"/>
                <w:b/>
                <w:color w:val="auto"/>
                <w:sz w:val="32"/>
                <w:highlight w:val="none"/>
              </w:rPr>
            </w:pPr>
          </w:p>
          <w:p w14:paraId="776F8234">
            <w:pPr>
              <w:pStyle w:val="5"/>
              <w:rPr>
                <w:rFonts w:hint="eastAsia" w:ascii="宋体" w:hAnsi="宋体" w:eastAsia="宋体" w:cs="宋体"/>
                <w:b/>
                <w:color w:val="auto"/>
                <w:sz w:val="32"/>
                <w:highlight w:val="none"/>
              </w:rPr>
            </w:pPr>
          </w:p>
          <w:p w14:paraId="5294B7D8">
            <w:pPr>
              <w:pStyle w:val="5"/>
              <w:rPr>
                <w:rFonts w:hint="eastAsia" w:ascii="宋体" w:hAnsi="宋体" w:eastAsia="宋体" w:cs="宋体"/>
                <w:b/>
                <w:color w:val="auto"/>
                <w:sz w:val="32"/>
                <w:highlight w:val="none"/>
              </w:rPr>
            </w:pPr>
          </w:p>
          <w:p w14:paraId="43D3E786">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投标单位：（公章）</w:t>
            </w:r>
          </w:p>
          <w:p w14:paraId="0E688E0D">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14:paraId="47BEB4FA">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p>
          <w:p w14:paraId="71666D37">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联系人：</w:t>
            </w:r>
          </w:p>
          <w:p w14:paraId="281D53A0">
            <w:pPr>
              <w:spacing w:line="360" w:lineRule="auto"/>
              <w:ind w:left="176" w:leftChars="84"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466B916B">
            <w:pPr>
              <w:spacing w:line="360" w:lineRule="auto"/>
              <w:ind w:left="176" w:leftChars="84"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p>
          <w:p w14:paraId="1281F73F">
            <w:pPr>
              <w:spacing w:line="360" w:lineRule="auto"/>
              <w:ind w:left="176" w:leftChars="84" w:firstLine="960" w:firstLineChars="400"/>
              <w:rPr>
                <w:rFonts w:hint="eastAsia" w:ascii="宋体" w:hAnsi="宋体" w:eastAsia="宋体" w:cs="宋体"/>
                <w:color w:val="auto"/>
                <w:sz w:val="24"/>
                <w:highlight w:val="none"/>
              </w:rPr>
            </w:pPr>
          </w:p>
          <w:p w14:paraId="01270AFD">
            <w:pPr>
              <w:jc w:val="center"/>
              <w:rPr>
                <w:rFonts w:hint="eastAsia" w:ascii="宋体" w:hAnsi="宋体" w:eastAsia="宋体" w:cs="宋体"/>
                <w:b/>
                <w:bCs/>
                <w:color w:val="auto"/>
                <w:highlight w:val="none"/>
              </w:rPr>
            </w:pPr>
          </w:p>
          <w:p w14:paraId="2DAC9F61">
            <w:pPr>
              <w:jc w:val="center"/>
              <w:rPr>
                <w:rFonts w:hint="eastAsia" w:ascii="宋体" w:hAnsi="宋体" w:eastAsia="宋体" w:cs="宋体"/>
                <w:b/>
                <w:bCs/>
                <w:color w:val="auto"/>
                <w:highlight w:val="none"/>
              </w:rPr>
            </w:pPr>
          </w:p>
          <w:p w14:paraId="60D55EE8">
            <w:pPr>
              <w:jc w:val="center"/>
              <w:rPr>
                <w:rFonts w:hint="eastAsia" w:ascii="宋体" w:hAnsi="宋体" w:eastAsia="宋体" w:cs="宋体"/>
                <w:b/>
                <w:bCs/>
                <w:color w:val="auto"/>
                <w:highlight w:val="none"/>
              </w:rPr>
            </w:pPr>
          </w:p>
        </w:tc>
      </w:tr>
    </w:tbl>
    <w:p w14:paraId="3C37755B">
      <w:pPr>
        <w:pStyle w:val="2"/>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eastAsia="zh-CN"/>
        </w:rPr>
        <w:t>第</w:t>
      </w:r>
      <w:r>
        <w:rPr>
          <w:rFonts w:hint="eastAsia" w:asciiTheme="minorEastAsia" w:hAnsiTheme="minorEastAsia" w:eastAsiaTheme="minorEastAsia" w:cstheme="minorEastAsia"/>
          <w:b/>
          <w:color w:val="auto"/>
          <w:sz w:val="32"/>
          <w:szCs w:val="32"/>
          <w:highlight w:val="none"/>
          <w:lang w:val="en-US" w:eastAsia="zh-CN"/>
        </w:rPr>
        <w:t>3</w:t>
      </w:r>
      <w:r>
        <w:rPr>
          <w:rFonts w:hint="eastAsia" w:asciiTheme="minorEastAsia" w:hAnsiTheme="minorEastAsia" w:eastAsiaTheme="minorEastAsia" w:cstheme="minorEastAsia"/>
          <w:b/>
          <w:color w:val="auto"/>
          <w:sz w:val="32"/>
          <w:szCs w:val="32"/>
          <w:highlight w:val="none"/>
          <w:lang w:eastAsia="zh-CN"/>
        </w:rPr>
        <w:t xml:space="preserve">章 </w:t>
      </w:r>
      <w:r>
        <w:rPr>
          <w:rFonts w:hint="eastAsia" w:asciiTheme="minorEastAsia" w:hAnsiTheme="minorEastAsia" w:eastAsiaTheme="minorEastAsia" w:cstheme="minorEastAsia"/>
          <w:b/>
          <w:color w:val="auto"/>
          <w:sz w:val="32"/>
          <w:szCs w:val="32"/>
          <w:highlight w:val="none"/>
          <w:lang w:val="en-US" w:eastAsia="zh-CN"/>
        </w:rPr>
        <w:t>招标公告</w:t>
      </w:r>
    </w:p>
    <w:p w14:paraId="5B1A3759">
      <w:pPr>
        <w:pStyle w:val="94"/>
        <w:keepNext w:val="0"/>
        <w:keepLines w:val="0"/>
        <w:pageBreakBefore w:val="0"/>
        <w:widowControl/>
        <w:kinsoku/>
        <w:wordWrap/>
        <w:overflowPunct/>
        <w:topLinePunct w:val="0"/>
        <w:autoSpaceDE/>
        <w:autoSpaceDN/>
        <w:bidi w:val="0"/>
        <w:adjustRightInd/>
        <w:snapToGrid/>
        <w:spacing w:line="344" w:lineRule="exact"/>
        <w:textAlignment w:val="auto"/>
        <w:rPr>
          <w:rFonts w:hint="eastAsia" w:ascii="宋体" w:hAnsi="宋体" w:eastAsia="宋体" w:cs="宋体"/>
          <w:color w:val="auto"/>
          <w:highlight w:val="none"/>
        </w:rPr>
      </w:pPr>
      <w:bookmarkStart w:id="314" w:name="_Toc10488"/>
      <w:bookmarkStart w:id="315" w:name="_Toc31583"/>
      <w:bookmarkStart w:id="316" w:name="_Toc216582823"/>
      <w:bookmarkStart w:id="317" w:name="_Toc512937850"/>
      <w:bookmarkStart w:id="318" w:name="_Toc20439"/>
      <w:bookmarkStart w:id="319" w:name="_Toc507399903"/>
      <w:bookmarkStart w:id="320" w:name="_Toc515647830"/>
      <w:r>
        <w:rPr>
          <w:rFonts w:hint="eastAsia" w:ascii="宋体" w:hAnsi="宋体" w:eastAsia="宋体" w:cs="宋体"/>
          <w:b/>
          <w:bCs/>
          <w:color w:val="auto"/>
          <w:highlight w:val="none"/>
        </w:rPr>
        <w:t>一、项目基本情况</w:t>
      </w:r>
    </w:p>
    <w:p w14:paraId="079325D1">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项目编号：</w:t>
      </w:r>
      <w:r>
        <w:rPr>
          <w:rFonts w:hint="eastAsia" w:ascii="宋体" w:hAnsi="宋体" w:cs="宋体"/>
          <w:color w:val="auto"/>
          <w:highlight w:val="none"/>
          <w:lang w:val="en-US" w:eastAsia="zh-CN"/>
        </w:rPr>
        <w:t>XJJC(CG)202602</w:t>
      </w:r>
    </w:p>
    <w:p w14:paraId="3F39A9FD">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项目名称：</w:t>
      </w:r>
      <w:r>
        <w:rPr>
          <w:rFonts w:hint="eastAsia" w:ascii="宋体" w:hAnsi="宋体" w:cs="宋体"/>
          <w:color w:val="auto"/>
          <w:highlight w:val="none"/>
          <w:lang w:val="en-US" w:eastAsia="zh-CN"/>
        </w:rPr>
        <w:t>喀什市国土空间总体规划（2025-2035年）修编（含经开区）项目</w:t>
      </w:r>
    </w:p>
    <w:p w14:paraId="70D46D53">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采购方式：公开招标</w:t>
      </w:r>
    </w:p>
    <w:p w14:paraId="21F827DC">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预算金额（元）：</w:t>
      </w:r>
      <w:r>
        <w:rPr>
          <w:rFonts w:hint="eastAsia" w:ascii="宋体" w:hAnsi="宋体" w:cs="宋体"/>
          <w:color w:val="auto"/>
          <w:highlight w:val="none"/>
          <w:lang w:val="en-US" w:eastAsia="zh-CN"/>
        </w:rPr>
        <w:t>2000000.00</w:t>
      </w:r>
    </w:p>
    <w:p w14:paraId="2C91A996">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最高限价（元）：</w:t>
      </w:r>
      <w:r>
        <w:rPr>
          <w:rFonts w:hint="eastAsia" w:ascii="宋体" w:hAnsi="宋体" w:cs="宋体"/>
          <w:color w:val="auto"/>
          <w:highlight w:val="none"/>
          <w:lang w:val="en-US" w:eastAsia="zh-CN"/>
        </w:rPr>
        <w:t>2000000.00</w:t>
      </w:r>
    </w:p>
    <w:p w14:paraId="5F5D57BE">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采购需求：</w:t>
      </w:r>
    </w:p>
    <w:p w14:paraId="2C0F5FF8">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标项名称：</w:t>
      </w:r>
      <w:r>
        <w:rPr>
          <w:rFonts w:hint="eastAsia" w:ascii="宋体" w:hAnsi="宋体" w:cs="宋体"/>
          <w:color w:val="auto"/>
          <w:highlight w:val="none"/>
          <w:lang w:val="en-US" w:eastAsia="zh-CN"/>
        </w:rPr>
        <w:t>喀什市国土空间总体规划（2025-2035年）修编（含经开区）项目</w:t>
      </w:r>
    </w:p>
    <w:p w14:paraId="15522663">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数量：1</w:t>
      </w:r>
    </w:p>
    <w:p w14:paraId="23B84A86">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预算金额（元）:</w:t>
      </w:r>
      <w:r>
        <w:rPr>
          <w:rFonts w:hint="eastAsia" w:ascii="宋体" w:hAnsi="宋体" w:cs="宋体"/>
          <w:color w:val="auto"/>
          <w:highlight w:val="none"/>
          <w:lang w:val="en-US" w:eastAsia="zh-CN"/>
        </w:rPr>
        <w:t>2000000.00</w:t>
      </w:r>
    </w:p>
    <w:p w14:paraId="08095079">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单位：次</w:t>
      </w:r>
    </w:p>
    <w:p w14:paraId="5B27D7E1">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简要规格描述或项目基本概况介绍、用途：基于喀什市行政区划调整、城镇开发边界调整、发展定位升级等实际情况，对现行喀什市国土空间总体规划（2021-2035年）进行修改。规划修改主要内容包括：“三区三线”、“城市四线”、规划分区、中心城区用地用海规划布局、重点建设项目清单等。</w:t>
      </w:r>
    </w:p>
    <w:p w14:paraId="2AC73A0C">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合同履约期限：标项1</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详见招标文件</w:t>
      </w:r>
    </w:p>
    <w:p w14:paraId="23118AEF">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b/>
          <w:bCs/>
          <w:color w:val="auto"/>
          <w:highlight w:val="none"/>
        </w:rPr>
      </w:pPr>
      <w:r>
        <w:rPr>
          <w:rFonts w:hint="eastAsia" w:ascii="宋体" w:hAnsi="宋体" w:eastAsia="宋体" w:cs="宋体"/>
          <w:color w:val="auto"/>
          <w:highlight w:val="none"/>
          <w:lang w:val="en-US" w:eastAsia="zh-CN"/>
        </w:rPr>
        <w:t>本项目（</w:t>
      </w:r>
      <w:r>
        <w:rPr>
          <w:rFonts w:hint="eastAsia" w:ascii="宋体" w:hAnsi="宋体" w:cs="宋体"/>
          <w:color w:val="auto"/>
          <w:highlight w:val="none"/>
          <w:lang w:val="en-US" w:eastAsia="zh-CN"/>
        </w:rPr>
        <w:t>否</w:t>
      </w:r>
      <w:r>
        <w:rPr>
          <w:rFonts w:hint="eastAsia" w:ascii="宋体" w:hAnsi="宋体" w:eastAsia="宋体" w:cs="宋体"/>
          <w:color w:val="auto"/>
          <w:highlight w:val="none"/>
          <w:lang w:val="en-US" w:eastAsia="zh-CN"/>
        </w:rPr>
        <w:t>）接受联合体投标。  </w:t>
      </w:r>
    </w:p>
    <w:p w14:paraId="53BB643D">
      <w:pPr>
        <w:pStyle w:val="94"/>
        <w:keepNext w:val="0"/>
        <w:keepLines w:val="0"/>
        <w:pageBreakBefore w:val="0"/>
        <w:widowControl/>
        <w:kinsoku/>
        <w:wordWrap/>
        <w:overflowPunct/>
        <w:topLinePunct w:val="0"/>
        <w:autoSpaceDE/>
        <w:autoSpaceDN/>
        <w:bidi w:val="0"/>
        <w:adjustRightInd/>
        <w:snapToGrid/>
        <w:spacing w:line="344"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二、申请人的资格要求：</w:t>
      </w:r>
    </w:p>
    <w:p w14:paraId="692EFB62">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1.满足《中华人民共和国政府采购法》第二十二条规定；</w:t>
      </w:r>
    </w:p>
    <w:p w14:paraId="6761652E">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2.落实政府采购政策需满足的资格要求：标项1：本项目不专门面向中小企业；</w:t>
      </w:r>
    </w:p>
    <w:p w14:paraId="76D2D9B4">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3.本项目的特定资格要求：标项1：具备</w:t>
      </w:r>
      <w:r>
        <w:rPr>
          <w:rFonts w:hint="eastAsia" w:ascii="宋体" w:hAnsi="宋体" w:cs="宋体"/>
          <w:color w:val="auto"/>
          <w:highlight w:val="none"/>
          <w:lang w:eastAsia="zh-CN"/>
        </w:rPr>
        <w:t>城乡规划（国土空间规划）编制乙级及以上（含乙级）资质</w:t>
      </w:r>
      <w:r>
        <w:rPr>
          <w:rFonts w:hint="eastAsia" w:ascii="宋体" w:hAnsi="宋体" w:eastAsia="宋体" w:cs="宋体"/>
          <w:color w:val="auto"/>
          <w:highlight w:val="none"/>
          <w:lang w:eastAsia="zh-CN"/>
        </w:rPr>
        <w:t>；</w:t>
      </w:r>
    </w:p>
    <w:p w14:paraId="67D4ECF1">
      <w:pPr>
        <w:pStyle w:val="94"/>
        <w:keepNext w:val="0"/>
        <w:keepLines w:val="0"/>
        <w:pageBreakBefore w:val="0"/>
        <w:widowControl/>
        <w:kinsoku/>
        <w:wordWrap/>
        <w:overflowPunct/>
        <w:topLinePunct w:val="0"/>
        <w:autoSpaceDE/>
        <w:autoSpaceDN/>
        <w:bidi w:val="0"/>
        <w:adjustRightInd/>
        <w:snapToGrid/>
        <w:spacing w:line="344" w:lineRule="exact"/>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rPr>
        <w:t>三、获取</w:t>
      </w:r>
      <w:r>
        <w:rPr>
          <w:rFonts w:hint="eastAsia" w:ascii="宋体" w:hAnsi="宋体" w:eastAsia="宋体" w:cs="宋体"/>
          <w:b/>
          <w:bCs/>
          <w:color w:val="auto"/>
          <w:highlight w:val="none"/>
          <w:lang w:val="en-US" w:eastAsia="zh-CN"/>
        </w:rPr>
        <w:t>招标文件</w:t>
      </w:r>
    </w:p>
    <w:p w14:paraId="76DB9572">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w:t>
      </w:r>
      <w:r>
        <w:rPr>
          <w:rFonts w:hint="eastAsia" w:ascii="宋体" w:hAnsi="宋体" w:cs="宋体"/>
          <w:color w:val="auto"/>
          <w:sz w:val="24"/>
          <w:szCs w:val="24"/>
          <w:highlight w:val="none"/>
          <w:lang w:val="en-US" w:eastAsia="zh-CN"/>
        </w:rPr>
        <w:t>2026年4月30日至2026年5月11日</w:t>
      </w:r>
      <w:r>
        <w:rPr>
          <w:rFonts w:hint="eastAsia" w:ascii="宋体" w:hAnsi="宋体" w:eastAsia="宋体" w:cs="宋体"/>
          <w:color w:val="auto"/>
          <w:sz w:val="24"/>
          <w:szCs w:val="24"/>
          <w:highlight w:val="none"/>
          <w:lang w:val="en-US" w:eastAsia="zh-CN"/>
        </w:rPr>
        <w:t>，每天上午</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0:00至14:00，下午14:00至23:59（北京时间，法定节假日除外）</w:t>
      </w:r>
    </w:p>
    <w:p w14:paraId="33BFEBE1">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地点：政采云平台线上</w:t>
      </w:r>
    </w:p>
    <w:p w14:paraId="36883F26">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68EDEF3">
      <w:pPr>
        <w:pStyle w:val="94"/>
        <w:keepNext w:val="0"/>
        <w:keepLines w:val="0"/>
        <w:pageBreakBefore w:val="0"/>
        <w:widowControl/>
        <w:kinsoku/>
        <w:wordWrap/>
        <w:overflowPunct/>
        <w:topLinePunct w:val="0"/>
        <w:autoSpaceDE/>
        <w:autoSpaceDN/>
        <w:bidi w:val="0"/>
        <w:adjustRightInd/>
        <w:snapToGrid/>
        <w:spacing w:line="344" w:lineRule="exact"/>
        <w:ind w:left="0" w:right="0" w:firstLine="48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sz w:val="24"/>
          <w:szCs w:val="24"/>
          <w:highlight w:val="none"/>
          <w:lang w:val="en-US" w:eastAsia="zh-CN"/>
        </w:rPr>
        <w:t>售价（元）：0</w:t>
      </w:r>
    </w:p>
    <w:p w14:paraId="522A5B6B">
      <w:pPr>
        <w:pStyle w:val="94"/>
        <w:keepNext w:val="0"/>
        <w:keepLines w:val="0"/>
        <w:pageBreakBefore w:val="0"/>
        <w:widowControl/>
        <w:kinsoku/>
        <w:wordWrap/>
        <w:overflowPunct/>
        <w:topLinePunct w:val="0"/>
        <w:autoSpaceDE/>
        <w:autoSpaceDN/>
        <w:bidi w:val="0"/>
        <w:adjustRightInd/>
        <w:snapToGrid/>
        <w:spacing w:line="328" w:lineRule="exac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lang w:eastAsia="zh-CN"/>
        </w:rPr>
        <w:t>提交投标文件截止时间、开标时间和地点</w:t>
      </w:r>
    </w:p>
    <w:p w14:paraId="6E9E4D46">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提交投标文件截止时间：</w:t>
      </w:r>
      <w:r>
        <w:rPr>
          <w:rFonts w:hint="eastAsia" w:ascii="宋体" w:hAnsi="宋体" w:cs="宋体"/>
          <w:color w:val="auto"/>
          <w:highlight w:val="none"/>
          <w:lang w:val="en-US" w:eastAsia="zh-CN"/>
        </w:rPr>
        <w:t>2026年5月21日10:30</w:t>
      </w:r>
      <w:r>
        <w:rPr>
          <w:rFonts w:hint="eastAsia" w:ascii="宋体" w:hAnsi="宋体" w:eastAsia="宋体" w:cs="宋体"/>
          <w:color w:val="auto"/>
          <w:highlight w:val="none"/>
          <w:lang w:val="en-US" w:eastAsia="zh-CN"/>
        </w:rPr>
        <w:t>（北京时间）</w:t>
      </w:r>
    </w:p>
    <w:p w14:paraId="6641E651">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投标地点：政采云平台投标客户端</w:t>
      </w:r>
    </w:p>
    <w:p w14:paraId="0ED9CF59">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开标时间：</w:t>
      </w:r>
      <w:r>
        <w:rPr>
          <w:rFonts w:hint="eastAsia" w:ascii="宋体" w:hAnsi="宋体" w:cs="宋体"/>
          <w:color w:val="auto"/>
          <w:highlight w:val="none"/>
          <w:lang w:val="en-US" w:eastAsia="zh-CN"/>
        </w:rPr>
        <w:t>2026年5月21日10:30</w:t>
      </w:r>
      <w:r>
        <w:rPr>
          <w:rFonts w:hint="eastAsia" w:ascii="宋体" w:hAnsi="宋体" w:eastAsia="宋体" w:cs="宋体"/>
          <w:color w:val="auto"/>
          <w:highlight w:val="none"/>
          <w:lang w:val="en-US" w:eastAsia="zh-CN"/>
        </w:rPr>
        <w:t>（北京时间）</w:t>
      </w:r>
    </w:p>
    <w:p w14:paraId="19999C45">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开标地点：投标人登录政采云平台https://www.zcygov.cn/，进入“项目采购-开标评标-右边选择对应项目点击“进入项目”进入开标大厅。</w:t>
      </w:r>
    </w:p>
    <w:p w14:paraId="1E658745">
      <w:pPr>
        <w:pStyle w:val="94"/>
        <w:keepNext w:val="0"/>
        <w:keepLines w:val="0"/>
        <w:pageBreakBefore w:val="0"/>
        <w:widowControl/>
        <w:kinsoku/>
        <w:wordWrap/>
        <w:overflowPunct/>
        <w:topLinePunct w:val="0"/>
        <w:autoSpaceDE/>
        <w:autoSpaceDN/>
        <w:bidi w:val="0"/>
        <w:adjustRightInd/>
        <w:snapToGrid/>
        <w:spacing w:line="328"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、公告期限</w:t>
      </w:r>
    </w:p>
    <w:p w14:paraId="7DC45CB3">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自本公告发布之日起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个工作日。</w:t>
      </w:r>
    </w:p>
    <w:p w14:paraId="48915707">
      <w:pPr>
        <w:pStyle w:val="94"/>
        <w:keepNext w:val="0"/>
        <w:keepLines w:val="0"/>
        <w:pageBreakBefore w:val="0"/>
        <w:widowControl/>
        <w:kinsoku/>
        <w:wordWrap/>
        <w:overflowPunct/>
        <w:topLinePunct w:val="0"/>
        <w:autoSpaceDE/>
        <w:autoSpaceDN/>
        <w:bidi w:val="0"/>
        <w:adjustRightInd/>
        <w:snapToGrid/>
        <w:spacing w:line="328" w:lineRule="exact"/>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、其他补充事宜</w:t>
      </w:r>
    </w:p>
    <w:p w14:paraId="1FC9CAF5">
      <w:pPr>
        <w:pStyle w:val="94"/>
        <w:keepNext w:val="0"/>
        <w:keepLines w:val="0"/>
        <w:pageBreakBefore w:val="0"/>
        <w:widowControl/>
        <w:kinsoku/>
        <w:wordWrap w:val="0"/>
        <w:overflowPunct/>
        <w:topLinePunct/>
        <w:autoSpaceDE/>
        <w:autoSpaceDN/>
        <w:bidi w:val="0"/>
        <w:adjustRightInd/>
        <w:snapToGrid/>
        <w:spacing w:line="328"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1、本项目实行网上投标，采用电子投标文件。</w:t>
      </w:r>
    </w:p>
    <w:p w14:paraId="6605FB53">
      <w:pPr>
        <w:pStyle w:val="94"/>
        <w:keepNext w:val="0"/>
        <w:keepLines w:val="0"/>
        <w:pageBreakBefore w:val="0"/>
        <w:widowControl/>
        <w:kinsoku/>
        <w:wordWrap w:val="0"/>
        <w:overflowPunct/>
        <w:topLinePunct/>
        <w:autoSpaceDE/>
        <w:autoSpaceDN/>
        <w:bidi w:val="0"/>
        <w:adjustRightInd/>
        <w:snapToGrid/>
        <w:spacing w:line="328"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45979693">
      <w:pPr>
        <w:pStyle w:val="94"/>
        <w:keepNext w:val="0"/>
        <w:keepLines w:val="0"/>
        <w:pageBreakBefore w:val="0"/>
        <w:widowControl/>
        <w:kinsoku/>
        <w:wordWrap w:val="0"/>
        <w:overflowPunct/>
        <w:topLinePunct/>
        <w:autoSpaceDE/>
        <w:autoSpaceDN/>
        <w:bidi w:val="0"/>
        <w:adjustRightInd/>
        <w:snapToGrid/>
        <w:spacing w:line="328" w:lineRule="exact"/>
        <w:ind w:left="0" w:right="0" w:firstLine="482"/>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7AB7498D">
      <w:pPr>
        <w:pStyle w:val="94"/>
        <w:keepNext w:val="0"/>
        <w:keepLines w:val="0"/>
        <w:pageBreakBefore w:val="0"/>
        <w:widowControl/>
        <w:kinsoku/>
        <w:wordWrap w:val="0"/>
        <w:overflowPunct/>
        <w:topLinePunct/>
        <w:autoSpaceDE/>
        <w:autoSpaceDN/>
        <w:bidi w:val="0"/>
        <w:adjustRightInd/>
        <w:snapToGrid/>
        <w:spacing w:line="328" w:lineRule="exact"/>
        <w:ind w:left="0" w:right="0" w:firstLine="482"/>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其他事项：各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政采云在线客服获取服务。  </w:t>
      </w:r>
      <w:r>
        <w:rPr>
          <w:rFonts w:hint="eastAsia" w:ascii="宋体" w:hAnsi="宋体" w:eastAsia="宋体" w:cs="宋体"/>
          <w:color w:val="auto"/>
          <w:highlight w:val="none"/>
          <w:lang w:eastAsia="zh-CN"/>
        </w:rPr>
        <w:t> </w:t>
      </w:r>
    </w:p>
    <w:p w14:paraId="236E7BF3">
      <w:pPr>
        <w:pStyle w:val="94"/>
        <w:keepNext w:val="0"/>
        <w:keepLines w:val="0"/>
        <w:pageBreakBefore w:val="0"/>
        <w:widowControl/>
        <w:numPr>
          <w:ilvl w:val="0"/>
          <w:numId w:val="0"/>
        </w:numPr>
        <w:kinsoku/>
        <w:wordWrap/>
        <w:overflowPunct/>
        <w:topLinePunct w:val="0"/>
        <w:autoSpaceDE/>
        <w:autoSpaceDN/>
        <w:bidi w:val="0"/>
        <w:adjustRightInd/>
        <w:snapToGrid/>
        <w:spacing w:line="328" w:lineRule="exact"/>
        <w:ind w:leftChars="0" w:right="0" w:right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、对本次招标提出询问，请按以下方式联系</w:t>
      </w:r>
    </w:p>
    <w:p w14:paraId="597A0873">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1.采购人信息</w:t>
      </w:r>
    </w:p>
    <w:p w14:paraId="72FCEADB">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bookmarkStart w:id="321" w:name="_Toc28359009"/>
      <w:bookmarkStart w:id="322" w:name="_Toc28359086"/>
      <w:r>
        <w:rPr>
          <w:rFonts w:hint="eastAsia" w:ascii="宋体" w:hAnsi="宋体" w:eastAsia="宋体" w:cs="宋体"/>
          <w:color w:val="auto"/>
          <w:highlight w:val="none"/>
          <w:lang w:val="en-US" w:eastAsia="zh-CN"/>
        </w:rPr>
        <w:t>名 称：喀什市自然资源局</w:t>
      </w:r>
    </w:p>
    <w:p w14:paraId="442EA2D2">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址：喀什市深喀大道行政审批局三楼东侧</w:t>
      </w:r>
    </w:p>
    <w:p w14:paraId="2D890BBA">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w:t>
      </w:r>
      <w:r>
        <w:rPr>
          <w:rFonts w:hint="eastAsia" w:ascii="宋体" w:hAnsi="宋体" w:cs="宋体"/>
          <w:color w:val="auto"/>
          <w:highlight w:val="none"/>
          <w:lang w:val="en-US" w:eastAsia="zh-CN"/>
        </w:rPr>
        <w:t>15894001991</w:t>
      </w:r>
    </w:p>
    <w:bookmarkEnd w:id="321"/>
    <w:bookmarkEnd w:id="322"/>
    <w:p w14:paraId="2C854C38">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2.采购代理机构信息</w:t>
      </w:r>
    </w:p>
    <w:p w14:paraId="414A4778">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w:t>
      </w:r>
      <w:r>
        <w:rPr>
          <w:rFonts w:hint="eastAsia" w:ascii="宋体" w:hAnsi="宋体" w:cs="宋体"/>
          <w:color w:val="auto"/>
          <w:highlight w:val="none"/>
          <w:lang w:val="en-US" w:eastAsia="zh-CN"/>
        </w:rPr>
        <w:t>新疆锦程项目管理有限公司</w:t>
      </w:r>
      <w:r>
        <w:rPr>
          <w:rFonts w:hint="eastAsia" w:ascii="宋体" w:hAnsi="宋体" w:eastAsia="宋体" w:cs="宋体"/>
          <w:color w:val="auto"/>
          <w:highlight w:val="none"/>
          <w:lang w:val="en-US" w:eastAsia="zh-CN"/>
        </w:rPr>
        <w:t>　</w:t>
      </w:r>
    </w:p>
    <w:p w14:paraId="274822D1">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w:t>
      </w:r>
      <w:r>
        <w:rPr>
          <w:rFonts w:hint="eastAsia" w:ascii="宋体" w:hAnsi="宋体" w:cs="宋体"/>
          <w:color w:val="auto"/>
          <w:highlight w:val="none"/>
          <w:lang w:val="en-US" w:eastAsia="zh-CN"/>
        </w:rPr>
        <w:t>喀什市深咖东苑B12号楼2012室</w:t>
      </w:r>
      <w:r>
        <w:rPr>
          <w:rFonts w:hint="eastAsia" w:ascii="宋体" w:hAnsi="宋体" w:eastAsia="宋体" w:cs="宋体"/>
          <w:color w:val="auto"/>
          <w:highlight w:val="none"/>
          <w:lang w:val="en-US" w:eastAsia="zh-CN"/>
        </w:rPr>
        <w:t>　</w:t>
      </w:r>
    </w:p>
    <w:p w14:paraId="4886DF63">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w:t>
      </w:r>
      <w:bookmarkStart w:id="323" w:name="_Toc28359087"/>
      <w:bookmarkStart w:id="324" w:name="_Toc28359010"/>
      <w:r>
        <w:rPr>
          <w:rFonts w:hint="eastAsia" w:ascii="宋体" w:hAnsi="宋体" w:cs="宋体"/>
          <w:color w:val="auto"/>
          <w:highlight w:val="none"/>
          <w:lang w:val="en-US" w:eastAsia="zh-CN"/>
        </w:rPr>
        <w:t>13031291492</w:t>
      </w:r>
    </w:p>
    <w:p w14:paraId="0DE846A1">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bookmarkEnd w:id="323"/>
      <w:bookmarkEnd w:id="324"/>
    </w:p>
    <w:p w14:paraId="4D118302">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w:t>
      </w:r>
      <w:r>
        <w:rPr>
          <w:rFonts w:hint="eastAsia" w:ascii="宋体" w:hAnsi="宋体" w:cs="宋体"/>
          <w:color w:val="auto"/>
          <w:highlight w:val="none"/>
          <w:lang w:val="en-US" w:eastAsia="zh-CN"/>
        </w:rPr>
        <w:t>程立宇</w:t>
      </w:r>
    </w:p>
    <w:p w14:paraId="3BE77F5B">
      <w:pPr>
        <w:pStyle w:val="94"/>
        <w:keepNext w:val="0"/>
        <w:keepLines w:val="0"/>
        <w:pageBreakBefore w:val="0"/>
        <w:widowControl/>
        <w:kinsoku/>
        <w:wordWrap/>
        <w:overflowPunct/>
        <w:topLinePunct w:val="0"/>
        <w:autoSpaceDE/>
        <w:autoSpaceDN/>
        <w:bidi w:val="0"/>
        <w:adjustRightInd/>
        <w:snapToGrid/>
        <w:spacing w:line="328" w:lineRule="exact"/>
        <w:ind w:left="0" w:right="0"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w:t>
      </w:r>
      <w:r>
        <w:rPr>
          <w:rFonts w:hint="eastAsia" w:ascii="宋体" w:hAnsi="宋体" w:cs="宋体"/>
          <w:color w:val="auto"/>
          <w:highlight w:val="none"/>
          <w:lang w:val="en-US" w:eastAsia="zh-CN"/>
        </w:rPr>
        <w:t>13031291492</w:t>
      </w:r>
    </w:p>
    <w:p w14:paraId="3E19DB05">
      <w:pPr>
        <w:rPr>
          <w:rFonts w:hint="eastAsia" w:hAnsi="宋体" w:cs="宋体"/>
          <w:color w:val="auto"/>
          <w:highlight w:val="none"/>
        </w:rPr>
      </w:pPr>
    </w:p>
    <w:p w14:paraId="2D757ECB">
      <w:pPr>
        <w:pStyle w:val="10"/>
        <w:rPr>
          <w:rFonts w:hint="eastAsia"/>
        </w:rPr>
      </w:pPr>
    </w:p>
    <w:p w14:paraId="61B7B378">
      <w:pPr>
        <w:pStyle w:val="25"/>
        <w:rPr>
          <w:rFonts w:hint="eastAsia" w:hAnsi="宋体" w:cs="宋体"/>
          <w:color w:val="auto"/>
          <w:highlight w:val="none"/>
        </w:rPr>
      </w:pPr>
    </w:p>
    <w:p w14:paraId="51824562">
      <w:pPr>
        <w:pStyle w:val="2"/>
        <w:tabs>
          <w:tab w:val="left" w:pos="0"/>
        </w:tabs>
        <w:spacing w:before="0" w:after="0" w:line="240" w:lineRule="atLeast"/>
        <w:rPr>
          <w:rFonts w:hint="eastAsia" w:ascii="宋体" w:hAnsi="宋体" w:cs="宋体"/>
          <w:color w:val="auto"/>
          <w:sz w:val="24"/>
          <w:highlight w:val="none"/>
        </w:rPr>
      </w:pPr>
      <w:r>
        <w:rPr>
          <w:rFonts w:hint="eastAsia" w:hAnsi="宋体" w:cs="宋体"/>
          <w:color w:val="auto"/>
          <w:highlight w:val="none"/>
        </w:rPr>
        <w:t>第</w:t>
      </w:r>
      <w:r>
        <w:rPr>
          <w:rFonts w:hint="eastAsia" w:hAnsi="宋体" w:cs="宋体"/>
          <w:color w:val="auto"/>
          <w:highlight w:val="none"/>
          <w:lang w:val="en-US" w:eastAsia="zh-CN"/>
        </w:rPr>
        <w:t>4</w:t>
      </w:r>
      <w:r>
        <w:rPr>
          <w:rFonts w:hint="eastAsia" w:hAnsi="宋体" w:cs="宋体"/>
          <w:color w:val="auto"/>
          <w:highlight w:val="none"/>
        </w:rPr>
        <w:t>章 投标人须知资料表</w:t>
      </w:r>
      <w:bookmarkEnd w:id="314"/>
      <w:bookmarkEnd w:id="315"/>
      <w:bookmarkEnd w:id="316"/>
      <w:bookmarkEnd w:id="317"/>
      <w:bookmarkEnd w:id="318"/>
      <w:bookmarkEnd w:id="319"/>
      <w:bookmarkEnd w:id="320"/>
    </w:p>
    <w:p w14:paraId="47396AE1">
      <w:pPr>
        <w:spacing w:line="240" w:lineRule="atLeast"/>
        <w:ind w:firstLine="330" w:firstLineChars="15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本表是本招标项目的具体资料，是对投标人须知的具体补充和修改，如有矛盾，应以本资料表为准。</w:t>
      </w:r>
    </w:p>
    <w:tbl>
      <w:tblPr>
        <w:tblStyle w:val="3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050"/>
      </w:tblGrid>
      <w:tr w14:paraId="6F626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1468" w:type="dxa"/>
            <w:noWrap w:val="0"/>
            <w:vAlign w:val="center"/>
          </w:tcPr>
          <w:p w14:paraId="29DABD4B">
            <w:pPr>
              <w:spacing w:line="240" w:lineRule="atLeast"/>
              <w:jc w:val="center"/>
              <w:rPr>
                <w:rFonts w:hint="eastAsia" w:ascii="宋体" w:hAnsi="宋体" w:cs="宋体"/>
                <w:color w:val="auto"/>
                <w:sz w:val="24"/>
                <w:highlight w:val="none"/>
              </w:rPr>
            </w:pPr>
            <w:r>
              <w:rPr>
                <w:rFonts w:hint="eastAsia" w:ascii="宋体" w:hAnsi="宋体" w:cs="宋体"/>
                <w:color w:val="auto"/>
                <w:sz w:val="24"/>
                <w:highlight w:val="none"/>
              </w:rPr>
              <w:t>条款号</w:t>
            </w:r>
          </w:p>
        </w:tc>
        <w:tc>
          <w:tcPr>
            <w:tcW w:w="7050" w:type="dxa"/>
            <w:noWrap w:val="0"/>
            <w:vAlign w:val="center"/>
          </w:tcPr>
          <w:p w14:paraId="51CD20B9">
            <w:pPr>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内      容</w:t>
            </w:r>
          </w:p>
        </w:tc>
      </w:tr>
      <w:tr w14:paraId="7735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4A985C87">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1.1</w:t>
            </w:r>
          </w:p>
        </w:tc>
        <w:tc>
          <w:tcPr>
            <w:tcW w:w="7050" w:type="dxa"/>
            <w:noWrap w:val="0"/>
            <w:vAlign w:val="center"/>
          </w:tcPr>
          <w:p w14:paraId="0BC22E2C">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 购 人：</w:t>
            </w:r>
            <w:r>
              <w:rPr>
                <w:rFonts w:hint="eastAsia" w:ascii="宋体" w:hAnsi="宋体" w:cs="宋体"/>
                <w:color w:val="auto"/>
                <w:sz w:val="24"/>
                <w:highlight w:val="none"/>
                <w:lang w:eastAsia="zh-CN"/>
              </w:rPr>
              <w:t>喀什市自然资源局</w:t>
            </w:r>
          </w:p>
          <w:p w14:paraId="02F370AB">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联系方式：</w:t>
            </w:r>
            <w:r>
              <w:rPr>
                <w:rFonts w:hint="eastAsia" w:ascii="宋体" w:hAnsi="宋体" w:cs="宋体"/>
                <w:color w:val="auto"/>
                <w:sz w:val="24"/>
                <w:highlight w:val="none"/>
                <w:lang w:val="en-US" w:eastAsia="zh-CN"/>
              </w:rPr>
              <w:t>15894001991</w:t>
            </w:r>
          </w:p>
        </w:tc>
      </w:tr>
      <w:tr w14:paraId="7FE64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14:paraId="5A2B992E">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w:t>
            </w:r>
          </w:p>
        </w:tc>
        <w:tc>
          <w:tcPr>
            <w:tcW w:w="7050" w:type="dxa"/>
            <w:noWrap w:val="0"/>
            <w:vAlign w:val="center"/>
          </w:tcPr>
          <w:p w14:paraId="0089EFB6">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采购代理机构：</w:t>
            </w:r>
            <w:r>
              <w:rPr>
                <w:rFonts w:hint="eastAsia" w:ascii="宋体" w:hAnsi="宋体" w:cs="宋体"/>
                <w:color w:val="auto"/>
                <w:sz w:val="24"/>
                <w:highlight w:val="none"/>
                <w:lang w:eastAsia="zh-CN"/>
              </w:rPr>
              <w:t>新疆锦程项目管理有限公司</w:t>
            </w:r>
          </w:p>
          <w:p w14:paraId="06808591">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w:t>
            </w:r>
            <w:r>
              <w:rPr>
                <w:rFonts w:hint="eastAsia" w:ascii="宋体" w:hAnsi="宋体" w:cs="宋体"/>
                <w:color w:val="auto"/>
                <w:sz w:val="24"/>
                <w:highlight w:val="none"/>
                <w:lang w:eastAsia="zh-CN"/>
              </w:rPr>
              <w:t>喀什市深咖东苑B12号楼2012室</w:t>
            </w:r>
          </w:p>
          <w:p w14:paraId="18AE12CE">
            <w:pPr>
              <w:spacing w:line="240" w:lineRule="atLeas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联系人：</w:t>
            </w:r>
            <w:r>
              <w:rPr>
                <w:rFonts w:hint="eastAsia" w:ascii="宋体" w:hAnsi="宋体" w:cs="宋体"/>
                <w:color w:val="auto"/>
                <w:sz w:val="24"/>
                <w:highlight w:val="none"/>
                <w:lang w:val="en-US" w:eastAsia="zh-CN"/>
              </w:rPr>
              <w:t>程立宇</w:t>
            </w:r>
            <w:r>
              <w:rPr>
                <w:rFonts w:hint="eastAsia" w:ascii="宋体" w:hAnsi="宋体" w:eastAsia="宋体" w:cs="宋体"/>
                <w:color w:val="auto"/>
                <w:sz w:val="24"/>
                <w:highlight w:val="none"/>
                <w:lang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电</w:t>
            </w:r>
            <w:r>
              <w:rPr>
                <w:rFonts w:hint="eastAsia" w:ascii="宋体" w:hAnsi="宋体" w:eastAsia="宋体" w:cs="宋体"/>
                <w:color w:val="auto"/>
                <w:sz w:val="24"/>
                <w:highlight w:val="none"/>
                <w:lang w:val="en-US" w:eastAsia="zh-CN"/>
              </w:rPr>
              <w:t>话：</w:t>
            </w:r>
            <w:r>
              <w:rPr>
                <w:rFonts w:hint="eastAsia" w:ascii="宋体" w:hAnsi="宋体" w:cs="宋体"/>
                <w:color w:val="auto"/>
                <w:sz w:val="24"/>
                <w:highlight w:val="none"/>
                <w:lang w:val="en-US" w:eastAsia="zh-CN"/>
              </w:rPr>
              <w:t>13031291492</w:t>
            </w:r>
            <w:r>
              <w:rPr>
                <w:rFonts w:hint="eastAsia" w:ascii="宋体" w:hAnsi="宋体" w:eastAsia="宋体" w:cs="宋体"/>
                <w:color w:val="auto"/>
                <w:sz w:val="24"/>
                <w:highlight w:val="none"/>
                <w:lang w:val="en-US" w:eastAsia="zh-CN"/>
              </w:rPr>
              <w:t xml:space="preserve"> </w:t>
            </w:r>
          </w:p>
        </w:tc>
      </w:tr>
      <w:tr w14:paraId="36E29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468" w:type="dxa"/>
            <w:noWrap w:val="0"/>
            <w:vAlign w:val="center"/>
          </w:tcPr>
          <w:p w14:paraId="06FA916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1.3.4</w:t>
            </w:r>
          </w:p>
        </w:tc>
        <w:tc>
          <w:tcPr>
            <w:tcW w:w="7050" w:type="dxa"/>
            <w:noWrap w:val="0"/>
            <w:vAlign w:val="center"/>
          </w:tcPr>
          <w:p w14:paraId="72F3FB10">
            <w:pPr>
              <w:widowControl/>
              <w:spacing w:line="300" w:lineRule="exact"/>
              <w:rPr>
                <w:rFonts w:hint="eastAsia" w:ascii="宋体" w:hAnsi="宋体" w:cs="宋体"/>
                <w:color w:val="auto"/>
                <w:sz w:val="24"/>
                <w:highlight w:val="none"/>
              </w:rPr>
            </w:pPr>
            <w:r>
              <w:rPr>
                <w:rFonts w:hint="eastAsia" w:ascii="宋体" w:hAnsi="宋体" w:cs="宋体"/>
                <w:color w:val="auto"/>
                <w:sz w:val="24"/>
                <w:highlight w:val="none"/>
              </w:rPr>
              <w:t>合格投标人的资格要求：</w:t>
            </w:r>
          </w:p>
          <w:p w14:paraId="12BCB27B">
            <w:pPr>
              <w:pStyle w:val="5"/>
              <w:ind w:firstLine="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rPr>
              <w:t>1</w:t>
            </w:r>
            <w:r>
              <w:rPr>
                <w:rFonts w:hint="eastAsia" w:hAnsi="宋体" w:cs="宋体"/>
                <w:b/>
                <w:bCs/>
                <w:color w:val="auto"/>
                <w:szCs w:val="24"/>
                <w:highlight w:val="none"/>
                <w:lang w:eastAsia="zh-CN"/>
              </w:rPr>
              <w:t>、</w:t>
            </w:r>
            <w:r>
              <w:rPr>
                <w:rFonts w:hint="eastAsia" w:ascii="宋体" w:hAnsi="宋体" w:eastAsia="宋体" w:cs="宋体"/>
                <w:b/>
                <w:bCs/>
                <w:color w:val="auto"/>
                <w:szCs w:val="24"/>
                <w:highlight w:val="none"/>
              </w:rPr>
              <w:t>满足《中华人民共和国政府采购法</w:t>
            </w:r>
            <w:r>
              <w:rPr>
                <w:rFonts w:hint="eastAsia" w:ascii="宋体" w:hAnsi="宋体" w:eastAsia="宋体" w:cs="宋体"/>
                <w:b/>
                <w:bCs/>
                <w:color w:val="auto"/>
                <w:szCs w:val="24"/>
                <w:highlight w:val="none"/>
                <w:lang w:val="en-US" w:eastAsia="zh-CN"/>
              </w:rPr>
              <w:t>》第二十二条规定；</w:t>
            </w:r>
          </w:p>
          <w:p w14:paraId="147ADCE8">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2、单位三证合一营业执照（事业单位法人证书）；</w:t>
            </w:r>
          </w:p>
          <w:p w14:paraId="4F5B9B38">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w:t>
            </w:r>
            <w:r>
              <w:rPr>
                <w:rFonts w:hint="eastAsia" w:ascii="宋体" w:hAnsi="宋体" w:cs="宋体"/>
                <w:b/>
                <w:bCs/>
                <w:color w:val="auto"/>
                <w:sz w:val="24"/>
                <w:highlight w:val="none"/>
                <w:lang w:val="en-US" w:eastAsia="zh-CN"/>
              </w:rPr>
              <w:t>城乡规划（国土空间规划）编制乙级及以上（含乙级）资质</w:t>
            </w:r>
            <w:r>
              <w:rPr>
                <w:rFonts w:hint="eastAsia" w:ascii="宋体" w:hAnsi="宋体" w:eastAsia="宋体" w:cs="宋体"/>
                <w:b/>
                <w:bCs/>
                <w:color w:val="auto"/>
                <w:sz w:val="24"/>
                <w:highlight w:val="none"/>
                <w:lang w:val="en-US" w:eastAsia="zh-CN"/>
              </w:rPr>
              <w:t>；</w:t>
            </w:r>
          </w:p>
          <w:p w14:paraId="0766A04C">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、法定代表人身份证明书；法定代表人授权委托书；</w:t>
            </w:r>
          </w:p>
          <w:p w14:paraId="6E52F50E">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p w14:paraId="2E40586C">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2024年度或2025年度经会计师事务所出具财务审计报告（事业法人单位可提供内审财务报表或征信证明）（2026年新成立的公司须提供近六个月任意一个月的银行资信证明）</w:t>
            </w:r>
            <w:r>
              <w:rPr>
                <w:rFonts w:hint="eastAsia" w:ascii="宋体" w:hAnsi="宋体" w:eastAsia="宋体" w:cs="宋体"/>
                <w:b/>
                <w:bCs/>
                <w:color w:val="auto"/>
                <w:sz w:val="24"/>
                <w:highlight w:val="none"/>
                <w:lang w:val="en-US" w:eastAsia="zh-CN"/>
              </w:rPr>
              <w:t>；</w:t>
            </w:r>
          </w:p>
          <w:p w14:paraId="77AF37DB">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val="en-US" w:eastAsia="zh-CN"/>
              </w:rPr>
              <w:t>、未被“信用中国”网站列入失信被执行人、重大税收违法案件当事人名单；“中国政府采购网”网站列入政府采购严重违法失信行为信息记录名单（处罚期限尚未届满的）的；“国家企业信用信息公示系统”被列入经营异常名录信息、列入严重违法失信企业名单（黑名单）的企业，附网站截图或报告；</w:t>
            </w:r>
          </w:p>
          <w:p w14:paraId="6E160E7E">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lang w:val="en-US" w:eastAsia="zh-CN"/>
              </w:rPr>
              <w:t>、参加政府采购活动近3年内，在经营活动中没有重大违法记录的书面声明；</w:t>
            </w:r>
          </w:p>
          <w:p w14:paraId="6E7F1E51">
            <w:pPr>
              <w:spacing w:line="240" w:lineRule="atLeas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、针对本次项目《反商业贿赂承诺书》；</w:t>
            </w:r>
          </w:p>
          <w:p w14:paraId="401E1172">
            <w:pPr>
              <w:spacing w:line="240" w:lineRule="atLeast"/>
              <w:rPr>
                <w:rFonts w:hint="eastAsia" w:ascii="宋体" w:hAnsi="宋体" w:cs="宋体"/>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cs="宋体"/>
                <w:b/>
                <w:bCs/>
                <w:color w:val="auto"/>
                <w:sz w:val="24"/>
                <w:highlight w:val="none"/>
                <w:lang w:val="en-US" w:eastAsia="zh-CN"/>
              </w:rPr>
              <w:t>0</w:t>
            </w:r>
            <w:r>
              <w:rPr>
                <w:rFonts w:hint="eastAsia" w:ascii="宋体" w:hAnsi="宋体" w:eastAsia="宋体" w:cs="宋体"/>
                <w:b/>
                <w:bCs/>
                <w:color w:val="auto"/>
                <w:sz w:val="24"/>
                <w:highlight w:val="none"/>
                <w:lang w:val="en-US" w:eastAsia="zh-CN"/>
              </w:rPr>
              <w:t>、投标保证金缴纳凭证或投标担保函；</w:t>
            </w:r>
          </w:p>
        </w:tc>
      </w:tr>
      <w:tr w14:paraId="7599B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1468" w:type="dxa"/>
            <w:noWrap w:val="0"/>
            <w:vAlign w:val="center"/>
          </w:tcPr>
          <w:p w14:paraId="1121A02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 xml:space="preserve">1.3.5   </w:t>
            </w:r>
          </w:p>
        </w:tc>
        <w:tc>
          <w:tcPr>
            <w:tcW w:w="7050" w:type="dxa"/>
            <w:noWrap w:val="0"/>
            <w:vAlign w:val="center"/>
          </w:tcPr>
          <w:p w14:paraId="20CA9B8B">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是否允许采购进口产品：</w:t>
            </w:r>
            <w:r>
              <w:rPr>
                <w:rFonts w:hint="eastAsia" w:ascii="宋体" w:hAnsi="宋体" w:cs="宋体"/>
                <w:color w:val="auto"/>
                <w:sz w:val="24"/>
                <w:highlight w:val="none"/>
                <w:u w:val="single"/>
              </w:rPr>
              <w:t>否</w:t>
            </w:r>
          </w:p>
        </w:tc>
      </w:tr>
      <w:tr w14:paraId="5C207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468" w:type="dxa"/>
            <w:noWrap w:val="0"/>
            <w:vAlign w:val="center"/>
          </w:tcPr>
          <w:p w14:paraId="2AE7111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1.3.6</w:t>
            </w:r>
          </w:p>
        </w:tc>
        <w:tc>
          <w:tcPr>
            <w:tcW w:w="7050" w:type="dxa"/>
            <w:noWrap w:val="0"/>
            <w:vAlign w:val="center"/>
          </w:tcPr>
          <w:p w14:paraId="743A0999">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是否为专门面向中小企业采购：</w:t>
            </w:r>
            <w:r>
              <w:rPr>
                <w:rFonts w:hint="eastAsia" w:ascii="宋体" w:hAnsi="宋体" w:cs="宋体"/>
                <w:color w:val="auto"/>
                <w:sz w:val="24"/>
                <w:highlight w:val="none"/>
                <w:u w:val="single"/>
              </w:rPr>
              <w:t>否</w:t>
            </w:r>
          </w:p>
        </w:tc>
      </w:tr>
      <w:tr w14:paraId="58AC72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5" w:hRule="atLeast"/>
        </w:trPr>
        <w:tc>
          <w:tcPr>
            <w:tcW w:w="1468" w:type="dxa"/>
            <w:noWrap w:val="0"/>
            <w:vAlign w:val="center"/>
          </w:tcPr>
          <w:p w14:paraId="6B0FEB39">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w:t>
            </w:r>
          </w:p>
        </w:tc>
        <w:tc>
          <w:tcPr>
            <w:tcW w:w="7050" w:type="dxa"/>
            <w:noWrap w:val="0"/>
            <w:vAlign w:val="center"/>
          </w:tcPr>
          <w:p w14:paraId="48DAD389">
            <w:pPr>
              <w:spacing w:line="240" w:lineRule="atLeast"/>
              <w:rPr>
                <w:rFonts w:hint="eastAsia" w:ascii="宋体" w:hAnsi="宋体" w:eastAsia="宋体" w:cs="宋体"/>
                <w:color w:val="auto"/>
                <w:sz w:val="24"/>
                <w:highlight w:val="none"/>
                <w:lang w:eastAsia="zh-CN"/>
              </w:rPr>
            </w:pPr>
            <w:r>
              <w:rPr>
                <w:rFonts w:hint="eastAsia" w:ascii="宋体" w:hAnsi="宋体" w:cs="宋体"/>
                <w:color w:val="auto"/>
                <w:sz w:val="24"/>
                <w:highlight w:val="none"/>
              </w:rPr>
              <w:t>是否允许联合体投标：</w:t>
            </w:r>
            <w:r>
              <w:rPr>
                <w:rFonts w:hint="eastAsia" w:ascii="宋体" w:hAnsi="宋体" w:cs="宋体"/>
                <w:color w:val="auto"/>
                <w:sz w:val="24"/>
                <w:highlight w:val="none"/>
                <w:u w:val="single"/>
                <w:lang w:val="en-US" w:eastAsia="zh-CN"/>
              </w:rPr>
              <w:t>否</w:t>
            </w:r>
          </w:p>
        </w:tc>
      </w:tr>
      <w:tr w14:paraId="60B0F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1468" w:type="dxa"/>
            <w:noWrap w:val="0"/>
            <w:vAlign w:val="center"/>
          </w:tcPr>
          <w:p w14:paraId="5E5F4D89">
            <w:pPr>
              <w:widowControl/>
              <w:spacing w:line="300" w:lineRule="exact"/>
              <w:jc w:val="center"/>
              <w:rPr>
                <w:rFonts w:hint="eastAsia" w:ascii="宋体" w:hAnsi="宋体" w:cs="宋体"/>
                <w:color w:val="auto"/>
                <w:sz w:val="24"/>
                <w:highlight w:val="none"/>
              </w:rPr>
            </w:pPr>
            <w:r>
              <w:rPr>
                <w:rFonts w:hint="eastAsia" w:ascii="宋体" w:hAnsi="宋体" w:cs="宋体"/>
                <w:color w:val="auto"/>
                <w:sz w:val="24"/>
                <w:highlight w:val="none"/>
              </w:rPr>
              <w:t>2.2</w:t>
            </w:r>
          </w:p>
        </w:tc>
        <w:tc>
          <w:tcPr>
            <w:tcW w:w="7050" w:type="dxa"/>
            <w:noWrap w:val="0"/>
            <w:vAlign w:val="center"/>
          </w:tcPr>
          <w:p w14:paraId="783AF7EF">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预算价</w:t>
            </w:r>
            <w:r>
              <w:rPr>
                <w:rFonts w:hint="eastAsia" w:ascii="宋体" w:hAnsi="宋体" w:cs="宋体"/>
                <w:b/>
                <w:bCs/>
                <w:color w:val="auto"/>
                <w:sz w:val="24"/>
                <w:highlight w:val="none"/>
                <w:lang w:val="en-US" w:eastAsia="zh-CN"/>
              </w:rPr>
              <w:t>2000000.00</w:t>
            </w:r>
            <w:r>
              <w:rPr>
                <w:rFonts w:hint="eastAsia" w:ascii="宋体" w:hAnsi="宋体" w:eastAsia="宋体" w:cs="宋体"/>
                <w:b/>
                <w:bCs/>
                <w:color w:val="auto"/>
                <w:sz w:val="24"/>
                <w:highlight w:val="none"/>
                <w:lang w:val="en-US" w:eastAsia="zh-CN"/>
              </w:rPr>
              <w:t>元；最高限价</w:t>
            </w:r>
            <w:r>
              <w:rPr>
                <w:rFonts w:hint="eastAsia" w:ascii="宋体" w:hAnsi="宋体" w:cs="宋体"/>
                <w:b/>
                <w:bCs/>
                <w:color w:val="auto"/>
                <w:sz w:val="24"/>
                <w:highlight w:val="none"/>
                <w:lang w:val="en-US" w:eastAsia="zh-CN"/>
              </w:rPr>
              <w:t>2000000.00</w:t>
            </w:r>
            <w:r>
              <w:rPr>
                <w:rFonts w:hint="eastAsia" w:ascii="宋体" w:hAnsi="宋体" w:eastAsia="宋体" w:cs="宋体"/>
                <w:b/>
                <w:bCs/>
                <w:color w:val="auto"/>
                <w:sz w:val="24"/>
                <w:highlight w:val="none"/>
                <w:lang w:val="en-US" w:eastAsia="zh-CN"/>
              </w:rPr>
              <w:t>元；</w:t>
            </w:r>
          </w:p>
        </w:tc>
      </w:tr>
      <w:tr w14:paraId="17FE5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CA017E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12.1</w:t>
            </w:r>
          </w:p>
        </w:tc>
        <w:tc>
          <w:tcPr>
            <w:tcW w:w="7050" w:type="dxa"/>
            <w:noWrap w:val="0"/>
            <w:vAlign w:val="center"/>
          </w:tcPr>
          <w:p w14:paraId="4528B310">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保证金形式：☑保函  ☑电汇  ☑支票</w:t>
            </w:r>
          </w:p>
          <w:p w14:paraId="3AF54CF8">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☑网银 （本项目允许的其他形式） </w:t>
            </w:r>
          </w:p>
          <w:p w14:paraId="5761360E">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保证金金额：</w:t>
            </w:r>
            <w:r>
              <w:rPr>
                <w:rFonts w:hint="eastAsia" w:ascii="宋体" w:hAnsi="宋体" w:cs="宋体"/>
                <w:color w:val="auto"/>
                <w:sz w:val="24"/>
                <w:highlight w:val="none"/>
                <w:lang w:val="en-US" w:eastAsia="zh-CN"/>
              </w:rPr>
              <w:t>20000</w:t>
            </w:r>
            <w:r>
              <w:rPr>
                <w:rFonts w:hint="eastAsia" w:ascii="宋体" w:hAnsi="宋体" w:eastAsia="宋体" w:cs="宋体"/>
                <w:color w:val="auto"/>
                <w:sz w:val="24"/>
                <w:highlight w:val="none"/>
                <w:lang w:val="en-US" w:eastAsia="zh-CN"/>
              </w:rPr>
              <w:t>.00元（</w:t>
            </w:r>
            <w:r>
              <w:rPr>
                <w:rFonts w:hint="eastAsia" w:ascii="宋体" w:hAnsi="宋体" w:cs="宋体"/>
                <w:color w:val="auto"/>
                <w:sz w:val="24"/>
                <w:highlight w:val="none"/>
                <w:lang w:val="en-US" w:eastAsia="zh-CN"/>
              </w:rPr>
              <w:t>贰万元整</w:t>
            </w:r>
            <w:r>
              <w:rPr>
                <w:rFonts w:hint="eastAsia" w:ascii="宋体" w:hAnsi="宋体" w:eastAsia="宋体" w:cs="宋体"/>
                <w:color w:val="auto"/>
                <w:sz w:val="24"/>
                <w:highlight w:val="none"/>
                <w:lang w:val="en-US" w:eastAsia="zh-CN"/>
              </w:rPr>
              <w:t>）</w:t>
            </w:r>
          </w:p>
          <w:p w14:paraId="2058FF8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账户名称：</w:t>
            </w:r>
            <w:r>
              <w:rPr>
                <w:rFonts w:hint="eastAsia" w:ascii="宋体" w:hAnsi="宋体" w:cs="宋体"/>
                <w:color w:val="auto"/>
                <w:sz w:val="24"/>
                <w:highlight w:val="none"/>
                <w:lang w:val="en-US" w:eastAsia="zh-CN"/>
              </w:rPr>
              <w:t>新疆锦程项目管理有限公司</w:t>
            </w:r>
            <w:r>
              <w:rPr>
                <w:rFonts w:hint="eastAsia" w:ascii="宋体" w:hAnsi="宋体" w:eastAsia="宋体" w:cs="宋体"/>
                <w:color w:val="auto"/>
                <w:sz w:val="24"/>
                <w:highlight w:val="none"/>
                <w:lang w:val="en-US" w:eastAsia="zh-CN"/>
              </w:rPr>
              <w:t> </w:t>
            </w:r>
          </w:p>
          <w:p w14:paraId="662FFFCD">
            <w:pPr>
              <w:keepNext w:val="0"/>
              <w:keepLines w:val="0"/>
              <w:widowControl/>
              <w:suppressLineNumbers w:val="0"/>
              <w:jc w:val="left"/>
              <w:rPr>
                <w:rFonts w:hint="eastAsia" w:ascii="宋体" w:hAnsi="宋体" w:eastAsia="宋体" w:cs="宋体"/>
                <w:color w:val="FF0000"/>
                <w:sz w:val="24"/>
                <w:highlight w:val="none"/>
                <w:lang w:val="en-US" w:eastAsia="zh-CN"/>
              </w:rPr>
            </w:pPr>
            <w:r>
              <w:rPr>
                <w:rFonts w:hint="eastAsia" w:ascii="宋体" w:hAnsi="宋体" w:eastAsia="宋体" w:cs="宋体"/>
                <w:color w:val="auto"/>
                <w:sz w:val="24"/>
                <w:highlight w:val="none"/>
                <w:lang w:val="en-US" w:eastAsia="zh-CN"/>
              </w:rPr>
              <w:t>账号：</w:t>
            </w:r>
            <w:r>
              <w:rPr>
                <w:rFonts w:hint="eastAsia" w:ascii="宋体" w:hAnsi="宋体" w:cs="宋体"/>
                <w:color w:val="auto"/>
                <w:sz w:val="24"/>
                <w:highlight w:val="none"/>
                <w:lang w:val="en-US" w:eastAsia="zh-CN"/>
              </w:rPr>
              <w:t>107084144901</w:t>
            </w:r>
          </w:p>
          <w:p w14:paraId="1982EE3D">
            <w:pPr>
              <w:keepNext w:val="0"/>
              <w:keepLines w:val="0"/>
              <w:widowControl/>
              <w:suppressLineNumbers w:val="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开户行：中国银行股份有限公司喀什市克孜都维路支行</w:t>
            </w:r>
          </w:p>
          <w:p w14:paraId="19115733">
            <w:pPr>
              <w:keepNext w:val="0"/>
              <w:keepLines w:val="0"/>
              <w:widowControl/>
              <w:suppressLineNumbers w:val="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行号：104894001038</w:t>
            </w:r>
          </w:p>
          <w:p w14:paraId="404FB188">
            <w:pPr>
              <w:keepNext w:val="0"/>
              <w:keepLines w:val="0"/>
              <w:widowControl/>
              <w:suppressLineNumbers w:val="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联系电话：13031291492</w:t>
            </w:r>
          </w:p>
          <w:p w14:paraId="72A240FD">
            <w:pPr>
              <w:spacing w:line="240" w:lineRule="atLeast"/>
              <w:rPr>
                <w:rFonts w:hint="default"/>
                <w:color w:val="auto"/>
                <w:highlight w:val="none"/>
                <w:lang w:val="en-US" w:eastAsia="zh-CN"/>
              </w:rPr>
            </w:pPr>
            <w:r>
              <w:rPr>
                <w:rFonts w:hint="eastAsia" w:ascii="宋体" w:hAnsi="宋体" w:eastAsia="宋体" w:cs="宋体"/>
                <w:color w:val="auto"/>
                <w:sz w:val="24"/>
                <w:highlight w:val="none"/>
                <w:lang w:val="en-US" w:eastAsia="zh-CN"/>
              </w:rPr>
              <w:t>到账截止时间：</w:t>
            </w:r>
            <w:r>
              <w:rPr>
                <w:rFonts w:hint="eastAsia" w:ascii="宋体" w:hAnsi="宋体" w:cs="宋体"/>
                <w:color w:val="auto"/>
                <w:sz w:val="24"/>
                <w:highlight w:val="none"/>
                <w:lang w:val="en-US" w:eastAsia="zh-CN"/>
              </w:rPr>
              <w:t>2026年5月21日10:30</w:t>
            </w:r>
            <w:r>
              <w:rPr>
                <w:rFonts w:hint="eastAsia" w:ascii="宋体" w:hAnsi="宋体" w:eastAsia="宋体" w:cs="宋体"/>
                <w:color w:val="auto"/>
                <w:sz w:val="24"/>
                <w:highlight w:val="none"/>
                <w:lang w:val="en-US" w:eastAsia="zh-CN"/>
              </w:rPr>
              <w:t>（北京时间）</w:t>
            </w:r>
          </w:p>
        </w:tc>
      </w:tr>
      <w:tr w14:paraId="71291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trPr>
        <w:tc>
          <w:tcPr>
            <w:tcW w:w="1468" w:type="dxa"/>
            <w:noWrap w:val="0"/>
            <w:vAlign w:val="center"/>
          </w:tcPr>
          <w:p w14:paraId="21B12AC7">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13.1</w:t>
            </w:r>
          </w:p>
        </w:tc>
        <w:tc>
          <w:tcPr>
            <w:tcW w:w="7050" w:type="dxa"/>
            <w:noWrap w:val="0"/>
            <w:vAlign w:val="center"/>
          </w:tcPr>
          <w:p w14:paraId="03F6A0E2">
            <w:pPr>
              <w:spacing w:line="240" w:lineRule="atLeast"/>
              <w:rPr>
                <w:rFonts w:hint="eastAsia" w:ascii="宋体" w:hAnsi="宋体" w:cs="宋体"/>
                <w:color w:val="auto"/>
                <w:sz w:val="24"/>
                <w:highlight w:val="none"/>
                <w:u w:val="single"/>
              </w:rPr>
            </w:pPr>
            <w:r>
              <w:rPr>
                <w:rFonts w:hint="eastAsia" w:ascii="宋体" w:hAnsi="宋体" w:cs="宋体"/>
                <w:color w:val="auto"/>
                <w:sz w:val="24"/>
                <w:highlight w:val="none"/>
              </w:rPr>
              <w:t>投标有效期：</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rPr>
              <w:t>日历日</w:t>
            </w:r>
          </w:p>
        </w:tc>
      </w:tr>
      <w:tr w14:paraId="47636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14:paraId="4042D2F9">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14.1</w:t>
            </w:r>
          </w:p>
        </w:tc>
        <w:tc>
          <w:tcPr>
            <w:tcW w:w="7050" w:type="dxa"/>
            <w:noWrap w:val="0"/>
            <w:vAlign w:val="center"/>
          </w:tcPr>
          <w:p w14:paraId="689FED32">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本项目实行全流程电子化“不见面”网上开标，请各潜在投标人自行下载学习（新疆政府采购网下载专区）注：投标截止时间前按要求在政采云上传电子版投标文件。</w:t>
            </w:r>
          </w:p>
        </w:tc>
      </w:tr>
      <w:tr w14:paraId="528D7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14:paraId="6BE13184">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16.1</w:t>
            </w:r>
          </w:p>
        </w:tc>
        <w:tc>
          <w:tcPr>
            <w:tcW w:w="7050" w:type="dxa"/>
            <w:noWrap w:val="0"/>
            <w:vAlign w:val="center"/>
          </w:tcPr>
          <w:p w14:paraId="3E746159">
            <w:pPr>
              <w:spacing w:line="2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w:t>
            </w:r>
            <w:r>
              <w:rPr>
                <w:rFonts w:hint="eastAsia" w:ascii="宋体" w:hAnsi="宋体" w:cs="宋体"/>
                <w:color w:val="auto"/>
                <w:sz w:val="24"/>
                <w:highlight w:val="none"/>
                <w:lang w:val="en-US" w:eastAsia="zh-CN"/>
              </w:rPr>
              <w:t>2026年5月21日10:30</w:t>
            </w:r>
            <w:r>
              <w:rPr>
                <w:rFonts w:hint="eastAsia" w:ascii="宋体" w:hAnsi="宋体" w:eastAsia="宋体" w:cs="宋体"/>
                <w:color w:val="auto"/>
                <w:sz w:val="24"/>
                <w:highlight w:val="none"/>
              </w:rPr>
              <w:t>（北京时间）</w:t>
            </w:r>
          </w:p>
        </w:tc>
      </w:tr>
      <w:tr w14:paraId="44176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14:paraId="62C7484C">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18.1</w:t>
            </w:r>
          </w:p>
        </w:tc>
        <w:tc>
          <w:tcPr>
            <w:tcW w:w="7050" w:type="dxa"/>
            <w:noWrap w:val="0"/>
            <w:vAlign w:val="center"/>
          </w:tcPr>
          <w:p w14:paraId="5D4AAB30">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开标时间</w:t>
            </w:r>
            <w:r>
              <w:rPr>
                <w:rFonts w:hint="eastAsia" w:ascii="宋体" w:hAnsi="宋体" w:cs="宋体"/>
                <w:color w:val="auto"/>
                <w:sz w:val="24"/>
                <w:highlight w:val="none"/>
                <w:lang w:val="en-US" w:eastAsia="zh-CN"/>
              </w:rPr>
              <w:t>：2026年5月21日10:30</w:t>
            </w:r>
            <w:r>
              <w:rPr>
                <w:rFonts w:hint="eastAsia" w:ascii="宋体" w:hAnsi="宋体" w:eastAsia="宋体" w:cs="宋体"/>
                <w:color w:val="auto"/>
                <w:sz w:val="24"/>
                <w:highlight w:val="none"/>
                <w:lang w:val="en-US" w:eastAsia="zh-CN"/>
              </w:rPr>
              <w:t>（北京时间）</w:t>
            </w:r>
          </w:p>
          <w:p w14:paraId="7DF6AC42">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开标地点：</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"https://www.zcygov.cn在线投标"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https://www.zcygov.cn在线投标</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 xml:space="preserve"> </w:t>
            </w:r>
          </w:p>
        </w:tc>
      </w:tr>
      <w:tr w14:paraId="74FAA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trPr>
        <w:tc>
          <w:tcPr>
            <w:tcW w:w="1468" w:type="dxa"/>
            <w:noWrap w:val="0"/>
            <w:vAlign w:val="center"/>
          </w:tcPr>
          <w:p w14:paraId="2558EC5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20.5</w:t>
            </w:r>
          </w:p>
        </w:tc>
        <w:tc>
          <w:tcPr>
            <w:tcW w:w="7050" w:type="dxa"/>
            <w:noWrap w:val="0"/>
            <w:vAlign w:val="center"/>
          </w:tcPr>
          <w:p w14:paraId="32946C07">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核心内容：</w:t>
            </w:r>
            <w:r>
              <w:rPr>
                <w:rFonts w:hint="eastAsia" w:ascii="宋体" w:hAnsi="宋体" w:cs="宋体"/>
                <w:color w:val="auto"/>
                <w:sz w:val="24"/>
                <w:highlight w:val="none"/>
                <w:lang w:val="en-US" w:eastAsia="zh-CN"/>
              </w:rPr>
              <w:t>规划服务</w:t>
            </w:r>
          </w:p>
        </w:tc>
      </w:tr>
      <w:tr w14:paraId="4689B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trPr>
        <w:tc>
          <w:tcPr>
            <w:tcW w:w="1468" w:type="dxa"/>
            <w:noWrap w:val="0"/>
            <w:vAlign w:val="center"/>
          </w:tcPr>
          <w:p w14:paraId="297822E8">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23.2</w:t>
            </w:r>
          </w:p>
        </w:tc>
        <w:tc>
          <w:tcPr>
            <w:tcW w:w="7050" w:type="dxa"/>
            <w:noWrap w:val="0"/>
            <w:vAlign w:val="center"/>
          </w:tcPr>
          <w:p w14:paraId="4CC0C79F">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评标方法：综合评分法    　　　　　</w:t>
            </w:r>
          </w:p>
        </w:tc>
      </w:tr>
      <w:tr w14:paraId="013B2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1" w:hRule="atLeast"/>
        </w:trPr>
        <w:tc>
          <w:tcPr>
            <w:tcW w:w="1468" w:type="dxa"/>
            <w:noWrap w:val="0"/>
            <w:vAlign w:val="center"/>
          </w:tcPr>
          <w:p w14:paraId="5C071FAB">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27</w:t>
            </w:r>
          </w:p>
        </w:tc>
        <w:tc>
          <w:tcPr>
            <w:tcW w:w="7050" w:type="dxa"/>
            <w:noWrap w:val="0"/>
            <w:vAlign w:val="center"/>
          </w:tcPr>
          <w:p w14:paraId="4F33AA65">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推荐中标候选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的数量：</w:t>
            </w:r>
            <w:r>
              <w:rPr>
                <w:rFonts w:hint="eastAsia" w:ascii="宋体" w:hAnsi="宋体" w:cs="宋体"/>
                <w:color w:val="auto"/>
                <w:sz w:val="24"/>
                <w:highlight w:val="none"/>
                <w:u w:val="single"/>
              </w:rPr>
              <w:t>3个</w:t>
            </w:r>
          </w:p>
        </w:tc>
      </w:tr>
      <w:tr w14:paraId="3706D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atLeast"/>
        </w:trPr>
        <w:tc>
          <w:tcPr>
            <w:tcW w:w="1468" w:type="dxa"/>
            <w:noWrap w:val="0"/>
            <w:vAlign w:val="center"/>
          </w:tcPr>
          <w:p w14:paraId="7BB7B706">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27</w:t>
            </w:r>
          </w:p>
        </w:tc>
        <w:tc>
          <w:tcPr>
            <w:tcW w:w="7050" w:type="dxa"/>
            <w:noWrap w:val="0"/>
            <w:vAlign w:val="center"/>
          </w:tcPr>
          <w:p w14:paraId="4E6D584D">
            <w:pPr>
              <w:spacing w:line="240" w:lineRule="atLeast"/>
              <w:rPr>
                <w:rFonts w:hint="eastAsia" w:ascii="宋体" w:hAnsi="宋体" w:cs="宋体"/>
                <w:color w:val="auto"/>
                <w:sz w:val="24"/>
                <w:highlight w:val="none"/>
              </w:rPr>
            </w:pPr>
            <w:r>
              <w:rPr>
                <w:rFonts w:hint="eastAsia" w:ascii="宋体" w:hAnsi="宋体" w:cs="宋体"/>
                <w:color w:val="auto"/>
                <w:sz w:val="24"/>
                <w:highlight w:val="none"/>
              </w:rPr>
              <w:t>招标人是否委托评标</w:t>
            </w:r>
            <w:r>
              <w:rPr>
                <w:rFonts w:hint="eastAsia" w:ascii="宋体" w:hAnsi="宋体" w:eastAsia="宋体" w:cs="宋体"/>
                <w:color w:val="auto"/>
                <w:sz w:val="24"/>
                <w:highlight w:val="none"/>
                <w:lang w:val="en-US" w:eastAsia="zh-CN"/>
              </w:rPr>
              <w:t>委员会直接</w:t>
            </w:r>
            <w:r>
              <w:rPr>
                <w:rFonts w:hint="eastAsia" w:ascii="宋体" w:hAnsi="宋体" w:cs="宋体"/>
                <w:color w:val="auto"/>
                <w:sz w:val="24"/>
                <w:highlight w:val="none"/>
              </w:rPr>
              <w:t>确定中标人：</w:t>
            </w:r>
            <w:r>
              <w:rPr>
                <w:rFonts w:hint="eastAsia" w:ascii="宋体" w:hAnsi="宋体" w:cs="宋体"/>
                <w:color w:val="auto"/>
                <w:sz w:val="24"/>
                <w:highlight w:val="none"/>
                <w:u w:val="single"/>
              </w:rPr>
              <w:t>否</w:t>
            </w:r>
            <w:r>
              <w:rPr>
                <w:rFonts w:hint="eastAsia" w:ascii="宋体" w:hAnsi="宋体" w:cs="宋体"/>
                <w:color w:val="auto"/>
                <w:sz w:val="24"/>
                <w:highlight w:val="none"/>
              </w:rPr>
              <w:t xml:space="preserve"> </w:t>
            </w:r>
          </w:p>
        </w:tc>
      </w:tr>
      <w:tr w14:paraId="465C0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1" w:hRule="atLeast"/>
        </w:trPr>
        <w:tc>
          <w:tcPr>
            <w:tcW w:w="1468" w:type="dxa"/>
            <w:noWrap w:val="0"/>
            <w:vAlign w:val="center"/>
          </w:tcPr>
          <w:p w14:paraId="1EF413A8">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31.1</w:t>
            </w:r>
          </w:p>
        </w:tc>
        <w:tc>
          <w:tcPr>
            <w:tcW w:w="7050" w:type="dxa"/>
            <w:noWrap w:val="0"/>
            <w:vAlign w:val="center"/>
          </w:tcPr>
          <w:p w14:paraId="77FEF343">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履约保证金金额：</w:t>
            </w:r>
            <w:r>
              <w:rPr>
                <w:rFonts w:hint="eastAsia" w:ascii="宋体" w:hAnsi="宋体" w:eastAsia="宋体" w:cs="宋体"/>
                <w:color w:val="auto"/>
                <w:sz w:val="24"/>
                <w:highlight w:val="none"/>
                <w:lang w:eastAsia="zh-CN"/>
              </w:rPr>
              <w:t>中标价的</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p>
          <w:p w14:paraId="6A0DD07C">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履约保证金形式：</w:t>
            </w:r>
            <w:r>
              <w:rPr>
                <w:rFonts w:hint="eastAsia" w:ascii="宋体" w:hAnsi="宋体" w:eastAsia="宋体" w:cs="宋体"/>
                <w:color w:val="auto"/>
                <w:sz w:val="24"/>
                <w:highlight w:val="none"/>
                <w:lang w:eastAsia="zh-CN"/>
              </w:rPr>
              <w:t>转账、电汇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保函</w:t>
            </w:r>
          </w:p>
          <w:p w14:paraId="646F272A">
            <w:pPr>
              <w:spacing w:line="240" w:lineRule="atLeas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提交履约保证金的时间：</w:t>
            </w:r>
            <w:r>
              <w:rPr>
                <w:rFonts w:hint="eastAsia" w:ascii="宋体" w:hAnsi="宋体" w:cs="宋体"/>
                <w:color w:val="auto"/>
                <w:sz w:val="24"/>
                <w:highlight w:val="none"/>
                <w:lang w:val="en-US" w:eastAsia="zh-CN"/>
              </w:rPr>
              <w:t>与业主自行商定</w:t>
            </w:r>
          </w:p>
          <w:p w14:paraId="50DC7019">
            <w:pPr>
              <w:spacing w:line="240" w:lineRule="atLeast"/>
              <w:rPr>
                <w:rFonts w:hint="eastAsia" w:ascii="宋体" w:hAnsi="宋体" w:cs="宋体"/>
                <w:color w:val="auto"/>
                <w:sz w:val="24"/>
                <w:highlight w:val="none"/>
                <w:u w:val="single"/>
              </w:rPr>
            </w:pPr>
            <w:r>
              <w:rPr>
                <w:rFonts w:hint="eastAsia" w:ascii="宋体" w:hAnsi="宋体" w:eastAsia="宋体" w:cs="宋体"/>
                <w:color w:val="auto"/>
                <w:sz w:val="24"/>
                <w:highlight w:val="none"/>
                <w:lang w:val="en-US" w:eastAsia="zh-CN"/>
              </w:rPr>
              <w:t>服务验收合格后无息返还</w:t>
            </w:r>
          </w:p>
        </w:tc>
      </w:tr>
      <w:tr w14:paraId="52725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02BD5B41">
            <w:pPr>
              <w:spacing w:line="240" w:lineRule="atLeast"/>
              <w:ind w:left="1080" w:leftChars="257" w:hanging="540"/>
              <w:rPr>
                <w:rFonts w:hint="eastAsia" w:ascii="宋体" w:hAnsi="宋体" w:cs="宋体"/>
                <w:color w:val="auto"/>
                <w:sz w:val="24"/>
                <w:highlight w:val="none"/>
              </w:rPr>
            </w:pPr>
            <w:r>
              <w:rPr>
                <w:rFonts w:hint="eastAsia" w:ascii="宋体" w:hAnsi="宋体" w:cs="宋体"/>
                <w:color w:val="auto"/>
                <w:sz w:val="24"/>
                <w:highlight w:val="none"/>
              </w:rPr>
              <w:t>32</w:t>
            </w:r>
          </w:p>
        </w:tc>
        <w:tc>
          <w:tcPr>
            <w:tcW w:w="7050" w:type="dxa"/>
            <w:noWrap w:val="0"/>
            <w:vAlign w:val="center"/>
          </w:tcPr>
          <w:p w14:paraId="1AE480DD">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招标代理服务费：</w:t>
            </w:r>
            <w:r>
              <w:rPr>
                <w:rFonts w:hint="eastAsia"/>
                <w:sz w:val="24"/>
                <w:highlight w:val="none"/>
              </w:rPr>
              <w:t>参照计价格2002【1980】号文下浮</w:t>
            </w:r>
            <w:r>
              <w:rPr>
                <w:rFonts w:hint="eastAsia"/>
                <w:sz w:val="24"/>
                <w:highlight w:val="none"/>
                <w:lang w:val="en-US" w:eastAsia="zh-CN"/>
              </w:rPr>
              <w:t>2</w:t>
            </w:r>
            <w:r>
              <w:rPr>
                <w:rFonts w:hint="eastAsia"/>
                <w:sz w:val="24"/>
                <w:highlight w:val="none"/>
              </w:rPr>
              <w:t>0%计取</w:t>
            </w:r>
            <w:r>
              <w:rPr>
                <w:rFonts w:hint="eastAsia" w:ascii="宋体" w:hAnsi="宋体" w:eastAsia="宋体" w:cs="宋体"/>
                <w:color w:val="auto"/>
                <w:sz w:val="24"/>
                <w:highlight w:val="none"/>
                <w:lang w:val="en-US" w:eastAsia="zh-CN"/>
              </w:rPr>
              <w:t>，由</w:t>
            </w:r>
            <w:r>
              <w:rPr>
                <w:rFonts w:hint="eastAsia" w:ascii="宋体" w:hAnsi="宋体" w:cs="宋体"/>
                <w:color w:val="auto"/>
                <w:sz w:val="24"/>
                <w:highlight w:val="none"/>
                <w:lang w:val="en-US" w:eastAsia="zh-CN"/>
              </w:rPr>
              <w:t>中标单位</w:t>
            </w:r>
            <w:r>
              <w:rPr>
                <w:rFonts w:hint="eastAsia" w:ascii="宋体" w:hAnsi="宋体" w:eastAsia="宋体" w:cs="宋体"/>
                <w:color w:val="auto"/>
                <w:sz w:val="24"/>
                <w:highlight w:val="none"/>
                <w:lang w:val="en-US" w:eastAsia="zh-CN"/>
              </w:rPr>
              <w:t>支付</w:t>
            </w:r>
          </w:p>
          <w:p w14:paraId="16FB745C">
            <w:pPr>
              <w:spacing w:line="240" w:lineRule="atLeas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 xml:space="preserve">支付形式：对公转账  </w:t>
            </w:r>
          </w:p>
          <w:p w14:paraId="058DD241">
            <w:pPr>
              <w:spacing w:line="240" w:lineRule="atLeast"/>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支付时间：领取</w:t>
            </w:r>
            <w:r>
              <w:rPr>
                <w:rFonts w:hint="eastAsia" w:ascii="宋体" w:hAnsi="宋体" w:cs="宋体"/>
                <w:color w:val="auto"/>
                <w:sz w:val="24"/>
                <w:highlight w:val="none"/>
                <w:lang w:val="en-US" w:eastAsia="zh-CN"/>
              </w:rPr>
              <w:t>中标</w:t>
            </w:r>
            <w:r>
              <w:rPr>
                <w:rFonts w:hint="eastAsia" w:ascii="宋体" w:hAnsi="宋体" w:eastAsia="宋体" w:cs="宋体"/>
                <w:color w:val="auto"/>
                <w:sz w:val="24"/>
                <w:highlight w:val="none"/>
                <w:lang w:val="en-US" w:eastAsia="zh-CN"/>
              </w:rPr>
              <w:t>通知书时</w:t>
            </w:r>
          </w:p>
        </w:tc>
      </w:tr>
      <w:tr w14:paraId="1C6FB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14:paraId="1DB51CE4">
            <w:pPr>
              <w:spacing w:line="240" w:lineRule="atLeast"/>
              <w:jc w:val="center"/>
              <w:rPr>
                <w:rFonts w:hint="eastAsia" w:ascii="宋体" w:hAnsi="宋体" w:cs="宋体"/>
                <w:color w:val="auto"/>
                <w:sz w:val="24"/>
                <w:highlight w:val="none"/>
              </w:rPr>
            </w:pPr>
            <w:r>
              <w:rPr>
                <w:rFonts w:hint="eastAsia" w:ascii="宋体" w:hAnsi="宋体" w:eastAsia="宋体" w:cs="宋体"/>
                <w:color w:val="000000"/>
                <w:sz w:val="24"/>
                <w:highlight w:val="none"/>
                <w:lang w:val="en-US" w:eastAsia="zh-CN"/>
              </w:rPr>
              <w:t>特别提示：</w:t>
            </w:r>
          </w:p>
        </w:tc>
        <w:tc>
          <w:tcPr>
            <w:tcW w:w="7050" w:type="dxa"/>
            <w:noWrap w:val="0"/>
            <w:vAlign w:val="top"/>
          </w:tcPr>
          <w:p w14:paraId="3DA464A1">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根据关于推动解决政府采购异常低价问题的通知财库〔2026〕2号</w:t>
            </w:r>
          </w:p>
          <w:p w14:paraId="1FA5B634">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（一）采购人应当在采购文件中明确，政府采购评审中出现下列情形之一的，评审委员会应当启动异常低价投标（响应）审查程序： </w:t>
            </w:r>
          </w:p>
          <w:p w14:paraId="48BBFE47">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1.投标（响应）报价低于全部通过符合性审查供应商投标（响应）报价平均值50%的，即投标（响应）报价&lt;全部通过符合性审查供应商投标（响应）报价平均值×50%； </w:t>
            </w:r>
          </w:p>
          <w:p w14:paraId="0A0EE85F">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2.投标（响应）报价低于通过符合性审查的次低报价供应商投标（响应）报价50%的，即投标（响应）报价&lt;通过符合性审查的次低报价供应商投标（响应）报价×50%； </w:t>
            </w:r>
          </w:p>
          <w:p w14:paraId="1AE0AC79">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3.投标（响应）报价低于采购项目最高限价45%的，即投标（响应）报价&lt;采购项目最高限价×45%； </w:t>
            </w:r>
          </w:p>
          <w:p w14:paraId="41354C42">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4.评审委员会基于专业判断，认为供应商报价过低，有可能影响产品质量或者不能诚信履约的其他情形。 </w:t>
            </w:r>
          </w:p>
          <w:p w14:paraId="4C2B4E7D">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二）评审委员会启动异常低价审查后，应当要求相关供应商在评审现场合理的时间30分钟内对投标价格作出解释，提供项目具体成本测算等与报价合理性相关的书面说明及必要的证明材料，包括但不限于人工成本、物料成本、管理费用等。</w:t>
            </w:r>
          </w:p>
          <w:p w14:paraId="775C242B">
            <w:pPr>
              <w:spacing w:line="240" w:lineRule="atLeast"/>
              <w:rPr>
                <w:rFonts w:hint="eastAsia" w:ascii="宋体" w:hAnsi="宋体" w:eastAsia="宋体" w:cs="宋体"/>
                <w:color w:val="auto"/>
                <w:sz w:val="24"/>
                <w:highlight w:val="none"/>
                <w:lang w:val="en-US" w:eastAsia="zh-CN"/>
              </w:rPr>
            </w:pPr>
            <w:r>
              <w:rPr>
                <w:rFonts w:hint="eastAsia" w:ascii="宋体" w:hAnsi="宋体" w:eastAsia="宋体" w:cs="宋体"/>
                <w:color w:val="000000"/>
                <w:sz w:val="24"/>
                <w:highlight w:val="none"/>
                <w:lang w:val="en-US" w:eastAsia="zh-CN"/>
              </w:rPr>
              <w:t>（三）供应商不能提供书面说明、证明材料，或者提供的书面说明、证明材料不能证明其报价合理性的，评审委员会应当将其作为无效投标处理。</w:t>
            </w:r>
          </w:p>
        </w:tc>
      </w:tr>
      <w:tr w14:paraId="5994E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6" w:hRule="atLeast"/>
        </w:trPr>
        <w:tc>
          <w:tcPr>
            <w:tcW w:w="8518" w:type="dxa"/>
            <w:gridSpan w:val="2"/>
            <w:noWrap w:val="0"/>
            <w:vAlign w:val="center"/>
          </w:tcPr>
          <w:p w14:paraId="54C6E3D5">
            <w:pPr>
              <w:spacing w:line="240" w:lineRule="atLeast"/>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适用于本投标人须知的额外增加的变动：</w:t>
            </w:r>
          </w:p>
        </w:tc>
      </w:tr>
    </w:tbl>
    <w:p w14:paraId="49A2CED1">
      <w:pPr>
        <w:spacing w:line="240" w:lineRule="atLeast"/>
        <w:ind w:left="1080" w:leftChars="257" w:hanging="540"/>
        <w:rPr>
          <w:rFonts w:hint="eastAsia" w:ascii="宋体" w:hAnsi="宋体" w:cs="宋体"/>
          <w:color w:val="auto"/>
          <w:sz w:val="24"/>
          <w:highlight w:val="none"/>
        </w:rPr>
        <w:sectPr>
          <w:headerReference r:id="rId13" w:type="default"/>
          <w:footerReference r:id="rId15" w:type="default"/>
          <w:headerReference r:id="rId14" w:type="even"/>
          <w:footerReference r:id="rId16" w:type="even"/>
          <w:pgSz w:w="11906" w:h="16838"/>
          <w:pgMar w:top="1474" w:right="1701" w:bottom="1474" w:left="1701" w:header="851" w:footer="992" w:gutter="0"/>
          <w:cols w:space="720" w:num="1"/>
          <w:docGrid w:linePitch="312" w:charSpace="0"/>
        </w:sectPr>
      </w:pPr>
    </w:p>
    <w:p w14:paraId="0B198513">
      <w:pPr>
        <w:pStyle w:val="2"/>
        <w:numPr>
          <w:ilvl w:val="0"/>
          <w:numId w:val="6"/>
        </w:numPr>
        <w:tabs>
          <w:tab w:val="left" w:pos="0"/>
        </w:tabs>
        <w:spacing w:before="0" w:after="0" w:line="240" w:lineRule="atLeast"/>
        <w:rPr>
          <w:rFonts w:hint="eastAsia" w:ascii="宋体" w:hAnsi="宋体" w:eastAsia="宋体" w:cs="宋体"/>
          <w:color w:val="auto"/>
          <w:sz w:val="28"/>
          <w:szCs w:val="28"/>
          <w:highlight w:val="none"/>
        </w:rPr>
      </w:pPr>
      <w:bookmarkStart w:id="325" w:name="_Toc218935354"/>
      <w:bookmarkStart w:id="326" w:name="_Toc9887"/>
      <w:bookmarkStart w:id="327" w:name="_Toc219175638"/>
      <w:bookmarkStart w:id="328" w:name="_Toc9032"/>
      <w:bookmarkStart w:id="329" w:name="_Toc512937852"/>
      <w:bookmarkStart w:id="330" w:name="_Toc216582825"/>
      <w:bookmarkStart w:id="331" w:name="_Toc22779"/>
      <w:bookmarkStart w:id="332" w:name="_Toc515647831"/>
      <w:bookmarkStart w:id="333" w:name="_Toc507399906"/>
      <w:bookmarkStart w:id="334" w:name="_Toc515647832"/>
      <w:bookmarkStart w:id="335" w:name="_Toc219175639"/>
      <w:bookmarkStart w:id="336" w:name="_Toc23331"/>
      <w:bookmarkStart w:id="337" w:name="_Toc7971"/>
      <w:bookmarkStart w:id="338" w:name="_Toc507399907"/>
      <w:bookmarkStart w:id="339" w:name="_Toc216582826"/>
      <w:bookmarkStart w:id="340" w:name="_Toc32647"/>
      <w:bookmarkStart w:id="341" w:name="_Toc218935355"/>
      <w:r>
        <w:rPr>
          <w:rFonts w:hint="eastAsia" w:hAnsi="宋体" w:cs="宋体"/>
          <w:color w:val="auto"/>
          <w:highlight w:val="none"/>
          <w:lang w:val="en-US" w:eastAsia="zh-CN"/>
        </w:rPr>
        <w:t xml:space="preserve">  </w:t>
      </w:r>
      <w:bookmarkEnd w:id="325"/>
      <w:bookmarkEnd w:id="326"/>
      <w:bookmarkEnd w:id="327"/>
      <w:bookmarkEnd w:id="328"/>
      <w:bookmarkEnd w:id="329"/>
      <w:bookmarkEnd w:id="330"/>
      <w:bookmarkEnd w:id="331"/>
      <w:bookmarkEnd w:id="332"/>
      <w:bookmarkEnd w:id="333"/>
      <w:bookmarkStart w:id="342" w:name="_Toc17024"/>
      <w:bookmarkStart w:id="343" w:name="_Toc32657"/>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需求</w:t>
      </w:r>
      <w:bookmarkEnd w:id="342"/>
      <w:bookmarkEnd w:id="343"/>
    </w:p>
    <w:bookmarkEnd w:id="334"/>
    <w:bookmarkEnd w:id="335"/>
    <w:bookmarkEnd w:id="336"/>
    <w:bookmarkEnd w:id="337"/>
    <w:bookmarkEnd w:id="338"/>
    <w:bookmarkEnd w:id="339"/>
    <w:bookmarkEnd w:id="340"/>
    <w:bookmarkEnd w:id="341"/>
    <w:p w14:paraId="10D928BB">
      <w:pPr>
        <w:spacing w:line="400" w:lineRule="exact"/>
        <w:rPr>
          <w:rFonts w:ascii="宋体" w:hAnsi="宋体" w:cs="宋体"/>
          <w:b/>
          <w:bCs/>
          <w:kern w:val="0"/>
          <w:sz w:val="24"/>
          <w:lang w:bidi="ar"/>
        </w:rPr>
      </w:pPr>
      <w:bookmarkStart w:id="344" w:name="_Toc12037_WPSOffice_Level2"/>
      <w:bookmarkStart w:id="345" w:name="_Toc732_WPSOffice_Level2"/>
      <w:bookmarkStart w:id="346" w:name="_Toc30267"/>
      <w:bookmarkStart w:id="347" w:name="_Toc11561_WPSOffice_Level2"/>
      <w:bookmarkStart w:id="348" w:name="_Toc8070"/>
      <w:r>
        <w:rPr>
          <w:rFonts w:hint="eastAsia" w:ascii="宋体" w:hAnsi="宋体" w:cs="宋体"/>
          <w:b/>
          <w:bCs/>
          <w:kern w:val="0"/>
          <w:sz w:val="24"/>
          <w:lang w:bidi="ar"/>
        </w:rPr>
        <w:t>一、</w:t>
      </w:r>
      <w:bookmarkEnd w:id="344"/>
      <w:bookmarkEnd w:id="345"/>
      <w:r>
        <w:rPr>
          <w:rFonts w:hint="eastAsia" w:ascii="宋体" w:hAnsi="宋体" w:cs="宋体"/>
          <w:b/>
          <w:bCs/>
          <w:kern w:val="0"/>
          <w:sz w:val="24"/>
          <w:lang w:bidi="ar"/>
        </w:rPr>
        <w:t>总体要求</w:t>
      </w:r>
      <w:bookmarkEnd w:id="346"/>
    </w:p>
    <w:p w14:paraId="0F8885F8">
      <w:pPr>
        <w:pStyle w:val="10"/>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kern w:val="2"/>
          <w:sz w:val="24"/>
          <w:szCs w:val="24"/>
          <w:lang w:val="en-US" w:eastAsia="zh-CN" w:bidi="ar-SA"/>
          <w14:ligatures w14:val="none"/>
        </w:rPr>
      </w:pPr>
      <w:r>
        <w:rPr>
          <w:rFonts w:hint="eastAsia" w:ascii="宋体" w:hAnsi="宋体" w:eastAsia="宋体" w:cs="宋体"/>
          <w:kern w:val="2"/>
          <w:sz w:val="24"/>
          <w:szCs w:val="24"/>
          <w:lang w:val="en-US" w:eastAsia="zh-CN" w:bidi="ar-SA"/>
          <w14:ligatures w14:val="none"/>
        </w:rPr>
        <w:t>全面落实自治区“十五五”发展规划各项目标任务，强化国土空间规划对“十五五</w:t>
      </w:r>
      <w:r>
        <w:rPr>
          <w:rFonts w:hint="eastAsia" w:ascii="宋体" w:hAnsi="宋体" w:cs="宋体"/>
          <w:kern w:val="2"/>
          <w:sz w:val="24"/>
          <w:szCs w:val="24"/>
          <w:lang w:val="en-US" w:eastAsia="zh-CN" w:bidi="ar-SA"/>
          <w14:ligatures w14:val="none"/>
        </w:rPr>
        <w:t>”</w:t>
      </w:r>
      <w:r>
        <w:rPr>
          <w:rFonts w:hint="eastAsia" w:ascii="宋体" w:hAnsi="宋体" w:eastAsia="宋体" w:cs="宋体"/>
          <w:kern w:val="2"/>
          <w:sz w:val="24"/>
          <w:szCs w:val="24"/>
          <w:lang w:val="en-US" w:eastAsia="zh-CN" w:bidi="ar-SA"/>
          <w14:ligatures w14:val="none"/>
        </w:rPr>
        <w:t>发展规划空间需求的统筹引导、科学配置与支持保障作用，切实提升国土空间总体规划的战略性、科学性和协调性。</w:t>
      </w:r>
    </w:p>
    <w:p w14:paraId="3DBBB487">
      <w:pPr>
        <w:pStyle w:val="10"/>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宋体" w:hAnsi="宋体" w:eastAsia="宋体" w:cs="宋体"/>
          <w:kern w:val="2"/>
          <w:sz w:val="24"/>
          <w:szCs w:val="24"/>
          <w:lang w:val="en-US" w:eastAsia="zh-CN" w:bidi="ar-SA"/>
          <w14:ligatures w14:val="none"/>
        </w:rPr>
      </w:pPr>
      <w:r>
        <w:rPr>
          <w:rFonts w:hint="default" w:ascii="宋体" w:hAnsi="宋体" w:eastAsia="宋体" w:cs="宋体"/>
          <w:kern w:val="2"/>
          <w:sz w:val="24"/>
          <w:szCs w:val="24"/>
          <w:lang w:val="en-US" w:eastAsia="zh-CN" w:bidi="ar-SA"/>
          <w14:ligatures w14:val="none"/>
        </w:rPr>
        <w:t>为保障项目实施落地成效，确保各项工作高效推进、精准落地，现就蹲点驻场工作相关要求明确如下：需指派2-3名专业工作人员全程蹲点驻场，驻场服务时间，具体以双方合同约定内容为准</w:t>
      </w:r>
      <w:r>
        <w:rPr>
          <w:rFonts w:hint="eastAsia" w:ascii="宋体" w:hAnsi="宋体" w:cs="宋体"/>
          <w:kern w:val="2"/>
          <w:sz w:val="24"/>
          <w:szCs w:val="24"/>
          <w:lang w:val="en-US" w:eastAsia="zh-CN" w:bidi="ar-SA"/>
          <w14:ligatures w14:val="none"/>
        </w:rPr>
        <w:t>。</w:t>
      </w:r>
      <w:r>
        <w:rPr>
          <w:rFonts w:hint="default" w:ascii="宋体" w:hAnsi="宋体" w:eastAsia="宋体" w:cs="宋体"/>
          <w:kern w:val="2"/>
          <w:sz w:val="24"/>
          <w:szCs w:val="24"/>
          <w:lang w:val="en-US" w:eastAsia="zh-CN" w:bidi="ar-SA"/>
          <w14:ligatures w14:val="none"/>
        </w:rPr>
        <w:t>驻场人员须为实际参与项目工作的核心骨干，严格坚守工作现场，全面负责现场服务、沟通协调、进度推进及问题处置等相关工作，全程在岗履职，杜绝“候鸟式”驻场、脱岗离岗等现象，确保现场工作无缝衔接、各项任务按时保质完成，切实保障项目实施质量与推进效率。</w:t>
      </w:r>
    </w:p>
    <w:p w14:paraId="11D40115">
      <w:pPr>
        <w:spacing w:line="400" w:lineRule="exact"/>
        <w:rPr>
          <w:rFonts w:ascii="宋体" w:hAnsi="宋体" w:cs="宋体"/>
          <w:b/>
          <w:bCs/>
          <w:kern w:val="0"/>
          <w:sz w:val="24"/>
          <w:lang w:bidi="ar"/>
        </w:rPr>
      </w:pPr>
      <w:bookmarkStart w:id="349" w:name="_Toc1057"/>
      <w:bookmarkStart w:id="350" w:name="_Toc25555_WPSOffice_Level2"/>
      <w:bookmarkStart w:id="351" w:name="_Toc28482_WPSOffice_Level2"/>
      <w:r>
        <w:rPr>
          <w:rFonts w:hint="eastAsia" w:ascii="宋体" w:hAnsi="宋体" w:cs="宋体"/>
          <w:b/>
          <w:bCs/>
          <w:kern w:val="0"/>
          <w:sz w:val="24"/>
          <w:lang w:bidi="ar"/>
        </w:rPr>
        <w:t>二、</w:t>
      </w:r>
      <w:bookmarkEnd w:id="349"/>
      <w:bookmarkEnd w:id="350"/>
      <w:bookmarkEnd w:id="351"/>
      <w:r>
        <w:rPr>
          <w:rFonts w:hint="eastAsia" w:ascii="宋体" w:hAnsi="宋体" w:cs="宋体"/>
          <w:b/>
          <w:bCs/>
          <w:kern w:val="0"/>
          <w:sz w:val="24"/>
          <w:lang w:bidi="ar"/>
        </w:rPr>
        <w:t>工作范围</w:t>
      </w:r>
    </w:p>
    <w:p w14:paraId="4FADD6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lang w:val="en-US" w:eastAsia="zh-CN"/>
        </w:rPr>
      </w:pPr>
      <w:bookmarkStart w:id="352" w:name="_Toc9362_WPSOffice_Level2"/>
      <w:bookmarkStart w:id="353" w:name="_Toc30425_WPSOffice_Level2"/>
      <w:bookmarkStart w:id="354" w:name="_Toc29755"/>
      <w:r>
        <w:rPr>
          <w:rFonts w:hint="eastAsia" w:ascii="宋体" w:hAnsi="宋体" w:eastAsia="宋体" w:cs="宋体"/>
          <w:kern w:val="2"/>
          <w:sz w:val="24"/>
          <w:szCs w:val="24"/>
          <w:lang w:val="en-US" w:eastAsia="zh-CN" w:bidi="ar-SA"/>
          <w14:ligatures w14:val="none"/>
        </w:rPr>
        <w:t>根据喀什市</w:t>
      </w:r>
      <w:r>
        <w:rPr>
          <w:rFonts w:hint="eastAsia" w:ascii="宋体" w:hAnsi="宋体" w:cs="宋体"/>
          <w:kern w:val="2"/>
          <w:sz w:val="24"/>
          <w:szCs w:val="24"/>
          <w:lang w:val="en-US" w:eastAsia="zh-CN" w:bidi="ar-SA"/>
          <w14:ligatures w14:val="none"/>
        </w:rPr>
        <w:t>行政区划调整、城镇开发边界调整、发展定位升级等实际</w:t>
      </w:r>
      <w:r>
        <w:rPr>
          <w:rFonts w:hint="eastAsia" w:ascii="宋体" w:hAnsi="宋体" w:eastAsia="宋体" w:cs="宋体"/>
          <w:kern w:val="2"/>
          <w:sz w:val="24"/>
          <w:szCs w:val="24"/>
          <w:lang w:val="en-US" w:eastAsia="zh-CN" w:bidi="ar-SA"/>
          <w14:ligatures w14:val="none"/>
        </w:rPr>
        <w:t>情况，对现行喀什市国土空间总体规划进行修改。规划修改主要工作内容包括:“三区三线”、“城市四线”、规划分区、中心城区用地用海规划布局、重点建设项目清单等。</w:t>
      </w:r>
    </w:p>
    <w:p w14:paraId="532ACE9A">
      <w:pPr>
        <w:spacing w:line="400" w:lineRule="exact"/>
        <w:rPr>
          <w:rFonts w:ascii="宋体" w:hAnsi="宋体" w:cs="宋体"/>
          <w:b/>
          <w:bCs/>
          <w:kern w:val="0"/>
          <w:sz w:val="24"/>
          <w:lang w:bidi="ar"/>
        </w:rPr>
      </w:pPr>
      <w:r>
        <w:rPr>
          <w:rFonts w:hint="eastAsia" w:ascii="宋体" w:hAnsi="宋体" w:cs="宋体"/>
          <w:b/>
          <w:bCs/>
          <w:kern w:val="0"/>
          <w:sz w:val="24"/>
          <w:lang w:bidi="ar"/>
        </w:rPr>
        <w:t>三、</w:t>
      </w:r>
      <w:bookmarkEnd w:id="352"/>
      <w:bookmarkEnd w:id="353"/>
      <w:bookmarkEnd w:id="354"/>
      <w:r>
        <w:rPr>
          <w:rFonts w:hint="eastAsia" w:ascii="宋体" w:hAnsi="宋体" w:cs="宋体"/>
          <w:b/>
          <w:bCs/>
          <w:kern w:val="0"/>
          <w:sz w:val="24"/>
          <w:lang w:bidi="ar"/>
        </w:rPr>
        <w:t>工作内容</w:t>
      </w:r>
    </w:p>
    <w:p w14:paraId="274A25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kern w:val="2"/>
          <w:sz w:val="24"/>
          <w:szCs w:val="24"/>
          <w:lang w:val="en-US" w:eastAsia="zh-CN" w:bidi="ar-SA"/>
          <w14:ligatures w14:val="none"/>
        </w:rPr>
      </w:pPr>
      <w:bookmarkStart w:id="355" w:name="_Toc31714_WPSOffice_Level2"/>
      <w:bookmarkStart w:id="356" w:name="_Toc21514_WPSOffice_Level2"/>
      <w:r>
        <w:rPr>
          <w:rFonts w:hint="default" w:ascii="Times New Roman" w:hAnsi="Times New Roman" w:eastAsia="宋体" w:cs="Times New Roman"/>
          <w:kern w:val="2"/>
          <w:sz w:val="24"/>
          <w:szCs w:val="24"/>
          <w:lang w:val="en-US" w:eastAsia="zh-CN" w:bidi="ar-SA"/>
          <w14:ligatures w14:val="none"/>
        </w:rPr>
        <w:t>结合喀什市国土空间规划实施推进的具体情况，</w:t>
      </w:r>
      <w:r>
        <w:rPr>
          <w:rFonts w:hint="eastAsia" w:cs="Times New Roman"/>
          <w:kern w:val="2"/>
          <w:sz w:val="24"/>
          <w:szCs w:val="24"/>
          <w:lang w:val="en-US" w:eastAsia="zh-CN" w:bidi="ar-SA"/>
          <w14:ligatures w14:val="none"/>
        </w:rPr>
        <w:t>具体工作</w:t>
      </w:r>
      <w:r>
        <w:rPr>
          <w:rFonts w:hint="default" w:ascii="Times New Roman" w:hAnsi="Times New Roman" w:eastAsia="宋体" w:cs="Times New Roman"/>
          <w:kern w:val="2"/>
          <w:sz w:val="24"/>
          <w:szCs w:val="24"/>
          <w:lang w:val="en-US" w:eastAsia="zh-CN" w:bidi="ar-SA"/>
          <w14:ligatures w14:val="none"/>
        </w:rPr>
        <w:t>内容如下:</w:t>
      </w:r>
    </w:p>
    <w:p w14:paraId="28E59E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kern w:val="2"/>
          <w:sz w:val="24"/>
          <w:szCs w:val="24"/>
          <w:lang w:val="en-US" w:eastAsia="zh-CN" w:bidi="ar-SA"/>
          <w14:ligatures w14:val="none"/>
        </w:rPr>
      </w:pPr>
      <w:r>
        <w:rPr>
          <w:rFonts w:hint="default" w:ascii="Times New Roman" w:hAnsi="Times New Roman" w:eastAsia="宋体" w:cs="Times New Roman"/>
          <w:kern w:val="2"/>
          <w:sz w:val="24"/>
          <w:szCs w:val="24"/>
          <w:lang w:val="en-US" w:eastAsia="zh-CN" w:bidi="ar-SA"/>
          <w14:ligatures w14:val="none"/>
        </w:rPr>
        <w:t>针对国土空间总体规划的约束性指标或战略目标、发展格局进行的重大调整，涉及规划主体内容的深层变动，修改的内容涉及总体规划的核心目标、主要指标、总体格局、主要内容、规划布局、重要控制线等核心内容的修改，修改前必须完成详尽的修改背景与必要性论证，并开展全面的修改后规划实施影响评估。</w:t>
      </w:r>
    </w:p>
    <w:p w14:paraId="5181E5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lang w:val="en-US" w:eastAsia="zh-CN"/>
        </w:rPr>
      </w:pPr>
      <w:r>
        <w:rPr>
          <w:rFonts w:hint="default" w:ascii="Times New Roman" w:hAnsi="Times New Roman" w:eastAsia="宋体" w:cs="Times New Roman"/>
          <w:kern w:val="2"/>
          <w:sz w:val="24"/>
          <w:szCs w:val="24"/>
          <w:lang w:val="en-US" w:eastAsia="zh-CN" w:bidi="ar-SA"/>
          <w14:ligatures w14:val="none"/>
        </w:rPr>
        <w:t>以城市更新为着力点统筹推进相关工作，在路网优化、基础设施配建等方面，要坚持现场服务、现场核实，严格落实拍照留痕要求，杜绝“候鸟式”工作模式，确保道路宽度与现场实际情况保持一致。</w:t>
      </w:r>
    </w:p>
    <w:p w14:paraId="3C7F092A">
      <w:pPr>
        <w:spacing w:line="400" w:lineRule="exact"/>
        <w:rPr>
          <w:rFonts w:ascii="宋体" w:hAnsi="宋体" w:cs="宋体"/>
          <w:b/>
          <w:bCs/>
          <w:kern w:val="0"/>
          <w:sz w:val="24"/>
          <w:lang w:bidi="ar"/>
        </w:rPr>
      </w:pPr>
      <w:r>
        <w:rPr>
          <w:rFonts w:hint="eastAsia" w:ascii="宋体" w:hAnsi="宋体" w:cs="宋体"/>
          <w:b/>
          <w:bCs/>
          <w:kern w:val="0"/>
          <w:sz w:val="24"/>
          <w:lang w:bidi="ar"/>
        </w:rPr>
        <w:t>四、工作成果</w:t>
      </w:r>
      <w:bookmarkEnd w:id="355"/>
      <w:bookmarkEnd w:id="356"/>
    </w:p>
    <w:p w14:paraId="1A65DD3D">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说明书、文本、图集20套(中间成果不受此限)，储存有全套电子设计成果的U盘10个，光盘10个</w:t>
      </w:r>
      <w:r>
        <w:rPr>
          <w:rFonts w:hint="eastAsia" w:ascii="宋体" w:hAnsi="宋体" w:cs="宋体"/>
          <w:sz w:val="24"/>
          <w:lang w:eastAsia="zh-CN"/>
        </w:rPr>
        <w:t>；</w:t>
      </w:r>
      <w:r>
        <w:rPr>
          <w:rFonts w:hint="eastAsia" w:ascii="宋体" w:hAnsi="宋体" w:cs="宋体"/>
          <w:sz w:val="24"/>
        </w:rPr>
        <w:t>方案汇报演示系统光盘1套</w:t>
      </w:r>
      <w:r>
        <w:rPr>
          <w:rFonts w:hint="eastAsia" w:ascii="宋体" w:hAnsi="宋体" w:cs="宋体"/>
          <w:sz w:val="24"/>
          <w:lang w:eastAsia="zh-CN"/>
        </w:rPr>
        <w:t>；</w:t>
      </w:r>
      <w:r>
        <w:rPr>
          <w:rFonts w:hint="eastAsia" w:ascii="宋体" w:hAnsi="宋体" w:cs="宋体"/>
          <w:sz w:val="24"/>
        </w:rPr>
        <w:t>数据库文件1套</w:t>
      </w:r>
      <w:r>
        <w:rPr>
          <w:rFonts w:hint="eastAsia" w:ascii="宋体" w:hAnsi="宋体" w:cs="宋体"/>
          <w:sz w:val="24"/>
          <w:lang w:eastAsia="zh-CN"/>
        </w:rPr>
        <w:t>。</w:t>
      </w:r>
    </w:p>
    <w:p w14:paraId="00A52228">
      <w:pPr>
        <w:spacing w:line="400" w:lineRule="exact"/>
        <w:ind w:firstLine="480" w:firstLineChars="200"/>
        <w:rPr>
          <w:rFonts w:ascii="宋体" w:hAnsi="宋体" w:cs="宋体"/>
          <w:sz w:val="24"/>
        </w:rPr>
      </w:pPr>
      <w:r>
        <w:rPr>
          <w:rFonts w:hint="eastAsia" w:ascii="宋体" w:hAnsi="宋体" w:cs="宋体"/>
          <w:sz w:val="24"/>
        </w:rPr>
        <w:t>1、质量要求：符合招标文件规定的技术标准及现行法律法规、规范及地方规章，确保通过招标人验收。</w:t>
      </w:r>
    </w:p>
    <w:p w14:paraId="01581961">
      <w:pPr>
        <w:spacing w:line="400" w:lineRule="exact"/>
        <w:ind w:firstLine="480" w:firstLineChars="200"/>
        <w:rPr>
          <w:rFonts w:ascii="宋体" w:hAnsi="宋体" w:cs="宋体"/>
          <w:sz w:val="24"/>
        </w:rPr>
      </w:pPr>
      <w:r>
        <w:rPr>
          <w:rFonts w:hint="eastAsia" w:ascii="宋体" w:hAnsi="宋体" w:cs="宋体"/>
          <w:sz w:val="24"/>
        </w:rPr>
        <w:t>2、知识产权：中标人应保证招标人不受到第三方关于侵犯知识产权的指控，任何第三方如果提出侵权指控，中标人应与第三方交涉并承担可能发生的一切法律责任以及造成的后果和费用，并赔偿招标人的损失。</w:t>
      </w:r>
    </w:p>
    <w:p w14:paraId="09562E2C">
      <w:pPr>
        <w:spacing w:line="400" w:lineRule="exact"/>
        <w:ind w:firstLine="480" w:firstLineChars="200"/>
        <w:rPr>
          <w:rFonts w:hint="eastAsia"/>
        </w:rPr>
      </w:pPr>
      <w:r>
        <w:rPr>
          <w:rFonts w:hint="eastAsia" w:ascii="宋体" w:hAnsi="宋体" w:cs="宋体"/>
          <w:sz w:val="24"/>
        </w:rPr>
        <w:t>3、成果资料：归招标人所有，中标人不得以任何形式向招标人以外的任何单位和个人提供成果资料，如有违反必须赔偿招标人的损失。</w:t>
      </w:r>
    </w:p>
    <w:p w14:paraId="6F90E091">
      <w:pPr>
        <w:spacing w:line="400" w:lineRule="exact"/>
        <w:rPr>
          <w:rFonts w:ascii="宋体" w:hAnsi="宋体" w:cs="宋体"/>
          <w:b/>
          <w:bCs/>
          <w:kern w:val="0"/>
          <w:sz w:val="24"/>
          <w:highlight w:val="none"/>
          <w:lang w:bidi="ar"/>
        </w:rPr>
      </w:pPr>
      <w:bookmarkStart w:id="357" w:name="_Toc31530_WPSOffice_Level2"/>
      <w:bookmarkStart w:id="358" w:name="_Toc23197_WPSOffice_Level2"/>
      <w:bookmarkStart w:id="359" w:name="_Toc18498"/>
      <w:r>
        <w:rPr>
          <w:rFonts w:hint="eastAsia" w:ascii="宋体" w:hAnsi="宋体" w:cs="宋体"/>
          <w:b/>
          <w:bCs/>
          <w:kern w:val="0"/>
          <w:sz w:val="24"/>
          <w:highlight w:val="none"/>
          <w:lang w:bidi="ar"/>
        </w:rPr>
        <w:t>五、</w:t>
      </w:r>
      <w:bookmarkEnd w:id="347"/>
      <w:bookmarkEnd w:id="357"/>
      <w:bookmarkEnd w:id="358"/>
      <w:bookmarkStart w:id="360" w:name="_Toc15971_WPSOffice_Level2"/>
      <w:bookmarkStart w:id="361" w:name="_Toc24324_WPSOffice_Level2"/>
      <w:r>
        <w:rPr>
          <w:rFonts w:hint="eastAsia" w:ascii="宋体" w:hAnsi="宋体" w:cs="宋体"/>
          <w:b/>
          <w:bCs/>
          <w:kern w:val="0"/>
          <w:sz w:val="24"/>
          <w:highlight w:val="none"/>
          <w:lang w:bidi="ar"/>
        </w:rPr>
        <w:t>服务期限</w:t>
      </w:r>
      <w:bookmarkEnd w:id="359"/>
      <w:bookmarkEnd w:id="360"/>
      <w:bookmarkEnd w:id="361"/>
    </w:p>
    <w:p w14:paraId="4F46C1D9">
      <w:pPr>
        <w:spacing w:line="400" w:lineRule="exact"/>
        <w:ind w:firstLine="480" w:firstLineChars="200"/>
        <w:rPr>
          <w:rFonts w:hint="eastAsia"/>
        </w:rPr>
      </w:pPr>
      <w:bookmarkStart w:id="362" w:name="_Toc18754_WPSOffice_Level2"/>
      <w:bookmarkStart w:id="363" w:name="_Toc26228_WPSOffice_Level2"/>
      <w:r>
        <w:rPr>
          <w:rFonts w:hint="eastAsia" w:ascii="宋体" w:hAnsi="宋体" w:cs="宋体"/>
          <w:sz w:val="24"/>
          <w:lang w:eastAsia="zh-CN"/>
        </w:rPr>
        <w:t>自合同签订之日起至规划成果入库之日止</w:t>
      </w:r>
      <w:r>
        <w:rPr>
          <w:rFonts w:hint="eastAsia" w:ascii="宋体" w:hAnsi="宋体" w:cs="宋体"/>
          <w:sz w:val="24"/>
        </w:rPr>
        <w:t>。（具体以最终签订为主）</w:t>
      </w:r>
    </w:p>
    <w:bookmarkEnd w:id="362"/>
    <w:bookmarkEnd w:id="363"/>
    <w:p w14:paraId="01E8ABA0">
      <w:pPr>
        <w:spacing w:line="400" w:lineRule="exact"/>
        <w:rPr>
          <w:rFonts w:ascii="宋体" w:hAnsi="宋体" w:cs="宋体"/>
          <w:b/>
          <w:bCs/>
          <w:kern w:val="0"/>
          <w:sz w:val="24"/>
          <w:highlight w:val="none"/>
          <w:lang w:bidi="ar"/>
        </w:rPr>
      </w:pPr>
      <w:r>
        <w:rPr>
          <w:rFonts w:hint="eastAsia" w:ascii="宋体" w:hAnsi="宋体" w:cs="宋体"/>
          <w:b/>
          <w:bCs/>
          <w:kern w:val="0"/>
          <w:sz w:val="24"/>
          <w:highlight w:val="none"/>
          <w:lang w:bidi="ar"/>
        </w:rPr>
        <w:t>六、付款方式</w:t>
      </w:r>
    </w:p>
    <w:bookmarkEnd w:id="348"/>
    <w:p w14:paraId="665C6C7F">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第一次：合同签订后15个工作日内，甲方支付设计费总额的30％。</w:t>
      </w:r>
    </w:p>
    <w:p w14:paraId="41019550">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第二次：通过规委会审查后15个工作日内，甲方支付设计费总额的30％。</w:t>
      </w:r>
    </w:p>
    <w:p w14:paraId="3E299655">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第三次：获得批复后15个工作日内，甲方支付设计费总额的35％。</w:t>
      </w:r>
    </w:p>
    <w:p w14:paraId="78E34D72">
      <w:pPr>
        <w:spacing w:line="40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第四次：规划成果入库完成后15个工作日内，甲方支付设计费总额的5％。（具体以最终签订为主）。</w:t>
      </w:r>
    </w:p>
    <w:p w14:paraId="73172898">
      <w:pPr>
        <w:rPr>
          <w:rFonts w:hint="default" w:ascii="Times New Roman" w:hAnsi="Times New Roman" w:cs="Times New Roman"/>
          <w:color w:val="0000FF"/>
        </w:rPr>
      </w:pPr>
    </w:p>
    <w:p w14:paraId="1669D0F8">
      <w:pPr>
        <w:pStyle w:val="10"/>
        <w:rPr>
          <w:rFonts w:hint="default" w:ascii="Times New Roman" w:hAnsi="Times New Roman" w:cs="Times New Roman"/>
          <w:color w:val="0000FF"/>
        </w:rPr>
      </w:pPr>
    </w:p>
    <w:p w14:paraId="4FC567EF">
      <w:pPr>
        <w:pStyle w:val="10"/>
        <w:rPr>
          <w:rFonts w:hint="default" w:ascii="Times New Roman" w:hAnsi="Times New Roman" w:cs="Times New Roman"/>
          <w:color w:val="0000FF"/>
        </w:rPr>
      </w:pPr>
    </w:p>
    <w:p w14:paraId="7115D92A">
      <w:pPr>
        <w:pStyle w:val="10"/>
        <w:rPr>
          <w:rFonts w:hint="default" w:ascii="Times New Roman" w:hAnsi="Times New Roman" w:cs="Times New Roman"/>
          <w:color w:val="0000FF"/>
        </w:rPr>
      </w:pPr>
    </w:p>
    <w:p w14:paraId="40074FC6">
      <w:pPr>
        <w:pStyle w:val="10"/>
        <w:rPr>
          <w:rFonts w:hint="default" w:ascii="Times New Roman" w:hAnsi="Times New Roman" w:cs="Times New Roman"/>
          <w:color w:val="0000FF"/>
        </w:rPr>
      </w:pPr>
    </w:p>
    <w:p w14:paraId="1A4EFD31">
      <w:pPr>
        <w:pStyle w:val="10"/>
        <w:rPr>
          <w:rFonts w:hint="default" w:ascii="Times New Roman" w:hAnsi="Times New Roman" w:cs="Times New Roman"/>
          <w:color w:val="0000FF"/>
        </w:rPr>
      </w:pPr>
    </w:p>
    <w:p w14:paraId="4345DD92">
      <w:pPr>
        <w:pStyle w:val="10"/>
        <w:rPr>
          <w:rFonts w:hint="default" w:ascii="Times New Roman" w:hAnsi="Times New Roman" w:cs="Times New Roman"/>
          <w:color w:val="0000FF"/>
        </w:rPr>
      </w:pPr>
    </w:p>
    <w:p w14:paraId="244A11C6">
      <w:pPr>
        <w:pStyle w:val="10"/>
        <w:rPr>
          <w:rFonts w:hint="default" w:ascii="Times New Roman" w:hAnsi="Times New Roman" w:cs="Times New Roman"/>
          <w:color w:val="0000FF"/>
        </w:rPr>
      </w:pPr>
    </w:p>
    <w:p w14:paraId="254FEFE2">
      <w:pPr>
        <w:pStyle w:val="10"/>
        <w:rPr>
          <w:rFonts w:hint="default" w:ascii="Times New Roman" w:hAnsi="Times New Roman" w:cs="Times New Roman"/>
          <w:color w:val="0000FF"/>
        </w:rPr>
      </w:pPr>
    </w:p>
    <w:p w14:paraId="6CE57521">
      <w:pPr>
        <w:pStyle w:val="10"/>
        <w:rPr>
          <w:rFonts w:hint="default" w:ascii="Times New Roman" w:hAnsi="Times New Roman" w:cs="Times New Roman"/>
          <w:color w:val="0000FF"/>
        </w:rPr>
      </w:pPr>
    </w:p>
    <w:p w14:paraId="44415461">
      <w:pPr>
        <w:pStyle w:val="10"/>
        <w:rPr>
          <w:rFonts w:hint="default" w:ascii="Times New Roman" w:hAnsi="Times New Roman" w:cs="Times New Roman"/>
          <w:color w:val="0000FF"/>
        </w:rPr>
      </w:pPr>
    </w:p>
    <w:p w14:paraId="4184268E">
      <w:pPr>
        <w:pStyle w:val="10"/>
        <w:rPr>
          <w:rFonts w:hint="default" w:ascii="Times New Roman" w:hAnsi="Times New Roman" w:cs="Times New Roman"/>
          <w:color w:val="0000FF"/>
        </w:rPr>
      </w:pPr>
    </w:p>
    <w:p w14:paraId="5CD3D5AD">
      <w:pPr>
        <w:pStyle w:val="10"/>
        <w:rPr>
          <w:rFonts w:hint="default" w:ascii="Times New Roman" w:hAnsi="Times New Roman" w:cs="Times New Roman"/>
          <w:color w:val="0000FF"/>
        </w:rPr>
      </w:pPr>
    </w:p>
    <w:p w14:paraId="7F089991">
      <w:pPr>
        <w:pStyle w:val="10"/>
        <w:rPr>
          <w:rFonts w:hint="default" w:ascii="Times New Roman" w:hAnsi="Times New Roman" w:cs="Times New Roman"/>
          <w:color w:val="0000FF"/>
        </w:rPr>
      </w:pPr>
    </w:p>
    <w:p w14:paraId="09EA36B0">
      <w:pPr>
        <w:pStyle w:val="10"/>
        <w:rPr>
          <w:rFonts w:hint="default" w:ascii="Times New Roman" w:hAnsi="Times New Roman" w:cs="Times New Roman"/>
          <w:color w:val="0000FF"/>
        </w:rPr>
      </w:pPr>
    </w:p>
    <w:p w14:paraId="7CD7815D">
      <w:pPr>
        <w:pStyle w:val="10"/>
        <w:rPr>
          <w:rFonts w:hint="default" w:ascii="Times New Roman" w:hAnsi="Times New Roman" w:cs="Times New Roman"/>
          <w:color w:val="0000FF"/>
        </w:rPr>
      </w:pPr>
    </w:p>
    <w:p w14:paraId="42A9E20F">
      <w:pPr>
        <w:pStyle w:val="10"/>
        <w:rPr>
          <w:rFonts w:hint="default" w:ascii="Times New Roman" w:hAnsi="Times New Roman" w:cs="Times New Roman"/>
          <w:color w:val="0000FF"/>
        </w:rPr>
      </w:pPr>
    </w:p>
    <w:p w14:paraId="72624DCC">
      <w:pPr>
        <w:pStyle w:val="10"/>
        <w:rPr>
          <w:rFonts w:hint="default" w:ascii="Times New Roman" w:hAnsi="Times New Roman" w:cs="Times New Roman"/>
          <w:color w:val="0000FF"/>
        </w:rPr>
      </w:pPr>
    </w:p>
    <w:p w14:paraId="08056784">
      <w:pPr>
        <w:pStyle w:val="10"/>
        <w:rPr>
          <w:rFonts w:hint="default" w:ascii="Times New Roman" w:hAnsi="Times New Roman" w:cs="Times New Roman"/>
          <w:color w:val="0000FF"/>
        </w:rPr>
      </w:pPr>
    </w:p>
    <w:p w14:paraId="79141A3E">
      <w:pPr>
        <w:pStyle w:val="10"/>
        <w:rPr>
          <w:rFonts w:hint="default" w:ascii="Times New Roman" w:hAnsi="Times New Roman" w:cs="Times New Roman"/>
          <w:color w:val="0000FF"/>
        </w:rPr>
      </w:pPr>
    </w:p>
    <w:p w14:paraId="1B4DB597">
      <w:pPr>
        <w:pStyle w:val="10"/>
        <w:rPr>
          <w:rFonts w:hint="default" w:ascii="Times New Roman" w:hAnsi="Times New Roman" w:cs="Times New Roman"/>
          <w:color w:val="0000FF"/>
        </w:rPr>
      </w:pPr>
    </w:p>
    <w:p w14:paraId="00562B64">
      <w:pPr>
        <w:pStyle w:val="10"/>
        <w:rPr>
          <w:rFonts w:hint="default" w:ascii="Times New Roman" w:hAnsi="Times New Roman" w:cs="Times New Roman"/>
          <w:color w:val="0000FF"/>
        </w:rPr>
      </w:pPr>
    </w:p>
    <w:p w14:paraId="17ACFCD6">
      <w:pPr>
        <w:pStyle w:val="10"/>
        <w:rPr>
          <w:rFonts w:hint="default" w:ascii="Times New Roman" w:hAnsi="Times New Roman" w:cs="Times New Roman"/>
          <w:color w:val="0000FF"/>
        </w:rPr>
      </w:pPr>
    </w:p>
    <w:p w14:paraId="49357118">
      <w:pPr>
        <w:pStyle w:val="2"/>
        <w:numPr>
          <w:ilvl w:val="0"/>
          <w:numId w:val="6"/>
        </w:numPr>
        <w:tabs>
          <w:tab w:val="left" w:pos="0"/>
        </w:tabs>
        <w:spacing w:before="0" w:after="0" w:line="240" w:lineRule="atLeas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评标方法和标准</w:t>
      </w:r>
    </w:p>
    <w:p w14:paraId="3CA49CF3">
      <w:pPr>
        <w:pStyle w:val="10"/>
        <w:keepNext w:val="0"/>
        <w:keepLines w:val="0"/>
        <w:pageBreakBefore w:val="0"/>
        <w:numPr>
          <w:ilvl w:val="0"/>
          <w:numId w:val="0"/>
        </w:numPr>
        <w:tabs>
          <w:tab w:val="clear" w:pos="567"/>
        </w:tabs>
        <w:kinsoku/>
        <w:wordWrap/>
        <w:overflowPunct/>
        <w:topLinePunct w:val="0"/>
        <w:bidi w:val="0"/>
        <w:adjustRightInd/>
        <w:spacing w:before="0" w:line="400" w:lineRule="exact"/>
        <w:ind w:firstLine="480" w:firstLineChars="200"/>
        <w:jc w:val="left"/>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本项目将按照</w:t>
      </w:r>
      <w:r>
        <w:rPr>
          <w:rFonts w:hint="eastAsia" w:ascii="宋体" w:hAnsi="宋体" w:eastAsia="宋体" w:cs="宋体"/>
          <w:b w:val="0"/>
          <w:bCs w:val="0"/>
          <w:color w:val="auto"/>
          <w:highlight w:val="none"/>
          <w:lang w:eastAsia="zh-CN"/>
        </w:rPr>
        <w:t>招标文件</w:t>
      </w:r>
      <w:r>
        <w:rPr>
          <w:rFonts w:hint="eastAsia" w:ascii="宋体" w:hAnsi="宋体" w:eastAsia="宋体" w:cs="宋体"/>
          <w:b w:val="0"/>
          <w:bCs w:val="0"/>
          <w:color w:val="auto"/>
          <w:highlight w:val="none"/>
        </w:rPr>
        <w:t>第一章</w:t>
      </w:r>
      <w:r>
        <w:rPr>
          <w:rFonts w:hint="eastAsia" w:cs="宋体"/>
          <w:b w:val="0"/>
          <w:bCs w:val="0"/>
          <w:color w:val="auto"/>
          <w:highlight w:val="none"/>
          <w:lang w:eastAsia="zh-CN"/>
        </w:rPr>
        <w:t>投标人</w:t>
      </w:r>
      <w:r>
        <w:rPr>
          <w:rFonts w:hint="eastAsia" w:ascii="宋体" w:hAnsi="宋体" w:eastAsia="宋体" w:cs="宋体"/>
          <w:b w:val="0"/>
          <w:bCs w:val="0"/>
          <w:color w:val="auto"/>
          <w:highlight w:val="none"/>
        </w:rPr>
        <w:t xml:space="preserve">须知中“五 </w:t>
      </w:r>
      <w:r>
        <w:rPr>
          <w:rFonts w:hint="eastAsia" w:ascii="宋体" w:hAnsi="宋体" w:eastAsia="宋体" w:cs="宋体"/>
          <w:b w:val="0"/>
          <w:bCs w:val="0"/>
          <w:color w:val="auto"/>
          <w:highlight w:val="none"/>
          <w:lang w:val="en-US" w:eastAsia="zh-CN"/>
        </w:rPr>
        <w:t>招标</w:t>
      </w:r>
      <w:r>
        <w:rPr>
          <w:rFonts w:hint="eastAsia" w:ascii="宋体" w:hAnsi="宋体" w:eastAsia="宋体" w:cs="宋体"/>
          <w:b w:val="0"/>
          <w:bCs w:val="0"/>
          <w:color w:val="auto"/>
          <w:highlight w:val="none"/>
        </w:rPr>
        <w:t>开启及评审”、“六 确定</w:t>
      </w:r>
      <w:r>
        <w:rPr>
          <w:rFonts w:hint="eastAsia" w:ascii="宋体" w:hAnsi="宋体" w:eastAsia="宋体" w:cs="宋体"/>
          <w:b w:val="0"/>
          <w:bCs w:val="0"/>
          <w:color w:val="auto"/>
          <w:highlight w:val="none"/>
          <w:lang w:eastAsia="zh-CN"/>
        </w:rPr>
        <w:t>中标</w:t>
      </w:r>
      <w:r>
        <w:rPr>
          <w:rFonts w:hint="eastAsia" w:ascii="宋体" w:hAnsi="宋体" w:eastAsia="宋体" w:cs="宋体"/>
          <w:b w:val="0"/>
          <w:bCs w:val="0"/>
          <w:color w:val="auto"/>
          <w:highlight w:val="none"/>
        </w:rPr>
        <w:t>”及本章的规定评标。</w:t>
      </w:r>
    </w:p>
    <w:p w14:paraId="04525D40">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caps w:val="0"/>
          <w:color w:val="auto"/>
          <w:spacing w:val="0"/>
          <w:kern w:val="0"/>
          <w:sz w:val="24"/>
          <w:szCs w:val="24"/>
          <w:highlight w:val="none"/>
          <w:lang w:val="en-US" w:eastAsia="zh-CN" w:bidi="ar"/>
        </w:rPr>
        <w:t>项目基本情况</w:t>
      </w:r>
    </w:p>
    <w:p w14:paraId="463AFDB5">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cs="宋体"/>
          <w:color w:val="auto"/>
          <w:sz w:val="24"/>
          <w:highlight w:val="none"/>
          <w:lang w:val="en-US" w:eastAsia="zh-CN"/>
        </w:rPr>
        <w:t>喀什市国土空间总体规划（2025-2035年）修编（含经开区）项目</w:t>
      </w:r>
      <w:r>
        <w:rPr>
          <w:rFonts w:hint="eastAsia" w:ascii="宋体" w:hAnsi="宋体" w:eastAsia="宋体" w:cs="宋体"/>
          <w:color w:val="auto"/>
          <w:sz w:val="24"/>
          <w:highlight w:val="none"/>
          <w:lang w:val="en-US" w:eastAsia="zh-CN"/>
        </w:rPr>
        <w:t xml:space="preserve">        </w:t>
      </w:r>
    </w:p>
    <w:p w14:paraId="116FF14E">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z w:val="24"/>
          <w:highlight w:val="none"/>
          <w:lang w:val="en-US" w:eastAsia="zh-CN"/>
        </w:rPr>
        <w:t>https://www.zcygov.cn在线投标</w:t>
      </w:r>
    </w:p>
    <w:p w14:paraId="28589668">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采购方式：公开招标</w:t>
      </w:r>
    </w:p>
    <w:p w14:paraId="09B11D15">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评标办法：综合评分法</w:t>
      </w:r>
    </w:p>
    <w:p w14:paraId="7818F37C">
      <w:pPr>
        <w:keepNext w:val="0"/>
        <w:keepLines w:val="0"/>
        <w:pageBreakBefore w:val="0"/>
        <w:numPr>
          <w:ilvl w:val="0"/>
          <w:numId w:val="0"/>
        </w:numPr>
        <w:kinsoku/>
        <w:wordWrap/>
        <w:overflowPunct/>
        <w:topLinePunct w:val="0"/>
        <w:bidi w:val="0"/>
        <w:adjustRightInd/>
        <w:spacing w:line="400" w:lineRule="exact"/>
        <w:ind w:leftChars="0" w:firstLine="480" w:firstLineChars="200"/>
        <w:textAlignment w:val="auto"/>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是指投标文件满足招标文件全部实质性要求且按评审因素的量化指标评审得分最高的</w:t>
      </w:r>
      <w:r>
        <w:rPr>
          <w:rFonts w:hint="eastAsia" w:ascii="宋体" w:hAnsi="宋体" w:cs="宋体"/>
          <w:b w:val="0"/>
          <w:bCs w:val="0"/>
          <w:color w:val="auto"/>
          <w:sz w:val="24"/>
          <w:highlight w:val="none"/>
          <w:lang w:val="en-US" w:eastAsia="zh-CN"/>
        </w:rPr>
        <w:t>投标人</w:t>
      </w:r>
      <w:r>
        <w:rPr>
          <w:rFonts w:hint="eastAsia" w:ascii="宋体" w:hAnsi="宋体" w:eastAsia="宋体" w:cs="宋体"/>
          <w:b w:val="0"/>
          <w:bCs w:val="0"/>
          <w:color w:val="auto"/>
          <w:sz w:val="24"/>
          <w:highlight w:val="none"/>
          <w:lang w:eastAsia="zh-CN"/>
        </w:rPr>
        <w:t>为中标候选单位的评审方法。</w:t>
      </w:r>
    </w:p>
    <w:p w14:paraId="14BA24F4">
      <w:pPr>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拒绝接收投标文件的情形</w:t>
      </w:r>
    </w:p>
    <w:p w14:paraId="53738270">
      <w:pPr>
        <w:keepNext w:val="0"/>
        <w:keepLines w:val="0"/>
        <w:pageBreakBefore w:val="0"/>
        <w:kinsoku/>
        <w:wordWrap/>
        <w:overflowPunct/>
        <w:topLinePunct w:val="0"/>
        <w:bidi w:val="0"/>
        <w:adjustRightIn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截止时间后</w:t>
      </w:r>
      <w:r>
        <w:rPr>
          <w:rFonts w:hint="eastAsia" w:ascii="宋体" w:hAnsi="宋体" w:eastAsia="宋体" w:cs="宋体"/>
          <w:b w:val="0"/>
          <w:bCs w:val="0"/>
          <w:color w:val="auto"/>
          <w:sz w:val="24"/>
          <w:szCs w:val="24"/>
          <w:highlight w:val="none"/>
          <w:lang w:val="en-US" w:eastAsia="zh-CN"/>
        </w:rPr>
        <w:t>上传</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的，采购人和采购代理机构将拒绝</w:t>
      </w:r>
      <w:r>
        <w:rPr>
          <w:rFonts w:hint="eastAsia" w:ascii="宋体" w:hAnsi="宋体" w:eastAsia="宋体" w:cs="宋体"/>
          <w:b w:val="0"/>
          <w:bCs w:val="0"/>
          <w:color w:val="auto"/>
          <w:sz w:val="24"/>
          <w:szCs w:val="24"/>
          <w:highlight w:val="none"/>
          <w:lang w:val="en-US" w:eastAsia="zh-CN"/>
        </w:rPr>
        <w:t>签</w:t>
      </w:r>
      <w:r>
        <w:rPr>
          <w:rFonts w:hint="eastAsia" w:ascii="宋体" w:hAnsi="宋体" w:eastAsia="宋体" w:cs="宋体"/>
          <w:b w:val="0"/>
          <w:bCs w:val="0"/>
          <w:color w:val="auto"/>
          <w:sz w:val="24"/>
          <w:szCs w:val="24"/>
          <w:highlight w:val="none"/>
        </w:rPr>
        <w:t>收。</w:t>
      </w:r>
    </w:p>
    <w:p w14:paraId="4DAD4B8C">
      <w:pPr>
        <w:keepNext w:val="0"/>
        <w:keepLines w:val="0"/>
        <w:pageBreakBefore w:val="0"/>
        <w:numPr>
          <w:ilvl w:val="0"/>
          <w:numId w:val="0"/>
        </w:numPr>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14:paraId="34500F25">
      <w:pPr>
        <w:keepNext w:val="0"/>
        <w:keepLines w:val="0"/>
        <w:pageBreakBefore w:val="0"/>
        <w:numPr>
          <w:ilvl w:val="0"/>
          <w:numId w:val="0"/>
        </w:numPr>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14:paraId="101842E7">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highlight w:val="none"/>
        </w:rPr>
        <w:t>无效的情形：</w:t>
      </w:r>
    </w:p>
    <w:p w14:paraId="76DFDEDE">
      <w:pPr>
        <w:keepNext w:val="0"/>
        <w:keepLines w:val="0"/>
        <w:pageBreakBefore w:val="0"/>
        <w:widowControl w:val="0"/>
        <w:numPr>
          <w:ilvl w:val="0"/>
          <w:numId w:val="0"/>
        </w:numPr>
        <w:kinsoku/>
        <w:wordWrap/>
        <w:overflowPunct/>
        <w:topLinePunct w:val="0"/>
        <w:bidi w:val="0"/>
        <w:adjustRightInd/>
        <w:snapToGrid/>
        <w:spacing w:line="400" w:lineRule="exact"/>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采购人或采购代理机构将在</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开启前1个工作日至递交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w:t>
      </w:r>
      <w:r>
        <w:rPr>
          <w:rFonts w:hint="eastAsia" w:ascii="宋体" w:hAnsi="宋体" w:eastAsia="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rPr>
        <w:t>查询</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的信用记录。</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存在不良信用记录的，其</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资格将被认定为无效。</w:t>
      </w:r>
    </w:p>
    <w:p w14:paraId="546EFD5C">
      <w:pPr>
        <w:keepNext w:val="0"/>
        <w:keepLines w:val="0"/>
        <w:pageBreakBefore w:val="0"/>
        <w:widowControl w:val="0"/>
        <w:kinsoku/>
        <w:wordWrap/>
        <w:overflowPunct/>
        <w:topLinePunct w:val="0"/>
        <w:bidi w:val="0"/>
        <w:adjustRightInd/>
        <w:snapToGrid/>
        <w:spacing w:line="400" w:lineRule="exact"/>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在比较与评价之前，根据本须知的规定，</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要审查每份</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是否实质上响应了</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的要求。实质上响应的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应该是与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要求的全部条款、条件和规格相符，没有重大偏离的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。对关键条款的偏离，将被认定为无效。</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不得通过修正或撤销不符合要求的偏离，从而使其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成为实质上响应的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6BDA4F4B">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未按</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规定的形式和金额提交</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保证金的；</w:t>
      </w:r>
    </w:p>
    <w:p w14:paraId="607036BD">
      <w:pPr>
        <w:keepNext w:val="0"/>
        <w:keepLines w:val="0"/>
        <w:pageBreakBefore w:val="0"/>
        <w:tabs>
          <w:tab w:val="left" w:pos="817"/>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未按照</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规定要求签署、盖章的；</w:t>
      </w:r>
    </w:p>
    <w:p w14:paraId="683BC36E">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未满足</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中技术条款的实质性要求；</w:t>
      </w:r>
    </w:p>
    <w:p w14:paraId="015DA768">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与其他</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，或者与采购人串通参加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261CDDCD">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规定的其他无效情形；</w:t>
      </w:r>
    </w:p>
    <w:p w14:paraId="042FAC7A">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认为</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的报价明显低于其他通过符合性检查</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的报价，有可能影响履约的，且</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未按照规定证明其报价合理性的；</w:t>
      </w:r>
    </w:p>
    <w:p w14:paraId="12ABE209">
      <w:pPr>
        <w:keepNext w:val="0"/>
        <w:keepLines w:val="0"/>
        <w:pageBreakBefore w:val="0"/>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含有采购人不能接受的附加条件的；</w:t>
      </w:r>
    </w:p>
    <w:p w14:paraId="56AAA0FD">
      <w:pPr>
        <w:keepNext w:val="0"/>
        <w:keepLines w:val="0"/>
        <w:pageBreakBefore w:val="0"/>
        <w:tabs>
          <w:tab w:val="left" w:pos="0"/>
        </w:tabs>
        <w:kinsoku/>
        <w:wordWrap/>
        <w:overflowPunct/>
        <w:topLinePunct w:val="0"/>
        <w:bidi w:val="0"/>
        <w:adjustRightInd/>
        <w:spacing w:line="4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不符合法规和</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中规定的其他实质性要求的。</w:t>
      </w:r>
    </w:p>
    <w:p w14:paraId="14E2F8BB">
      <w:pPr>
        <w:pStyle w:val="48"/>
        <w:keepNext w:val="0"/>
        <w:keepLines w:val="0"/>
        <w:pageBreakBefore w:val="0"/>
        <w:kinsoku/>
        <w:wordWrap/>
        <w:overflowPunct/>
        <w:topLinePunct w:val="0"/>
        <w:bidi w:val="0"/>
        <w:adjustRightIn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hAnsi="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lang w:val="en-US" w:eastAsia="zh-CN"/>
        </w:rPr>
        <w:t>的开启</w:t>
      </w:r>
    </w:p>
    <w:p w14:paraId="345BF281">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14:paraId="0291B27B">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kern w:val="2"/>
          <w:sz w:val="24"/>
          <w:szCs w:val="24"/>
          <w:highlight w:val="none"/>
          <w:lang w:val="en-US" w:eastAsia="zh-CN" w:bidi="ar-SA"/>
        </w:rPr>
        <w:t>采用电子投标的</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kern w:val="2"/>
          <w:sz w:val="24"/>
          <w:szCs w:val="24"/>
          <w:highlight w:val="none"/>
          <w:lang w:val="en-US" w:eastAsia="zh-CN" w:bidi="ar-SA"/>
        </w:rPr>
        <w:t>应委派代表参加电子投标会议。</w:t>
      </w:r>
    </w:p>
    <w:p w14:paraId="61CC22D6">
      <w:pPr>
        <w:pStyle w:val="15"/>
        <w:keepNext w:val="0"/>
        <w:keepLines w:val="0"/>
        <w:pageBreakBefore w:val="0"/>
        <w:numPr>
          <w:ilvl w:val="0"/>
          <w:numId w:val="0"/>
        </w:numPr>
        <w:kinsoku/>
        <w:wordWrap/>
        <w:overflowPunct/>
        <w:topLinePunct w:val="0"/>
        <w:bidi w:val="0"/>
        <w:adjustRightInd/>
        <w:snapToGrid w:val="0"/>
        <w:spacing w:line="400" w:lineRule="exact"/>
        <w:ind w:firstLine="466" w:firstLineChars="20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六、项目评审专家：</w:t>
      </w:r>
    </w:p>
    <w:p w14:paraId="6956AFEB">
      <w:pPr>
        <w:pStyle w:val="15"/>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按照</w:t>
      </w:r>
      <w:r>
        <w:rPr>
          <w:rFonts w:hint="eastAsia" w:ascii="宋体" w:hAnsi="宋体" w:eastAsia="宋体" w:cs="宋体"/>
          <w:color w:val="auto"/>
          <w:sz w:val="24"/>
          <w:highlight w:val="none"/>
        </w:rPr>
        <w:t>《中华人民共和国政府采购法》、《中华人民共和国政府采购法实施条例》、中华人民共和国财政部令第87号--政府采购货物和服务招标报价管理办法</w:t>
      </w:r>
      <w:r>
        <w:rPr>
          <w:rFonts w:hint="eastAsia" w:ascii="宋体" w:hAnsi="宋体" w:eastAsia="宋体" w:cs="宋体"/>
          <w:b w:val="0"/>
          <w:bCs w:val="0"/>
          <w:color w:val="auto"/>
          <w:spacing w:val="-4"/>
          <w:sz w:val="24"/>
          <w:szCs w:val="24"/>
          <w:highlight w:val="none"/>
          <w:lang w:val="en-US" w:eastAsia="zh-CN"/>
        </w:rPr>
        <w:t>及本项目本级和上级财政部门的有关规定依法组建的评审小组，负责评审工作；本项目评审专家由</w:t>
      </w:r>
      <w:r>
        <w:rPr>
          <w:rFonts w:hint="eastAsia" w:hAnsi="宋体" w:cs="宋体"/>
          <w:b w:val="0"/>
          <w:bCs w:val="0"/>
          <w:color w:val="auto"/>
          <w:spacing w:val="-4"/>
          <w:sz w:val="24"/>
          <w:szCs w:val="24"/>
          <w:highlight w:val="none"/>
          <w:lang w:val="en-US" w:eastAsia="zh-CN"/>
        </w:rPr>
        <w:t>5</w:t>
      </w:r>
      <w:r>
        <w:rPr>
          <w:rFonts w:hint="eastAsia" w:ascii="宋体" w:hAnsi="宋体" w:eastAsia="宋体" w:cs="宋体"/>
          <w:b w:val="0"/>
          <w:bCs w:val="0"/>
          <w:color w:val="auto"/>
          <w:spacing w:val="-4"/>
          <w:sz w:val="24"/>
          <w:szCs w:val="24"/>
          <w:highlight w:val="none"/>
          <w:lang w:val="en-US" w:eastAsia="zh-CN"/>
        </w:rPr>
        <w:t>人组成。</w:t>
      </w:r>
    </w:p>
    <w:p w14:paraId="271E733D">
      <w:pPr>
        <w:pStyle w:val="15"/>
        <w:keepNext w:val="0"/>
        <w:keepLines w:val="0"/>
        <w:pageBreakBefore w:val="0"/>
        <w:numPr>
          <w:ilvl w:val="0"/>
          <w:numId w:val="0"/>
        </w:numPr>
        <w:kinsoku/>
        <w:wordWrap/>
        <w:overflowPunct/>
        <w:topLinePunct w:val="0"/>
        <w:bidi w:val="0"/>
        <w:adjustRightInd/>
        <w:snapToGrid w:val="0"/>
        <w:spacing w:line="400" w:lineRule="exact"/>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评审专家要求：</w:t>
      </w:r>
    </w:p>
    <w:p w14:paraId="036161DD">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1.组织评标委员会推选评标组长，采购人代表不得担任组长；</w:t>
      </w:r>
    </w:p>
    <w:p w14:paraId="3E0725AE">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4"/>
          <w:sz w:val="24"/>
          <w:szCs w:val="24"/>
          <w:highlight w:val="none"/>
          <w:lang w:val="en-US" w:eastAsia="zh-CN"/>
        </w:rPr>
        <w:t>　　2.在评标期间采取必要的通讯管理措施，保证评标活动不受外界干扰，将手机关闭或调成静音交友现场项目监督人员统一保管；</w:t>
      </w:r>
    </w:p>
    <w:p w14:paraId="2ACE7AD8">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3.审查、评价投标文件是否符合招标文件的商务、技术等实质性要求；</w:t>
      </w:r>
    </w:p>
    <w:p w14:paraId="2B54687E">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4.要求投标人对投标文件有关事项作出澄清或者说明；</w:t>
      </w:r>
    </w:p>
    <w:p w14:paraId="4B396290">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5.对投标文件进行比较和评价；</w:t>
      </w:r>
    </w:p>
    <w:p w14:paraId="0BF055CD">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6.确定中标候选人名单，以及根据采购人委托直接确定中标人；</w:t>
      </w:r>
    </w:p>
    <w:p w14:paraId="55E5748E">
      <w:pPr>
        <w:pStyle w:val="15"/>
        <w:keepNext w:val="0"/>
        <w:keepLines w:val="0"/>
        <w:pageBreakBefore w:val="0"/>
        <w:numPr>
          <w:ilvl w:val="0"/>
          <w:numId w:val="0"/>
        </w:numPr>
        <w:kinsoku/>
        <w:wordWrap/>
        <w:overflowPunct/>
        <w:topLinePunct w:val="0"/>
        <w:bidi w:val="0"/>
        <w:adjustRightInd/>
        <w:snapToGrid w:val="0"/>
        <w:spacing w:line="400" w:lineRule="exact"/>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7.向采购人、采购代理机构或者有关部门报告评标中发现的违法行为。</w:t>
      </w:r>
    </w:p>
    <w:p w14:paraId="7A1068F5">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评标</w:t>
      </w:r>
    </w:p>
    <w:p w14:paraId="1EE965C1">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1、评标的依据为招标文件和投标文件；</w:t>
      </w:r>
    </w:p>
    <w:p w14:paraId="56C849CA">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2、本项目采用综合评分法：总分100分，其中报价分值1</w:t>
      </w:r>
      <w:r>
        <w:rPr>
          <w:rFonts w:hint="eastAsia" w:eastAsia="宋体" w:cs="宋体"/>
          <w:b w:val="0"/>
          <w:bCs w:val="0"/>
          <w:color w:val="auto"/>
          <w:highlight w:val="none"/>
          <w:lang w:val="en-US" w:eastAsia="zh-CN"/>
        </w:rPr>
        <w:t>0</w:t>
      </w:r>
      <w:r>
        <w:rPr>
          <w:rFonts w:hint="eastAsia" w:ascii="宋体" w:hAnsi="宋体" w:eastAsia="宋体" w:cs="宋体"/>
          <w:b w:val="0"/>
          <w:bCs w:val="0"/>
          <w:color w:val="auto"/>
          <w:highlight w:val="none"/>
          <w:lang w:val="en-US" w:eastAsia="zh-CN"/>
        </w:rPr>
        <w:t>分，商务及技术部分得分</w:t>
      </w:r>
      <w:r>
        <w:rPr>
          <w:rFonts w:hint="eastAsia" w:eastAsia="宋体" w:cs="宋体"/>
          <w:b w:val="0"/>
          <w:bCs w:val="0"/>
          <w:color w:val="auto"/>
          <w:highlight w:val="none"/>
          <w:lang w:val="en-US" w:eastAsia="zh-CN"/>
        </w:rPr>
        <w:t>90</w:t>
      </w:r>
      <w:r>
        <w:rPr>
          <w:rFonts w:hint="eastAsia" w:ascii="宋体" w:hAnsi="宋体" w:eastAsia="宋体" w:cs="宋体"/>
          <w:b w:val="0"/>
          <w:bCs w:val="0"/>
          <w:color w:val="auto"/>
          <w:highlight w:val="none"/>
          <w:lang w:val="en-US" w:eastAsia="zh-CN"/>
        </w:rPr>
        <w:t>分。</w:t>
      </w:r>
    </w:p>
    <w:p w14:paraId="4343D031">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3、评审委员会成员到齐后，推选评审委员会组长。依据招标文件和投标文件进行认真查阅。审查响文件是否完整，是否有计算错误，要求的投标保证金是否提供，文件是否恰当地签署；</w:t>
      </w:r>
    </w:p>
    <w:p w14:paraId="4E847DDC">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4、在对投标文件进行详细评估前，依据投标方提供的资格证明文件审查投标方的财务、技术和服务能力。如果确定投标方无资格履行合同，其投标将被拒绝；</w:t>
      </w:r>
    </w:p>
    <w:p w14:paraId="6118759F">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5、评审委员会将确定每一</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highlight w:val="none"/>
          <w:lang w:val="en-US" w:eastAsia="zh-CN"/>
        </w:rPr>
        <w:t>是否对招标文件的要求做出了实质性的响应，而没有重大偏离。实质性响应的响应是指投标符合招标文件的所有条款、条件和规定且没有重大偏离或保留。重大偏离或保留系指影响到招标文件规定的服务</w:t>
      </w:r>
      <w:r>
        <w:rPr>
          <w:rFonts w:hint="eastAsia" w:cs="宋体"/>
          <w:b w:val="0"/>
          <w:bCs w:val="0"/>
          <w:color w:val="auto"/>
          <w:highlight w:val="none"/>
          <w:lang w:val="en-US" w:eastAsia="zh-CN"/>
        </w:rPr>
        <w:t>需求</w:t>
      </w:r>
      <w:r>
        <w:rPr>
          <w:rFonts w:hint="eastAsia" w:ascii="宋体" w:hAnsi="宋体" w:eastAsia="宋体" w:cs="宋体"/>
          <w:b w:val="0"/>
          <w:bCs w:val="0"/>
          <w:color w:val="auto"/>
          <w:highlight w:val="none"/>
          <w:lang w:val="en-US" w:eastAsia="zh-CN"/>
        </w:rPr>
        <w:t>，或限制了买方的权利和投标方的义务的规定，而纠正这些偏离将影响到其他提交实质性投标的投标方的公平竞争地位。</w:t>
      </w:r>
    </w:p>
    <w:p w14:paraId="52AF2013">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对投标文件的评估和比较：</w:t>
      </w:r>
    </w:p>
    <w:p w14:paraId="735D125C">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p>
    <w:p w14:paraId="261E7B6A">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初步评审</w:t>
      </w:r>
    </w:p>
    <w:p w14:paraId="7FEAB81A">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1、</w:t>
      </w:r>
      <w:r>
        <w:rPr>
          <w:rFonts w:hint="eastAsia" w:ascii="宋体" w:hAnsi="宋体" w:eastAsia="宋体" w:cs="宋体"/>
          <w:b/>
          <w:bCs/>
          <w:color w:val="auto"/>
          <w:highlight w:val="none"/>
          <w:lang w:val="en-US" w:eastAsia="zh-CN"/>
        </w:rPr>
        <w:t>资格性检查</w:t>
      </w:r>
    </w:p>
    <w:p w14:paraId="678FFB91">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依据法律法规和招标文件的规定，</w:t>
      </w:r>
      <w:r>
        <w:rPr>
          <w:rFonts w:hint="eastAsia" w:eastAsia="宋体" w:cs="宋体"/>
          <w:b w:val="0"/>
          <w:bCs w:val="0"/>
          <w:color w:val="auto"/>
          <w:highlight w:val="none"/>
          <w:lang w:val="en-US" w:eastAsia="zh-CN"/>
        </w:rPr>
        <w:t>资格审查小组</w:t>
      </w:r>
      <w:r>
        <w:rPr>
          <w:rFonts w:hint="eastAsia" w:cs="宋体"/>
          <w:b w:val="0"/>
          <w:bCs w:val="0"/>
          <w:color w:val="auto"/>
          <w:highlight w:val="none"/>
          <w:lang w:val="en-US" w:eastAsia="zh-CN"/>
        </w:rPr>
        <w:t>（采购人）</w:t>
      </w:r>
      <w:r>
        <w:rPr>
          <w:rFonts w:hint="eastAsia" w:ascii="宋体" w:hAnsi="宋体" w:eastAsia="宋体" w:cs="宋体"/>
          <w:b w:val="0"/>
          <w:bCs w:val="0"/>
          <w:color w:val="auto"/>
          <w:highlight w:val="none"/>
          <w:lang w:val="en-US" w:eastAsia="zh-CN"/>
        </w:rPr>
        <w:t>对投标文件中的资格证明进行审查，以确定投标人是否具备投标资格。</w:t>
      </w:r>
    </w:p>
    <w:p w14:paraId="1440BBC8">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eastAsia="宋体" w:cs="宋体"/>
          <w:b/>
          <w:bCs/>
          <w:color w:val="auto"/>
          <w:highlight w:val="none"/>
          <w:lang w:val="en-US" w:eastAsia="zh-CN"/>
        </w:rPr>
        <w:t>2、</w:t>
      </w:r>
      <w:r>
        <w:rPr>
          <w:rFonts w:hint="eastAsia" w:ascii="宋体" w:hAnsi="宋体" w:eastAsia="宋体" w:cs="宋体"/>
          <w:b/>
          <w:bCs/>
          <w:color w:val="auto"/>
          <w:highlight w:val="none"/>
          <w:lang w:val="en-US" w:eastAsia="zh-CN"/>
        </w:rPr>
        <w:t>投标文件的符合性审查</w:t>
      </w:r>
    </w:p>
    <w:p w14:paraId="1B5EFCAB">
      <w:pPr>
        <w:pStyle w:val="10"/>
        <w:keepNext w:val="0"/>
        <w:keepLines w:val="0"/>
        <w:pageBreakBefore w:val="0"/>
        <w:tabs>
          <w:tab w:val="clear" w:pos="567"/>
        </w:tabs>
        <w:kinsoku/>
        <w:wordWrap/>
        <w:overflowPunct/>
        <w:topLinePunct w:val="0"/>
        <w:bidi w:val="0"/>
        <w:adjustRightInd/>
        <w:spacing w:before="0" w:line="400" w:lineRule="exact"/>
        <w:ind w:firstLine="48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2BD40E09">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详细评审</w:t>
      </w:r>
    </w:p>
    <w:p w14:paraId="7BB37295">
      <w:pPr>
        <w:pStyle w:val="10"/>
        <w:keepNext w:val="0"/>
        <w:keepLines w:val="0"/>
        <w:pageBreakBefore w:val="0"/>
        <w:numPr>
          <w:ilvl w:val="0"/>
          <w:numId w:val="7"/>
        </w:numPr>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经初步评审合格的投标文件，评审委员会应当根据本文件确定的评标标准和方法，对其技术和商务部分作进一步的评审和比较。</w:t>
      </w:r>
    </w:p>
    <w:p w14:paraId="25495B57">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2、采用综合评分法，即投标文件满足招标文件全部实质性要求，且按照评审因素的量化指标评审得分最高的投标人为中标候选人。</w:t>
      </w:r>
    </w:p>
    <w:p w14:paraId="3B380AFE">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评标的保密性</w:t>
      </w:r>
    </w:p>
    <w:p w14:paraId="3EF1888E">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1、开标后，直到授予投标商合同为止，凡属于审查、澄清、评价和比较的有关资料以及</w:t>
      </w:r>
      <w:r>
        <w:rPr>
          <w:rFonts w:hint="eastAsia" w:cs="宋体"/>
          <w:b w:val="0"/>
          <w:bCs w:val="0"/>
          <w:color w:val="auto"/>
          <w:highlight w:val="none"/>
          <w:lang w:val="en-US" w:eastAsia="zh-CN"/>
        </w:rPr>
        <w:t>投标</w:t>
      </w:r>
      <w:r>
        <w:rPr>
          <w:rFonts w:hint="eastAsia" w:ascii="宋体" w:hAnsi="宋体" w:eastAsia="宋体" w:cs="宋体"/>
          <w:b w:val="0"/>
          <w:bCs w:val="0"/>
          <w:color w:val="auto"/>
          <w:highlight w:val="none"/>
          <w:lang w:val="en-US" w:eastAsia="zh-CN"/>
        </w:rPr>
        <w:t>建议等评审委员会成员或参与评标的有关工作人员均不得向投标商或其他无关人员透露，违者给予警告、取消担任评审委员会成员的资格，不得再参加任何项目的评标。</w:t>
      </w:r>
    </w:p>
    <w:p w14:paraId="34B8EBA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highlight w:val="none"/>
          <w:lang w:val="en-US" w:eastAsia="zh-CN"/>
        </w:rPr>
        <w:t>在评标过程中，所进行的力图影响评标结果的不符合</w:t>
      </w:r>
      <w:r>
        <w:rPr>
          <w:rFonts w:hint="eastAsia" w:ascii="宋体" w:hAnsi="宋体" w:eastAsia="宋体" w:cs="宋体"/>
          <w:color w:val="auto"/>
          <w:sz w:val="24"/>
          <w:highlight w:val="none"/>
        </w:rPr>
        <w:t>《中华人民共和国政府采购法》、《中华人民共和国政府采购法实施条例》、中华人民共和国财政部令第87 号--政府采购货物和服务招标报价管理办法</w:t>
      </w:r>
      <w:r>
        <w:rPr>
          <w:rFonts w:hint="eastAsia" w:ascii="宋体" w:hAnsi="宋体" w:eastAsia="宋体" w:cs="宋体"/>
          <w:b w:val="0"/>
          <w:bCs w:val="0"/>
          <w:color w:val="auto"/>
          <w:highlight w:val="none"/>
          <w:lang w:val="en-US" w:eastAsia="zh-CN"/>
        </w:rPr>
        <w:t>及本次项目中有关规定的活动，将被取消中标资格。</w:t>
      </w:r>
    </w:p>
    <w:p w14:paraId="6CE703BB">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八、定标</w:t>
      </w:r>
    </w:p>
    <w:p w14:paraId="21696BA8">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1.定标标准</w:t>
      </w:r>
    </w:p>
    <w:p w14:paraId="153A1DE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（一）原则：招标人将依据本项目根据评审委员会推荐的中标候选人名单，按顺序确定中标人。</w:t>
      </w:r>
    </w:p>
    <w:p w14:paraId="6863B167">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（二）程序：</w:t>
      </w:r>
    </w:p>
    <w:p w14:paraId="5512EE5D">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1、采购代理机构在评审结束后2个工作日内将评审报告送采购人确认。</w:t>
      </w:r>
    </w:p>
    <w:p w14:paraId="25EE5B82">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w:t>
      </w:r>
      <w:r>
        <w:rPr>
          <w:rFonts w:hint="eastAsia" w:ascii="宋体" w:hAnsi="宋体" w:cs="宋体"/>
          <w:b w:val="0"/>
          <w:bCs w:val="0"/>
          <w:color w:val="auto"/>
          <w:sz w:val="24"/>
          <w:szCs w:val="24"/>
          <w:highlight w:val="none"/>
          <w:lang w:val="en-US" w:eastAsia="zh-CN"/>
        </w:rPr>
        <w:t>投标单位</w:t>
      </w:r>
      <w:r>
        <w:rPr>
          <w:rFonts w:hint="eastAsia" w:ascii="宋体" w:hAnsi="宋体" w:eastAsia="宋体" w:cs="宋体"/>
          <w:b w:val="0"/>
          <w:bCs w:val="0"/>
          <w:color w:val="auto"/>
          <w:highlight w:val="none"/>
          <w:lang w:val="en-US" w:eastAsia="zh-CN"/>
        </w:rPr>
        <w:t>为中标单位。采购人或者采购代理机构应当在中标单位确定后2个工作日内，在省级以上财政部门指定的政府采购信息发布媒体上公告成交结果，同时向中标单位发出</w:t>
      </w:r>
      <w:r>
        <w:rPr>
          <w:rFonts w:hint="eastAsia" w:cs="宋体"/>
          <w:b w:val="0"/>
          <w:bCs w:val="0"/>
          <w:color w:val="auto"/>
          <w:highlight w:val="none"/>
          <w:lang w:val="en-US" w:eastAsia="zh-CN"/>
        </w:rPr>
        <w:t>中标通知书</w:t>
      </w:r>
      <w:r>
        <w:rPr>
          <w:rFonts w:hint="eastAsia" w:ascii="宋体" w:hAnsi="宋体" w:eastAsia="宋体" w:cs="宋体"/>
          <w:b w:val="0"/>
          <w:bCs w:val="0"/>
          <w:color w:val="auto"/>
          <w:highlight w:val="none"/>
          <w:lang w:val="en-US" w:eastAsia="zh-CN"/>
        </w:rPr>
        <w:t>，并将招标文件随</w:t>
      </w:r>
      <w:r>
        <w:rPr>
          <w:rFonts w:hint="eastAsia" w:cs="宋体"/>
          <w:b w:val="0"/>
          <w:bCs w:val="0"/>
          <w:color w:val="auto"/>
          <w:highlight w:val="none"/>
          <w:lang w:val="en-US" w:eastAsia="zh-CN"/>
        </w:rPr>
        <w:t>中标</w:t>
      </w:r>
      <w:r>
        <w:rPr>
          <w:rFonts w:hint="eastAsia" w:ascii="宋体" w:hAnsi="宋体" w:eastAsia="宋体" w:cs="宋体"/>
          <w:b w:val="0"/>
          <w:bCs w:val="0"/>
          <w:color w:val="auto"/>
          <w:highlight w:val="none"/>
          <w:lang w:val="en-US" w:eastAsia="zh-CN"/>
        </w:rPr>
        <w:t>结果同时公告。</w:t>
      </w:r>
    </w:p>
    <w:p w14:paraId="6E6D9284">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3、</w:t>
      </w:r>
      <w:r>
        <w:rPr>
          <w:rFonts w:hint="eastAsia" w:ascii="宋体" w:hAnsi="宋体" w:eastAsia="宋体" w:cs="宋体"/>
          <w:b w:val="0"/>
          <w:bCs w:val="0"/>
          <w:color w:val="auto"/>
          <w:highlight w:val="none"/>
          <w:lang w:val="en-US" w:eastAsia="zh-CN"/>
        </w:rPr>
        <w:t>采购人与中标单位应当在</w:t>
      </w:r>
      <w:r>
        <w:rPr>
          <w:rFonts w:hint="eastAsia" w:cs="宋体"/>
          <w:b w:val="0"/>
          <w:bCs w:val="0"/>
          <w:color w:val="auto"/>
          <w:highlight w:val="none"/>
          <w:lang w:val="en-US" w:eastAsia="zh-CN"/>
        </w:rPr>
        <w:t>中标通知书</w:t>
      </w:r>
      <w:r>
        <w:rPr>
          <w:rFonts w:hint="eastAsia" w:ascii="宋体" w:hAnsi="宋体" w:eastAsia="宋体" w:cs="宋体"/>
          <w:b w:val="0"/>
          <w:bCs w:val="0"/>
          <w:color w:val="auto"/>
          <w:highlight w:val="none"/>
          <w:lang w:val="en-US" w:eastAsia="zh-CN"/>
        </w:rPr>
        <w:t>发出之日起30日内，按照招标文件确定的合同文本以及采购标的、规格型号、采购金额、采购数量、技术和服务要求等事项签订政府采购合同。</w:t>
      </w:r>
    </w:p>
    <w:p w14:paraId="13C551BE">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lang w:val="en-US" w:eastAsia="zh-CN"/>
        </w:rPr>
      </w:pPr>
      <w:r>
        <w:rPr>
          <w:rFonts w:hint="eastAsia" w:cs="宋体"/>
          <w:b w:val="0"/>
          <w:bCs w:val="0"/>
          <w:color w:val="auto"/>
          <w:highlight w:val="none"/>
          <w:lang w:val="en-US" w:eastAsia="zh-CN"/>
        </w:rPr>
        <w:t>4</w:t>
      </w:r>
      <w:r>
        <w:rPr>
          <w:rFonts w:hint="eastAsia" w:ascii="宋体" w:hAnsi="宋体" w:eastAsia="宋体" w:cs="宋体"/>
          <w:b w:val="0"/>
          <w:bCs w:val="0"/>
          <w:color w:val="auto"/>
          <w:highlight w:val="none"/>
          <w:lang w:val="en-US" w:eastAsia="zh-CN"/>
        </w:rPr>
        <w:t>、采购单位不退回投标人投标文件和其他资料。</w:t>
      </w:r>
    </w:p>
    <w:p w14:paraId="1EA3739D">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val="0"/>
          <w:bCs w:val="0"/>
          <w:color w:val="auto"/>
          <w:highlight w:val="none"/>
          <w:lang w:val="en-US" w:eastAsia="zh-CN"/>
        </w:rPr>
      </w:pPr>
      <w:r>
        <w:rPr>
          <w:rFonts w:hint="eastAsia" w:cs="宋体"/>
          <w:b/>
          <w:bCs/>
          <w:color w:val="auto"/>
          <w:highlight w:val="none"/>
          <w:lang w:val="en-US" w:eastAsia="zh-CN"/>
        </w:rPr>
        <w:t>中标</w:t>
      </w:r>
      <w:r>
        <w:rPr>
          <w:rFonts w:hint="eastAsia" w:ascii="宋体" w:hAnsi="宋体" w:eastAsia="宋体" w:cs="宋体"/>
          <w:b/>
          <w:bCs/>
          <w:color w:val="auto"/>
          <w:highlight w:val="none"/>
          <w:lang w:val="en-US" w:eastAsia="zh-CN"/>
        </w:rPr>
        <w:t>候选人并列式时的处理方式：</w:t>
      </w:r>
      <w:r>
        <w:rPr>
          <w:rFonts w:hint="eastAsia" w:ascii="宋体" w:hAnsi="宋体" w:eastAsia="宋体" w:cs="宋体"/>
          <w:b w:val="0"/>
          <w:bCs w:val="0"/>
          <w:color w:val="auto"/>
          <w:highlight w:val="none"/>
          <w:lang w:val="en-US" w:eastAsia="zh-CN"/>
        </w:rPr>
        <w:t xml:space="preserve">   </w:t>
      </w:r>
    </w:p>
    <w:p w14:paraId="38DCFE09">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宋体"/>
          <w:b w:val="0"/>
          <w:bCs w:val="0"/>
          <w:color w:val="auto"/>
          <w:highlight w:val="none"/>
          <w:lang w:val="en-US" w:eastAsia="zh-CN"/>
        </w:rPr>
        <w:t>采用综合评标法，则：</w:t>
      </w:r>
      <w:r>
        <w:rPr>
          <w:rFonts w:hint="eastAsia" w:ascii="宋体" w:hAnsi="宋体"/>
          <w:bCs/>
          <w:color w:val="auto"/>
          <w:sz w:val="24"/>
          <w:highlight w:val="none"/>
        </w:rPr>
        <w:t>确定满足</w:t>
      </w:r>
      <w:r>
        <w:rPr>
          <w:rFonts w:hint="eastAsia"/>
          <w:bCs/>
          <w:color w:val="auto"/>
          <w:sz w:val="24"/>
          <w:highlight w:val="none"/>
          <w:lang w:val="en-US" w:eastAsia="zh-CN"/>
        </w:rPr>
        <w:t>招标</w:t>
      </w:r>
      <w:r>
        <w:rPr>
          <w:rFonts w:hint="eastAsia" w:ascii="宋体" w:hAnsi="宋体"/>
          <w:bCs/>
          <w:color w:val="auto"/>
          <w:sz w:val="24"/>
          <w:highlight w:val="none"/>
        </w:rPr>
        <w:t>文件全部实质性要求，且按照评审因素的量化指标评审得分最高的投标人为排名第一的中标候选人。评审得分相同的，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w:t>
      </w:r>
      <w:r>
        <w:rPr>
          <w:rFonts w:hint="eastAsia" w:ascii="宋体" w:hAnsi="宋体" w:eastAsia="宋体" w:cs="Times New Roman"/>
          <w:bCs/>
          <w:color w:val="auto"/>
          <w:sz w:val="24"/>
          <w:highlight w:val="none"/>
          <w:lang w:val="en-US" w:eastAsia="zh-CN"/>
        </w:rPr>
        <w:t>。</w:t>
      </w:r>
    </w:p>
    <w:p w14:paraId="7903D43F">
      <w:pPr>
        <w:pStyle w:val="10"/>
        <w:keepNext w:val="0"/>
        <w:keepLines w:val="0"/>
        <w:pageBreakBefore w:val="0"/>
        <w:tabs>
          <w:tab w:val="clear" w:pos="567"/>
        </w:tabs>
        <w:kinsoku/>
        <w:wordWrap/>
        <w:overflowPunct/>
        <w:topLinePunct w:val="0"/>
        <w:bidi w:val="0"/>
        <w:adjustRightInd/>
        <w:spacing w:before="0" w:line="40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lang w:val="en-US" w:eastAsia="zh-CN"/>
        </w:rPr>
        <w:t>九、中小企业落实政策</w:t>
      </w:r>
    </w:p>
    <w:p w14:paraId="7E7FE9F5">
      <w:pPr>
        <w:pStyle w:val="10"/>
        <w:keepNext w:val="0"/>
        <w:keepLines w:val="0"/>
        <w:pageBreakBefore w:val="0"/>
        <w:tabs>
          <w:tab w:val="clear" w:pos="567"/>
        </w:tabs>
        <w:kinsoku/>
        <w:wordWrap/>
        <w:overflowPunct/>
        <w:topLinePunct w:val="0"/>
        <w:bidi w:val="0"/>
        <w:adjustRightInd/>
        <w:spacing w:before="0" w:line="400" w:lineRule="exact"/>
        <w:ind w:firstLine="482" w:firstLineChars="200"/>
        <w:textAlignment w:val="auto"/>
        <w:rPr>
          <w:rFonts w:hint="eastAsia" w:ascii="宋体" w:hAnsi="宋体" w:eastAsia="宋体" w:cs="宋体"/>
          <w:b w:val="0"/>
          <w:bCs w:val="0"/>
          <w:color w:val="auto"/>
          <w:highlight w:val="none"/>
        </w:rPr>
      </w:pPr>
      <w:r>
        <w:rPr>
          <w:rFonts w:hint="eastAsia" w:ascii="宋体" w:hAnsi="宋体" w:eastAsia="宋体" w:cs="宋体"/>
          <w:b/>
          <w:bCs/>
          <w:color w:val="auto"/>
          <w:kern w:val="2"/>
          <w:sz w:val="24"/>
          <w:szCs w:val="20"/>
          <w:highlight w:val="none"/>
          <w:lang w:val="en-US" w:eastAsia="zh-CN" w:bidi="ar-SA"/>
        </w:rPr>
        <w:t>在投标企业属于中小微企业的，请在投标文件中提供“中小企业声明函”，如果未提供或提供虛假的“中小企业声明函”，投标企业将承担由此造成的一切不利后果。</w:t>
      </w:r>
    </w:p>
    <w:p w14:paraId="40D2D3EB">
      <w:pPr>
        <w:pStyle w:val="10"/>
        <w:keepNext w:val="0"/>
        <w:keepLines w:val="0"/>
        <w:pageBreakBefore w:val="0"/>
        <w:tabs>
          <w:tab w:val="clear" w:pos="567"/>
        </w:tabs>
        <w:kinsoku/>
        <w:wordWrap/>
        <w:overflowPunct/>
        <w:topLinePunct w:val="0"/>
        <w:bidi w:val="0"/>
        <w:adjustRightInd/>
        <w:spacing w:before="0" w:line="400" w:lineRule="exact"/>
        <w:ind w:firstLine="48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highlight w:val="none"/>
          <w:lang w:eastAsia="zh-CN"/>
        </w:rPr>
        <w:t>响应文件</w:t>
      </w:r>
      <w:r>
        <w:rPr>
          <w:rFonts w:hint="eastAsia" w:ascii="宋体" w:hAnsi="宋体" w:eastAsia="宋体" w:cs="宋体"/>
          <w:b w:val="0"/>
          <w:bCs w:val="0"/>
          <w:color w:val="auto"/>
          <w:highlight w:val="none"/>
        </w:rPr>
        <w:t>中提交了《投标人企业类型声明函》、《残疾人福利性单位声明函》或省级以上监狱管理局、戒毒管理局（含新疆生产建设兵团）出具的属于监狱企业的投标人，其投标报价扣除</w:t>
      </w:r>
      <w:r>
        <w:rPr>
          <w:rFonts w:hint="eastAsia" w:eastAsia="宋体" w:cs="宋体"/>
          <w:b/>
          <w:bCs/>
          <w:color w:val="FF0000"/>
          <w:highlight w:val="none"/>
          <w:u w:val="single"/>
          <w:lang w:val="en-US" w:eastAsia="zh-CN"/>
        </w:rPr>
        <w:t>10</w:t>
      </w:r>
      <w:r>
        <w:rPr>
          <w:rFonts w:hint="eastAsia" w:ascii="宋体" w:hAnsi="宋体" w:eastAsia="宋体" w:cs="宋体"/>
          <w:b/>
          <w:bCs/>
          <w:color w:val="FF0000"/>
          <w:highlight w:val="none"/>
          <w:u w:val="single"/>
          <w:lang w:val="en-US" w:eastAsia="zh-CN"/>
        </w:rPr>
        <w:t xml:space="preserve"> </w:t>
      </w:r>
      <w:r>
        <w:rPr>
          <w:rFonts w:hint="eastAsia" w:ascii="宋体" w:hAnsi="宋体" w:eastAsia="宋体" w:cs="宋体"/>
          <w:b/>
          <w:bCs/>
          <w:color w:val="FF0000"/>
          <w:highlight w:val="none"/>
        </w:rPr>
        <w:t>%</w:t>
      </w:r>
      <w:r>
        <w:rPr>
          <w:rFonts w:hint="eastAsia" w:ascii="宋体" w:hAnsi="宋体" w:eastAsia="宋体" w:cs="宋体"/>
          <w:b w:val="0"/>
          <w:bCs w:val="0"/>
          <w:color w:val="auto"/>
          <w:highlight w:val="none"/>
        </w:rPr>
        <w:t>后参与评审。对于同时属于小微企业、监狱企业残疾人福利性单位的，不重复进行投标报价扣除。</w:t>
      </w:r>
    </w:p>
    <w:p w14:paraId="679345BB">
      <w:pPr>
        <w:spacing w:line="440" w:lineRule="exact"/>
        <w:jc w:val="center"/>
        <w:outlineLvl w:val="0"/>
        <w:rPr>
          <w:rFonts w:hint="eastAsia" w:ascii="宋体" w:hAnsi="宋体" w:cs="宋体"/>
          <w:b/>
          <w:color w:val="auto"/>
          <w:sz w:val="32"/>
          <w:szCs w:val="32"/>
          <w:highlight w:val="none"/>
        </w:rPr>
      </w:pPr>
    </w:p>
    <w:p w14:paraId="3729CE2E">
      <w:pPr>
        <w:spacing w:line="440" w:lineRule="exact"/>
        <w:jc w:val="center"/>
        <w:outlineLvl w:val="0"/>
        <w:rPr>
          <w:rFonts w:hint="eastAsia" w:ascii="宋体" w:hAnsi="宋体" w:cs="宋体"/>
          <w:b/>
          <w:color w:val="auto"/>
          <w:sz w:val="32"/>
          <w:szCs w:val="32"/>
          <w:highlight w:val="none"/>
        </w:rPr>
      </w:pPr>
    </w:p>
    <w:p w14:paraId="2CA2F182">
      <w:pPr>
        <w:pStyle w:val="25"/>
        <w:rPr>
          <w:rFonts w:hint="eastAsia" w:ascii="宋体" w:hAnsi="宋体" w:cs="宋体"/>
          <w:b/>
          <w:color w:val="auto"/>
          <w:sz w:val="32"/>
          <w:szCs w:val="32"/>
          <w:highlight w:val="none"/>
        </w:rPr>
      </w:pPr>
    </w:p>
    <w:p w14:paraId="160672BA">
      <w:pPr>
        <w:pStyle w:val="25"/>
        <w:rPr>
          <w:rFonts w:hint="eastAsia" w:ascii="宋体" w:hAnsi="宋体" w:cs="宋体"/>
          <w:b/>
          <w:color w:val="auto"/>
          <w:sz w:val="32"/>
          <w:szCs w:val="32"/>
          <w:highlight w:val="none"/>
        </w:rPr>
      </w:pPr>
    </w:p>
    <w:p w14:paraId="5303FCC7">
      <w:pPr>
        <w:pStyle w:val="25"/>
        <w:rPr>
          <w:rFonts w:hint="eastAsia" w:ascii="宋体" w:hAnsi="宋体" w:cs="宋体"/>
          <w:b/>
          <w:color w:val="auto"/>
          <w:sz w:val="32"/>
          <w:szCs w:val="32"/>
          <w:highlight w:val="none"/>
        </w:rPr>
      </w:pPr>
    </w:p>
    <w:p w14:paraId="435400CA">
      <w:pPr>
        <w:pStyle w:val="25"/>
        <w:rPr>
          <w:rFonts w:hint="eastAsia" w:ascii="宋体" w:hAnsi="宋体" w:cs="宋体"/>
          <w:b/>
          <w:color w:val="auto"/>
          <w:sz w:val="32"/>
          <w:szCs w:val="32"/>
          <w:highlight w:val="none"/>
        </w:rPr>
      </w:pPr>
    </w:p>
    <w:p w14:paraId="3DDCFAAF">
      <w:pPr>
        <w:pStyle w:val="25"/>
        <w:rPr>
          <w:rFonts w:hint="eastAsia" w:ascii="宋体" w:hAnsi="宋体" w:cs="宋体"/>
          <w:b/>
          <w:color w:val="auto"/>
          <w:sz w:val="32"/>
          <w:szCs w:val="32"/>
          <w:highlight w:val="none"/>
        </w:rPr>
      </w:pPr>
    </w:p>
    <w:p w14:paraId="1B403459">
      <w:pPr>
        <w:pStyle w:val="25"/>
        <w:rPr>
          <w:rFonts w:hint="eastAsia" w:ascii="宋体" w:hAnsi="宋体" w:cs="宋体"/>
          <w:b/>
          <w:color w:val="auto"/>
          <w:sz w:val="32"/>
          <w:szCs w:val="32"/>
          <w:highlight w:val="none"/>
        </w:rPr>
      </w:pPr>
    </w:p>
    <w:p w14:paraId="0F3F2F02">
      <w:pPr>
        <w:pStyle w:val="25"/>
        <w:rPr>
          <w:rFonts w:hint="eastAsia" w:ascii="宋体" w:hAnsi="宋体" w:cs="宋体"/>
          <w:b/>
          <w:color w:val="auto"/>
          <w:sz w:val="32"/>
          <w:szCs w:val="32"/>
          <w:highlight w:val="none"/>
        </w:rPr>
      </w:pPr>
    </w:p>
    <w:p w14:paraId="2C154919">
      <w:pPr>
        <w:pStyle w:val="25"/>
        <w:rPr>
          <w:rFonts w:hint="eastAsia" w:ascii="宋体" w:hAnsi="宋体" w:cs="宋体"/>
          <w:b/>
          <w:color w:val="auto"/>
          <w:sz w:val="32"/>
          <w:szCs w:val="32"/>
          <w:highlight w:val="none"/>
        </w:rPr>
      </w:pPr>
    </w:p>
    <w:p w14:paraId="6108CA4F">
      <w:pPr>
        <w:pStyle w:val="25"/>
        <w:rPr>
          <w:rFonts w:hint="eastAsia" w:ascii="宋体" w:hAnsi="宋体" w:cs="宋体"/>
          <w:b/>
          <w:color w:val="auto"/>
          <w:sz w:val="32"/>
          <w:szCs w:val="32"/>
          <w:highlight w:val="none"/>
        </w:rPr>
      </w:pPr>
    </w:p>
    <w:p w14:paraId="06CA90C6">
      <w:pPr>
        <w:spacing w:line="440" w:lineRule="exact"/>
        <w:jc w:val="center"/>
        <w:outlineLvl w:val="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投标文件的初审</w:t>
      </w:r>
    </w:p>
    <w:p w14:paraId="4A4DFB30">
      <w:pPr>
        <w:spacing w:line="440" w:lineRule="exact"/>
        <w:jc w:val="left"/>
        <w:outlineLvl w:val="0"/>
        <w:rPr>
          <w:rFonts w:hint="eastAsia" w:ascii="宋体" w:hAnsi="宋体" w:cs="宋体"/>
          <w:bCs/>
          <w:color w:val="auto"/>
          <w:szCs w:val="21"/>
          <w:highlight w:val="none"/>
        </w:rPr>
      </w:pPr>
      <w:r>
        <w:rPr>
          <w:rFonts w:hint="eastAsia" w:ascii="宋体" w:hAnsi="宋体" w:cs="宋体"/>
          <w:bCs/>
          <w:color w:val="auto"/>
          <w:szCs w:val="21"/>
          <w:highlight w:val="none"/>
        </w:rPr>
        <w:t xml:space="preserve">    投标文件的初审分为资格性检查和符合性检查。</w:t>
      </w:r>
    </w:p>
    <w:p w14:paraId="119D92B7">
      <w:pPr>
        <w:spacing w:line="440" w:lineRule="exact"/>
        <w:jc w:val="left"/>
        <w:outlineLvl w:val="0"/>
        <w:rPr>
          <w:rFonts w:hint="eastAsia" w:ascii="宋体" w:hAnsi="宋体" w:cs="宋体"/>
          <w:bCs/>
          <w:color w:val="auto"/>
          <w:szCs w:val="21"/>
          <w:highlight w:val="none"/>
        </w:rPr>
      </w:pPr>
      <w:r>
        <w:rPr>
          <w:rFonts w:hint="eastAsia" w:ascii="宋体" w:hAnsi="宋体" w:cs="宋体"/>
          <w:bCs/>
          <w:color w:val="auto"/>
          <w:szCs w:val="21"/>
          <w:highlight w:val="none"/>
        </w:rPr>
        <w:t>（一）、资格性检查是指</w:t>
      </w:r>
      <w:r>
        <w:rPr>
          <w:rFonts w:hint="eastAsia" w:eastAsia="宋体" w:cs="宋体"/>
          <w:b w:val="0"/>
          <w:bCs w:val="0"/>
          <w:color w:val="auto"/>
          <w:highlight w:val="none"/>
          <w:lang w:val="en-US" w:eastAsia="zh-CN"/>
        </w:rPr>
        <w:t>资格审查小组</w:t>
      </w:r>
      <w:r>
        <w:rPr>
          <w:rFonts w:hint="eastAsia" w:ascii="宋体" w:hAnsi="宋体" w:cs="宋体"/>
          <w:bCs/>
          <w:color w:val="auto"/>
          <w:szCs w:val="21"/>
          <w:highlight w:val="none"/>
        </w:rPr>
        <w:t>依据法律法规和招标文件的规定，对投标文件中的资格证明、投标保证金等进行审查，以确定</w:t>
      </w:r>
      <w:r>
        <w:rPr>
          <w:rFonts w:hint="eastAsia" w:ascii="宋体" w:hAnsi="宋体" w:cs="宋体"/>
          <w:bCs/>
          <w:color w:val="auto"/>
          <w:szCs w:val="21"/>
          <w:highlight w:val="none"/>
          <w:lang w:eastAsia="zh-CN"/>
        </w:rPr>
        <w:t>投标</w:t>
      </w:r>
      <w:r>
        <w:rPr>
          <w:rFonts w:hint="eastAsia" w:ascii="宋体" w:hAnsi="宋体" w:cs="宋体"/>
          <w:bCs/>
          <w:color w:val="auto"/>
          <w:szCs w:val="21"/>
          <w:highlight w:val="none"/>
        </w:rPr>
        <w:t>人是否具备投标资格。</w:t>
      </w:r>
    </w:p>
    <w:p w14:paraId="7C9D6AB1">
      <w:pPr>
        <w:spacing w:line="440" w:lineRule="exact"/>
        <w:jc w:val="left"/>
        <w:outlineLvl w:val="0"/>
        <w:rPr>
          <w:rFonts w:hint="eastAsia" w:ascii="宋体" w:hAnsi="宋体" w:cs="宋体"/>
          <w:bCs/>
          <w:color w:val="auto"/>
          <w:szCs w:val="21"/>
          <w:highlight w:val="none"/>
        </w:rPr>
      </w:pPr>
      <w:r>
        <w:rPr>
          <w:rFonts w:hint="eastAsia" w:ascii="宋体" w:hAnsi="宋体" w:cs="宋体"/>
          <w:bCs/>
          <w:color w:val="auto"/>
          <w:szCs w:val="21"/>
          <w:highlight w:val="none"/>
        </w:rPr>
        <w:t>资格性检查包含如下内容：</w:t>
      </w:r>
    </w:p>
    <w:tbl>
      <w:tblPr>
        <w:tblStyle w:val="37"/>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705"/>
        <w:gridCol w:w="6012"/>
        <w:gridCol w:w="780"/>
        <w:gridCol w:w="699"/>
      </w:tblGrid>
      <w:tr w14:paraId="1876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44" w:type="dxa"/>
            <w:vMerge w:val="restart"/>
            <w:noWrap w:val="0"/>
            <w:vAlign w:val="center"/>
          </w:tcPr>
          <w:p w14:paraId="28E631CF">
            <w:pPr>
              <w:spacing w:line="440" w:lineRule="exact"/>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项目</w:t>
            </w:r>
          </w:p>
        </w:tc>
        <w:tc>
          <w:tcPr>
            <w:tcW w:w="6717" w:type="dxa"/>
            <w:gridSpan w:val="2"/>
            <w:vMerge w:val="restart"/>
            <w:noWrap w:val="0"/>
            <w:vAlign w:val="center"/>
          </w:tcPr>
          <w:p w14:paraId="5344C4E6">
            <w:pPr>
              <w:spacing w:line="440" w:lineRule="exact"/>
              <w:jc w:val="center"/>
              <w:outlineLvl w:val="0"/>
              <w:rPr>
                <w:rFonts w:hint="eastAsia" w:ascii="宋体" w:hAnsi="宋体" w:cs="宋体"/>
                <w:bCs/>
                <w:color w:val="auto"/>
                <w:szCs w:val="21"/>
                <w:highlight w:val="none"/>
              </w:rPr>
            </w:pPr>
            <w:r>
              <w:rPr>
                <w:rFonts w:hint="eastAsia" w:ascii="宋体" w:hAnsi="宋体" w:cs="宋体"/>
                <w:b/>
                <w:color w:val="auto"/>
                <w:sz w:val="28"/>
                <w:szCs w:val="28"/>
                <w:highlight w:val="none"/>
              </w:rPr>
              <w:t>评审内容</w:t>
            </w:r>
          </w:p>
        </w:tc>
        <w:tc>
          <w:tcPr>
            <w:tcW w:w="1479" w:type="dxa"/>
            <w:gridSpan w:val="2"/>
            <w:noWrap w:val="0"/>
            <w:vAlign w:val="center"/>
          </w:tcPr>
          <w:p w14:paraId="780EF035">
            <w:pPr>
              <w:spacing w:line="440" w:lineRule="exact"/>
              <w:jc w:val="center"/>
              <w:outlineLvl w:val="0"/>
              <w:rPr>
                <w:rFonts w:hint="eastAsia" w:ascii="宋体" w:hAnsi="宋体" w:cs="宋体"/>
                <w:b/>
                <w:color w:val="auto"/>
                <w:sz w:val="28"/>
                <w:szCs w:val="28"/>
                <w:highlight w:val="none"/>
              </w:rPr>
            </w:pPr>
            <w:r>
              <w:rPr>
                <w:rFonts w:hint="eastAsia" w:ascii="宋体" w:hAnsi="宋体" w:cs="宋体"/>
                <w:b/>
                <w:color w:val="auto"/>
                <w:sz w:val="28"/>
                <w:szCs w:val="28"/>
                <w:highlight w:val="none"/>
              </w:rPr>
              <w:t>评审</w:t>
            </w:r>
          </w:p>
          <w:p w14:paraId="7990E5A9">
            <w:pPr>
              <w:spacing w:line="440" w:lineRule="exact"/>
              <w:jc w:val="center"/>
              <w:outlineLvl w:val="0"/>
              <w:rPr>
                <w:rFonts w:hint="eastAsia" w:ascii="宋体" w:hAnsi="宋体" w:cs="宋体"/>
                <w:bCs/>
                <w:color w:val="auto"/>
                <w:szCs w:val="21"/>
                <w:highlight w:val="none"/>
              </w:rPr>
            </w:pPr>
            <w:r>
              <w:rPr>
                <w:rFonts w:hint="eastAsia" w:ascii="宋体" w:hAnsi="宋体" w:cs="宋体"/>
                <w:b/>
                <w:color w:val="auto"/>
                <w:sz w:val="28"/>
                <w:szCs w:val="28"/>
                <w:highlight w:val="none"/>
              </w:rPr>
              <w:t>意见</w:t>
            </w:r>
          </w:p>
        </w:tc>
      </w:tr>
      <w:tr w14:paraId="27B7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14603BA6">
            <w:pPr>
              <w:spacing w:line="440" w:lineRule="exact"/>
              <w:jc w:val="left"/>
              <w:outlineLvl w:val="0"/>
              <w:rPr>
                <w:rFonts w:hint="eastAsia" w:ascii="宋体" w:hAnsi="宋体" w:cs="宋体"/>
                <w:bCs/>
                <w:color w:val="auto"/>
                <w:szCs w:val="21"/>
                <w:highlight w:val="none"/>
              </w:rPr>
            </w:pPr>
          </w:p>
        </w:tc>
        <w:tc>
          <w:tcPr>
            <w:tcW w:w="6717" w:type="dxa"/>
            <w:gridSpan w:val="2"/>
            <w:vMerge w:val="continue"/>
            <w:noWrap w:val="0"/>
            <w:vAlign w:val="top"/>
          </w:tcPr>
          <w:p w14:paraId="1403B767">
            <w:pPr>
              <w:spacing w:line="440" w:lineRule="exact"/>
              <w:jc w:val="left"/>
              <w:outlineLvl w:val="0"/>
              <w:rPr>
                <w:rFonts w:hint="eastAsia" w:ascii="宋体" w:hAnsi="宋体" w:cs="宋体"/>
                <w:bCs/>
                <w:color w:val="auto"/>
                <w:szCs w:val="21"/>
                <w:highlight w:val="none"/>
              </w:rPr>
            </w:pPr>
          </w:p>
        </w:tc>
        <w:tc>
          <w:tcPr>
            <w:tcW w:w="780" w:type="dxa"/>
            <w:noWrap w:val="0"/>
            <w:vAlign w:val="center"/>
          </w:tcPr>
          <w:p w14:paraId="0C37AAAE">
            <w:pPr>
              <w:spacing w:line="440" w:lineRule="exact"/>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是</w:t>
            </w:r>
          </w:p>
        </w:tc>
        <w:tc>
          <w:tcPr>
            <w:tcW w:w="699" w:type="dxa"/>
            <w:noWrap w:val="0"/>
            <w:vAlign w:val="center"/>
          </w:tcPr>
          <w:p w14:paraId="1E084CEB">
            <w:pPr>
              <w:spacing w:line="440" w:lineRule="exact"/>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否</w:t>
            </w:r>
          </w:p>
        </w:tc>
      </w:tr>
      <w:tr w14:paraId="65D4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44" w:type="dxa"/>
            <w:vMerge w:val="restart"/>
            <w:noWrap w:val="0"/>
            <w:vAlign w:val="center"/>
          </w:tcPr>
          <w:p w14:paraId="58D791E7">
            <w:pPr>
              <w:spacing w:line="440" w:lineRule="exact"/>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审查标准</w:t>
            </w:r>
          </w:p>
        </w:tc>
        <w:tc>
          <w:tcPr>
            <w:tcW w:w="705" w:type="dxa"/>
            <w:noWrap w:val="0"/>
            <w:vAlign w:val="center"/>
          </w:tcPr>
          <w:p w14:paraId="4E3F71F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6012" w:type="dxa"/>
            <w:noWrap w:val="0"/>
            <w:vAlign w:val="center"/>
          </w:tcPr>
          <w:p w14:paraId="5452B04D">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三证合一营业执照（事业单位法人证书）</w:t>
            </w:r>
          </w:p>
        </w:tc>
        <w:tc>
          <w:tcPr>
            <w:tcW w:w="780" w:type="dxa"/>
            <w:noWrap w:val="0"/>
            <w:vAlign w:val="top"/>
          </w:tcPr>
          <w:p w14:paraId="09C6E7BD">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31E5313C">
            <w:pPr>
              <w:spacing w:line="440" w:lineRule="exact"/>
              <w:jc w:val="left"/>
              <w:outlineLvl w:val="0"/>
              <w:rPr>
                <w:rFonts w:hint="eastAsia" w:ascii="宋体" w:hAnsi="宋体" w:cs="宋体"/>
                <w:bCs/>
                <w:color w:val="auto"/>
                <w:szCs w:val="21"/>
                <w:highlight w:val="none"/>
              </w:rPr>
            </w:pPr>
          </w:p>
        </w:tc>
      </w:tr>
      <w:tr w14:paraId="6717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44" w:type="dxa"/>
            <w:vMerge w:val="continue"/>
            <w:noWrap w:val="0"/>
            <w:vAlign w:val="center"/>
          </w:tcPr>
          <w:p w14:paraId="2A7AF2CD">
            <w:pPr>
              <w:spacing w:line="440" w:lineRule="exact"/>
              <w:jc w:val="left"/>
              <w:outlineLvl w:val="0"/>
              <w:rPr>
                <w:rFonts w:hint="eastAsia" w:ascii="宋体" w:hAnsi="宋体" w:cs="宋体"/>
                <w:bCs/>
                <w:color w:val="auto"/>
                <w:szCs w:val="21"/>
                <w:highlight w:val="none"/>
              </w:rPr>
            </w:pPr>
          </w:p>
        </w:tc>
        <w:tc>
          <w:tcPr>
            <w:tcW w:w="705" w:type="dxa"/>
            <w:noWrap w:val="0"/>
            <w:vAlign w:val="center"/>
          </w:tcPr>
          <w:p w14:paraId="4AB2637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cs="宋体"/>
                <w:bCs/>
                <w:color w:val="auto"/>
                <w:szCs w:val="21"/>
                <w:highlight w:val="none"/>
              </w:rPr>
            </w:pPr>
            <w:r>
              <w:rPr>
                <w:rFonts w:hint="eastAsia" w:ascii="宋体" w:hAnsi="宋体" w:cs="宋体"/>
                <w:bCs/>
                <w:color w:val="auto"/>
                <w:szCs w:val="21"/>
                <w:highlight w:val="none"/>
              </w:rPr>
              <w:t>2</w:t>
            </w:r>
          </w:p>
        </w:tc>
        <w:tc>
          <w:tcPr>
            <w:tcW w:w="6012" w:type="dxa"/>
            <w:noWrap w:val="0"/>
            <w:vAlign w:val="center"/>
          </w:tcPr>
          <w:p w14:paraId="175CDEE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color w:val="000000"/>
                <w:lang w:val="en-US" w:eastAsia="zh-CN"/>
              </w:rPr>
            </w:pPr>
            <w:r>
              <w:rPr>
                <w:rFonts w:hint="eastAsia" w:ascii="宋体" w:hAnsi="宋体" w:eastAsia="宋体" w:cs="宋体"/>
                <w:color w:val="000000"/>
                <w:lang w:eastAsia="zh-CN"/>
              </w:rPr>
              <w:t>具备</w:t>
            </w:r>
            <w:r>
              <w:rPr>
                <w:rFonts w:hint="eastAsia" w:ascii="宋体" w:hAnsi="宋体" w:cs="宋体"/>
                <w:color w:val="000000"/>
                <w:lang w:eastAsia="zh-CN"/>
              </w:rPr>
              <w:t>城乡规划（国土空间规划）编制乙级及以上（含乙级）资质</w:t>
            </w:r>
          </w:p>
        </w:tc>
        <w:tc>
          <w:tcPr>
            <w:tcW w:w="780" w:type="dxa"/>
            <w:noWrap w:val="0"/>
            <w:vAlign w:val="top"/>
          </w:tcPr>
          <w:p w14:paraId="25B57F2C">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3942C4D9">
            <w:pPr>
              <w:spacing w:line="440" w:lineRule="exact"/>
              <w:jc w:val="left"/>
              <w:outlineLvl w:val="0"/>
              <w:rPr>
                <w:rFonts w:hint="eastAsia" w:ascii="宋体" w:hAnsi="宋体" w:cs="宋体"/>
                <w:bCs/>
                <w:color w:val="auto"/>
                <w:szCs w:val="21"/>
                <w:highlight w:val="none"/>
              </w:rPr>
            </w:pPr>
          </w:p>
        </w:tc>
      </w:tr>
      <w:tr w14:paraId="158E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44" w:type="dxa"/>
            <w:vMerge w:val="continue"/>
            <w:noWrap w:val="0"/>
            <w:vAlign w:val="center"/>
          </w:tcPr>
          <w:p w14:paraId="70349199">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0351FB0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3</w:t>
            </w:r>
          </w:p>
        </w:tc>
        <w:tc>
          <w:tcPr>
            <w:tcW w:w="6012" w:type="dxa"/>
            <w:noWrap w:val="0"/>
            <w:vAlign w:val="center"/>
          </w:tcPr>
          <w:p w14:paraId="0109E60C">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color w:val="000000"/>
                <w:lang w:val="en-US" w:eastAsia="zh-CN"/>
              </w:rPr>
            </w:pPr>
            <w:r>
              <w:rPr>
                <w:rFonts w:hint="eastAsia" w:ascii="宋体" w:hAnsi="宋体" w:eastAsia="宋体" w:cs="宋体"/>
                <w:color w:val="000000"/>
                <w:lang w:val="en-US" w:eastAsia="zh-CN"/>
              </w:rPr>
              <w:t>法人本人投标的需提供法定代表人身份证明书；被授权委托人需提供法人授权委托书</w:t>
            </w:r>
          </w:p>
        </w:tc>
        <w:tc>
          <w:tcPr>
            <w:tcW w:w="780" w:type="dxa"/>
            <w:noWrap w:val="0"/>
            <w:vAlign w:val="top"/>
          </w:tcPr>
          <w:p w14:paraId="0DD20E9F">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397600DA">
            <w:pPr>
              <w:spacing w:line="440" w:lineRule="exact"/>
              <w:jc w:val="left"/>
              <w:outlineLvl w:val="0"/>
              <w:rPr>
                <w:rFonts w:hint="eastAsia" w:ascii="宋体" w:hAnsi="宋体" w:cs="宋体"/>
                <w:bCs/>
                <w:color w:val="auto"/>
                <w:szCs w:val="21"/>
                <w:highlight w:val="none"/>
              </w:rPr>
            </w:pPr>
          </w:p>
        </w:tc>
      </w:tr>
      <w:tr w14:paraId="18D0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244" w:type="dxa"/>
            <w:vMerge w:val="continue"/>
            <w:noWrap w:val="0"/>
            <w:vAlign w:val="center"/>
          </w:tcPr>
          <w:p w14:paraId="1DB19AD0">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3D8352F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4</w:t>
            </w:r>
          </w:p>
        </w:tc>
        <w:tc>
          <w:tcPr>
            <w:tcW w:w="6012" w:type="dxa"/>
            <w:noWrap w:val="0"/>
            <w:vAlign w:val="center"/>
          </w:tcPr>
          <w:p w14:paraId="0CD4669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2024年度或2025年度经会计师事务所出具财务审计报告（事业法人单位可提供内审财务报表或征信证明）（2026年新成立的公司须提供近六个月任意一个月的银行资信证明）</w:t>
            </w:r>
          </w:p>
        </w:tc>
        <w:tc>
          <w:tcPr>
            <w:tcW w:w="780" w:type="dxa"/>
            <w:noWrap w:val="0"/>
            <w:vAlign w:val="top"/>
          </w:tcPr>
          <w:p w14:paraId="31416455">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42922847">
            <w:pPr>
              <w:spacing w:line="440" w:lineRule="exact"/>
              <w:jc w:val="left"/>
              <w:outlineLvl w:val="0"/>
              <w:rPr>
                <w:rFonts w:hint="eastAsia" w:ascii="宋体" w:hAnsi="宋体" w:cs="宋体"/>
                <w:bCs/>
                <w:color w:val="auto"/>
                <w:szCs w:val="21"/>
                <w:highlight w:val="none"/>
              </w:rPr>
            </w:pPr>
          </w:p>
        </w:tc>
      </w:tr>
      <w:tr w14:paraId="1EB7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1DE719A3">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08B474E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5</w:t>
            </w:r>
          </w:p>
        </w:tc>
        <w:tc>
          <w:tcPr>
            <w:tcW w:w="6012" w:type="dxa"/>
            <w:noWrap w:val="0"/>
            <w:vAlign w:val="center"/>
          </w:tcPr>
          <w:p w14:paraId="342B2757">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依法缴纳近六个月中任意一个月的社保凭证；依法缴纳近六个月任意一个月的税收良好记录证明（零申报需加盖税务机关章、无拖欠税收证明需加盖税务机关章、完税证明为非社保缴纳明细）</w:t>
            </w:r>
          </w:p>
        </w:tc>
        <w:tc>
          <w:tcPr>
            <w:tcW w:w="780" w:type="dxa"/>
            <w:noWrap w:val="0"/>
            <w:vAlign w:val="top"/>
          </w:tcPr>
          <w:p w14:paraId="009AC379">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1E7D249A">
            <w:pPr>
              <w:spacing w:line="440" w:lineRule="exact"/>
              <w:jc w:val="left"/>
              <w:outlineLvl w:val="0"/>
              <w:rPr>
                <w:rFonts w:hint="eastAsia" w:ascii="宋体" w:hAnsi="宋体" w:cs="宋体"/>
                <w:bCs/>
                <w:color w:val="auto"/>
                <w:szCs w:val="21"/>
                <w:highlight w:val="none"/>
              </w:rPr>
            </w:pPr>
          </w:p>
        </w:tc>
      </w:tr>
      <w:tr w14:paraId="388F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B50BA30">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165CB65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6</w:t>
            </w:r>
          </w:p>
        </w:tc>
        <w:tc>
          <w:tcPr>
            <w:tcW w:w="6012" w:type="dxa"/>
            <w:noWrap w:val="0"/>
            <w:vAlign w:val="center"/>
          </w:tcPr>
          <w:p w14:paraId="1B745FB4">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未被“信用中国”网站列入失信被执行人、重大税收违法案件当事人名单；“中国政府采购网”网站列入政府采购严重违法失信行为信息记录名单（处罚期限尚未届满的）的；“国家企业信用信息公示系统”被列入经营异常名录信息、列入严重违法失信企业名单（黑名单）的企业，附网站截图或报告</w:t>
            </w:r>
          </w:p>
        </w:tc>
        <w:tc>
          <w:tcPr>
            <w:tcW w:w="780" w:type="dxa"/>
            <w:noWrap w:val="0"/>
            <w:vAlign w:val="top"/>
          </w:tcPr>
          <w:p w14:paraId="36CA0DFD">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7D433E5B">
            <w:pPr>
              <w:spacing w:line="440" w:lineRule="exact"/>
              <w:jc w:val="left"/>
              <w:outlineLvl w:val="0"/>
              <w:rPr>
                <w:rFonts w:hint="eastAsia" w:ascii="宋体" w:hAnsi="宋体" w:cs="宋体"/>
                <w:bCs/>
                <w:color w:val="auto"/>
                <w:szCs w:val="21"/>
                <w:highlight w:val="none"/>
              </w:rPr>
            </w:pPr>
          </w:p>
        </w:tc>
      </w:tr>
      <w:tr w14:paraId="6BAE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50255DEA">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10E1CAE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7</w:t>
            </w:r>
          </w:p>
        </w:tc>
        <w:tc>
          <w:tcPr>
            <w:tcW w:w="6012" w:type="dxa"/>
            <w:noWrap w:val="0"/>
            <w:vAlign w:val="center"/>
          </w:tcPr>
          <w:p w14:paraId="62FF913A">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参加政府采购活动近3年内，在经营活动中没有重大违法记录的书面声明</w:t>
            </w:r>
          </w:p>
        </w:tc>
        <w:tc>
          <w:tcPr>
            <w:tcW w:w="780" w:type="dxa"/>
            <w:noWrap w:val="0"/>
            <w:vAlign w:val="top"/>
          </w:tcPr>
          <w:p w14:paraId="5ADF5D98">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341294A4">
            <w:pPr>
              <w:spacing w:line="440" w:lineRule="exact"/>
              <w:jc w:val="left"/>
              <w:outlineLvl w:val="0"/>
              <w:rPr>
                <w:rFonts w:hint="eastAsia" w:ascii="宋体" w:hAnsi="宋体" w:cs="宋体"/>
                <w:bCs/>
                <w:color w:val="auto"/>
                <w:szCs w:val="21"/>
                <w:highlight w:val="none"/>
              </w:rPr>
            </w:pPr>
          </w:p>
        </w:tc>
      </w:tr>
      <w:tr w14:paraId="7DAA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44" w:type="dxa"/>
            <w:vMerge w:val="continue"/>
            <w:noWrap w:val="0"/>
            <w:vAlign w:val="center"/>
          </w:tcPr>
          <w:p w14:paraId="0E9EF660">
            <w:pPr>
              <w:spacing w:line="440" w:lineRule="exact"/>
              <w:jc w:val="left"/>
              <w:outlineLvl w:val="0"/>
              <w:rPr>
                <w:rFonts w:hint="eastAsia" w:ascii="宋体" w:hAnsi="宋体" w:cs="宋体"/>
                <w:bCs/>
                <w:color w:val="auto"/>
                <w:szCs w:val="21"/>
                <w:highlight w:val="none"/>
              </w:rPr>
            </w:pPr>
          </w:p>
        </w:tc>
        <w:tc>
          <w:tcPr>
            <w:tcW w:w="705" w:type="dxa"/>
            <w:shd w:val="clear" w:color="auto" w:fill="auto"/>
            <w:noWrap w:val="0"/>
            <w:vAlign w:val="center"/>
          </w:tcPr>
          <w:p w14:paraId="56984E6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8</w:t>
            </w:r>
          </w:p>
        </w:tc>
        <w:tc>
          <w:tcPr>
            <w:tcW w:w="6012" w:type="dxa"/>
            <w:noWrap w:val="0"/>
            <w:vAlign w:val="center"/>
          </w:tcPr>
          <w:p w14:paraId="739B5501">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针对本次项目《反商业贿赂承诺书》</w:t>
            </w:r>
          </w:p>
        </w:tc>
        <w:tc>
          <w:tcPr>
            <w:tcW w:w="780" w:type="dxa"/>
            <w:noWrap w:val="0"/>
            <w:vAlign w:val="top"/>
          </w:tcPr>
          <w:p w14:paraId="3FEB1634">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4D6D261F">
            <w:pPr>
              <w:spacing w:line="440" w:lineRule="exact"/>
              <w:jc w:val="left"/>
              <w:outlineLvl w:val="0"/>
              <w:rPr>
                <w:rFonts w:hint="eastAsia" w:ascii="宋体" w:hAnsi="宋体" w:cs="宋体"/>
                <w:bCs/>
                <w:color w:val="auto"/>
                <w:szCs w:val="21"/>
                <w:highlight w:val="none"/>
              </w:rPr>
            </w:pPr>
          </w:p>
        </w:tc>
      </w:tr>
      <w:tr w14:paraId="7724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44" w:type="dxa"/>
            <w:vMerge w:val="continue"/>
            <w:noWrap w:val="0"/>
            <w:vAlign w:val="center"/>
          </w:tcPr>
          <w:p w14:paraId="43AC7122">
            <w:pPr>
              <w:spacing w:line="440" w:lineRule="exact"/>
              <w:jc w:val="left"/>
              <w:outlineLvl w:val="0"/>
              <w:rPr>
                <w:rFonts w:hint="eastAsia" w:ascii="宋体" w:hAnsi="宋体" w:cs="宋体"/>
                <w:bCs/>
                <w:color w:val="auto"/>
                <w:szCs w:val="21"/>
                <w:highlight w:val="none"/>
              </w:rPr>
            </w:pPr>
          </w:p>
        </w:tc>
        <w:tc>
          <w:tcPr>
            <w:tcW w:w="705" w:type="dxa"/>
            <w:noWrap w:val="0"/>
            <w:vAlign w:val="center"/>
          </w:tcPr>
          <w:p w14:paraId="668581C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9</w:t>
            </w:r>
          </w:p>
        </w:tc>
        <w:tc>
          <w:tcPr>
            <w:tcW w:w="6012" w:type="dxa"/>
            <w:noWrap w:val="0"/>
            <w:vAlign w:val="center"/>
          </w:tcPr>
          <w:p w14:paraId="177B8296">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投标保证金缴纳凭证或投标保函</w:t>
            </w:r>
          </w:p>
        </w:tc>
        <w:tc>
          <w:tcPr>
            <w:tcW w:w="780" w:type="dxa"/>
            <w:noWrap w:val="0"/>
            <w:vAlign w:val="top"/>
          </w:tcPr>
          <w:p w14:paraId="2A2915C0">
            <w:pPr>
              <w:spacing w:line="440" w:lineRule="exact"/>
              <w:jc w:val="left"/>
              <w:outlineLvl w:val="0"/>
              <w:rPr>
                <w:rFonts w:hint="eastAsia" w:ascii="宋体" w:hAnsi="宋体" w:cs="宋体"/>
                <w:bCs/>
                <w:color w:val="auto"/>
                <w:szCs w:val="21"/>
                <w:highlight w:val="none"/>
              </w:rPr>
            </w:pPr>
          </w:p>
        </w:tc>
        <w:tc>
          <w:tcPr>
            <w:tcW w:w="699" w:type="dxa"/>
            <w:noWrap w:val="0"/>
            <w:vAlign w:val="top"/>
          </w:tcPr>
          <w:p w14:paraId="6618D4F5">
            <w:pPr>
              <w:spacing w:line="440" w:lineRule="exact"/>
              <w:jc w:val="left"/>
              <w:outlineLvl w:val="0"/>
              <w:rPr>
                <w:rFonts w:hint="eastAsia" w:ascii="宋体" w:hAnsi="宋体" w:cs="宋体"/>
                <w:bCs/>
                <w:color w:val="auto"/>
                <w:szCs w:val="21"/>
                <w:highlight w:val="none"/>
              </w:rPr>
            </w:pPr>
          </w:p>
        </w:tc>
      </w:tr>
      <w:tr w14:paraId="299E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244" w:type="dxa"/>
            <w:noWrap w:val="0"/>
            <w:vAlign w:val="center"/>
          </w:tcPr>
          <w:p w14:paraId="52178F7C">
            <w:pPr>
              <w:spacing w:line="440" w:lineRule="exact"/>
              <w:jc w:val="left"/>
              <w:outlineLvl w:val="0"/>
              <w:rPr>
                <w:rFonts w:hint="eastAsia" w:ascii="宋体" w:hAnsi="宋体" w:cs="宋体"/>
                <w:bCs/>
                <w:color w:val="auto"/>
                <w:szCs w:val="21"/>
                <w:highlight w:val="none"/>
              </w:rPr>
            </w:pPr>
          </w:p>
        </w:tc>
        <w:tc>
          <w:tcPr>
            <w:tcW w:w="705" w:type="dxa"/>
            <w:noWrap w:val="0"/>
            <w:vAlign w:val="top"/>
          </w:tcPr>
          <w:p w14:paraId="4B7D6D24">
            <w:pPr>
              <w:spacing w:line="440" w:lineRule="exact"/>
              <w:jc w:val="left"/>
              <w:outlineLvl w:val="0"/>
              <w:rPr>
                <w:rFonts w:hint="eastAsia" w:ascii="宋体" w:hAnsi="宋体" w:cs="宋体"/>
                <w:bCs/>
                <w:color w:val="auto"/>
                <w:szCs w:val="21"/>
                <w:highlight w:val="none"/>
              </w:rPr>
            </w:pPr>
          </w:p>
        </w:tc>
        <w:tc>
          <w:tcPr>
            <w:tcW w:w="6012" w:type="dxa"/>
            <w:noWrap w:val="0"/>
            <w:vAlign w:val="top"/>
          </w:tcPr>
          <w:p w14:paraId="6D717788">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结论：是否通过评审（须填写通过或不通过）</w:t>
            </w:r>
          </w:p>
          <w:p w14:paraId="58AFDE61">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注：如有一项不合格，作废标处理。</w:t>
            </w:r>
          </w:p>
        </w:tc>
        <w:tc>
          <w:tcPr>
            <w:tcW w:w="1479" w:type="dxa"/>
            <w:gridSpan w:val="2"/>
            <w:noWrap w:val="0"/>
            <w:vAlign w:val="top"/>
          </w:tcPr>
          <w:p w14:paraId="1DCDF84A">
            <w:pPr>
              <w:spacing w:line="440" w:lineRule="exact"/>
              <w:jc w:val="left"/>
              <w:outlineLvl w:val="0"/>
              <w:rPr>
                <w:rFonts w:hint="eastAsia" w:ascii="宋体" w:hAnsi="宋体" w:cs="宋体"/>
                <w:bCs/>
                <w:color w:val="auto"/>
                <w:szCs w:val="21"/>
                <w:highlight w:val="none"/>
              </w:rPr>
            </w:pPr>
          </w:p>
        </w:tc>
      </w:tr>
    </w:tbl>
    <w:p w14:paraId="2F47588F">
      <w:pPr>
        <w:spacing w:line="440" w:lineRule="exact"/>
        <w:jc w:val="left"/>
        <w:outlineLvl w:val="0"/>
        <w:rPr>
          <w:rFonts w:hint="eastAsia" w:ascii="宋体" w:hAnsi="宋体" w:cs="宋体"/>
          <w:bCs/>
          <w:color w:val="auto"/>
          <w:szCs w:val="21"/>
          <w:highlight w:val="none"/>
        </w:rPr>
      </w:pPr>
      <w:r>
        <w:rPr>
          <w:rFonts w:hint="eastAsia" w:ascii="宋体" w:hAnsi="宋体" w:cs="宋体"/>
          <w:bCs/>
          <w:color w:val="auto"/>
          <w:szCs w:val="21"/>
          <w:highlight w:val="none"/>
        </w:rPr>
        <w:t>通过上述资格性检查，可初步判定投标人的投标文件是否符合招标文件的要求。对于上述审查内容，投标人必须响应，否则其投标文件作废标处理。</w:t>
      </w:r>
    </w:p>
    <w:p w14:paraId="3244156B">
      <w:pPr>
        <w:pStyle w:val="6"/>
        <w:rPr>
          <w:rFonts w:hint="eastAsia"/>
          <w:color w:val="auto"/>
          <w:highlight w:val="none"/>
        </w:rPr>
      </w:pPr>
    </w:p>
    <w:p w14:paraId="245B7199">
      <w:pPr>
        <w:rPr>
          <w:rFonts w:hint="eastAsia"/>
          <w:color w:val="auto"/>
          <w:highlight w:val="none"/>
        </w:rPr>
      </w:pPr>
    </w:p>
    <w:p w14:paraId="65227FE3">
      <w:pPr>
        <w:rPr>
          <w:rFonts w:hint="eastAsia"/>
          <w:color w:val="auto"/>
          <w:highlight w:val="none"/>
        </w:rPr>
      </w:pPr>
    </w:p>
    <w:p w14:paraId="330B3730">
      <w:pPr>
        <w:rPr>
          <w:rFonts w:hint="eastAsia"/>
          <w:color w:val="auto"/>
          <w:highlight w:val="none"/>
        </w:rPr>
      </w:pPr>
    </w:p>
    <w:p w14:paraId="34D2182D">
      <w:pPr>
        <w:rPr>
          <w:rFonts w:hint="eastAsia"/>
          <w:color w:val="auto"/>
          <w:highlight w:val="none"/>
        </w:rPr>
      </w:pPr>
    </w:p>
    <w:p w14:paraId="77B02B40">
      <w:pPr>
        <w:spacing w:line="440" w:lineRule="exact"/>
        <w:jc w:val="center"/>
        <w:outlineLvl w:val="0"/>
        <w:rPr>
          <w:rFonts w:hint="eastAsia" w:ascii="宋体" w:hAnsi="宋体" w:cs="宋体"/>
          <w:b/>
          <w:color w:val="auto"/>
          <w:sz w:val="32"/>
          <w:szCs w:val="32"/>
          <w:highlight w:val="none"/>
        </w:rPr>
      </w:pPr>
      <w:r>
        <w:rPr>
          <w:rFonts w:hint="eastAsia" w:ascii="宋体" w:hAnsi="宋体" w:cs="宋体"/>
          <w:b/>
          <w:color w:val="auto"/>
          <w:sz w:val="24"/>
          <w:szCs w:val="24"/>
          <w:highlight w:val="none"/>
        </w:rPr>
        <w:t>符合性检查</w:t>
      </w:r>
    </w:p>
    <w:p w14:paraId="0357C456">
      <w:pPr>
        <w:spacing w:line="440" w:lineRule="exact"/>
        <w:jc w:val="left"/>
        <w:outlineLvl w:val="0"/>
        <w:rPr>
          <w:rFonts w:hint="eastAsia" w:ascii="宋体" w:hAnsi="宋体" w:cs="宋体"/>
          <w:bCs/>
          <w:color w:val="auto"/>
          <w:szCs w:val="21"/>
          <w:highlight w:val="none"/>
        </w:rPr>
      </w:pPr>
      <w:r>
        <w:rPr>
          <w:rFonts w:hint="eastAsia" w:ascii="宋体" w:hAnsi="宋体" w:cs="宋体"/>
          <w:bCs/>
          <w:color w:val="auto"/>
          <w:szCs w:val="21"/>
          <w:highlight w:val="none"/>
        </w:rPr>
        <w:t>1、符合性检查包含下列内容</w:t>
      </w:r>
    </w:p>
    <w:tbl>
      <w:tblPr>
        <w:tblStyle w:val="37"/>
        <w:tblpPr w:leftFromText="180" w:rightFromText="180" w:vertAnchor="text" w:horzAnchor="margin" w:tblpXSpec="center" w:tblpY="781"/>
        <w:tblW w:w="87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14:paraId="0173E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tcBorders>
            <w:noWrap w:val="0"/>
            <w:vAlign w:val="center"/>
          </w:tcPr>
          <w:p w14:paraId="0798DE26">
            <w:pPr>
              <w:spacing w:line="240" w:lineRule="auto"/>
              <w:jc w:val="center"/>
              <w:outlineLvl w:val="0"/>
              <w:rPr>
                <w:rFonts w:hint="eastAsia" w:ascii="宋体" w:hAnsi="宋体" w:cs="宋体"/>
                <w:b/>
                <w:color w:val="auto"/>
                <w:sz w:val="30"/>
                <w:szCs w:val="30"/>
                <w:highlight w:val="none"/>
              </w:rPr>
            </w:pPr>
            <w:r>
              <w:rPr>
                <w:rFonts w:hint="eastAsia" w:ascii="宋体" w:hAnsi="宋体" w:cs="宋体"/>
                <w:b/>
                <w:color w:val="auto"/>
                <w:sz w:val="30"/>
                <w:szCs w:val="30"/>
                <w:highlight w:val="none"/>
              </w:rPr>
              <w:t>项目</w:t>
            </w:r>
          </w:p>
        </w:tc>
        <w:tc>
          <w:tcPr>
            <w:tcW w:w="6688" w:type="dxa"/>
            <w:gridSpan w:val="2"/>
            <w:tcBorders>
              <w:top w:val="single" w:color="auto" w:sz="4" w:space="0"/>
            </w:tcBorders>
            <w:noWrap w:val="0"/>
            <w:vAlign w:val="center"/>
          </w:tcPr>
          <w:p w14:paraId="4534EE13">
            <w:pPr>
              <w:spacing w:line="240" w:lineRule="auto"/>
              <w:jc w:val="center"/>
              <w:outlineLvl w:val="0"/>
              <w:rPr>
                <w:rFonts w:hint="eastAsia" w:ascii="宋体" w:hAnsi="宋体" w:cs="宋体"/>
                <w:b/>
                <w:color w:val="auto"/>
                <w:sz w:val="30"/>
                <w:szCs w:val="30"/>
                <w:highlight w:val="none"/>
              </w:rPr>
            </w:pPr>
            <w:r>
              <w:rPr>
                <w:rFonts w:hint="eastAsia" w:ascii="宋体" w:hAnsi="宋体" w:cs="宋体"/>
                <w:b/>
                <w:color w:val="auto"/>
                <w:sz w:val="30"/>
                <w:szCs w:val="30"/>
                <w:highlight w:val="none"/>
              </w:rPr>
              <w:t>评审内容</w:t>
            </w:r>
          </w:p>
        </w:tc>
        <w:tc>
          <w:tcPr>
            <w:tcW w:w="1260" w:type="dxa"/>
            <w:gridSpan w:val="2"/>
            <w:tcBorders>
              <w:top w:val="single" w:color="auto" w:sz="4" w:space="0"/>
              <w:right w:val="single" w:color="auto" w:sz="4" w:space="0"/>
            </w:tcBorders>
            <w:noWrap w:val="0"/>
            <w:vAlign w:val="center"/>
          </w:tcPr>
          <w:p w14:paraId="4DC58F41">
            <w:pPr>
              <w:spacing w:line="240" w:lineRule="auto"/>
              <w:jc w:val="center"/>
              <w:outlineLvl w:val="0"/>
              <w:rPr>
                <w:rFonts w:hint="eastAsia" w:ascii="宋体" w:hAnsi="宋体" w:cs="宋体"/>
                <w:b/>
                <w:color w:val="auto"/>
                <w:sz w:val="30"/>
                <w:szCs w:val="30"/>
                <w:highlight w:val="none"/>
              </w:rPr>
            </w:pPr>
            <w:r>
              <w:rPr>
                <w:rFonts w:hint="eastAsia" w:ascii="宋体" w:hAnsi="宋体" w:cs="宋体"/>
                <w:b/>
                <w:color w:val="auto"/>
                <w:sz w:val="30"/>
                <w:szCs w:val="30"/>
                <w:highlight w:val="none"/>
              </w:rPr>
              <w:t>评审</w:t>
            </w:r>
          </w:p>
          <w:p w14:paraId="1D2E6734">
            <w:pPr>
              <w:spacing w:line="240" w:lineRule="auto"/>
              <w:jc w:val="center"/>
              <w:outlineLvl w:val="0"/>
              <w:rPr>
                <w:rFonts w:hint="eastAsia" w:ascii="宋体" w:hAnsi="宋体" w:cs="宋体"/>
                <w:b/>
                <w:color w:val="auto"/>
                <w:sz w:val="30"/>
                <w:szCs w:val="30"/>
                <w:highlight w:val="none"/>
              </w:rPr>
            </w:pPr>
            <w:r>
              <w:rPr>
                <w:rFonts w:hint="eastAsia" w:ascii="宋体" w:hAnsi="宋体" w:cs="宋体"/>
                <w:b/>
                <w:color w:val="auto"/>
                <w:sz w:val="30"/>
                <w:szCs w:val="30"/>
                <w:highlight w:val="none"/>
              </w:rPr>
              <w:t>意见</w:t>
            </w:r>
          </w:p>
        </w:tc>
      </w:tr>
      <w:tr w14:paraId="5DE49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tcBorders>
              <w:left w:val="single" w:color="auto" w:sz="4" w:space="0"/>
              <w:bottom w:val="single" w:color="auto" w:sz="4" w:space="0"/>
            </w:tcBorders>
            <w:noWrap w:val="0"/>
            <w:vAlign w:val="center"/>
          </w:tcPr>
          <w:p w14:paraId="3A608BAF">
            <w:pPr>
              <w:spacing w:line="240" w:lineRule="auto"/>
              <w:jc w:val="center"/>
              <w:outlineLvl w:val="0"/>
              <w:rPr>
                <w:rFonts w:hint="eastAsia" w:ascii="宋体" w:hAnsi="宋体" w:cs="宋体"/>
                <w:bCs/>
                <w:color w:val="auto"/>
                <w:szCs w:val="21"/>
                <w:highlight w:val="none"/>
              </w:rPr>
            </w:pPr>
          </w:p>
        </w:tc>
        <w:tc>
          <w:tcPr>
            <w:tcW w:w="6688" w:type="dxa"/>
            <w:gridSpan w:val="2"/>
            <w:tcBorders>
              <w:bottom w:val="single" w:color="auto" w:sz="4" w:space="0"/>
            </w:tcBorders>
            <w:noWrap w:val="0"/>
            <w:vAlign w:val="center"/>
          </w:tcPr>
          <w:p w14:paraId="064D18EA">
            <w:pPr>
              <w:spacing w:line="240" w:lineRule="auto"/>
              <w:jc w:val="center"/>
              <w:outlineLvl w:val="0"/>
              <w:rPr>
                <w:rFonts w:hint="eastAsia" w:ascii="宋体" w:hAnsi="宋体" w:cs="宋体"/>
                <w:bCs/>
                <w:color w:val="auto"/>
                <w:szCs w:val="21"/>
                <w:highlight w:val="none"/>
              </w:rPr>
            </w:pPr>
          </w:p>
        </w:tc>
        <w:tc>
          <w:tcPr>
            <w:tcW w:w="683" w:type="dxa"/>
            <w:noWrap w:val="0"/>
            <w:vAlign w:val="center"/>
          </w:tcPr>
          <w:p w14:paraId="168D9BB9">
            <w:pPr>
              <w:spacing w:line="240" w:lineRule="auto"/>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是</w:t>
            </w:r>
          </w:p>
        </w:tc>
        <w:tc>
          <w:tcPr>
            <w:tcW w:w="577" w:type="dxa"/>
            <w:tcBorders>
              <w:right w:val="single" w:color="auto" w:sz="4" w:space="0"/>
            </w:tcBorders>
            <w:noWrap w:val="0"/>
            <w:vAlign w:val="center"/>
          </w:tcPr>
          <w:p w14:paraId="5FBF3A01">
            <w:pPr>
              <w:spacing w:line="240" w:lineRule="auto"/>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t>否</w:t>
            </w:r>
          </w:p>
        </w:tc>
      </w:tr>
      <w:tr w14:paraId="15F3F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restart"/>
            <w:tcBorders>
              <w:top w:val="single" w:color="auto" w:sz="4" w:space="0"/>
              <w:left w:val="single" w:color="auto" w:sz="4" w:space="0"/>
              <w:right w:val="single" w:color="auto" w:sz="4" w:space="0"/>
            </w:tcBorders>
            <w:noWrap w:val="0"/>
            <w:vAlign w:val="center"/>
          </w:tcPr>
          <w:p w14:paraId="1052907A">
            <w:pPr>
              <w:spacing w:line="240" w:lineRule="auto"/>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审</w:t>
            </w:r>
          </w:p>
          <w:p w14:paraId="4D92462C">
            <w:pPr>
              <w:spacing w:line="240" w:lineRule="auto"/>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查</w:t>
            </w:r>
          </w:p>
          <w:p w14:paraId="161CBBFC">
            <w:pPr>
              <w:spacing w:line="240" w:lineRule="auto"/>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标</w:t>
            </w:r>
          </w:p>
          <w:p w14:paraId="3B67B6EA">
            <w:pPr>
              <w:spacing w:line="240" w:lineRule="auto"/>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准</w:t>
            </w:r>
          </w:p>
        </w:tc>
        <w:tc>
          <w:tcPr>
            <w:tcW w:w="598" w:type="dxa"/>
            <w:tcBorders>
              <w:top w:val="single" w:color="auto" w:sz="4" w:space="0"/>
              <w:left w:val="single" w:color="auto" w:sz="4" w:space="0"/>
              <w:right w:val="single" w:color="auto" w:sz="4" w:space="0"/>
            </w:tcBorders>
            <w:noWrap w:val="0"/>
            <w:vAlign w:val="center"/>
          </w:tcPr>
          <w:p w14:paraId="1F47C4AF">
            <w:pPr>
              <w:spacing w:line="240" w:lineRule="auto"/>
              <w:jc w:val="center"/>
              <w:outlineLvl w:val="0"/>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6090" w:type="dxa"/>
            <w:tcBorders>
              <w:top w:val="single" w:color="auto" w:sz="4" w:space="0"/>
              <w:left w:val="single" w:color="auto" w:sz="4" w:space="0"/>
              <w:right w:val="single" w:color="auto" w:sz="4" w:space="0"/>
            </w:tcBorders>
            <w:noWrap w:val="0"/>
            <w:vAlign w:val="center"/>
          </w:tcPr>
          <w:p w14:paraId="0FC375AA">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投标报价高于设定的采购预算价的；</w:t>
            </w:r>
          </w:p>
        </w:tc>
        <w:tc>
          <w:tcPr>
            <w:tcW w:w="683" w:type="dxa"/>
            <w:tcBorders>
              <w:left w:val="single" w:color="auto" w:sz="4" w:space="0"/>
              <w:right w:val="single" w:color="auto" w:sz="4" w:space="0"/>
            </w:tcBorders>
            <w:noWrap w:val="0"/>
            <w:vAlign w:val="center"/>
          </w:tcPr>
          <w:p w14:paraId="7FD7E8CF">
            <w:pPr>
              <w:spacing w:line="240" w:lineRule="auto"/>
              <w:jc w:val="both"/>
              <w:outlineLvl w:val="0"/>
              <w:rPr>
                <w:rFonts w:hint="eastAsia" w:ascii="宋体" w:hAnsi="宋体" w:cs="宋体"/>
                <w:bCs/>
                <w:color w:val="auto"/>
                <w:szCs w:val="21"/>
                <w:highlight w:val="none"/>
              </w:rPr>
            </w:pPr>
          </w:p>
        </w:tc>
        <w:tc>
          <w:tcPr>
            <w:tcW w:w="577" w:type="dxa"/>
            <w:tcBorders>
              <w:left w:val="single" w:color="auto" w:sz="4" w:space="0"/>
              <w:right w:val="single" w:color="auto" w:sz="4" w:space="0"/>
            </w:tcBorders>
            <w:noWrap w:val="0"/>
            <w:vAlign w:val="center"/>
          </w:tcPr>
          <w:p w14:paraId="068E290D">
            <w:pPr>
              <w:spacing w:line="240" w:lineRule="auto"/>
              <w:jc w:val="both"/>
              <w:outlineLvl w:val="0"/>
              <w:rPr>
                <w:rFonts w:hint="eastAsia" w:ascii="宋体" w:hAnsi="宋体" w:cs="宋体"/>
                <w:bCs/>
                <w:color w:val="auto"/>
                <w:szCs w:val="21"/>
                <w:highlight w:val="none"/>
              </w:rPr>
            </w:pPr>
          </w:p>
        </w:tc>
      </w:tr>
      <w:tr w14:paraId="6B1E1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2C985696">
            <w:pPr>
              <w:spacing w:line="240" w:lineRule="auto"/>
              <w:jc w:val="both"/>
              <w:outlineLvl w:val="0"/>
              <w:rPr>
                <w:rFonts w:hint="eastAsia" w:ascii="宋体" w:hAnsi="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6F8FC3">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2</w:t>
            </w:r>
          </w:p>
        </w:tc>
        <w:tc>
          <w:tcPr>
            <w:tcW w:w="6090" w:type="dxa"/>
            <w:tcBorders>
              <w:left w:val="single" w:color="auto" w:sz="4" w:space="0"/>
              <w:bottom w:val="single" w:color="auto" w:sz="4" w:space="0"/>
              <w:right w:val="single" w:color="auto" w:sz="4" w:space="0"/>
            </w:tcBorders>
            <w:noWrap w:val="0"/>
            <w:vAlign w:val="center"/>
          </w:tcPr>
          <w:p w14:paraId="3035303D">
            <w:pPr>
              <w:spacing w:line="240" w:lineRule="auto"/>
              <w:jc w:val="both"/>
              <w:outlineLvl w:val="0"/>
              <w:rPr>
                <w:rFonts w:hint="eastAsia" w:ascii="宋体" w:hAnsi="宋体" w:cs="宋体"/>
                <w:bCs/>
                <w:color w:val="auto"/>
                <w:szCs w:val="21"/>
                <w:highlight w:val="none"/>
              </w:rPr>
            </w:pPr>
            <w:r>
              <w:rPr>
                <w:rFonts w:hint="eastAsia" w:ascii="宋体" w:hAnsi="宋体" w:eastAsia="宋体" w:cs="宋体"/>
                <w:bCs/>
                <w:color w:val="auto"/>
                <w:szCs w:val="21"/>
                <w:highlight w:val="none"/>
                <w:lang w:val="en-US" w:eastAsia="zh-CN"/>
              </w:rPr>
              <w:t>投标报价异常低价</w:t>
            </w:r>
          </w:p>
        </w:tc>
        <w:tc>
          <w:tcPr>
            <w:tcW w:w="683" w:type="dxa"/>
            <w:tcBorders>
              <w:left w:val="single" w:color="auto" w:sz="4" w:space="0"/>
              <w:right w:val="single" w:color="auto" w:sz="4" w:space="0"/>
            </w:tcBorders>
            <w:noWrap w:val="0"/>
            <w:vAlign w:val="center"/>
          </w:tcPr>
          <w:p w14:paraId="31EF1EB4">
            <w:pPr>
              <w:spacing w:line="240" w:lineRule="auto"/>
              <w:jc w:val="both"/>
              <w:outlineLvl w:val="0"/>
              <w:rPr>
                <w:rFonts w:hint="eastAsia" w:ascii="宋体" w:hAnsi="宋体" w:cs="宋体"/>
                <w:bCs/>
                <w:color w:val="auto"/>
                <w:szCs w:val="21"/>
                <w:highlight w:val="none"/>
              </w:rPr>
            </w:pPr>
          </w:p>
        </w:tc>
        <w:tc>
          <w:tcPr>
            <w:tcW w:w="577" w:type="dxa"/>
            <w:tcBorders>
              <w:left w:val="single" w:color="auto" w:sz="4" w:space="0"/>
              <w:right w:val="single" w:color="auto" w:sz="4" w:space="0"/>
            </w:tcBorders>
            <w:noWrap w:val="0"/>
            <w:vAlign w:val="center"/>
          </w:tcPr>
          <w:p w14:paraId="2C3E368D">
            <w:pPr>
              <w:spacing w:line="240" w:lineRule="auto"/>
              <w:jc w:val="both"/>
              <w:outlineLvl w:val="0"/>
              <w:rPr>
                <w:rFonts w:hint="eastAsia" w:ascii="宋体" w:hAnsi="宋体" w:cs="宋体"/>
                <w:bCs/>
                <w:color w:val="auto"/>
                <w:szCs w:val="21"/>
                <w:highlight w:val="none"/>
              </w:rPr>
            </w:pPr>
          </w:p>
        </w:tc>
      </w:tr>
      <w:tr w14:paraId="31DDF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0CB5D428">
            <w:pPr>
              <w:spacing w:line="240" w:lineRule="auto"/>
              <w:jc w:val="both"/>
              <w:outlineLvl w:val="0"/>
              <w:rPr>
                <w:rFonts w:hint="eastAsia" w:ascii="宋体" w:hAnsi="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7F513E">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3</w:t>
            </w:r>
          </w:p>
        </w:tc>
        <w:tc>
          <w:tcPr>
            <w:tcW w:w="6090" w:type="dxa"/>
            <w:tcBorders>
              <w:left w:val="single" w:color="auto" w:sz="4" w:space="0"/>
              <w:bottom w:val="single" w:color="auto" w:sz="4" w:space="0"/>
              <w:right w:val="single" w:color="auto" w:sz="4" w:space="0"/>
            </w:tcBorders>
            <w:noWrap w:val="0"/>
            <w:vAlign w:val="center"/>
          </w:tcPr>
          <w:p w14:paraId="1721888F">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投标人对同一招标项目作出两个以上报价未明确效力的；</w:t>
            </w:r>
          </w:p>
        </w:tc>
        <w:tc>
          <w:tcPr>
            <w:tcW w:w="683" w:type="dxa"/>
            <w:tcBorders>
              <w:left w:val="single" w:color="auto" w:sz="4" w:space="0"/>
              <w:right w:val="single" w:color="auto" w:sz="4" w:space="0"/>
            </w:tcBorders>
            <w:noWrap w:val="0"/>
            <w:vAlign w:val="center"/>
          </w:tcPr>
          <w:p w14:paraId="762ADED3">
            <w:pPr>
              <w:spacing w:line="240" w:lineRule="auto"/>
              <w:jc w:val="both"/>
              <w:outlineLvl w:val="0"/>
              <w:rPr>
                <w:rFonts w:hint="eastAsia" w:ascii="宋体" w:hAnsi="宋体" w:cs="宋体"/>
                <w:bCs/>
                <w:color w:val="auto"/>
                <w:szCs w:val="21"/>
                <w:highlight w:val="none"/>
              </w:rPr>
            </w:pPr>
          </w:p>
        </w:tc>
        <w:tc>
          <w:tcPr>
            <w:tcW w:w="577" w:type="dxa"/>
            <w:tcBorders>
              <w:left w:val="single" w:color="auto" w:sz="4" w:space="0"/>
              <w:right w:val="single" w:color="auto" w:sz="4" w:space="0"/>
            </w:tcBorders>
            <w:noWrap w:val="0"/>
            <w:vAlign w:val="center"/>
          </w:tcPr>
          <w:p w14:paraId="2538E923">
            <w:pPr>
              <w:spacing w:line="240" w:lineRule="auto"/>
              <w:jc w:val="both"/>
              <w:outlineLvl w:val="0"/>
              <w:rPr>
                <w:rFonts w:hint="eastAsia" w:ascii="宋体" w:hAnsi="宋体" w:cs="宋体"/>
                <w:bCs/>
                <w:color w:val="auto"/>
                <w:szCs w:val="21"/>
                <w:highlight w:val="none"/>
              </w:rPr>
            </w:pPr>
          </w:p>
        </w:tc>
      </w:tr>
      <w:tr w14:paraId="55DA4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2ACFFACD">
            <w:pPr>
              <w:spacing w:line="240" w:lineRule="auto"/>
              <w:jc w:val="both"/>
              <w:outlineLvl w:val="0"/>
              <w:rPr>
                <w:rFonts w:hint="eastAsia" w:ascii="宋体" w:hAnsi="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54464">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4</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0EF8722F">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未按招标文件规定的格式填写，内容不全或关键字迹模糊、无法辨认的；</w:t>
            </w:r>
          </w:p>
        </w:tc>
        <w:tc>
          <w:tcPr>
            <w:tcW w:w="683" w:type="dxa"/>
            <w:tcBorders>
              <w:left w:val="single" w:color="auto" w:sz="4" w:space="0"/>
            </w:tcBorders>
            <w:noWrap w:val="0"/>
            <w:vAlign w:val="center"/>
          </w:tcPr>
          <w:p w14:paraId="553DE4D6">
            <w:pPr>
              <w:spacing w:line="240" w:lineRule="auto"/>
              <w:jc w:val="both"/>
              <w:outlineLvl w:val="0"/>
              <w:rPr>
                <w:rFonts w:hint="eastAsia" w:ascii="宋体" w:hAnsi="宋体" w:cs="宋体"/>
                <w:bCs/>
                <w:color w:val="auto"/>
                <w:szCs w:val="21"/>
                <w:highlight w:val="none"/>
              </w:rPr>
            </w:pPr>
          </w:p>
        </w:tc>
        <w:tc>
          <w:tcPr>
            <w:tcW w:w="577" w:type="dxa"/>
            <w:tcBorders>
              <w:right w:val="single" w:color="auto" w:sz="4" w:space="0"/>
            </w:tcBorders>
            <w:noWrap w:val="0"/>
            <w:vAlign w:val="center"/>
          </w:tcPr>
          <w:p w14:paraId="7D6545FD">
            <w:pPr>
              <w:spacing w:line="240" w:lineRule="auto"/>
              <w:jc w:val="both"/>
              <w:outlineLvl w:val="0"/>
              <w:rPr>
                <w:rFonts w:hint="eastAsia" w:ascii="宋体" w:hAnsi="宋体" w:cs="宋体"/>
                <w:bCs/>
                <w:color w:val="auto"/>
                <w:szCs w:val="21"/>
                <w:highlight w:val="none"/>
              </w:rPr>
            </w:pPr>
          </w:p>
        </w:tc>
      </w:tr>
      <w:tr w14:paraId="42DBC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5877F749">
            <w:pPr>
              <w:spacing w:line="240" w:lineRule="auto"/>
              <w:jc w:val="both"/>
              <w:outlineLvl w:val="0"/>
              <w:rPr>
                <w:rFonts w:hint="eastAsia" w:ascii="宋体" w:hAnsi="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9971AD">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5</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30DF70DD">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投标人名称、组织机构与资格预审时不符，涉嫌以他人名义投标的；</w:t>
            </w:r>
          </w:p>
        </w:tc>
        <w:tc>
          <w:tcPr>
            <w:tcW w:w="683" w:type="dxa"/>
            <w:tcBorders>
              <w:left w:val="single" w:color="auto" w:sz="4" w:space="0"/>
            </w:tcBorders>
            <w:noWrap w:val="0"/>
            <w:vAlign w:val="center"/>
          </w:tcPr>
          <w:p w14:paraId="4B59722F">
            <w:pPr>
              <w:spacing w:line="240" w:lineRule="auto"/>
              <w:jc w:val="both"/>
              <w:outlineLvl w:val="0"/>
              <w:rPr>
                <w:rFonts w:hint="eastAsia" w:ascii="宋体" w:hAnsi="宋体" w:cs="宋体"/>
                <w:bCs/>
                <w:color w:val="auto"/>
                <w:szCs w:val="21"/>
                <w:highlight w:val="none"/>
              </w:rPr>
            </w:pPr>
          </w:p>
        </w:tc>
        <w:tc>
          <w:tcPr>
            <w:tcW w:w="577" w:type="dxa"/>
            <w:tcBorders>
              <w:right w:val="single" w:color="auto" w:sz="4" w:space="0"/>
            </w:tcBorders>
            <w:noWrap w:val="0"/>
            <w:vAlign w:val="center"/>
          </w:tcPr>
          <w:p w14:paraId="19D95E12">
            <w:pPr>
              <w:spacing w:line="240" w:lineRule="auto"/>
              <w:jc w:val="both"/>
              <w:outlineLvl w:val="0"/>
              <w:rPr>
                <w:rFonts w:hint="eastAsia" w:ascii="宋体" w:hAnsi="宋体" w:cs="宋体"/>
                <w:bCs/>
                <w:color w:val="auto"/>
                <w:szCs w:val="21"/>
                <w:highlight w:val="none"/>
              </w:rPr>
            </w:pPr>
          </w:p>
        </w:tc>
      </w:tr>
      <w:tr w14:paraId="6AA68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0D2AD6D6">
            <w:pPr>
              <w:spacing w:line="240" w:lineRule="auto"/>
              <w:jc w:val="both"/>
              <w:outlineLvl w:val="0"/>
              <w:rPr>
                <w:rFonts w:hint="eastAsia" w:ascii="宋体" w:hAnsi="宋体" w:cs="宋体"/>
                <w:bCs/>
                <w:color w:val="auto"/>
                <w:szCs w:val="21"/>
                <w:highlight w:val="none"/>
              </w:rPr>
            </w:pPr>
          </w:p>
        </w:tc>
        <w:tc>
          <w:tcPr>
            <w:tcW w:w="598" w:type="dxa"/>
            <w:tcBorders>
              <w:left w:val="single" w:color="auto" w:sz="4" w:space="0"/>
            </w:tcBorders>
            <w:shd w:val="clear" w:color="auto" w:fill="auto"/>
            <w:noWrap w:val="0"/>
            <w:vAlign w:val="center"/>
          </w:tcPr>
          <w:p w14:paraId="4EB71B3B">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6</w:t>
            </w:r>
          </w:p>
        </w:tc>
        <w:tc>
          <w:tcPr>
            <w:tcW w:w="6090" w:type="dxa"/>
            <w:tcBorders>
              <w:right w:val="single" w:color="auto" w:sz="4" w:space="0"/>
            </w:tcBorders>
            <w:noWrap w:val="0"/>
            <w:vAlign w:val="center"/>
          </w:tcPr>
          <w:p w14:paraId="66B7C8F2">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评标委员会共同确定有实质上不响应招标文件要求的；</w:t>
            </w:r>
          </w:p>
        </w:tc>
        <w:tc>
          <w:tcPr>
            <w:tcW w:w="683" w:type="dxa"/>
            <w:tcBorders>
              <w:left w:val="single" w:color="auto" w:sz="4" w:space="0"/>
            </w:tcBorders>
            <w:noWrap w:val="0"/>
            <w:vAlign w:val="center"/>
          </w:tcPr>
          <w:p w14:paraId="33CD53FE">
            <w:pPr>
              <w:spacing w:line="240" w:lineRule="auto"/>
              <w:jc w:val="both"/>
              <w:outlineLvl w:val="0"/>
              <w:rPr>
                <w:rFonts w:hint="eastAsia" w:ascii="宋体" w:hAnsi="宋体" w:cs="宋体"/>
                <w:bCs/>
                <w:color w:val="auto"/>
                <w:szCs w:val="21"/>
                <w:highlight w:val="none"/>
              </w:rPr>
            </w:pPr>
          </w:p>
        </w:tc>
        <w:tc>
          <w:tcPr>
            <w:tcW w:w="577" w:type="dxa"/>
            <w:tcBorders>
              <w:right w:val="single" w:color="auto" w:sz="4" w:space="0"/>
            </w:tcBorders>
            <w:noWrap w:val="0"/>
            <w:vAlign w:val="center"/>
          </w:tcPr>
          <w:p w14:paraId="501E89FA">
            <w:pPr>
              <w:spacing w:line="240" w:lineRule="auto"/>
              <w:jc w:val="both"/>
              <w:outlineLvl w:val="0"/>
              <w:rPr>
                <w:rFonts w:hint="eastAsia" w:ascii="宋体" w:hAnsi="宋体" w:cs="宋体"/>
                <w:bCs/>
                <w:color w:val="auto"/>
                <w:szCs w:val="21"/>
                <w:highlight w:val="none"/>
              </w:rPr>
            </w:pPr>
          </w:p>
        </w:tc>
      </w:tr>
      <w:tr w14:paraId="337F9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0FA1C1EF">
            <w:pPr>
              <w:spacing w:line="240" w:lineRule="auto"/>
              <w:jc w:val="both"/>
              <w:outlineLvl w:val="0"/>
              <w:rPr>
                <w:rFonts w:hint="eastAsia" w:ascii="宋体" w:hAnsi="宋体" w:cs="宋体"/>
                <w:bCs/>
                <w:color w:val="auto"/>
                <w:szCs w:val="21"/>
                <w:highlight w:val="none"/>
              </w:rPr>
            </w:pPr>
          </w:p>
        </w:tc>
        <w:tc>
          <w:tcPr>
            <w:tcW w:w="598" w:type="dxa"/>
            <w:tcBorders>
              <w:left w:val="single" w:color="auto" w:sz="4" w:space="0"/>
              <w:bottom w:val="single" w:color="auto" w:sz="4" w:space="0"/>
            </w:tcBorders>
            <w:shd w:val="clear" w:color="auto" w:fill="auto"/>
            <w:noWrap w:val="0"/>
            <w:vAlign w:val="center"/>
          </w:tcPr>
          <w:p w14:paraId="0B5086D9">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7</w:t>
            </w:r>
          </w:p>
        </w:tc>
        <w:tc>
          <w:tcPr>
            <w:tcW w:w="6090" w:type="dxa"/>
            <w:tcBorders>
              <w:bottom w:val="single" w:color="auto" w:sz="4" w:space="0"/>
              <w:right w:val="single" w:color="auto" w:sz="4" w:space="0"/>
            </w:tcBorders>
            <w:noWrap w:val="0"/>
            <w:vAlign w:val="center"/>
          </w:tcPr>
          <w:p w14:paraId="053AE311">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投标文件没有投标单位法定代表人或其授权代表签字（章）和加盖投标单位公章的；</w:t>
            </w:r>
          </w:p>
        </w:tc>
        <w:tc>
          <w:tcPr>
            <w:tcW w:w="683" w:type="dxa"/>
            <w:tcBorders>
              <w:left w:val="single" w:color="auto" w:sz="4" w:space="0"/>
              <w:bottom w:val="single" w:color="auto" w:sz="4" w:space="0"/>
            </w:tcBorders>
            <w:noWrap w:val="0"/>
            <w:vAlign w:val="center"/>
          </w:tcPr>
          <w:p w14:paraId="5D6EC44E">
            <w:pPr>
              <w:spacing w:line="240" w:lineRule="auto"/>
              <w:jc w:val="both"/>
              <w:outlineLvl w:val="0"/>
              <w:rPr>
                <w:rFonts w:hint="eastAsia" w:ascii="宋体" w:hAnsi="宋体" w:cs="宋体"/>
                <w:bCs/>
                <w:color w:val="auto"/>
                <w:szCs w:val="21"/>
                <w:highlight w:val="none"/>
              </w:rPr>
            </w:pPr>
          </w:p>
        </w:tc>
        <w:tc>
          <w:tcPr>
            <w:tcW w:w="577" w:type="dxa"/>
            <w:tcBorders>
              <w:bottom w:val="single" w:color="auto" w:sz="4" w:space="0"/>
              <w:right w:val="single" w:color="auto" w:sz="4" w:space="0"/>
            </w:tcBorders>
            <w:noWrap w:val="0"/>
            <w:vAlign w:val="center"/>
          </w:tcPr>
          <w:p w14:paraId="190C7598">
            <w:pPr>
              <w:spacing w:line="240" w:lineRule="auto"/>
              <w:jc w:val="both"/>
              <w:outlineLvl w:val="0"/>
              <w:rPr>
                <w:rFonts w:hint="eastAsia" w:ascii="宋体" w:hAnsi="宋体" w:cs="宋体"/>
                <w:bCs/>
                <w:color w:val="auto"/>
                <w:szCs w:val="21"/>
                <w:highlight w:val="none"/>
              </w:rPr>
            </w:pPr>
          </w:p>
        </w:tc>
      </w:tr>
      <w:tr w14:paraId="13395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37BD9212">
            <w:pPr>
              <w:spacing w:line="240" w:lineRule="auto"/>
              <w:jc w:val="both"/>
              <w:outlineLvl w:val="0"/>
              <w:rPr>
                <w:rFonts w:hint="eastAsia" w:ascii="宋体" w:hAnsi="宋体" w:cs="宋体"/>
                <w:bCs/>
                <w:color w:val="auto"/>
                <w:szCs w:val="21"/>
                <w:highlight w:val="none"/>
              </w:rPr>
            </w:pPr>
          </w:p>
        </w:tc>
        <w:tc>
          <w:tcPr>
            <w:tcW w:w="5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082090">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8</w:t>
            </w:r>
          </w:p>
        </w:tc>
        <w:tc>
          <w:tcPr>
            <w:tcW w:w="6090" w:type="dxa"/>
            <w:tcBorders>
              <w:top w:val="single" w:color="auto" w:sz="4" w:space="0"/>
              <w:left w:val="single" w:color="auto" w:sz="4" w:space="0"/>
              <w:bottom w:val="single" w:color="auto" w:sz="4" w:space="0"/>
              <w:right w:val="single" w:color="auto" w:sz="4" w:space="0"/>
            </w:tcBorders>
            <w:noWrap w:val="0"/>
            <w:vAlign w:val="center"/>
          </w:tcPr>
          <w:p w14:paraId="44033C4A">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0688D7C9">
            <w:pPr>
              <w:spacing w:line="240" w:lineRule="auto"/>
              <w:jc w:val="both"/>
              <w:outlineLvl w:val="0"/>
              <w:rPr>
                <w:rFonts w:hint="eastAsia" w:ascii="宋体" w:hAnsi="宋体" w:cs="宋体"/>
                <w:bCs/>
                <w:color w:val="auto"/>
                <w:szCs w:val="21"/>
                <w:highlight w:val="none"/>
              </w:rPr>
            </w:pPr>
          </w:p>
        </w:tc>
        <w:tc>
          <w:tcPr>
            <w:tcW w:w="577" w:type="dxa"/>
            <w:tcBorders>
              <w:top w:val="single" w:color="auto" w:sz="4" w:space="0"/>
              <w:left w:val="single" w:color="auto" w:sz="4" w:space="0"/>
              <w:bottom w:val="single" w:color="auto" w:sz="4" w:space="0"/>
              <w:right w:val="single" w:color="auto" w:sz="4" w:space="0"/>
            </w:tcBorders>
            <w:noWrap w:val="0"/>
            <w:vAlign w:val="center"/>
          </w:tcPr>
          <w:p w14:paraId="26F1D795">
            <w:pPr>
              <w:spacing w:line="240" w:lineRule="auto"/>
              <w:jc w:val="both"/>
              <w:outlineLvl w:val="0"/>
              <w:rPr>
                <w:rFonts w:hint="eastAsia" w:ascii="宋体" w:hAnsi="宋体" w:cs="宋体"/>
                <w:bCs/>
                <w:color w:val="auto"/>
                <w:szCs w:val="21"/>
                <w:highlight w:val="none"/>
              </w:rPr>
            </w:pPr>
          </w:p>
        </w:tc>
      </w:tr>
      <w:tr w14:paraId="0325E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0EEEBFAD">
            <w:pPr>
              <w:spacing w:line="240" w:lineRule="auto"/>
              <w:jc w:val="both"/>
              <w:outlineLvl w:val="0"/>
              <w:rPr>
                <w:rFonts w:hint="eastAsia" w:ascii="宋体" w:hAnsi="宋体" w:cs="宋体"/>
                <w:bCs/>
                <w:color w:val="auto"/>
                <w:szCs w:val="21"/>
                <w:highlight w:val="none"/>
              </w:rPr>
            </w:pPr>
          </w:p>
        </w:tc>
        <w:tc>
          <w:tcPr>
            <w:tcW w:w="598" w:type="dxa"/>
            <w:tcBorders>
              <w:left w:val="single" w:color="auto" w:sz="4" w:space="0"/>
            </w:tcBorders>
            <w:shd w:val="clear" w:color="auto" w:fill="auto"/>
            <w:noWrap w:val="0"/>
            <w:vAlign w:val="center"/>
          </w:tcPr>
          <w:p w14:paraId="538F5F3B">
            <w:pPr>
              <w:spacing w:line="240" w:lineRule="auto"/>
              <w:jc w:val="center"/>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9</w:t>
            </w:r>
          </w:p>
        </w:tc>
        <w:tc>
          <w:tcPr>
            <w:tcW w:w="6090" w:type="dxa"/>
            <w:tcBorders>
              <w:right w:val="single" w:color="auto" w:sz="4" w:space="0"/>
            </w:tcBorders>
            <w:noWrap w:val="0"/>
            <w:vAlign w:val="center"/>
          </w:tcPr>
          <w:p w14:paraId="203097D3">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投标文件附有采购人不能接受条件的；</w:t>
            </w:r>
          </w:p>
        </w:tc>
        <w:tc>
          <w:tcPr>
            <w:tcW w:w="683" w:type="dxa"/>
            <w:tcBorders>
              <w:left w:val="single" w:color="auto" w:sz="4" w:space="0"/>
            </w:tcBorders>
            <w:noWrap w:val="0"/>
            <w:vAlign w:val="center"/>
          </w:tcPr>
          <w:p w14:paraId="64D74CE4">
            <w:pPr>
              <w:spacing w:line="240" w:lineRule="auto"/>
              <w:jc w:val="both"/>
              <w:outlineLvl w:val="0"/>
              <w:rPr>
                <w:rFonts w:hint="eastAsia" w:ascii="宋体" w:hAnsi="宋体" w:cs="宋体"/>
                <w:bCs/>
                <w:color w:val="auto"/>
                <w:szCs w:val="21"/>
                <w:highlight w:val="none"/>
              </w:rPr>
            </w:pPr>
          </w:p>
        </w:tc>
        <w:tc>
          <w:tcPr>
            <w:tcW w:w="577" w:type="dxa"/>
            <w:tcBorders>
              <w:right w:val="single" w:color="auto" w:sz="4" w:space="0"/>
            </w:tcBorders>
            <w:noWrap w:val="0"/>
            <w:vAlign w:val="center"/>
          </w:tcPr>
          <w:p w14:paraId="2F2A6CA9">
            <w:pPr>
              <w:spacing w:line="240" w:lineRule="auto"/>
              <w:jc w:val="both"/>
              <w:outlineLvl w:val="0"/>
              <w:rPr>
                <w:rFonts w:hint="eastAsia" w:ascii="宋体" w:hAnsi="宋体" w:cs="宋体"/>
                <w:bCs/>
                <w:color w:val="auto"/>
                <w:szCs w:val="21"/>
                <w:highlight w:val="none"/>
              </w:rPr>
            </w:pPr>
          </w:p>
        </w:tc>
      </w:tr>
      <w:tr w14:paraId="7D9C8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vMerge w:val="continue"/>
            <w:tcBorders>
              <w:left w:val="single" w:color="auto" w:sz="4" w:space="0"/>
              <w:right w:val="single" w:color="auto" w:sz="4" w:space="0"/>
            </w:tcBorders>
            <w:noWrap w:val="0"/>
            <w:vAlign w:val="center"/>
          </w:tcPr>
          <w:p w14:paraId="07249FD8">
            <w:pPr>
              <w:spacing w:line="240" w:lineRule="auto"/>
              <w:jc w:val="both"/>
              <w:outlineLvl w:val="0"/>
              <w:rPr>
                <w:rFonts w:hint="eastAsia" w:ascii="宋体" w:hAnsi="宋体" w:cs="宋体"/>
                <w:bCs/>
                <w:color w:val="auto"/>
                <w:szCs w:val="21"/>
                <w:highlight w:val="none"/>
              </w:rPr>
            </w:pPr>
          </w:p>
        </w:tc>
        <w:tc>
          <w:tcPr>
            <w:tcW w:w="598" w:type="dxa"/>
            <w:tcBorders>
              <w:left w:val="single" w:color="auto" w:sz="4" w:space="0"/>
            </w:tcBorders>
            <w:noWrap w:val="0"/>
            <w:vAlign w:val="center"/>
          </w:tcPr>
          <w:p w14:paraId="13EC7B8C">
            <w:pPr>
              <w:spacing w:line="240" w:lineRule="auto"/>
              <w:jc w:val="center"/>
              <w:outlineLvl w:val="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10</w:t>
            </w:r>
          </w:p>
        </w:tc>
        <w:tc>
          <w:tcPr>
            <w:tcW w:w="6090" w:type="dxa"/>
            <w:tcBorders>
              <w:right w:val="single" w:color="auto" w:sz="4" w:space="0"/>
            </w:tcBorders>
            <w:noWrap w:val="0"/>
            <w:vAlign w:val="center"/>
          </w:tcPr>
          <w:p w14:paraId="2B1DEE6A">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不满足招标文件实质性要求的其他情形</w:t>
            </w:r>
          </w:p>
        </w:tc>
        <w:tc>
          <w:tcPr>
            <w:tcW w:w="683" w:type="dxa"/>
            <w:tcBorders>
              <w:left w:val="single" w:color="auto" w:sz="4" w:space="0"/>
            </w:tcBorders>
            <w:noWrap w:val="0"/>
            <w:vAlign w:val="center"/>
          </w:tcPr>
          <w:p w14:paraId="0EDEFDC5">
            <w:pPr>
              <w:spacing w:line="240" w:lineRule="auto"/>
              <w:jc w:val="both"/>
              <w:outlineLvl w:val="0"/>
              <w:rPr>
                <w:rFonts w:hint="eastAsia" w:ascii="宋体" w:hAnsi="宋体" w:cs="宋体"/>
                <w:bCs/>
                <w:color w:val="auto"/>
                <w:szCs w:val="21"/>
                <w:highlight w:val="none"/>
              </w:rPr>
            </w:pPr>
          </w:p>
        </w:tc>
        <w:tc>
          <w:tcPr>
            <w:tcW w:w="577" w:type="dxa"/>
            <w:tcBorders>
              <w:right w:val="single" w:color="auto" w:sz="4" w:space="0"/>
            </w:tcBorders>
            <w:noWrap w:val="0"/>
            <w:vAlign w:val="center"/>
          </w:tcPr>
          <w:p w14:paraId="42435CA5">
            <w:pPr>
              <w:spacing w:line="240" w:lineRule="auto"/>
              <w:jc w:val="both"/>
              <w:outlineLvl w:val="0"/>
              <w:rPr>
                <w:rFonts w:hint="eastAsia" w:ascii="宋体" w:hAnsi="宋体" w:cs="宋体"/>
                <w:bCs/>
                <w:color w:val="auto"/>
                <w:szCs w:val="21"/>
                <w:highlight w:val="none"/>
              </w:rPr>
            </w:pPr>
          </w:p>
        </w:tc>
      </w:tr>
      <w:tr w14:paraId="5E17C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28" w:type="dxa"/>
            <w:tcBorders>
              <w:left w:val="single" w:color="auto" w:sz="4" w:space="0"/>
              <w:bottom w:val="single" w:color="auto" w:sz="4" w:space="0"/>
              <w:right w:val="single" w:color="auto" w:sz="4" w:space="0"/>
            </w:tcBorders>
            <w:noWrap w:val="0"/>
            <w:vAlign w:val="center"/>
          </w:tcPr>
          <w:p w14:paraId="10A1096C">
            <w:pPr>
              <w:spacing w:line="240" w:lineRule="auto"/>
              <w:jc w:val="both"/>
              <w:outlineLvl w:val="0"/>
              <w:rPr>
                <w:rFonts w:hint="eastAsia" w:ascii="宋体" w:hAnsi="宋体" w:cs="宋体"/>
                <w:bCs/>
                <w:color w:val="auto"/>
                <w:szCs w:val="21"/>
                <w:highlight w:val="none"/>
              </w:rPr>
            </w:pPr>
          </w:p>
        </w:tc>
        <w:tc>
          <w:tcPr>
            <w:tcW w:w="6688" w:type="dxa"/>
            <w:gridSpan w:val="2"/>
            <w:tcBorders>
              <w:left w:val="single" w:color="auto" w:sz="4" w:space="0"/>
              <w:bottom w:val="single" w:color="auto" w:sz="4" w:space="0"/>
              <w:right w:val="single" w:color="auto" w:sz="4" w:space="0"/>
            </w:tcBorders>
            <w:noWrap w:val="0"/>
            <w:vAlign w:val="center"/>
          </w:tcPr>
          <w:p w14:paraId="279B40C8">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结论：是否通过评审（须填写通过或不通过）</w:t>
            </w:r>
          </w:p>
          <w:p w14:paraId="267B8D56">
            <w:pPr>
              <w:spacing w:line="240" w:lineRule="auto"/>
              <w:jc w:val="both"/>
              <w:outlineLvl w:val="0"/>
              <w:rPr>
                <w:rFonts w:hint="eastAsia" w:ascii="宋体" w:hAnsi="宋体" w:cs="宋体"/>
                <w:bCs/>
                <w:color w:val="auto"/>
                <w:szCs w:val="21"/>
                <w:highlight w:val="none"/>
              </w:rPr>
            </w:pPr>
            <w:r>
              <w:rPr>
                <w:rFonts w:hint="eastAsia" w:ascii="宋体" w:hAnsi="宋体" w:cs="宋体"/>
                <w:bCs/>
                <w:color w:val="auto"/>
                <w:szCs w:val="21"/>
                <w:highlight w:val="none"/>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center"/>
          </w:tcPr>
          <w:p w14:paraId="5A5124B9">
            <w:pPr>
              <w:spacing w:line="240" w:lineRule="auto"/>
              <w:jc w:val="both"/>
              <w:outlineLvl w:val="0"/>
              <w:rPr>
                <w:rFonts w:hint="eastAsia" w:ascii="宋体" w:hAnsi="宋体" w:cs="宋体"/>
                <w:bCs/>
                <w:color w:val="auto"/>
                <w:szCs w:val="21"/>
                <w:highlight w:val="none"/>
              </w:rPr>
            </w:pPr>
          </w:p>
        </w:tc>
      </w:tr>
    </w:tbl>
    <w:p w14:paraId="33163925">
      <w:pPr>
        <w:pStyle w:val="10"/>
        <w:tabs>
          <w:tab w:val="clear" w:pos="567"/>
        </w:tabs>
        <w:spacing w:before="0" w:line="360" w:lineRule="auto"/>
        <w:ind w:left="-181" w:leftChars="-86" w:firstLine="180" w:firstLineChars="75"/>
        <w:rPr>
          <w:rFonts w:hint="eastAsia" w:cs="宋体"/>
          <w:color w:val="auto"/>
          <w:highlight w:val="none"/>
        </w:rPr>
      </w:pPr>
    </w:p>
    <w:p w14:paraId="5B504503">
      <w:pPr>
        <w:pStyle w:val="10"/>
        <w:tabs>
          <w:tab w:val="clear" w:pos="567"/>
        </w:tabs>
        <w:spacing w:before="0" w:line="360" w:lineRule="auto"/>
        <w:ind w:left="-181" w:leftChars="-86" w:firstLine="180" w:firstLineChars="75"/>
        <w:rPr>
          <w:rFonts w:hint="eastAsia" w:cs="宋体"/>
          <w:color w:val="auto"/>
          <w:highlight w:val="none"/>
        </w:rPr>
      </w:pPr>
    </w:p>
    <w:p w14:paraId="52355167">
      <w:pPr>
        <w:pStyle w:val="10"/>
        <w:tabs>
          <w:tab w:val="clear" w:pos="567"/>
        </w:tabs>
        <w:spacing w:before="0" w:line="360" w:lineRule="auto"/>
        <w:ind w:left="-181" w:leftChars="-86" w:firstLine="180" w:firstLineChars="75"/>
        <w:rPr>
          <w:rFonts w:hint="eastAsia" w:cs="宋体"/>
          <w:color w:val="auto"/>
          <w:highlight w:val="none"/>
        </w:rPr>
      </w:pPr>
    </w:p>
    <w:p w14:paraId="6FD35D14">
      <w:pPr>
        <w:pStyle w:val="10"/>
        <w:tabs>
          <w:tab w:val="clear" w:pos="567"/>
        </w:tabs>
        <w:spacing w:before="0" w:line="360" w:lineRule="auto"/>
        <w:ind w:left="-181" w:leftChars="-86" w:firstLine="180" w:firstLineChars="75"/>
        <w:rPr>
          <w:rFonts w:hint="eastAsia" w:cs="宋体"/>
          <w:color w:val="auto"/>
          <w:highlight w:val="none"/>
        </w:rPr>
      </w:pPr>
    </w:p>
    <w:p w14:paraId="1125224D">
      <w:pPr>
        <w:pStyle w:val="10"/>
        <w:tabs>
          <w:tab w:val="clear" w:pos="567"/>
        </w:tabs>
        <w:spacing w:before="0" w:line="360" w:lineRule="auto"/>
        <w:ind w:left="-181" w:leftChars="-86" w:firstLine="180" w:firstLineChars="75"/>
        <w:rPr>
          <w:rFonts w:hint="eastAsia" w:cs="宋体"/>
          <w:color w:val="auto"/>
          <w:highlight w:val="none"/>
        </w:rPr>
      </w:pPr>
    </w:p>
    <w:p w14:paraId="236BE30B">
      <w:pPr>
        <w:pStyle w:val="10"/>
        <w:tabs>
          <w:tab w:val="clear" w:pos="567"/>
        </w:tabs>
        <w:spacing w:before="0" w:line="360" w:lineRule="auto"/>
        <w:ind w:left="-181" w:leftChars="-86" w:firstLine="180" w:firstLineChars="75"/>
        <w:rPr>
          <w:rFonts w:hint="eastAsia" w:cs="宋体"/>
          <w:color w:val="auto"/>
          <w:highlight w:val="none"/>
        </w:rPr>
      </w:pPr>
    </w:p>
    <w:p w14:paraId="55EC3332">
      <w:pPr>
        <w:pStyle w:val="10"/>
        <w:tabs>
          <w:tab w:val="clear" w:pos="567"/>
        </w:tabs>
        <w:spacing w:before="0" w:line="360" w:lineRule="auto"/>
        <w:ind w:left="-181" w:leftChars="-86" w:firstLine="180" w:firstLineChars="75"/>
        <w:rPr>
          <w:rFonts w:hint="eastAsia" w:cs="宋体"/>
          <w:color w:val="auto"/>
          <w:highlight w:val="none"/>
        </w:rPr>
      </w:pPr>
    </w:p>
    <w:p w14:paraId="5035485B">
      <w:pPr>
        <w:pStyle w:val="15"/>
        <w:ind w:right="-195"/>
        <w:jc w:val="both"/>
        <w:rPr>
          <w:rFonts w:hint="eastAsia" w:hAnsi="宋体" w:cs="宋体"/>
          <w:color w:val="auto"/>
          <w:kern w:val="0"/>
          <w:sz w:val="32"/>
          <w:szCs w:val="32"/>
          <w:highlight w:val="none"/>
        </w:rPr>
      </w:pPr>
    </w:p>
    <w:p w14:paraId="540B4786">
      <w:pPr>
        <w:pStyle w:val="16"/>
        <w:rPr>
          <w:rFonts w:hint="eastAsia"/>
          <w:highlight w:val="none"/>
        </w:rPr>
      </w:pPr>
    </w:p>
    <w:p w14:paraId="6A960B71">
      <w:pPr>
        <w:pStyle w:val="15"/>
        <w:ind w:right="-195"/>
        <w:jc w:val="center"/>
        <w:rPr>
          <w:rFonts w:hint="eastAsia" w:hAnsi="宋体" w:cs="宋体"/>
          <w:color w:val="auto"/>
          <w:kern w:val="0"/>
          <w:sz w:val="32"/>
          <w:szCs w:val="32"/>
          <w:highlight w:val="none"/>
        </w:rPr>
      </w:pPr>
      <w:r>
        <w:rPr>
          <w:rFonts w:hint="eastAsia" w:hAnsi="宋体" w:cs="宋体"/>
          <w:color w:val="auto"/>
          <w:kern w:val="0"/>
          <w:sz w:val="32"/>
          <w:szCs w:val="32"/>
          <w:highlight w:val="none"/>
        </w:rPr>
        <w:t>评分细则</w:t>
      </w:r>
    </w:p>
    <w:p w14:paraId="0BE98F35">
      <w:pPr>
        <w:pStyle w:val="16"/>
        <w:rPr>
          <w:rFonts w:hint="eastAsia"/>
          <w:highlight w:val="none"/>
        </w:rPr>
      </w:pPr>
    </w:p>
    <w:tbl>
      <w:tblPr>
        <w:tblStyle w:val="37"/>
        <w:tblW w:w="9171" w:type="dxa"/>
        <w:tblInd w:w="-362" w:type="dxa"/>
        <w:tblLayout w:type="fixed"/>
        <w:tblCellMar>
          <w:top w:w="0" w:type="dxa"/>
          <w:left w:w="0" w:type="dxa"/>
          <w:bottom w:w="0" w:type="dxa"/>
          <w:right w:w="0" w:type="dxa"/>
        </w:tblCellMar>
      </w:tblPr>
      <w:tblGrid>
        <w:gridCol w:w="1135"/>
        <w:gridCol w:w="1436"/>
        <w:gridCol w:w="6600"/>
      </w:tblGrid>
      <w:tr w14:paraId="3B74ED5C">
        <w:tblPrEx>
          <w:tblCellMar>
            <w:top w:w="0" w:type="dxa"/>
            <w:left w:w="0" w:type="dxa"/>
            <w:bottom w:w="0" w:type="dxa"/>
            <w:right w:w="0" w:type="dxa"/>
          </w:tblCellMar>
        </w:tblPrEx>
        <w:trPr>
          <w:trHeight w:val="521" w:hRule="atLeast"/>
        </w:trPr>
        <w:tc>
          <w:tcPr>
            <w:tcW w:w="1135" w:type="dxa"/>
            <w:tcBorders>
              <w:top w:val="single" w:color="000000" w:sz="4" w:space="0"/>
              <w:left w:val="single" w:color="000000" w:sz="4" w:space="0"/>
              <w:bottom w:val="single" w:color="000000" w:sz="4" w:space="0"/>
              <w:right w:val="single" w:color="000000" w:sz="4" w:space="0"/>
            </w:tcBorders>
            <w:noWrap w:val="0"/>
            <w:vAlign w:val="center"/>
          </w:tcPr>
          <w:p w14:paraId="066975A9">
            <w:pPr>
              <w:autoSpaceDE w:val="0"/>
              <w:autoSpaceDN w:val="0"/>
              <w:adjustRightInd w:val="0"/>
              <w:spacing w:before="48"/>
              <w:ind w:right="-20"/>
              <w:jc w:val="center"/>
              <w:rPr>
                <w:rFonts w:hint="eastAsia" w:ascii="宋体" w:hAnsi="宋体" w:cs="宋体"/>
                <w:color w:val="auto"/>
                <w:kern w:val="0"/>
                <w:sz w:val="24"/>
                <w:szCs w:val="24"/>
                <w:highlight w:val="none"/>
              </w:rPr>
            </w:pPr>
            <w:bookmarkStart w:id="364" w:name="_Toc507399904"/>
            <w:r>
              <w:rPr>
                <w:rFonts w:hint="eastAsia" w:ascii="宋体" w:hAnsi="宋体" w:cs="宋体"/>
                <w:color w:val="auto"/>
                <w:kern w:val="0"/>
                <w:sz w:val="24"/>
                <w:szCs w:val="24"/>
                <w:highlight w:val="none"/>
              </w:rPr>
              <w:t>评分因素</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FA25459">
            <w:pPr>
              <w:autoSpaceDE w:val="0"/>
              <w:autoSpaceDN w:val="0"/>
              <w:adjustRightInd w:val="0"/>
              <w:spacing w:before="48"/>
              <w:ind w:right="12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分值</w:t>
            </w:r>
          </w:p>
        </w:tc>
        <w:tc>
          <w:tcPr>
            <w:tcW w:w="6600" w:type="dxa"/>
            <w:tcBorders>
              <w:top w:val="single" w:color="000000" w:sz="4" w:space="0"/>
              <w:left w:val="single" w:color="000000" w:sz="4" w:space="0"/>
              <w:bottom w:val="single" w:color="000000" w:sz="4" w:space="0"/>
              <w:right w:val="single" w:color="000000" w:sz="4" w:space="0"/>
            </w:tcBorders>
            <w:noWrap w:val="0"/>
            <w:vAlign w:val="center"/>
          </w:tcPr>
          <w:p w14:paraId="44E2F6EE">
            <w:pPr>
              <w:autoSpaceDE w:val="0"/>
              <w:autoSpaceDN w:val="0"/>
              <w:adjustRightInd w:val="0"/>
              <w:spacing w:before="48"/>
              <w:ind w:right="12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评分标准</w:t>
            </w:r>
          </w:p>
        </w:tc>
      </w:tr>
      <w:tr w14:paraId="4CAAE5A2">
        <w:tblPrEx>
          <w:tblCellMar>
            <w:top w:w="0" w:type="dxa"/>
            <w:left w:w="0" w:type="dxa"/>
            <w:bottom w:w="0" w:type="dxa"/>
            <w:right w:w="0" w:type="dxa"/>
          </w:tblCellMar>
        </w:tblPrEx>
        <w:trPr>
          <w:trHeight w:val="90" w:hRule="atLeast"/>
        </w:trPr>
        <w:tc>
          <w:tcPr>
            <w:tcW w:w="1135" w:type="dxa"/>
            <w:tcBorders>
              <w:top w:val="single" w:color="000000" w:sz="4" w:space="0"/>
              <w:left w:val="single" w:color="000000" w:sz="4" w:space="0"/>
              <w:bottom w:val="single" w:color="auto" w:sz="4" w:space="0"/>
              <w:right w:val="single" w:color="000000" w:sz="4" w:space="0"/>
            </w:tcBorders>
            <w:noWrap w:val="0"/>
            <w:vAlign w:val="center"/>
          </w:tcPr>
          <w:p w14:paraId="5A80E327">
            <w:pPr>
              <w:autoSpaceDE w:val="0"/>
              <w:autoSpaceDN w:val="0"/>
              <w:adjustRightInd w:val="0"/>
              <w:ind w:right="6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报价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tc>
        <w:tc>
          <w:tcPr>
            <w:tcW w:w="1436" w:type="dxa"/>
            <w:tcBorders>
              <w:top w:val="single" w:color="000000" w:sz="4" w:space="0"/>
              <w:left w:val="single" w:color="000000" w:sz="4" w:space="0"/>
              <w:bottom w:val="single" w:color="auto" w:sz="4" w:space="0"/>
              <w:right w:val="single" w:color="000000" w:sz="4" w:space="0"/>
            </w:tcBorders>
            <w:noWrap w:val="0"/>
            <w:vAlign w:val="center"/>
          </w:tcPr>
          <w:p w14:paraId="75A33FDB">
            <w:pPr>
              <w:autoSpaceDE w:val="0"/>
              <w:autoSpaceDN w:val="0"/>
              <w:adjustRightInd w:val="0"/>
              <w:ind w:right="-2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tc>
        <w:tc>
          <w:tcPr>
            <w:tcW w:w="6600" w:type="dxa"/>
            <w:tcBorders>
              <w:top w:val="single" w:color="000000" w:sz="4" w:space="0"/>
              <w:left w:val="single" w:color="000000" w:sz="4" w:space="0"/>
              <w:bottom w:val="single" w:color="auto" w:sz="4" w:space="0"/>
              <w:right w:val="single" w:color="000000" w:sz="4" w:space="0"/>
            </w:tcBorders>
            <w:noWrap w:val="0"/>
            <w:vAlign w:val="center"/>
          </w:tcPr>
          <w:p w14:paraId="1817C244">
            <w:pPr>
              <w:autoSpaceDE w:val="0"/>
              <w:autoSpaceDN w:val="0"/>
              <w:adjustRightInd w:val="0"/>
              <w:spacing w:before="65"/>
              <w:ind w:right="120" w:rightChars="0"/>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完全满足</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中要求</w:t>
            </w:r>
            <w:r>
              <w:rPr>
                <w:rFonts w:hint="eastAsia" w:ascii="宋体" w:hAnsi="宋体" w:cs="宋体"/>
                <w:color w:val="auto"/>
                <w:kern w:val="0"/>
                <w:sz w:val="24"/>
                <w:szCs w:val="24"/>
                <w:highlight w:val="none"/>
              </w:rPr>
              <w:t>的投标</w:t>
            </w:r>
            <w:r>
              <w:rPr>
                <w:rFonts w:hint="eastAsia" w:ascii="宋体" w:hAnsi="宋体" w:cs="宋体"/>
                <w:color w:val="auto"/>
                <w:kern w:val="0"/>
                <w:sz w:val="24"/>
                <w:szCs w:val="24"/>
                <w:highlight w:val="none"/>
                <w:lang w:val="en-US" w:eastAsia="zh-CN"/>
              </w:rPr>
              <w:t>单位</w:t>
            </w:r>
            <w:r>
              <w:rPr>
                <w:rFonts w:hint="eastAsia" w:ascii="宋体" w:hAnsi="宋体" w:cs="宋体"/>
                <w:color w:val="auto"/>
                <w:kern w:val="0"/>
                <w:sz w:val="24"/>
                <w:szCs w:val="24"/>
                <w:highlight w:val="none"/>
              </w:rPr>
              <w:t>报价中的最低价为评标基准价。按照下列公式计算各投标人的价格得分：投标报价得分=(评标基准价／投标报价)×价格权值×100。计算分数时四舍五入取小数点后两位。</w:t>
            </w:r>
          </w:p>
          <w:p w14:paraId="0E36293E">
            <w:pPr>
              <w:autoSpaceDE w:val="0"/>
              <w:autoSpaceDN w:val="0"/>
              <w:adjustRightInd w:val="0"/>
              <w:spacing w:before="65"/>
              <w:ind w:right="120" w:rightChars="0"/>
              <w:jc w:val="both"/>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中提交了《投标人企业类型声明函》、《残疾人福利性单位声明函》或省级以上监狱管理局、戒毒管理局（含新疆生产建设兵团）出具的属于监狱企业的投标人，其投标报价扣除</w:t>
            </w:r>
            <w:r>
              <w:rPr>
                <w:rFonts w:hint="eastAsia" w:ascii="宋体" w:hAnsi="宋体" w:cs="宋体"/>
                <w:color w:val="FF0000"/>
                <w:kern w:val="0"/>
                <w:sz w:val="24"/>
                <w:szCs w:val="24"/>
                <w:highlight w:val="none"/>
                <w:u w:val="single"/>
                <w:lang w:val="en-US" w:eastAsia="zh-CN"/>
              </w:rPr>
              <w:t xml:space="preserve">10 </w:t>
            </w:r>
            <w:r>
              <w:rPr>
                <w:rFonts w:hint="eastAsia" w:ascii="宋体" w:hAnsi="宋体" w:cs="宋体"/>
                <w:color w:val="FF0000"/>
                <w:kern w:val="0"/>
                <w:sz w:val="24"/>
                <w:szCs w:val="24"/>
                <w:highlight w:val="none"/>
                <w:u w:val="single"/>
              </w:rPr>
              <w:t>%</w:t>
            </w:r>
            <w:r>
              <w:rPr>
                <w:rFonts w:hint="eastAsia" w:ascii="宋体" w:hAnsi="宋体" w:cs="宋体"/>
                <w:color w:val="auto"/>
                <w:kern w:val="0"/>
                <w:sz w:val="24"/>
                <w:szCs w:val="24"/>
                <w:highlight w:val="none"/>
              </w:rPr>
              <w:t>后参与评审。对于同时属于小微企业、监狱企业残疾人福利性单位的，不重复进行投标报价扣除。</w:t>
            </w:r>
          </w:p>
        </w:tc>
      </w:tr>
      <w:tr w14:paraId="47585874">
        <w:tblPrEx>
          <w:tblCellMar>
            <w:top w:w="0" w:type="dxa"/>
            <w:left w:w="0" w:type="dxa"/>
            <w:bottom w:w="0" w:type="dxa"/>
            <w:right w:w="0" w:type="dxa"/>
          </w:tblCellMar>
        </w:tblPrEx>
        <w:trPr>
          <w:trHeight w:val="2040" w:hRule="atLeast"/>
        </w:trPr>
        <w:tc>
          <w:tcPr>
            <w:tcW w:w="1135" w:type="dxa"/>
            <w:vMerge w:val="restart"/>
            <w:tcBorders>
              <w:top w:val="single" w:color="auto" w:sz="4" w:space="0"/>
              <w:left w:val="single" w:color="auto" w:sz="4" w:space="0"/>
              <w:right w:val="single" w:color="auto" w:sz="4" w:space="0"/>
            </w:tcBorders>
            <w:noWrap w:val="0"/>
            <w:vAlign w:val="center"/>
          </w:tcPr>
          <w:p w14:paraId="7B845FBB">
            <w:pPr>
              <w:autoSpaceDE w:val="0"/>
              <w:autoSpaceDN w:val="0"/>
              <w:adjustRightInd w:val="0"/>
              <w:ind w:right="6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商务部分</w:t>
            </w:r>
          </w:p>
          <w:p w14:paraId="2D466FF5">
            <w:pPr>
              <w:autoSpaceDE w:val="0"/>
              <w:autoSpaceDN w:val="0"/>
              <w:adjustRightInd w:val="0"/>
              <w:ind w:right="6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20</w:t>
            </w:r>
            <w:r>
              <w:rPr>
                <w:rFonts w:hint="eastAsia" w:ascii="宋体" w:hAnsi="宋体" w:cs="宋体"/>
                <w:color w:val="auto"/>
                <w:kern w:val="0"/>
                <w:sz w:val="24"/>
                <w:szCs w:val="24"/>
                <w:highlight w:val="none"/>
              </w:rPr>
              <w:t>分）</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721B13F6">
            <w:pPr>
              <w:autoSpaceDE w:val="0"/>
              <w:autoSpaceDN w:val="0"/>
              <w:adjustRightInd w:val="0"/>
              <w:spacing w:before="65"/>
              <w:ind w:right="120" w:right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人员</w:t>
            </w:r>
            <w:r>
              <w:rPr>
                <w:rFonts w:hint="eastAsia" w:ascii="宋体" w:hAnsi="宋体" w:eastAsia="宋体" w:cs="宋体"/>
                <w:color w:val="auto"/>
                <w:kern w:val="0"/>
                <w:sz w:val="24"/>
                <w:szCs w:val="24"/>
                <w:highlight w:val="none"/>
                <w:lang w:val="en-US" w:eastAsia="zh-CN"/>
              </w:rPr>
              <w:t>配备</w:t>
            </w:r>
          </w:p>
          <w:p w14:paraId="13D0F518">
            <w:pPr>
              <w:autoSpaceDE w:val="0"/>
              <w:autoSpaceDN w:val="0"/>
              <w:adjustRightInd w:val="0"/>
              <w:spacing w:before="65"/>
              <w:ind w:right="120"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（0-1</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tc>
        <w:tc>
          <w:tcPr>
            <w:tcW w:w="6600" w:type="dxa"/>
            <w:tcBorders>
              <w:top w:val="single" w:color="auto" w:sz="4" w:space="0"/>
              <w:left w:val="single" w:color="auto" w:sz="4" w:space="0"/>
              <w:right w:val="single" w:color="auto" w:sz="4" w:space="0"/>
            </w:tcBorders>
            <w:noWrap w:val="0"/>
            <w:vAlign w:val="center"/>
          </w:tcPr>
          <w:p w14:paraId="4A99B31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1、技术负责人（一名）</w:t>
            </w:r>
          </w:p>
          <w:p w14:paraId="06E9F86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（1）具备注册城乡规划师证书得2分；</w:t>
            </w:r>
          </w:p>
          <w:p w14:paraId="1023D4D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（2）具有高级工程师职称得2分；具有中级工程师得1分；具有初级工程师职称得0.5分；（此项满分4分）</w:t>
            </w:r>
          </w:p>
          <w:p w14:paraId="2CFA9F4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2、项目组成员（除技术负责人外）每一人具有注册城乡规划师证书或高级职称得2分，中级职称得1分，初级职称得0.5分（注册城乡规划师证书或高级职称比例不得超过总人数40%），此项满分14分。</w:t>
            </w:r>
          </w:p>
          <w:p w14:paraId="63D87E8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相关证明资料（职称证书、在本单位缴纳的近三个月中任意一个月）的社保缴纳证明资料）提供不全的不得分。</w:t>
            </w:r>
          </w:p>
        </w:tc>
      </w:tr>
      <w:tr w14:paraId="139F900C">
        <w:tblPrEx>
          <w:tblCellMar>
            <w:top w:w="0" w:type="dxa"/>
            <w:left w:w="0" w:type="dxa"/>
            <w:bottom w:w="0" w:type="dxa"/>
            <w:right w:w="0" w:type="dxa"/>
          </w:tblCellMar>
        </w:tblPrEx>
        <w:trPr>
          <w:trHeight w:val="90" w:hRule="atLeast"/>
        </w:trPr>
        <w:tc>
          <w:tcPr>
            <w:tcW w:w="1135" w:type="dxa"/>
            <w:vMerge w:val="continue"/>
            <w:tcBorders>
              <w:left w:val="single" w:color="auto" w:sz="4" w:space="0"/>
              <w:right w:val="single" w:color="auto" w:sz="4" w:space="0"/>
            </w:tcBorders>
            <w:noWrap w:val="0"/>
            <w:vAlign w:val="center"/>
          </w:tcPr>
          <w:p w14:paraId="22B55FD2">
            <w:pPr>
              <w:autoSpaceDE w:val="0"/>
              <w:autoSpaceDN w:val="0"/>
              <w:adjustRightInd w:val="0"/>
              <w:ind w:right="60"/>
              <w:jc w:val="center"/>
              <w:rPr>
                <w:rFonts w:hint="eastAsia" w:ascii="宋体" w:hAnsi="宋体" w:cs="宋体"/>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60054AC5">
            <w:pPr>
              <w:autoSpaceDE w:val="0"/>
              <w:autoSpaceDN w:val="0"/>
              <w:adjustRightInd w:val="0"/>
              <w:spacing w:before="65"/>
              <w:ind w:right="12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业绩</w:t>
            </w:r>
          </w:p>
          <w:p w14:paraId="25A47844">
            <w:pPr>
              <w:autoSpaceDE w:val="0"/>
              <w:autoSpaceDN w:val="0"/>
              <w:adjustRightInd w:val="0"/>
              <w:spacing w:before="65"/>
              <w:ind w:right="120" w:rightChars="0"/>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（0-</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分）</w:t>
            </w:r>
          </w:p>
        </w:tc>
        <w:tc>
          <w:tcPr>
            <w:tcW w:w="6600" w:type="dxa"/>
            <w:tcBorders>
              <w:top w:val="single" w:color="auto" w:sz="4" w:space="0"/>
              <w:left w:val="single" w:color="auto" w:sz="4" w:space="0"/>
              <w:right w:val="single" w:color="auto" w:sz="4" w:space="0"/>
            </w:tcBorders>
            <w:noWrap w:val="0"/>
            <w:vAlign w:val="center"/>
          </w:tcPr>
          <w:p w14:paraId="53B2D946">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color w:val="000000"/>
                <w:kern w:val="0"/>
                <w:sz w:val="24"/>
                <w:szCs w:val="24"/>
                <w:highlight w:val="none"/>
                <w:lang w:val="en-US" w:eastAsia="zh-CN"/>
              </w:rPr>
            </w:pPr>
            <w:bookmarkStart w:id="551" w:name="_GoBack"/>
            <w:r>
              <w:rPr>
                <w:rFonts w:hint="eastAsia" w:ascii="宋体" w:hAnsi="宋体" w:cs="宋体"/>
                <w:b/>
                <w:bCs/>
                <w:color w:val="000000"/>
                <w:sz w:val="24"/>
                <w:highlight w:val="none"/>
                <w:lang w:eastAsia="zh-CN"/>
              </w:rPr>
              <w:t>2023年5月1日</w:t>
            </w:r>
            <w:r>
              <w:rPr>
                <w:rFonts w:hint="eastAsia" w:ascii="宋体" w:hAnsi="宋体" w:eastAsia="宋体" w:cs="宋体"/>
                <w:b/>
                <w:bCs/>
                <w:color w:val="000000"/>
                <w:sz w:val="24"/>
                <w:highlight w:val="none"/>
              </w:rPr>
              <w:t>至本项目投标截止之日</w:t>
            </w:r>
            <w:r>
              <w:rPr>
                <w:rFonts w:hint="eastAsia" w:ascii="宋体" w:hAnsi="宋体" w:cs="宋体"/>
                <w:color w:val="000000"/>
                <w:kern w:val="0"/>
                <w:sz w:val="24"/>
                <w:szCs w:val="24"/>
                <w:highlight w:val="none"/>
                <w:lang w:val="en-US" w:eastAsia="zh-CN"/>
              </w:rPr>
              <w:t>起</w:t>
            </w:r>
            <w:r>
              <w:rPr>
                <w:rFonts w:hint="eastAsia" w:ascii="宋体" w:hAnsi="宋体" w:eastAsia="宋体" w:cs="宋体"/>
                <w:color w:val="000000"/>
                <w:kern w:val="0"/>
                <w:sz w:val="24"/>
                <w:szCs w:val="24"/>
                <w:highlight w:val="none"/>
                <w:lang w:val="en-US" w:eastAsia="zh-CN"/>
              </w:rPr>
              <w:t>投标人承担过规划相关专业类似业绩一个得1分，满分2分。说明:项目业绩以合同或中标通知书或任务下达书为准，分包、转包或劳务合作项目无效。</w:t>
            </w:r>
            <w:bookmarkEnd w:id="551"/>
          </w:p>
        </w:tc>
      </w:tr>
      <w:tr w14:paraId="1AB5126D">
        <w:tblPrEx>
          <w:tblCellMar>
            <w:top w:w="0" w:type="dxa"/>
            <w:left w:w="0" w:type="dxa"/>
            <w:bottom w:w="0" w:type="dxa"/>
            <w:right w:w="0" w:type="dxa"/>
          </w:tblCellMar>
        </w:tblPrEx>
        <w:trPr>
          <w:trHeight w:val="1452" w:hRule="atLeast"/>
        </w:trPr>
        <w:tc>
          <w:tcPr>
            <w:tcW w:w="1135" w:type="dxa"/>
            <w:vMerge w:val="restart"/>
            <w:tcBorders>
              <w:top w:val="single" w:color="auto" w:sz="4" w:space="0"/>
              <w:left w:val="single" w:color="auto" w:sz="4" w:space="0"/>
              <w:bottom w:val="single" w:color="auto" w:sz="4" w:space="0"/>
              <w:right w:val="single" w:color="auto" w:sz="4" w:space="0"/>
            </w:tcBorders>
            <w:noWrap w:val="0"/>
            <w:vAlign w:val="center"/>
          </w:tcPr>
          <w:p w14:paraId="1176A8C4">
            <w:pPr>
              <w:autoSpaceDE w:val="0"/>
              <w:autoSpaceDN w:val="0"/>
              <w:adjustRightInd w:val="0"/>
              <w:ind w:right="6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技术部分</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70</w:t>
            </w:r>
            <w:r>
              <w:rPr>
                <w:rFonts w:hint="eastAsia" w:ascii="宋体" w:hAnsi="宋体" w:cs="宋体"/>
                <w:color w:val="auto"/>
                <w:kern w:val="0"/>
                <w:sz w:val="24"/>
                <w:szCs w:val="24"/>
                <w:highlight w:val="none"/>
              </w:rPr>
              <w:t>分）</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0A20E09C">
            <w:pPr>
              <w:autoSpaceDE w:val="0"/>
              <w:autoSpaceDN w:val="0"/>
              <w:adjustRightInd w:val="0"/>
              <w:spacing w:before="65"/>
              <w:ind w:right="12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总体技术方案</w:t>
            </w:r>
          </w:p>
          <w:p w14:paraId="42DDD10C">
            <w:pPr>
              <w:autoSpaceDE w:val="0"/>
              <w:autoSpaceDN w:val="0"/>
              <w:adjustRightInd w:val="0"/>
              <w:spacing w:before="65"/>
              <w:ind w:right="120" w:rightChars="0"/>
              <w:jc w:val="center"/>
              <w:rPr>
                <w:rFonts w:hint="eastAsia" w:ascii="宋体" w:hAnsi="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（0-20分）</w:t>
            </w:r>
          </w:p>
        </w:tc>
        <w:tc>
          <w:tcPr>
            <w:tcW w:w="6600" w:type="dxa"/>
            <w:tcBorders>
              <w:top w:val="single" w:color="auto" w:sz="4" w:space="0"/>
              <w:left w:val="single" w:color="auto" w:sz="4" w:space="0"/>
              <w:bottom w:val="single" w:color="auto" w:sz="4" w:space="0"/>
              <w:right w:val="single" w:color="auto" w:sz="4" w:space="0"/>
            </w:tcBorders>
            <w:noWrap w:val="0"/>
            <w:vAlign w:val="center"/>
          </w:tcPr>
          <w:p w14:paraId="6D4B2028">
            <w:pPr>
              <w:widowControl/>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根据投标人对本项目的</w:t>
            </w:r>
            <w:r>
              <w:rPr>
                <w:rFonts w:hint="eastAsia" w:ascii="宋体" w:hAnsi="宋体" w:eastAsia="宋体" w:cs="宋体"/>
                <w:b/>
                <w:bCs/>
                <w:color w:val="000000"/>
                <w:kern w:val="0"/>
                <w:sz w:val="24"/>
                <w:szCs w:val="24"/>
                <w:highlight w:val="none"/>
                <w:lang w:val="en-US" w:eastAsia="zh-CN" w:bidi="ar"/>
              </w:rPr>
              <w:t>实施计划，技术方案，研究思路，技术路线，规划内容框架</w:t>
            </w:r>
            <w:r>
              <w:rPr>
                <w:rFonts w:hint="eastAsia" w:ascii="宋体" w:hAnsi="宋体" w:eastAsia="宋体" w:cs="宋体"/>
                <w:color w:val="000000"/>
                <w:kern w:val="0"/>
                <w:sz w:val="24"/>
                <w:szCs w:val="24"/>
                <w:highlight w:val="none"/>
                <w:lang w:val="en-US" w:eastAsia="zh-CN" w:bidi="ar"/>
              </w:rPr>
              <w:t>。</w:t>
            </w:r>
          </w:p>
          <w:p w14:paraId="54CF3822">
            <w:pPr>
              <w:widowControl/>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每个方面得4分，每有一处存在缺陷的扣1分，扣完为止，未提供的不得分。</w:t>
            </w:r>
          </w:p>
          <w:p w14:paraId="44F4AAFB">
            <w:pPr>
              <w:widowControl/>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（注：缺陷是指内容与实际情况不匹配、不符合项目特点、无法达到预期效果、不适用于本项目、阐述内容错误或表达混乱、内容不符合相关规范要求、与本项目无关等任意一种情形）</w:t>
            </w:r>
          </w:p>
        </w:tc>
      </w:tr>
      <w:tr w14:paraId="3C069D19">
        <w:tblPrEx>
          <w:tblCellMar>
            <w:top w:w="0" w:type="dxa"/>
            <w:left w:w="0" w:type="dxa"/>
            <w:bottom w:w="0" w:type="dxa"/>
            <w:right w:w="0" w:type="dxa"/>
          </w:tblCellMar>
        </w:tblPrEx>
        <w:trPr>
          <w:trHeight w:val="684" w:hRule="atLeast"/>
        </w:trPr>
        <w:tc>
          <w:tcPr>
            <w:tcW w:w="1135" w:type="dxa"/>
            <w:vMerge w:val="continue"/>
            <w:tcBorders>
              <w:top w:val="single" w:color="auto" w:sz="4" w:space="0"/>
              <w:left w:val="single" w:color="auto" w:sz="4" w:space="0"/>
              <w:bottom w:val="single" w:color="auto" w:sz="4" w:space="0"/>
              <w:right w:val="single" w:color="auto" w:sz="4" w:space="0"/>
            </w:tcBorders>
            <w:noWrap w:val="0"/>
            <w:vAlign w:val="top"/>
          </w:tcPr>
          <w:p w14:paraId="285A873E">
            <w:pPr>
              <w:autoSpaceDE w:val="0"/>
              <w:autoSpaceDN w:val="0"/>
              <w:adjustRightInd w:val="0"/>
              <w:ind w:right="60"/>
              <w:jc w:val="center"/>
              <w:rPr>
                <w:rFonts w:hint="eastAsia" w:ascii="宋体" w:hAnsi="宋体" w:cs="宋体"/>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0B9780D">
            <w:pPr>
              <w:autoSpaceDE w:val="0"/>
              <w:autoSpaceDN w:val="0"/>
              <w:adjustRightInd w:val="0"/>
              <w:spacing w:before="65"/>
              <w:ind w:right="120" w:rightChars="0"/>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项目背景及现状分析</w:t>
            </w:r>
          </w:p>
          <w:p w14:paraId="060A13F0">
            <w:pPr>
              <w:autoSpaceDE w:val="0"/>
              <w:autoSpaceDN w:val="0"/>
              <w:adjustRightInd w:val="0"/>
              <w:spacing w:before="65"/>
              <w:ind w:right="12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（0-20分）</w:t>
            </w:r>
          </w:p>
        </w:tc>
        <w:tc>
          <w:tcPr>
            <w:tcW w:w="6600" w:type="dxa"/>
            <w:tcBorders>
              <w:top w:val="single" w:color="auto" w:sz="4" w:space="0"/>
              <w:left w:val="single" w:color="auto" w:sz="4" w:space="0"/>
              <w:bottom w:val="single" w:color="auto" w:sz="4" w:space="0"/>
              <w:right w:val="single" w:color="auto" w:sz="4" w:space="0"/>
            </w:tcBorders>
            <w:noWrap w:val="0"/>
            <w:vAlign w:val="center"/>
          </w:tcPr>
          <w:p w14:paraId="1E55CDE0">
            <w:pPr>
              <w:widowControl/>
              <w:jc w:val="both"/>
              <w:textAlignment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根据投标人对本次</w:t>
            </w:r>
            <w:r>
              <w:rPr>
                <w:rFonts w:hint="eastAsia" w:ascii="宋体" w:hAnsi="宋体" w:eastAsia="宋体" w:cs="宋体"/>
                <w:b/>
                <w:bCs/>
                <w:color w:val="000000"/>
                <w:kern w:val="0"/>
                <w:sz w:val="24"/>
                <w:szCs w:val="24"/>
                <w:highlight w:val="none"/>
                <w:lang w:val="en-US" w:eastAsia="zh-CN" w:bidi="ar"/>
              </w:rPr>
              <w:t>项目</w:t>
            </w:r>
            <w:r>
              <w:rPr>
                <w:rFonts w:hint="eastAsia" w:ascii="宋体" w:hAnsi="宋体" w:eastAsia="宋体" w:cs="宋体"/>
                <w:b/>
                <w:bCs/>
                <w:color w:val="000000"/>
                <w:kern w:val="0"/>
                <w:sz w:val="24"/>
                <w:szCs w:val="24"/>
                <w:highlight w:val="none"/>
                <w:lang w:val="en-US" w:eastAsia="zh-CN"/>
              </w:rPr>
              <w:t>背景，</w:t>
            </w:r>
            <w:r>
              <w:rPr>
                <w:rFonts w:hint="eastAsia" w:ascii="宋体" w:hAnsi="宋体" w:eastAsia="宋体" w:cs="宋体"/>
                <w:b/>
                <w:bCs/>
                <w:color w:val="000000"/>
                <w:kern w:val="0"/>
                <w:sz w:val="24"/>
                <w:szCs w:val="24"/>
                <w:highlight w:val="none"/>
                <w:lang w:val="en-US" w:eastAsia="zh-CN" w:bidi="ar"/>
              </w:rPr>
              <w:t>任务的理解，分析思路、方法，提出的研究内容，</w:t>
            </w:r>
            <w:r>
              <w:rPr>
                <w:rFonts w:hint="eastAsia" w:ascii="宋体" w:hAnsi="宋体" w:eastAsia="宋体" w:cs="宋体"/>
                <w:b/>
                <w:bCs/>
                <w:color w:val="000000"/>
                <w:kern w:val="0"/>
                <w:sz w:val="24"/>
                <w:szCs w:val="24"/>
                <w:highlight w:val="none"/>
                <w:lang w:val="en-US" w:eastAsia="zh-CN"/>
              </w:rPr>
              <w:t>现状分析</w:t>
            </w:r>
            <w:r>
              <w:rPr>
                <w:rFonts w:hint="eastAsia" w:ascii="宋体" w:hAnsi="宋体" w:eastAsia="宋体" w:cs="宋体"/>
                <w:color w:val="000000"/>
                <w:kern w:val="0"/>
                <w:sz w:val="24"/>
                <w:szCs w:val="24"/>
                <w:highlight w:val="none"/>
                <w:lang w:val="en-US" w:eastAsia="zh-CN"/>
              </w:rPr>
              <w:t>。</w:t>
            </w:r>
          </w:p>
          <w:p w14:paraId="23819661">
            <w:pPr>
              <w:widowControl/>
              <w:jc w:val="both"/>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每个方面得4分，每有一处存在缺陷的扣1分，扣完为止，未提供的不得分。</w:t>
            </w:r>
          </w:p>
          <w:p w14:paraId="49392949">
            <w:pPr>
              <w:widowControl/>
              <w:jc w:val="both"/>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（注：缺陷是指内容与实际情况不匹配、不符合项目特点、无法达到预期效果、不适用于本项目、阐述内容错误或表达混乱、内容不符合相关规范要求、与本项目无关等任意一种情形）</w:t>
            </w:r>
          </w:p>
        </w:tc>
      </w:tr>
      <w:tr w14:paraId="5948F7B1">
        <w:tblPrEx>
          <w:tblCellMar>
            <w:top w:w="0" w:type="dxa"/>
            <w:left w:w="0" w:type="dxa"/>
            <w:bottom w:w="0" w:type="dxa"/>
            <w:right w:w="0" w:type="dxa"/>
          </w:tblCellMar>
        </w:tblPrEx>
        <w:trPr>
          <w:trHeight w:val="90" w:hRule="atLeast"/>
        </w:trPr>
        <w:tc>
          <w:tcPr>
            <w:tcW w:w="1135" w:type="dxa"/>
            <w:vMerge w:val="continue"/>
            <w:tcBorders>
              <w:top w:val="single" w:color="auto" w:sz="4" w:space="0"/>
              <w:left w:val="single" w:color="auto" w:sz="4" w:space="0"/>
              <w:bottom w:val="single" w:color="auto" w:sz="4" w:space="0"/>
              <w:right w:val="single" w:color="auto" w:sz="4" w:space="0"/>
            </w:tcBorders>
            <w:noWrap w:val="0"/>
            <w:vAlign w:val="top"/>
          </w:tcPr>
          <w:p w14:paraId="340E0B30">
            <w:pPr>
              <w:autoSpaceDE w:val="0"/>
              <w:autoSpaceDN w:val="0"/>
              <w:adjustRightInd w:val="0"/>
              <w:ind w:right="60"/>
              <w:jc w:val="center"/>
              <w:rPr>
                <w:rFonts w:hint="eastAsia" w:ascii="宋体" w:hAnsi="宋体" w:cs="宋体"/>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708F750">
            <w:pPr>
              <w:keepNext w:val="0"/>
              <w:keepLines w:val="0"/>
              <w:pageBreakBefore w:val="0"/>
              <w:kinsoku/>
              <w:wordWrap/>
              <w:overflowPunct/>
              <w:topLinePunct w:val="0"/>
              <w:autoSpaceDE w:val="0"/>
              <w:autoSpaceDN w:val="0"/>
              <w:bidi w:val="0"/>
              <w:adjustRightInd w:val="0"/>
              <w:snapToGrid/>
              <w:spacing w:before="65" w:line="240" w:lineRule="auto"/>
              <w:ind w:right="12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质量保证措施     （0-9分）</w:t>
            </w:r>
          </w:p>
        </w:tc>
        <w:tc>
          <w:tcPr>
            <w:tcW w:w="6600" w:type="dxa"/>
            <w:tcBorders>
              <w:top w:val="single" w:color="auto" w:sz="4" w:space="0"/>
              <w:left w:val="single" w:color="auto" w:sz="4" w:space="0"/>
              <w:bottom w:val="single" w:color="auto" w:sz="4" w:space="0"/>
              <w:right w:val="single" w:color="auto" w:sz="4" w:space="0"/>
            </w:tcBorders>
            <w:noWrap w:val="0"/>
            <w:vAlign w:val="center"/>
          </w:tcPr>
          <w:p w14:paraId="68810E34">
            <w:pPr>
              <w:pStyle w:val="25"/>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对完成本项目质量及按时交付成果文件做出</w:t>
            </w:r>
            <w:r>
              <w:rPr>
                <w:rFonts w:hint="eastAsia" w:ascii="宋体" w:hAnsi="宋体" w:eastAsia="宋体" w:cs="宋体"/>
                <w:b/>
                <w:bCs/>
                <w:color w:val="000000"/>
                <w:kern w:val="0"/>
                <w:sz w:val="24"/>
                <w:szCs w:val="24"/>
                <w:highlight w:val="none"/>
                <w:lang w:val="en-US" w:eastAsia="zh-CN" w:bidi="ar-SA"/>
              </w:rPr>
              <w:t>质量保障目标、质量保障措施、质量保障方案内容</w:t>
            </w:r>
            <w:r>
              <w:rPr>
                <w:rFonts w:hint="eastAsia" w:ascii="宋体" w:hAnsi="宋体" w:eastAsia="宋体" w:cs="宋体"/>
                <w:color w:val="000000"/>
                <w:kern w:val="0"/>
                <w:sz w:val="24"/>
                <w:szCs w:val="24"/>
                <w:highlight w:val="none"/>
                <w:lang w:val="en-US" w:eastAsia="zh-CN" w:bidi="ar-SA"/>
              </w:rPr>
              <w:t>。每个内容得3分，每有一处存在缺陷的扣1分，扣完为止，未提供的不得分。</w:t>
            </w:r>
          </w:p>
          <w:p w14:paraId="6C6A82A0">
            <w:pPr>
              <w:autoSpaceDE w:val="0"/>
              <w:autoSpaceDN w:val="0"/>
              <w:adjustRightInd w:val="0"/>
              <w:spacing w:before="65"/>
              <w:ind w:right="120" w:rightChars="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（注：缺陷是指内容与实际情况不匹配、不符合项目特点、无法达到预期效果、不适用于本项目、阐述内容错误或表达混乱、内容不符合相关规范要求、与本项目无关等任意一种情形）</w:t>
            </w:r>
          </w:p>
        </w:tc>
      </w:tr>
      <w:tr w14:paraId="3651F8F3">
        <w:tblPrEx>
          <w:tblCellMar>
            <w:top w:w="0" w:type="dxa"/>
            <w:left w:w="0" w:type="dxa"/>
            <w:bottom w:w="0" w:type="dxa"/>
            <w:right w:w="0" w:type="dxa"/>
          </w:tblCellMar>
        </w:tblPrEx>
        <w:trPr>
          <w:trHeight w:val="1030" w:hRule="atLeast"/>
        </w:trPr>
        <w:tc>
          <w:tcPr>
            <w:tcW w:w="1135" w:type="dxa"/>
            <w:vMerge w:val="continue"/>
            <w:tcBorders>
              <w:top w:val="single" w:color="auto" w:sz="4" w:space="0"/>
              <w:left w:val="single" w:color="auto" w:sz="4" w:space="0"/>
              <w:bottom w:val="single" w:color="auto" w:sz="4" w:space="0"/>
              <w:right w:val="single" w:color="auto" w:sz="4" w:space="0"/>
            </w:tcBorders>
            <w:noWrap w:val="0"/>
            <w:vAlign w:val="top"/>
          </w:tcPr>
          <w:p w14:paraId="2E516822">
            <w:pPr>
              <w:autoSpaceDE w:val="0"/>
              <w:autoSpaceDN w:val="0"/>
              <w:adjustRightInd w:val="0"/>
              <w:ind w:right="60"/>
              <w:jc w:val="center"/>
              <w:rPr>
                <w:rFonts w:hint="eastAsia" w:ascii="宋体" w:hAnsi="宋体" w:cs="宋体"/>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6FB6F3BE">
            <w:pPr>
              <w:keepNext w:val="0"/>
              <w:keepLines w:val="0"/>
              <w:pageBreakBefore w:val="0"/>
              <w:kinsoku/>
              <w:wordWrap/>
              <w:overflowPunct/>
              <w:topLinePunct w:val="0"/>
              <w:autoSpaceDE w:val="0"/>
              <w:autoSpaceDN w:val="0"/>
              <w:bidi w:val="0"/>
              <w:adjustRightInd w:val="0"/>
              <w:snapToGrid/>
              <w:spacing w:before="65" w:line="240" w:lineRule="auto"/>
              <w:ind w:right="120" w:rightChars="0"/>
              <w:jc w:val="center"/>
              <w:rPr>
                <w:rFonts w:hint="eastAsia" w:ascii="宋体" w:hAnsi="宋体"/>
                <w:color w:val="000000"/>
                <w:sz w:val="24"/>
                <w:highlight w:val="none"/>
              </w:rPr>
            </w:pPr>
            <w:r>
              <w:rPr>
                <w:rFonts w:hint="eastAsia" w:ascii="宋体" w:hAnsi="宋体"/>
                <w:color w:val="000000"/>
                <w:sz w:val="24"/>
                <w:highlight w:val="none"/>
              </w:rPr>
              <w:t>对项目合理化建议</w:t>
            </w:r>
          </w:p>
          <w:p w14:paraId="24DD70DA">
            <w:pPr>
              <w:autoSpaceDE w:val="0"/>
              <w:autoSpaceDN w:val="0"/>
              <w:adjustRightInd w:val="0"/>
              <w:ind w:right="-20" w:righ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（0-10分）</w:t>
            </w:r>
          </w:p>
        </w:tc>
        <w:tc>
          <w:tcPr>
            <w:tcW w:w="6600" w:type="dxa"/>
            <w:tcBorders>
              <w:top w:val="single" w:color="auto" w:sz="4" w:space="0"/>
              <w:left w:val="single" w:color="auto" w:sz="4" w:space="0"/>
              <w:bottom w:val="single" w:color="auto" w:sz="4" w:space="0"/>
              <w:right w:val="single" w:color="auto" w:sz="4" w:space="0"/>
            </w:tcBorders>
            <w:noWrap w:val="0"/>
            <w:vAlign w:val="center"/>
          </w:tcPr>
          <w:p w14:paraId="2208C857">
            <w:pPr>
              <w:widowControl/>
              <w:jc w:val="both"/>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投标人针对本项目在实际操作过程中，遇到可能发生或存在的问题，提出合理有效的可行性建议和解决方案，一条可行性建议和解决方案得1分，满分10分。</w:t>
            </w:r>
          </w:p>
        </w:tc>
      </w:tr>
      <w:tr w14:paraId="4B7384F4">
        <w:tblPrEx>
          <w:tblCellMar>
            <w:top w:w="0" w:type="dxa"/>
            <w:left w:w="0" w:type="dxa"/>
            <w:bottom w:w="0" w:type="dxa"/>
            <w:right w:w="0" w:type="dxa"/>
          </w:tblCellMar>
        </w:tblPrEx>
        <w:trPr>
          <w:trHeight w:val="897" w:hRule="atLeast"/>
        </w:trPr>
        <w:tc>
          <w:tcPr>
            <w:tcW w:w="1135" w:type="dxa"/>
            <w:vMerge w:val="continue"/>
            <w:tcBorders>
              <w:top w:val="single" w:color="auto" w:sz="4" w:space="0"/>
              <w:left w:val="single" w:color="auto" w:sz="4" w:space="0"/>
              <w:bottom w:val="single" w:color="auto" w:sz="4" w:space="0"/>
              <w:right w:val="single" w:color="auto" w:sz="4" w:space="0"/>
            </w:tcBorders>
            <w:noWrap w:val="0"/>
            <w:vAlign w:val="top"/>
          </w:tcPr>
          <w:p w14:paraId="37642957">
            <w:pPr>
              <w:autoSpaceDE w:val="0"/>
              <w:autoSpaceDN w:val="0"/>
              <w:adjustRightInd w:val="0"/>
              <w:ind w:right="60"/>
              <w:jc w:val="center"/>
              <w:rPr>
                <w:rFonts w:hint="eastAsia" w:ascii="宋体" w:hAnsi="宋体" w:cs="宋体"/>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0ABC628D">
            <w:pPr>
              <w:keepNext w:val="0"/>
              <w:keepLines w:val="0"/>
              <w:pageBreakBefore w:val="0"/>
              <w:kinsoku/>
              <w:wordWrap/>
              <w:overflowPunct/>
              <w:topLinePunct w:val="0"/>
              <w:autoSpaceDE w:val="0"/>
              <w:autoSpaceDN w:val="0"/>
              <w:bidi w:val="0"/>
              <w:adjustRightInd w:val="0"/>
              <w:snapToGrid/>
              <w:spacing w:line="240" w:lineRule="auto"/>
              <w:ind w:right="-20" w:righ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进度安排       （0-6分）</w:t>
            </w:r>
          </w:p>
        </w:tc>
        <w:tc>
          <w:tcPr>
            <w:tcW w:w="6600" w:type="dxa"/>
            <w:tcBorders>
              <w:top w:val="single" w:color="auto" w:sz="4" w:space="0"/>
              <w:left w:val="single" w:color="auto" w:sz="4" w:space="0"/>
              <w:bottom w:val="single" w:color="auto" w:sz="4" w:space="0"/>
              <w:right w:val="single" w:color="auto" w:sz="4" w:space="0"/>
            </w:tcBorders>
            <w:noWrap w:val="0"/>
            <w:vAlign w:val="center"/>
          </w:tcPr>
          <w:p w14:paraId="2C9EFAAE">
            <w:pPr>
              <w:autoSpaceDE w:val="0"/>
              <w:autoSpaceDN w:val="0"/>
              <w:adjustRightInd w:val="0"/>
              <w:spacing w:before="65"/>
              <w:ind w:right="120" w:rightChars="0"/>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投入项目</w:t>
            </w:r>
            <w:r>
              <w:rPr>
                <w:rFonts w:hint="eastAsia" w:ascii="宋体" w:hAnsi="宋体" w:eastAsia="宋体" w:cs="宋体"/>
                <w:b/>
                <w:bCs/>
                <w:color w:val="000000"/>
                <w:kern w:val="0"/>
                <w:sz w:val="24"/>
                <w:szCs w:val="24"/>
                <w:highlight w:val="none"/>
                <w:lang w:val="en-US" w:eastAsia="zh-CN"/>
              </w:rPr>
              <w:t>人员安排合理、分工明确，工期进度</w:t>
            </w:r>
            <w:r>
              <w:rPr>
                <w:rFonts w:hint="eastAsia" w:ascii="宋体" w:hAnsi="宋体" w:eastAsia="宋体" w:cs="宋体"/>
                <w:color w:val="000000"/>
                <w:kern w:val="0"/>
                <w:sz w:val="24"/>
                <w:szCs w:val="24"/>
                <w:highlight w:val="none"/>
                <w:lang w:val="en-US" w:eastAsia="zh-CN"/>
              </w:rPr>
              <w:t>完美衔接，整体进度有详细计划得6分;其中每一项不详细、不完善扣0.5分，缺项或方案不合理扣2分；直到全部扣完为止。</w:t>
            </w:r>
          </w:p>
        </w:tc>
      </w:tr>
      <w:tr w14:paraId="19701F6C">
        <w:tblPrEx>
          <w:tblCellMar>
            <w:top w:w="0" w:type="dxa"/>
            <w:left w:w="0" w:type="dxa"/>
            <w:bottom w:w="0" w:type="dxa"/>
            <w:right w:w="0" w:type="dxa"/>
          </w:tblCellMar>
        </w:tblPrEx>
        <w:trPr>
          <w:trHeight w:val="687" w:hRule="atLeast"/>
        </w:trPr>
        <w:tc>
          <w:tcPr>
            <w:tcW w:w="1135" w:type="dxa"/>
            <w:vMerge w:val="continue"/>
            <w:tcBorders>
              <w:top w:val="single" w:color="auto" w:sz="4" w:space="0"/>
              <w:left w:val="single" w:color="auto" w:sz="4" w:space="0"/>
              <w:bottom w:val="single" w:color="auto" w:sz="4" w:space="0"/>
              <w:right w:val="single" w:color="auto" w:sz="4" w:space="0"/>
            </w:tcBorders>
            <w:noWrap w:val="0"/>
            <w:vAlign w:val="top"/>
          </w:tcPr>
          <w:p w14:paraId="56B61CC7">
            <w:pPr>
              <w:autoSpaceDE w:val="0"/>
              <w:autoSpaceDN w:val="0"/>
              <w:adjustRightInd w:val="0"/>
              <w:ind w:right="60"/>
              <w:jc w:val="center"/>
              <w:rPr>
                <w:rFonts w:hint="eastAsia" w:ascii="宋体" w:hAnsi="宋体" w:cs="宋体"/>
                <w:color w:val="auto"/>
                <w:kern w:val="0"/>
                <w:sz w:val="24"/>
                <w:szCs w:val="24"/>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F35173F">
            <w:pPr>
              <w:keepNext w:val="0"/>
              <w:keepLines w:val="0"/>
              <w:pageBreakBefore w:val="0"/>
              <w:kinsoku/>
              <w:wordWrap/>
              <w:overflowPunct/>
              <w:topLinePunct w:val="0"/>
              <w:autoSpaceDE w:val="0"/>
              <w:autoSpaceDN w:val="0"/>
              <w:bidi w:val="0"/>
              <w:adjustRightInd w:val="0"/>
              <w:snapToGrid/>
              <w:spacing w:line="240" w:lineRule="auto"/>
              <w:ind w:right="-20" w:rightChars="0"/>
              <w:jc w:val="center"/>
              <w:rPr>
                <w:rFonts w:hint="eastAsia" w:ascii="宋体" w:hAnsi="宋体" w:cs="宋体"/>
                <w:color w:val="auto"/>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管理制度   （0-5分）</w:t>
            </w:r>
          </w:p>
        </w:tc>
        <w:tc>
          <w:tcPr>
            <w:tcW w:w="6600" w:type="dxa"/>
            <w:tcBorders>
              <w:top w:val="single" w:color="auto" w:sz="4" w:space="0"/>
              <w:left w:val="single" w:color="auto" w:sz="4" w:space="0"/>
              <w:bottom w:val="single" w:color="auto" w:sz="4" w:space="0"/>
              <w:right w:val="single" w:color="auto" w:sz="4" w:space="0"/>
            </w:tcBorders>
            <w:noWrap w:val="0"/>
            <w:vAlign w:val="center"/>
          </w:tcPr>
          <w:p w14:paraId="022A0761">
            <w:pPr>
              <w:autoSpaceDE w:val="0"/>
              <w:autoSpaceDN w:val="0"/>
              <w:adjustRightInd w:val="0"/>
              <w:spacing w:before="65"/>
              <w:ind w:right="120" w:rightChars="0"/>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有健全的项目管理制度、质量管理制度、财务管理制度、风险管理制度和保密管理制度的得5分，每缺一项扣1分。未提供的不得分。</w:t>
            </w:r>
          </w:p>
        </w:tc>
      </w:tr>
    </w:tbl>
    <w:p w14:paraId="57003190">
      <w:pPr>
        <w:spacing w:line="240" w:lineRule="atLeast"/>
        <w:jc w:val="both"/>
        <w:rPr>
          <w:rFonts w:hint="eastAsia" w:ascii="宋体" w:hAnsi="宋体" w:cs="宋体"/>
          <w:b/>
          <w:color w:val="auto"/>
          <w:sz w:val="32"/>
          <w:szCs w:val="32"/>
          <w:highlight w:val="none"/>
        </w:rPr>
      </w:pPr>
    </w:p>
    <w:p w14:paraId="0B24F6AE">
      <w:pPr>
        <w:rPr>
          <w:rFonts w:hint="eastAsia" w:ascii="宋体" w:hAnsi="宋体" w:cs="宋体"/>
          <w:color w:val="auto"/>
          <w:highlight w:val="none"/>
        </w:rPr>
      </w:pPr>
    </w:p>
    <w:p w14:paraId="1F4E5BB5">
      <w:pPr>
        <w:rPr>
          <w:rFonts w:hint="eastAsia" w:ascii="宋体" w:hAnsi="宋体" w:cs="宋体"/>
          <w:color w:val="auto"/>
          <w:highlight w:val="none"/>
        </w:rPr>
      </w:pPr>
    </w:p>
    <w:p w14:paraId="022E3C9A">
      <w:pPr>
        <w:pStyle w:val="10"/>
        <w:rPr>
          <w:rFonts w:hint="eastAsia" w:ascii="宋体" w:hAnsi="宋体" w:cs="宋体"/>
          <w:color w:val="auto"/>
          <w:highlight w:val="none"/>
        </w:rPr>
      </w:pPr>
    </w:p>
    <w:p w14:paraId="678D4DD3">
      <w:pPr>
        <w:pStyle w:val="10"/>
        <w:rPr>
          <w:rFonts w:hint="eastAsia" w:ascii="宋体" w:hAnsi="宋体" w:cs="宋体"/>
          <w:color w:val="auto"/>
          <w:highlight w:val="none"/>
        </w:rPr>
      </w:pPr>
    </w:p>
    <w:p w14:paraId="7CBBA05D">
      <w:pPr>
        <w:pStyle w:val="10"/>
        <w:rPr>
          <w:rFonts w:hint="eastAsia" w:ascii="宋体" w:hAnsi="宋体" w:cs="宋体"/>
          <w:color w:val="auto"/>
          <w:highlight w:val="none"/>
        </w:rPr>
      </w:pPr>
    </w:p>
    <w:p w14:paraId="7D8D9D42">
      <w:pPr>
        <w:pStyle w:val="10"/>
        <w:rPr>
          <w:rFonts w:hint="eastAsia" w:ascii="宋体" w:hAnsi="宋体" w:cs="宋体"/>
          <w:color w:val="auto"/>
          <w:highlight w:val="none"/>
        </w:rPr>
      </w:pPr>
    </w:p>
    <w:p w14:paraId="200955E0">
      <w:pPr>
        <w:pStyle w:val="10"/>
        <w:rPr>
          <w:rFonts w:hint="eastAsia" w:ascii="宋体" w:hAnsi="宋体" w:cs="宋体"/>
          <w:color w:val="auto"/>
          <w:highlight w:val="none"/>
        </w:rPr>
      </w:pPr>
    </w:p>
    <w:p w14:paraId="714B3597">
      <w:pPr>
        <w:pStyle w:val="10"/>
        <w:rPr>
          <w:rFonts w:hint="eastAsia" w:ascii="宋体" w:hAnsi="宋体" w:cs="宋体"/>
          <w:color w:val="auto"/>
          <w:highlight w:val="none"/>
        </w:rPr>
      </w:pPr>
    </w:p>
    <w:p w14:paraId="05F47728">
      <w:pPr>
        <w:pStyle w:val="10"/>
        <w:rPr>
          <w:rFonts w:hint="eastAsia" w:ascii="宋体" w:hAnsi="宋体" w:cs="宋体"/>
          <w:color w:val="auto"/>
          <w:highlight w:val="none"/>
        </w:rPr>
      </w:pPr>
    </w:p>
    <w:p w14:paraId="77CA0B6D">
      <w:pPr>
        <w:pStyle w:val="10"/>
        <w:rPr>
          <w:rFonts w:hint="eastAsia" w:ascii="宋体" w:hAnsi="宋体" w:cs="宋体"/>
          <w:color w:val="auto"/>
          <w:highlight w:val="none"/>
        </w:rPr>
      </w:pPr>
    </w:p>
    <w:p w14:paraId="1FA5926A">
      <w:pPr>
        <w:pStyle w:val="10"/>
        <w:rPr>
          <w:rFonts w:hint="eastAsia" w:ascii="宋体" w:hAnsi="宋体" w:cs="宋体"/>
          <w:color w:val="auto"/>
          <w:highlight w:val="none"/>
        </w:rPr>
      </w:pPr>
    </w:p>
    <w:p w14:paraId="02832A36">
      <w:pPr>
        <w:pStyle w:val="10"/>
        <w:rPr>
          <w:rFonts w:hint="eastAsia" w:ascii="宋体" w:hAnsi="宋体" w:cs="宋体"/>
          <w:color w:val="auto"/>
          <w:highlight w:val="none"/>
        </w:rPr>
      </w:pPr>
    </w:p>
    <w:p w14:paraId="6023F666">
      <w:pPr>
        <w:pStyle w:val="10"/>
        <w:rPr>
          <w:rFonts w:hint="eastAsia" w:ascii="宋体" w:hAnsi="宋体" w:cs="宋体"/>
          <w:color w:val="auto"/>
          <w:highlight w:val="none"/>
        </w:rPr>
      </w:pPr>
    </w:p>
    <w:p w14:paraId="6935A201">
      <w:pPr>
        <w:pStyle w:val="10"/>
        <w:rPr>
          <w:rFonts w:hint="eastAsia" w:ascii="宋体" w:hAnsi="宋体" w:cs="宋体"/>
          <w:color w:val="auto"/>
          <w:highlight w:val="none"/>
        </w:rPr>
      </w:pPr>
    </w:p>
    <w:p w14:paraId="07484E4E">
      <w:pPr>
        <w:pStyle w:val="10"/>
        <w:rPr>
          <w:rFonts w:hint="eastAsia" w:ascii="宋体" w:hAnsi="宋体" w:cs="宋体"/>
          <w:color w:val="auto"/>
          <w:highlight w:val="none"/>
        </w:rPr>
      </w:pPr>
    </w:p>
    <w:p w14:paraId="05F9BF87">
      <w:pPr>
        <w:pStyle w:val="10"/>
        <w:rPr>
          <w:rFonts w:hint="eastAsia" w:ascii="宋体" w:hAnsi="宋体" w:cs="宋体"/>
          <w:color w:val="auto"/>
          <w:highlight w:val="none"/>
        </w:rPr>
      </w:pPr>
    </w:p>
    <w:p w14:paraId="129FDB40">
      <w:pPr>
        <w:pStyle w:val="10"/>
        <w:rPr>
          <w:rFonts w:hint="eastAsia" w:ascii="宋体" w:hAnsi="宋体" w:cs="宋体"/>
          <w:color w:val="auto"/>
          <w:highlight w:val="none"/>
        </w:rPr>
      </w:pPr>
    </w:p>
    <w:p w14:paraId="12D6EE7F">
      <w:pPr>
        <w:pStyle w:val="10"/>
        <w:rPr>
          <w:rFonts w:hint="eastAsia" w:ascii="宋体" w:hAnsi="宋体" w:cs="宋体"/>
          <w:color w:val="auto"/>
          <w:highlight w:val="none"/>
        </w:rPr>
      </w:pPr>
    </w:p>
    <w:p w14:paraId="6314D127">
      <w:pPr>
        <w:pStyle w:val="10"/>
        <w:rPr>
          <w:rFonts w:hint="eastAsia" w:ascii="宋体" w:hAnsi="宋体" w:cs="宋体"/>
          <w:color w:val="auto"/>
          <w:highlight w:val="none"/>
        </w:rPr>
      </w:pPr>
    </w:p>
    <w:p w14:paraId="6C28BD39">
      <w:pPr>
        <w:pStyle w:val="10"/>
        <w:rPr>
          <w:rFonts w:hint="eastAsia" w:ascii="宋体" w:hAnsi="宋体" w:cs="宋体"/>
          <w:color w:val="auto"/>
          <w:highlight w:val="none"/>
        </w:rPr>
      </w:pPr>
    </w:p>
    <w:p w14:paraId="5E58B05B">
      <w:pPr>
        <w:pStyle w:val="10"/>
        <w:rPr>
          <w:rFonts w:hint="eastAsia" w:ascii="宋体" w:hAnsi="宋体" w:cs="宋体"/>
          <w:color w:val="auto"/>
          <w:highlight w:val="none"/>
        </w:rPr>
      </w:pPr>
    </w:p>
    <w:p w14:paraId="6442DCA8">
      <w:pPr>
        <w:pStyle w:val="10"/>
        <w:rPr>
          <w:rFonts w:hint="eastAsia" w:ascii="宋体" w:hAnsi="宋体" w:cs="宋体"/>
          <w:color w:val="auto"/>
          <w:highlight w:val="none"/>
        </w:rPr>
      </w:pPr>
    </w:p>
    <w:p w14:paraId="6DEC29A5">
      <w:pPr>
        <w:pStyle w:val="10"/>
        <w:rPr>
          <w:rFonts w:hint="eastAsia" w:ascii="宋体" w:hAnsi="宋体" w:cs="宋体"/>
          <w:color w:val="auto"/>
          <w:highlight w:val="none"/>
        </w:rPr>
      </w:pPr>
    </w:p>
    <w:p w14:paraId="4AEF2671">
      <w:pPr>
        <w:pStyle w:val="10"/>
        <w:rPr>
          <w:rFonts w:hint="eastAsia" w:ascii="宋体" w:hAnsi="宋体" w:cs="宋体"/>
          <w:color w:val="auto"/>
          <w:highlight w:val="none"/>
        </w:rPr>
      </w:pPr>
    </w:p>
    <w:p w14:paraId="6BCF4729">
      <w:pPr>
        <w:pStyle w:val="10"/>
        <w:rPr>
          <w:rFonts w:hint="eastAsia" w:ascii="宋体" w:hAnsi="宋体" w:cs="宋体"/>
          <w:color w:val="auto"/>
          <w:highlight w:val="none"/>
        </w:rPr>
      </w:pPr>
    </w:p>
    <w:p w14:paraId="6496CF09">
      <w:pPr>
        <w:pStyle w:val="2"/>
        <w:tabs>
          <w:tab w:val="left" w:pos="0"/>
        </w:tabs>
        <w:spacing w:before="0" w:after="0" w:line="240" w:lineRule="atLeast"/>
        <w:ind w:left="-15"/>
        <w:rPr>
          <w:rFonts w:hint="eastAsia" w:hAnsi="宋体" w:cs="宋体"/>
          <w:color w:val="auto"/>
          <w:highlight w:val="none"/>
        </w:rPr>
      </w:pPr>
      <w:bookmarkStart w:id="365" w:name="_Toc4337"/>
      <w:bookmarkStart w:id="366" w:name="_Toc6865"/>
      <w:bookmarkStart w:id="367" w:name="_Toc4796"/>
      <w:bookmarkStart w:id="368" w:name="_Toc515647833"/>
    </w:p>
    <w:p w14:paraId="788E092A">
      <w:pPr>
        <w:pStyle w:val="2"/>
        <w:tabs>
          <w:tab w:val="left" w:pos="0"/>
        </w:tabs>
        <w:spacing w:before="0" w:after="0" w:line="240" w:lineRule="atLeast"/>
        <w:ind w:left="-15"/>
        <w:rPr>
          <w:rFonts w:hint="eastAsia" w:hAnsi="宋体" w:cs="宋体"/>
          <w:color w:val="auto"/>
          <w:highlight w:val="none"/>
        </w:rPr>
      </w:pPr>
      <w:r>
        <w:rPr>
          <w:rFonts w:hint="eastAsia" w:hAnsi="宋体" w:cs="宋体"/>
          <w:color w:val="auto"/>
          <w:highlight w:val="none"/>
        </w:rPr>
        <w:t>第</w:t>
      </w:r>
      <w:r>
        <w:rPr>
          <w:rFonts w:hint="eastAsia" w:hAnsi="宋体" w:cs="宋体"/>
          <w:color w:val="auto"/>
          <w:highlight w:val="none"/>
          <w:lang w:val="en-US" w:eastAsia="zh-CN"/>
        </w:rPr>
        <w:t>7</w:t>
      </w:r>
      <w:r>
        <w:rPr>
          <w:rFonts w:hint="eastAsia" w:hAnsi="宋体" w:cs="宋体"/>
          <w:color w:val="auto"/>
          <w:highlight w:val="none"/>
        </w:rPr>
        <w:t>章 政府采购合同</w:t>
      </w:r>
      <w:bookmarkEnd w:id="364"/>
      <w:bookmarkEnd w:id="365"/>
      <w:bookmarkEnd w:id="366"/>
      <w:bookmarkEnd w:id="367"/>
      <w:bookmarkEnd w:id="368"/>
      <w:bookmarkStart w:id="369" w:name="_Hlt487972895"/>
      <w:bookmarkEnd w:id="369"/>
      <w:bookmarkStart w:id="370" w:name="_Toc216513788"/>
      <w:bookmarkStart w:id="371" w:name="_Toc487900382"/>
    </w:p>
    <w:bookmarkEnd w:id="370"/>
    <w:bookmarkEnd w:id="371"/>
    <w:p w14:paraId="54F27FA4">
      <w:pPr>
        <w:spacing w:line="240" w:lineRule="atLeast"/>
        <w:rPr>
          <w:rFonts w:hint="eastAsia" w:ascii="宋体" w:hAnsi="宋体" w:cs="宋体"/>
          <w:b/>
          <w:color w:val="auto"/>
          <w:kern w:val="44"/>
          <w:sz w:val="32"/>
          <w:szCs w:val="20"/>
          <w:highlight w:val="none"/>
        </w:rPr>
      </w:pPr>
    </w:p>
    <w:p w14:paraId="7B94BDFF">
      <w:pPr>
        <w:rPr>
          <w:rFonts w:hint="eastAsia"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72F5747E">
      <w:pPr>
        <w:spacing w:line="480" w:lineRule="auto"/>
        <w:jc w:val="center"/>
        <w:rPr>
          <w:rFonts w:hint="eastAsia" w:ascii="宋体" w:hAnsi="宋体" w:cs="宋体"/>
          <w:b/>
          <w:sz w:val="28"/>
          <w:szCs w:val="28"/>
        </w:rPr>
      </w:pPr>
    </w:p>
    <w:p w14:paraId="2CFE821C">
      <w:pPr>
        <w:spacing w:line="480" w:lineRule="auto"/>
        <w:jc w:val="center"/>
        <w:rPr>
          <w:rFonts w:hint="eastAsia" w:ascii="宋体" w:hAnsi="宋体" w:cs="宋体"/>
          <w:b/>
          <w:sz w:val="28"/>
          <w:szCs w:val="28"/>
        </w:rPr>
      </w:pPr>
    </w:p>
    <w:p w14:paraId="544A4B65">
      <w:pPr>
        <w:spacing w:line="480" w:lineRule="auto"/>
        <w:jc w:val="center"/>
        <w:rPr>
          <w:rFonts w:hint="eastAsia" w:ascii="宋体" w:hAnsi="宋体" w:cs="宋体"/>
          <w:b/>
          <w:sz w:val="28"/>
          <w:szCs w:val="28"/>
        </w:rPr>
      </w:pPr>
    </w:p>
    <w:p w14:paraId="159400A3">
      <w:pPr>
        <w:spacing w:line="480" w:lineRule="auto"/>
        <w:jc w:val="center"/>
        <w:rPr>
          <w:rFonts w:hint="eastAsia" w:ascii="宋体" w:hAnsi="宋体" w:cs="宋体"/>
          <w:b/>
          <w:sz w:val="44"/>
          <w:szCs w:val="44"/>
        </w:rPr>
      </w:pPr>
      <w:r>
        <w:rPr>
          <w:rFonts w:hint="eastAsia" w:ascii="宋体" w:hAnsi="宋体" w:cs="宋体"/>
          <w:b/>
          <w:sz w:val="44"/>
          <w:szCs w:val="44"/>
        </w:rPr>
        <w:t>政府采购合同参考范本</w:t>
      </w:r>
    </w:p>
    <w:p w14:paraId="28F4D468">
      <w:pPr>
        <w:spacing w:line="480" w:lineRule="auto"/>
        <w:jc w:val="center"/>
        <w:rPr>
          <w:rFonts w:hint="eastAsia" w:ascii="宋体" w:hAnsi="宋体" w:cs="宋体"/>
          <w:b/>
          <w:sz w:val="24"/>
        </w:rPr>
      </w:pPr>
      <w:r>
        <w:rPr>
          <w:rFonts w:hint="eastAsia" w:ascii="宋体" w:hAnsi="宋体" w:cs="宋体"/>
          <w:b/>
          <w:sz w:val="24"/>
        </w:rPr>
        <w:t>（服务类）</w:t>
      </w:r>
    </w:p>
    <w:p w14:paraId="3A0779A6">
      <w:pPr>
        <w:pStyle w:val="68"/>
        <w:ind w:firstLine="0"/>
        <w:rPr>
          <w:rFonts w:hint="eastAsia" w:hAnsi="宋体" w:cs="宋体"/>
          <w:szCs w:val="24"/>
        </w:rPr>
      </w:pPr>
    </w:p>
    <w:p w14:paraId="6EA5CD76">
      <w:pPr>
        <w:pStyle w:val="68"/>
        <w:ind w:firstLine="0"/>
        <w:rPr>
          <w:rFonts w:hint="eastAsia" w:hAnsi="宋体" w:cs="宋体"/>
          <w:szCs w:val="24"/>
        </w:rPr>
      </w:pPr>
    </w:p>
    <w:p w14:paraId="659F1AF1">
      <w:pPr>
        <w:pStyle w:val="68"/>
        <w:ind w:firstLine="0"/>
        <w:rPr>
          <w:rFonts w:hint="eastAsia" w:hAnsi="宋体" w:cs="宋体"/>
          <w:szCs w:val="24"/>
        </w:rPr>
      </w:pPr>
    </w:p>
    <w:p w14:paraId="3B6C9084">
      <w:pPr>
        <w:pStyle w:val="68"/>
        <w:ind w:firstLine="0"/>
        <w:jc w:val="center"/>
        <w:rPr>
          <w:rFonts w:hint="eastAsia" w:hAnsi="宋体" w:cs="宋体"/>
          <w:b/>
          <w:szCs w:val="24"/>
        </w:rPr>
      </w:pPr>
      <w:r>
        <w:rPr>
          <w:rFonts w:hint="eastAsia" w:hAnsi="宋体" w:cs="宋体"/>
          <w:b/>
          <w:szCs w:val="24"/>
        </w:rPr>
        <w:t>第一部分 合同书</w:t>
      </w:r>
    </w:p>
    <w:p w14:paraId="4953575E">
      <w:pPr>
        <w:pStyle w:val="68"/>
        <w:ind w:firstLine="0"/>
        <w:rPr>
          <w:rFonts w:hint="eastAsia" w:hAnsi="宋体" w:cs="宋体"/>
          <w:szCs w:val="24"/>
        </w:rPr>
      </w:pPr>
    </w:p>
    <w:p w14:paraId="60AB47E1">
      <w:pPr>
        <w:pStyle w:val="68"/>
        <w:ind w:firstLine="0"/>
        <w:rPr>
          <w:rFonts w:hint="eastAsia" w:hAnsi="宋体" w:cs="宋体"/>
          <w:szCs w:val="24"/>
        </w:rPr>
      </w:pPr>
    </w:p>
    <w:p w14:paraId="0DED2167">
      <w:pPr>
        <w:spacing w:before="120" w:line="22" w:lineRule="atLeast"/>
        <w:rPr>
          <w:rFonts w:hint="eastAsia" w:ascii="宋体" w:hAnsi="宋体" w:cs="宋体"/>
          <w:sz w:val="24"/>
        </w:rPr>
      </w:pPr>
    </w:p>
    <w:p w14:paraId="4E30CBF3">
      <w:pPr>
        <w:spacing w:before="120" w:line="22" w:lineRule="atLeast"/>
        <w:ind w:left="96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180BE351">
      <w:pPr>
        <w:pStyle w:val="85"/>
        <w:spacing w:before="120" w:line="22" w:lineRule="atLeast"/>
        <w:rPr>
          <w:rFonts w:hint="eastAsia" w:ascii="宋体" w:hAnsi="宋体" w:eastAsia="宋体" w:cs="宋体"/>
          <w:szCs w:val="24"/>
        </w:rPr>
      </w:pPr>
    </w:p>
    <w:p w14:paraId="524B4849">
      <w:pPr>
        <w:pStyle w:val="85"/>
        <w:spacing w:before="120" w:line="22" w:lineRule="atLeast"/>
        <w:rPr>
          <w:rFonts w:hint="eastAsia" w:ascii="宋体" w:hAnsi="宋体" w:eastAsia="宋体" w:cs="宋体"/>
          <w:szCs w:val="24"/>
        </w:rPr>
      </w:pPr>
    </w:p>
    <w:p w14:paraId="217CB00F">
      <w:pPr>
        <w:rPr>
          <w:rFonts w:hint="eastAsia" w:ascii="宋体" w:hAnsi="宋体" w:cs="宋体"/>
        </w:rPr>
      </w:pPr>
    </w:p>
    <w:p w14:paraId="230F836A">
      <w:pPr>
        <w:spacing w:before="120" w:line="22" w:lineRule="atLeast"/>
        <w:ind w:left="960"/>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19A59638">
      <w:pPr>
        <w:spacing w:before="120" w:line="22" w:lineRule="atLeast"/>
        <w:rPr>
          <w:rFonts w:hint="eastAsia" w:ascii="宋体" w:hAnsi="宋体" w:cs="宋体"/>
          <w:sz w:val="24"/>
        </w:rPr>
      </w:pPr>
    </w:p>
    <w:p w14:paraId="3F039BBB">
      <w:pPr>
        <w:spacing w:before="120" w:line="22" w:lineRule="atLeast"/>
        <w:ind w:left="960"/>
        <w:rPr>
          <w:rFonts w:hint="eastAsia"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026F84B6">
      <w:pPr>
        <w:spacing w:before="120" w:line="22" w:lineRule="atLeast"/>
        <w:rPr>
          <w:rFonts w:hint="eastAsia" w:ascii="宋体" w:hAnsi="宋体" w:cs="宋体"/>
          <w:sz w:val="24"/>
        </w:rPr>
      </w:pPr>
    </w:p>
    <w:p w14:paraId="1D36F613">
      <w:pPr>
        <w:spacing w:before="120" w:line="22" w:lineRule="atLeast"/>
        <w:ind w:firstLine="960" w:firstLineChars="400"/>
        <w:rPr>
          <w:rFonts w:hint="eastAsia"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18510D12">
      <w:pPr>
        <w:spacing w:before="120" w:line="22" w:lineRule="atLeast"/>
        <w:rPr>
          <w:rFonts w:hint="eastAsia" w:ascii="宋体" w:hAnsi="宋体" w:cs="宋体"/>
          <w:sz w:val="24"/>
        </w:rPr>
      </w:pPr>
    </w:p>
    <w:p w14:paraId="591C1A48">
      <w:pPr>
        <w:spacing w:before="120" w:line="22" w:lineRule="atLeast"/>
        <w:ind w:firstLine="960" w:firstLineChars="400"/>
        <w:rPr>
          <w:rFonts w:hint="eastAsia"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BAA334">
      <w:pPr>
        <w:autoSpaceDE w:val="0"/>
        <w:autoSpaceDN w:val="0"/>
        <w:adjustRightInd w:val="0"/>
        <w:spacing w:line="600" w:lineRule="exact"/>
        <w:ind w:firstLine="640"/>
        <w:jc w:val="center"/>
        <w:rPr>
          <w:rFonts w:hint="eastAsia" w:ascii="宋体" w:hAnsi="宋体" w:cs="宋体"/>
          <w:sz w:val="24"/>
        </w:rPr>
        <w:sectPr>
          <w:headerReference r:id="rId19" w:type="first"/>
          <w:footerReference r:id="rId22" w:type="first"/>
          <w:headerReference r:id="rId17" w:type="default"/>
          <w:footerReference r:id="rId20" w:type="default"/>
          <w:headerReference r:id="rId18" w:type="even"/>
          <w:footerReference r:id="rId21" w:type="even"/>
          <w:pgSz w:w="11907" w:h="16840"/>
          <w:pgMar w:top="1474" w:right="1814" w:bottom="1474" w:left="1814" w:header="851" w:footer="851" w:gutter="0"/>
          <w:cols w:space="720" w:num="1"/>
          <w:docGrid w:linePitch="462" w:charSpace="0"/>
        </w:sectPr>
      </w:pPr>
    </w:p>
    <w:p w14:paraId="666A9358">
      <w:pPr>
        <w:spacing w:line="560" w:lineRule="exact"/>
        <w:ind w:firstLine="480" w:firstLineChars="200"/>
        <w:rPr>
          <w:rFonts w:hint="eastAsia"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（采购人名称）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（同前页项目名称）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（中标供应商名称） </w:t>
      </w:r>
      <w:r>
        <w:rPr>
          <w:rFonts w:hint="eastAsia" w:ascii="宋体" w:hAnsi="宋体" w:cs="宋体"/>
          <w:sz w:val="24"/>
        </w:rPr>
        <w:t>为该项目中标供应商。现于中标通知书发出之日起三十日内，按照采购文件确定的事项签订本合同。</w:t>
      </w:r>
    </w:p>
    <w:p w14:paraId="63F964D2">
      <w:pPr>
        <w:spacing w:line="560" w:lineRule="exact"/>
        <w:ind w:firstLine="480" w:firstLineChars="200"/>
        <w:rPr>
          <w:rFonts w:hint="eastAsia" w:ascii="宋体" w:hAnsi="宋体" w:cs="宋体"/>
          <w:sz w:val="24"/>
        </w:rPr>
      </w:pPr>
      <w:r>
        <w:rPr>
          <w:rFonts w:hint="eastAsia" w:ascii="宋体" w:hAnsi="宋体" w:cs="宋体"/>
          <w:sz w:val="24"/>
          <w:lang w:val="zh-CN"/>
        </w:rPr>
        <w:t>根据</w:t>
      </w:r>
      <w:r>
        <w:rPr>
          <w:rFonts w:hint="eastAsia" w:ascii="宋体" w:hAnsi="宋体" w:cs="宋体"/>
          <w:sz w:val="24"/>
          <w:lang w:val="zh-CN" w:eastAsia="zh-CN"/>
        </w:rPr>
        <w:t>《民法典》</w:t>
      </w:r>
      <w:r>
        <w:rPr>
          <w:rFonts w:hint="eastAsia" w:ascii="宋体" w:hAnsi="宋体" w:cs="宋体"/>
          <w:sz w:val="24"/>
          <w:lang w:val="zh-CN"/>
        </w:rPr>
        <w:t>、《中华人民共和国政府采购法》等相关法律法规之规定，按照平等、自愿、公平和诚实信用的原则，经</w:t>
      </w:r>
      <w:r>
        <w:rPr>
          <w:rFonts w:hint="eastAsia" w:ascii="宋体" w:hAnsi="宋体" w:cs="宋体"/>
          <w:sz w:val="24"/>
          <w:u w:val="single"/>
        </w:rPr>
        <w:t xml:space="preserve">   （采购人名称）   </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7439A9C7">
      <w:pPr>
        <w:spacing w:line="560" w:lineRule="exact"/>
        <w:ind w:firstLine="482" w:firstLineChars="200"/>
        <w:outlineLvl w:val="0"/>
        <w:rPr>
          <w:rFonts w:hint="eastAsia" w:ascii="宋体" w:hAnsi="宋体" w:cs="宋体"/>
          <w:sz w:val="24"/>
        </w:rPr>
      </w:pPr>
      <w:bookmarkStart w:id="372" w:name="_Toc20421"/>
      <w:bookmarkStart w:id="373" w:name="_Toc19273"/>
      <w:bookmarkStart w:id="374" w:name="_Toc22967"/>
      <w:bookmarkStart w:id="375" w:name="_Toc28855"/>
      <w:bookmarkStart w:id="376" w:name="_Toc15367"/>
      <w:r>
        <w:rPr>
          <w:rFonts w:hint="eastAsia" w:ascii="宋体" w:hAnsi="宋体" w:cs="宋体"/>
          <w:b/>
          <w:sz w:val="24"/>
        </w:rPr>
        <w:t>1.1 合同组成部分</w:t>
      </w:r>
      <w:bookmarkEnd w:id="372"/>
      <w:bookmarkEnd w:id="373"/>
      <w:bookmarkEnd w:id="374"/>
      <w:bookmarkEnd w:id="375"/>
      <w:bookmarkEnd w:id="376"/>
    </w:p>
    <w:p w14:paraId="7D645B9E">
      <w:pPr>
        <w:spacing w:line="560" w:lineRule="exact"/>
        <w:ind w:firstLine="480" w:firstLineChars="200"/>
        <w:rPr>
          <w:rFonts w:hint="eastAsia"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3241CDB">
      <w:pPr>
        <w:spacing w:line="560" w:lineRule="exact"/>
        <w:ind w:firstLine="480" w:firstLineChars="200"/>
        <w:rPr>
          <w:rFonts w:hint="eastAsia" w:ascii="宋体" w:hAnsi="宋体" w:cs="宋体"/>
          <w:sz w:val="24"/>
        </w:rPr>
      </w:pPr>
      <w:r>
        <w:rPr>
          <w:rFonts w:hint="eastAsia" w:ascii="宋体" w:hAnsi="宋体" w:cs="宋体"/>
          <w:sz w:val="24"/>
        </w:rPr>
        <w:t>1.1.1 本合同及其补充合同、变更协议；</w:t>
      </w:r>
    </w:p>
    <w:p w14:paraId="207B70CA">
      <w:pPr>
        <w:spacing w:line="560" w:lineRule="exact"/>
        <w:ind w:firstLine="480" w:firstLineChars="200"/>
        <w:rPr>
          <w:rFonts w:hint="eastAsia" w:ascii="宋体" w:hAnsi="宋体" w:cs="宋体"/>
          <w:sz w:val="24"/>
        </w:rPr>
      </w:pPr>
      <w:r>
        <w:rPr>
          <w:rFonts w:hint="eastAsia" w:ascii="宋体" w:hAnsi="宋体" w:cs="宋体"/>
          <w:sz w:val="24"/>
        </w:rPr>
        <w:t>1.1.2 中标通知书；</w:t>
      </w:r>
    </w:p>
    <w:p w14:paraId="66D04F1C">
      <w:pPr>
        <w:spacing w:line="560" w:lineRule="exact"/>
        <w:ind w:firstLine="480" w:firstLineChars="200"/>
        <w:rPr>
          <w:rFonts w:hint="eastAsia" w:ascii="宋体" w:hAnsi="宋体" w:cs="宋体"/>
          <w:sz w:val="24"/>
        </w:rPr>
      </w:pPr>
      <w:r>
        <w:rPr>
          <w:rFonts w:hint="eastAsia" w:ascii="宋体" w:hAnsi="宋体" w:cs="宋体"/>
          <w:sz w:val="24"/>
        </w:rPr>
        <w:t>1.1.3 投标文件（含澄清或者说明文件）；</w:t>
      </w:r>
    </w:p>
    <w:p w14:paraId="745B818B">
      <w:pPr>
        <w:spacing w:line="560" w:lineRule="exact"/>
        <w:ind w:firstLine="480" w:firstLineChars="200"/>
        <w:rPr>
          <w:rFonts w:hint="eastAsia" w:ascii="宋体" w:hAnsi="宋体" w:cs="宋体"/>
          <w:sz w:val="24"/>
        </w:rPr>
      </w:pPr>
      <w:r>
        <w:rPr>
          <w:rFonts w:hint="eastAsia" w:ascii="宋体" w:hAnsi="宋体" w:cs="宋体"/>
          <w:sz w:val="24"/>
        </w:rPr>
        <w:t>1.1.4 招标文件（含澄清或者修改文件）；</w:t>
      </w:r>
    </w:p>
    <w:p w14:paraId="391929E1">
      <w:pPr>
        <w:spacing w:line="560" w:lineRule="exact"/>
        <w:ind w:firstLine="480" w:firstLineChars="200"/>
        <w:rPr>
          <w:rFonts w:hint="eastAsia" w:ascii="宋体" w:hAnsi="宋体" w:cs="宋体"/>
          <w:sz w:val="24"/>
        </w:rPr>
      </w:pPr>
      <w:r>
        <w:rPr>
          <w:rFonts w:hint="eastAsia" w:ascii="宋体" w:hAnsi="宋体" w:cs="宋体"/>
          <w:sz w:val="24"/>
        </w:rPr>
        <w:t>1.1.5 其他相关采购文件。</w:t>
      </w:r>
    </w:p>
    <w:p w14:paraId="5D8A7C42">
      <w:pPr>
        <w:spacing w:line="560" w:lineRule="exact"/>
        <w:ind w:firstLine="482" w:firstLineChars="200"/>
        <w:outlineLvl w:val="0"/>
        <w:rPr>
          <w:rFonts w:hint="eastAsia" w:ascii="宋体" w:hAnsi="宋体" w:cs="宋体"/>
          <w:b/>
          <w:sz w:val="24"/>
        </w:rPr>
      </w:pPr>
      <w:bookmarkStart w:id="377" w:name="_Toc18585"/>
      <w:bookmarkStart w:id="378" w:name="_Toc2918"/>
      <w:bookmarkStart w:id="379" w:name="_Toc6773"/>
      <w:bookmarkStart w:id="380" w:name="_Toc6311"/>
      <w:bookmarkStart w:id="381" w:name="_Toc22185"/>
      <w:r>
        <w:rPr>
          <w:rFonts w:hint="eastAsia" w:ascii="宋体" w:hAnsi="宋体" w:cs="宋体"/>
          <w:b/>
          <w:sz w:val="24"/>
        </w:rPr>
        <w:t>1.2 标的</w:t>
      </w:r>
      <w:bookmarkEnd w:id="377"/>
      <w:bookmarkEnd w:id="378"/>
      <w:bookmarkEnd w:id="379"/>
      <w:bookmarkEnd w:id="380"/>
      <w:bookmarkEnd w:id="381"/>
    </w:p>
    <w:p w14:paraId="1AB909D6">
      <w:pPr>
        <w:spacing w:line="560" w:lineRule="exact"/>
        <w:ind w:firstLine="480" w:firstLineChars="200"/>
        <w:rPr>
          <w:rFonts w:hint="eastAsia" w:ascii="宋体" w:hAnsi="宋体" w:cs="宋体"/>
          <w:sz w:val="24"/>
          <w:u w:val="single"/>
        </w:rPr>
      </w:pPr>
      <w:r>
        <w:rPr>
          <w:rFonts w:hint="eastAsia" w:ascii="宋体" w:hAnsi="宋体" w:cs="宋体"/>
          <w:sz w:val="24"/>
        </w:rPr>
        <w:t>1.2.1 标的名称：</w:t>
      </w:r>
      <w:r>
        <w:rPr>
          <w:rFonts w:hint="eastAsia" w:ascii="宋体" w:hAnsi="宋体" w:cs="宋体"/>
          <w:sz w:val="24"/>
          <w:u w:val="single"/>
        </w:rPr>
        <w:t xml:space="preserve">                                                </w:t>
      </w:r>
      <w:r>
        <w:rPr>
          <w:rFonts w:hint="eastAsia" w:ascii="宋体" w:hAnsi="宋体" w:cs="宋体"/>
          <w:sz w:val="24"/>
        </w:rPr>
        <w:t>；</w:t>
      </w:r>
    </w:p>
    <w:p w14:paraId="29B3E577">
      <w:pPr>
        <w:spacing w:line="560" w:lineRule="exact"/>
        <w:ind w:firstLine="480" w:firstLineChars="200"/>
        <w:rPr>
          <w:rFonts w:hint="eastAsia" w:ascii="宋体" w:hAnsi="宋体" w:cs="宋体"/>
          <w:sz w:val="24"/>
          <w:u w:val="single"/>
        </w:rPr>
      </w:pPr>
      <w:r>
        <w:rPr>
          <w:rFonts w:hint="eastAsia" w:ascii="宋体" w:hAnsi="宋体" w:cs="宋体"/>
          <w:sz w:val="24"/>
        </w:rPr>
        <w:t>1.2.2 标的数量：</w:t>
      </w:r>
      <w:r>
        <w:rPr>
          <w:rFonts w:hint="eastAsia" w:ascii="宋体" w:hAnsi="宋体" w:cs="宋体"/>
          <w:sz w:val="24"/>
          <w:u w:val="single"/>
        </w:rPr>
        <w:t xml:space="preserve">                                                </w:t>
      </w:r>
      <w:r>
        <w:rPr>
          <w:rFonts w:hint="eastAsia" w:ascii="宋体" w:hAnsi="宋体" w:cs="宋体"/>
          <w:sz w:val="24"/>
        </w:rPr>
        <w:t>；</w:t>
      </w:r>
    </w:p>
    <w:p w14:paraId="25911F89">
      <w:pPr>
        <w:spacing w:line="560" w:lineRule="exact"/>
        <w:ind w:firstLine="480" w:firstLineChars="200"/>
        <w:rPr>
          <w:rFonts w:hint="eastAsia" w:ascii="宋体" w:hAnsi="宋体" w:cs="宋体"/>
          <w:sz w:val="24"/>
        </w:rPr>
      </w:pPr>
      <w:r>
        <w:rPr>
          <w:rFonts w:hint="eastAsia" w:ascii="宋体" w:hAnsi="宋体" w:cs="宋体"/>
          <w:sz w:val="24"/>
        </w:rPr>
        <w:t>1.2.3 标的质量：</w:t>
      </w:r>
      <w:r>
        <w:rPr>
          <w:rFonts w:hint="eastAsia" w:ascii="宋体" w:hAnsi="宋体" w:cs="宋体"/>
          <w:sz w:val="24"/>
          <w:u w:val="single"/>
        </w:rPr>
        <w:t xml:space="preserve">　　　　　　　　　                      　      </w:t>
      </w:r>
      <w:r>
        <w:rPr>
          <w:rFonts w:hint="eastAsia" w:ascii="宋体" w:hAnsi="宋体" w:cs="宋体"/>
          <w:sz w:val="24"/>
        </w:rPr>
        <w:t>。</w:t>
      </w:r>
    </w:p>
    <w:p w14:paraId="29BCDDD3">
      <w:pPr>
        <w:spacing w:line="560" w:lineRule="exact"/>
        <w:ind w:firstLine="482" w:firstLineChars="200"/>
        <w:outlineLvl w:val="0"/>
        <w:rPr>
          <w:rFonts w:hint="eastAsia" w:ascii="宋体" w:hAnsi="宋体" w:cs="宋体"/>
          <w:b/>
          <w:sz w:val="24"/>
        </w:rPr>
      </w:pPr>
      <w:bookmarkStart w:id="382" w:name="_Toc21124"/>
      <w:bookmarkStart w:id="383" w:name="_Toc1386"/>
      <w:bookmarkStart w:id="384" w:name="_Toc13918"/>
      <w:bookmarkStart w:id="385" w:name="_Toc5635"/>
      <w:bookmarkStart w:id="386" w:name="_Toc4929"/>
      <w:r>
        <w:rPr>
          <w:rFonts w:hint="eastAsia" w:ascii="宋体" w:hAnsi="宋体" w:cs="宋体"/>
          <w:b/>
          <w:sz w:val="24"/>
        </w:rPr>
        <w:t>1.3 价款</w:t>
      </w:r>
      <w:bookmarkEnd w:id="382"/>
      <w:bookmarkEnd w:id="383"/>
      <w:bookmarkEnd w:id="384"/>
      <w:bookmarkEnd w:id="385"/>
      <w:bookmarkEnd w:id="386"/>
    </w:p>
    <w:p w14:paraId="2CDE98FA">
      <w:pPr>
        <w:spacing w:line="560" w:lineRule="exact"/>
        <w:ind w:firstLine="480" w:firstLineChars="200"/>
        <w:rPr>
          <w:rFonts w:hint="eastAsia"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14:paraId="72035209">
      <w:pPr>
        <w:spacing w:line="560" w:lineRule="exact"/>
        <w:ind w:firstLine="480" w:firstLineChars="200"/>
        <w:rPr>
          <w:rFonts w:hint="eastAsia" w:ascii="宋体" w:hAnsi="宋体" w:cs="宋体"/>
          <w:sz w:val="24"/>
          <w:u w:val="single"/>
        </w:rPr>
      </w:pPr>
      <w:r>
        <w:rPr>
          <w:rFonts w:hint="eastAsia" w:ascii="宋体" w:hAnsi="宋体" w:cs="宋体"/>
          <w:sz w:val="24"/>
        </w:rPr>
        <w:t>分项价格：</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F27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24B2159">
            <w:pPr>
              <w:pStyle w:val="75"/>
              <w:spacing w:line="560" w:lineRule="exact"/>
              <w:jc w:val="center"/>
              <w:rPr>
                <w:rFonts w:hint="eastAsia" w:hAnsi="宋体" w:cs="宋体"/>
                <w:color w:val="000000"/>
                <w:kern w:val="2"/>
                <w:sz w:val="24"/>
                <w:szCs w:val="24"/>
              </w:rPr>
            </w:pPr>
            <w:r>
              <w:rPr>
                <w:rFonts w:hint="eastAsia" w:hAnsi="宋体" w:cs="宋体"/>
                <w:color w:val="000000"/>
                <w:kern w:val="2"/>
                <w:sz w:val="24"/>
                <w:szCs w:val="24"/>
              </w:rPr>
              <w:t>序号</w:t>
            </w:r>
          </w:p>
        </w:tc>
        <w:tc>
          <w:tcPr>
            <w:tcW w:w="3402" w:type="dxa"/>
            <w:noWrap w:val="0"/>
            <w:vAlign w:val="center"/>
          </w:tcPr>
          <w:p w14:paraId="10119A8A">
            <w:pPr>
              <w:pStyle w:val="75"/>
              <w:spacing w:line="560" w:lineRule="exact"/>
              <w:ind w:firstLine="200"/>
              <w:jc w:val="center"/>
              <w:rPr>
                <w:rFonts w:hint="eastAsia" w:hAnsi="宋体" w:cs="宋体"/>
                <w:color w:val="000000"/>
                <w:kern w:val="2"/>
                <w:sz w:val="24"/>
                <w:szCs w:val="24"/>
              </w:rPr>
            </w:pPr>
            <w:r>
              <w:rPr>
                <w:rFonts w:hint="eastAsia" w:hAnsi="宋体" w:cs="宋体"/>
                <w:color w:val="000000"/>
                <w:kern w:val="2"/>
                <w:sz w:val="24"/>
                <w:szCs w:val="24"/>
              </w:rPr>
              <w:t>分项名称</w:t>
            </w:r>
          </w:p>
        </w:tc>
        <w:tc>
          <w:tcPr>
            <w:tcW w:w="2552" w:type="dxa"/>
            <w:noWrap w:val="0"/>
            <w:vAlign w:val="center"/>
          </w:tcPr>
          <w:p w14:paraId="352B4502">
            <w:pPr>
              <w:pStyle w:val="75"/>
              <w:spacing w:line="560" w:lineRule="exact"/>
              <w:jc w:val="center"/>
              <w:rPr>
                <w:rFonts w:hint="eastAsia" w:hAnsi="宋体" w:cs="宋体"/>
                <w:color w:val="000000"/>
                <w:kern w:val="2"/>
                <w:sz w:val="24"/>
                <w:szCs w:val="24"/>
              </w:rPr>
            </w:pPr>
            <w:r>
              <w:rPr>
                <w:rFonts w:hint="eastAsia" w:hAnsi="宋体" w:cs="宋体"/>
                <w:color w:val="000000"/>
                <w:kern w:val="2"/>
                <w:sz w:val="24"/>
                <w:szCs w:val="24"/>
              </w:rPr>
              <w:t>分项价格</w:t>
            </w:r>
          </w:p>
        </w:tc>
      </w:tr>
      <w:tr w14:paraId="77C9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C595D40">
            <w:pPr>
              <w:pStyle w:val="75"/>
              <w:spacing w:line="560" w:lineRule="exact"/>
              <w:ind w:firstLine="200"/>
              <w:jc w:val="center"/>
              <w:rPr>
                <w:rFonts w:hint="eastAsia" w:hAnsi="宋体" w:cs="宋体"/>
                <w:color w:val="000000"/>
                <w:kern w:val="2"/>
                <w:sz w:val="24"/>
                <w:szCs w:val="24"/>
              </w:rPr>
            </w:pPr>
          </w:p>
        </w:tc>
        <w:tc>
          <w:tcPr>
            <w:tcW w:w="3402" w:type="dxa"/>
            <w:noWrap w:val="0"/>
            <w:vAlign w:val="center"/>
          </w:tcPr>
          <w:p w14:paraId="095DE471">
            <w:pPr>
              <w:pStyle w:val="75"/>
              <w:spacing w:line="560" w:lineRule="exact"/>
              <w:ind w:firstLine="200"/>
              <w:jc w:val="center"/>
              <w:rPr>
                <w:rFonts w:hint="eastAsia" w:hAnsi="宋体" w:cs="宋体"/>
                <w:color w:val="000000"/>
                <w:kern w:val="2"/>
                <w:sz w:val="24"/>
                <w:szCs w:val="24"/>
              </w:rPr>
            </w:pPr>
          </w:p>
        </w:tc>
        <w:tc>
          <w:tcPr>
            <w:tcW w:w="2552" w:type="dxa"/>
            <w:noWrap w:val="0"/>
            <w:vAlign w:val="center"/>
          </w:tcPr>
          <w:p w14:paraId="062D477F">
            <w:pPr>
              <w:pStyle w:val="75"/>
              <w:spacing w:line="560" w:lineRule="exact"/>
              <w:ind w:firstLine="200"/>
              <w:jc w:val="center"/>
              <w:rPr>
                <w:rFonts w:hint="eastAsia" w:hAnsi="宋体" w:cs="宋体"/>
                <w:color w:val="000000"/>
                <w:kern w:val="2"/>
                <w:sz w:val="24"/>
                <w:szCs w:val="24"/>
              </w:rPr>
            </w:pPr>
          </w:p>
        </w:tc>
      </w:tr>
      <w:tr w14:paraId="3BCD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5178A7E">
            <w:pPr>
              <w:pStyle w:val="75"/>
              <w:spacing w:line="560" w:lineRule="exact"/>
              <w:ind w:firstLine="200"/>
              <w:jc w:val="center"/>
              <w:rPr>
                <w:rFonts w:hint="eastAsia" w:hAnsi="宋体" w:cs="宋体"/>
                <w:color w:val="000000"/>
                <w:kern w:val="2"/>
                <w:sz w:val="24"/>
                <w:szCs w:val="24"/>
              </w:rPr>
            </w:pPr>
          </w:p>
        </w:tc>
        <w:tc>
          <w:tcPr>
            <w:tcW w:w="3402" w:type="dxa"/>
            <w:noWrap w:val="0"/>
            <w:vAlign w:val="center"/>
          </w:tcPr>
          <w:p w14:paraId="3916657B">
            <w:pPr>
              <w:pStyle w:val="75"/>
              <w:spacing w:line="560" w:lineRule="exact"/>
              <w:ind w:firstLine="200"/>
              <w:jc w:val="center"/>
              <w:rPr>
                <w:rFonts w:hint="eastAsia" w:hAnsi="宋体" w:cs="宋体"/>
                <w:color w:val="000000"/>
                <w:kern w:val="2"/>
                <w:sz w:val="24"/>
                <w:szCs w:val="24"/>
              </w:rPr>
            </w:pPr>
          </w:p>
        </w:tc>
        <w:tc>
          <w:tcPr>
            <w:tcW w:w="2552" w:type="dxa"/>
            <w:noWrap w:val="0"/>
            <w:vAlign w:val="center"/>
          </w:tcPr>
          <w:p w14:paraId="5F648E97">
            <w:pPr>
              <w:pStyle w:val="75"/>
              <w:spacing w:line="560" w:lineRule="exact"/>
              <w:ind w:firstLine="200"/>
              <w:jc w:val="center"/>
              <w:rPr>
                <w:rFonts w:hint="eastAsia" w:hAnsi="宋体" w:cs="宋体"/>
                <w:color w:val="000000"/>
                <w:kern w:val="2"/>
                <w:sz w:val="24"/>
                <w:szCs w:val="24"/>
              </w:rPr>
            </w:pPr>
          </w:p>
        </w:tc>
      </w:tr>
      <w:tr w14:paraId="6975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AC979BC">
            <w:pPr>
              <w:pStyle w:val="75"/>
              <w:spacing w:line="560" w:lineRule="exact"/>
              <w:ind w:firstLine="200"/>
              <w:jc w:val="center"/>
              <w:rPr>
                <w:rFonts w:hint="eastAsia" w:hAnsi="宋体" w:cs="宋体"/>
                <w:color w:val="000000"/>
                <w:kern w:val="2"/>
                <w:sz w:val="24"/>
                <w:szCs w:val="24"/>
              </w:rPr>
            </w:pPr>
          </w:p>
        </w:tc>
        <w:tc>
          <w:tcPr>
            <w:tcW w:w="3402" w:type="dxa"/>
            <w:noWrap w:val="0"/>
            <w:vAlign w:val="center"/>
          </w:tcPr>
          <w:p w14:paraId="30BCF996">
            <w:pPr>
              <w:pStyle w:val="75"/>
              <w:spacing w:line="560" w:lineRule="exact"/>
              <w:ind w:firstLine="200"/>
              <w:jc w:val="center"/>
              <w:rPr>
                <w:rFonts w:hint="eastAsia" w:hAnsi="宋体" w:cs="宋体"/>
                <w:color w:val="000000"/>
                <w:kern w:val="2"/>
                <w:sz w:val="24"/>
                <w:szCs w:val="24"/>
              </w:rPr>
            </w:pPr>
          </w:p>
        </w:tc>
        <w:tc>
          <w:tcPr>
            <w:tcW w:w="2552" w:type="dxa"/>
            <w:noWrap w:val="0"/>
            <w:vAlign w:val="center"/>
          </w:tcPr>
          <w:p w14:paraId="5C36534F">
            <w:pPr>
              <w:pStyle w:val="75"/>
              <w:spacing w:line="560" w:lineRule="exact"/>
              <w:ind w:firstLine="200"/>
              <w:jc w:val="center"/>
              <w:rPr>
                <w:rFonts w:hint="eastAsia" w:hAnsi="宋体" w:cs="宋体"/>
                <w:color w:val="000000"/>
                <w:kern w:val="2"/>
                <w:sz w:val="24"/>
                <w:szCs w:val="24"/>
              </w:rPr>
            </w:pPr>
          </w:p>
        </w:tc>
      </w:tr>
      <w:tr w14:paraId="130E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3B8332A">
            <w:pPr>
              <w:pStyle w:val="75"/>
              <w:spacing w:line="560" w:lineRule="exact"/>
              <w:ind w:firstLine="200"/>
              <w:jc w:val="center"/>
              <w:rPr>
                <w:rFonts w:hint="eastAsia" w:hAnsi="宋体" w:cs="宋体"/>
                <w:color w:val="000000"/>
                <w:kern w:val="2"/>
                <w:sz w:val="24"/>
                <w:szCs w:val="24"/>
              </w:rPr>
            </w:pPr>
          </w:p>
        </w:tc>
        <w:tc>
          <w:tcPr>
            <w:tcW w:w="3402" w:type="dxa"/>
            <w:noWrap w:val="0"/>
            <w:vAlign w:val="center"/>
          </w:tcPr>
          <w:p w14:paraId="421C481F">
            <w:pPr>
              <w:pStyle w:val="75"/>
              <w:spacing w:line="560" w:lineRule="exact"/>
              <w:ind w:firstLine="200"/>
              <w:jc w:val="center"/>
              <w:rPr>
                <w:rFonts w:hint="eastAsia" w:hAnsi="宋体" w:cs="宋体"/>
                <w:color w:val="000000"/>
                <w:kern w:val="2"/>
                <w:sz w:val="24"/>
                <w:szCs w:val="24"/>
              </w:rPr>
            </w:pPr>
          </w:p>
        </w:tc>
        <w:tc>
          <w:tcPr>
            <w:tcW w:w="2552" w:type="dxa"/>
            <w:noWrap w:val="0"/>
            <w:vAlign w:val="center"/>
          </w:tcPr>
          <w:p w14:paraId="008F12B9">
            <w:pPr>
              <w:pStyle w:val="75"/>
              <w:spacing w:line="560" w:lineRule="exact"/>
              <w:ind w:firstLine="200"/>
              <w:jc w:val="center"/>
              <w:rPr>
                <w:rFonts w:hint="eastAsia" w:hAnsi="宋体" w:cs="宋体"/>
                <w:color w:val="000000"/>
                <w:kern w:val="2"/>
                <w:sz w:val="24"/>
                <w:szCs w:val="24"/>
              </w:rPr>
            </w:pPr>
          </w:p>
        </w:tc>
      </w:tr>
      <w:tr w14:paraId="7BDE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7CC25DB">
            <w:pPr>
              <w:pStyle w:val="75"/>
              <w:spacing w:line="560" w:lineRule="exact"/>
              <w:ind w:firstLine="200"/>
              <w:jc w:val="center"/>
              <w:rPr>
                <w:rFonts w:hint="eastAsia" w:hAnsi="宋体" w:cs="宋体"/>
                <w:color w:val="000000"/>
                <w:kern w:val="2"/>
                <w:sz w:val="24"/>
                <w:szCs w:val="24"/>
              </w:rPr>
            </w:pPr>
            <w:r>
              <w:rPr>
                <w:rFonts w:hint="eastAsia" w:hAnsi="宋体" w:cs="宋体"/>
                <w:color w:val="000000"/>
                <w:kern w:val="2"/>
                <w:sz w:val="24"/>
                <w:szCs w:val="24"/>
              </w:rPr>
              <w:t>总价</w:t>
            </w:r>
          </w:p>
        </w:tc>
        <w:tc>
          <w:tcPr>
            <w:tcW w:w="2552" w:type="dxa"/>
            <w:noWrap w:val="0"/>
            <w:vAlign w:val="center"/>
          </w:tcPr>
          <w:p w14:paraId="794EF9F1">
            <w:pPr>
              <w:pStyle w:val="75"/>
              <w:spacing w:line="560" w:lineRule="exact"/>
              <w:ind w:firstLine="200"/>
              <w:jc w:val="center"/>
              <w:rPr>
                <w:rFonts w:hint="eastAsia" w:hAnsi="宋体" w:cs="宋体"/>
                <w:color w:val="000000"/>
                <w:kern w:val="2"/>
                <w:sz w:val="24"/>
                <w:szCs w:val="24"/>
              </w:rPr>
            </w:pPr>
          </w:p>
        </w:tc>
      </w:tr>
    </w:tbl>
    <w:p w14:paraId="08822097">
      <w:pPr>
        <w:spacing w:line="560" w:lineRule="exact"/>
        <w:ind w:firstLine="482" w:firstLineChars="200"/>
        <w:outlineLvl w:val="0"/>
        <w:rPr>
          <w:rFonts w:hint="eastAsia" w:ascii="宋体" w:hAnsi="宋体" w:cs="宋体"/>
          <w:b/>
          <w:sz w:val="24"/>
        </w:rPr>
      </w:pPr>
      <w:bookmarkStart w:id="387" w:name="_Toc30158"/>
      <w:bookmarkStart w:id="388" w:name="_Toc30506"/>
      <w:bookmarkStart w:id="389" w:name="_Toc14993"/>
      <w:bookmarkStart w:id="390" w:name="_Toc3654"/>
      <w:bookmarkStart w:id="391" w:name="_Toc26916"/>
      <w:r>
        <w:rPr>
          <w:rFonts w:hint="eastAsia" w:ascii="宋体" w:hAnsi="宋体" w:cs="宋体"/>
          <w:b/>
          <w:sz w:val="24"/>
        </w:rPr>
        <w:t>1.4 付款方式和发票开具方式</w:t>
      </w:r>
      <w:bookmarkEnd w:id="387"/>
      <w:bookmarkEnd w:id="388"/>
      <w:bookmarkEnd w:id="389"/>
      <w:bookmarkEnd w:id="390"/>
      <w:bookmarkEnd w:id="391"/>
    </w:p>
    <w:p w14:paraId="03CE4FA7">
      <w:pPr>
        <w:spacing w:line="560" w:lineRule="exact"/>
        <w:ind w:firstLine="480" w:firstLineChars="200"/>
        <w:rPr>
          <w:rFonts w:hint="eastAsia" w:ascii="宋体" w:hAnsi="宋体" w:cs="宋体"/>
          <w:sz w:val="24"/>
        </w:rPr>
      </w:pPr>
      <w:r>
        <w:rPr>
          <w:rFonts w:hint="eastAsia" w:ascii="宋体" w:hAnsi="宋体" w:cs="宋体"/>
          <w:sz w:val="24"/>
        </w:rPr>
        <w:t>1.4.1付款方式：</w:t>
      </w:r>
      <w:r>
        <w:rPr>
          <w:rFonts w:hint="eastAsia" w:ascii="宋体" w:hAnsi="宋体" w:cs="宋体"/>
          <w:sz w:val="24"/>
          <w:u w:val="single"/>
        </w:rPr>
        <w:t xml:space="preserve">                                                </w:t>
      </w:r>
      <w:r>
        <w:rPr>
          <w:rFonts w:hint="eastAsia" w:ascii="宋体" w:hAnsi="宋体" w:cs="宋体"/>
          <w:sz w:val="24"/>
        </w:rPr>
        <w:t>；</w:t>
      </w:r>
    </w:p>
    <w:p w14:paraId="2D361370">
      <w:pPr>
        <w:spacing w:line="560" w:lineRule="exact"/>
        <w:ind w:firstLine="480" w:firstLineChars="200"/>
        <w:rPr>
          <w:rFonts w:hint="eastAsia"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                                            </w:t>
      </w:r>
      <w:r>
        <w:rPr>
          <w:rFonts w:hint="eastAsia" w:ascii="宋体" w:hAnsi="宋体" w:cs="宋体"/>
          <w:sz w:val="24"/>
        </w:rPr>
        <w:t>。</w:t>
      </w:r>
    </w:p>
    <w:p w14:paraId="085133AB">
      <w:pPr>
        <w:spacing w:line="560" w:lineRule="exact"/>
        <w:ind w:firstLine="482" w:firstLineChars="200"/>
        <w:outlineLvl w:val="0"/>
        <w:rPr>
          <w:rFonts w:hint="eastAsia" w:ascii="宋体" w:hAnsi="宋体" w:cs="宋体"/>
          <w:b/>
          <w:sz w:val="24"/>
        </w:rPr>
      </w:pPr>
      <w:bookmarkStart w:id="392" w:name="_Toc11108"/>
      <w:bookmarkStart w:id="393" w:name="_Toc8772"/>
      <w:bookmarkStart w:id="394" w:name="_Toc31421"/>
      <w:bookmarkStart w:id="395" w:name="_Toc3625"/>
      <w:bookmarkStart w:id="396" w:name="_Toc4760"/>
      <w:r>
        <w:rPr>
          <w:rFonts w:hint="eastAsia" w:ascii="宋体" w:hAnsi="宋体" w:cs="宋体"/>
          <w:b/>
          <w:sz w:val="24"/>
        </w:rPr>
        <w:t>1.5 履行期限、地点和方式</w:t>
      </w:r>
      <w:bookmarkEnd w:id="392"/>
      <w:bookmarkEnd w:id="393"/>
      <w:bookmarkEnd w:id="394"/>
      <w:bookmarkEnd w:id="395"/>
      <w:bookmarkEnd w:id="396"/>
    </w:p>
    <w:p w14:paraId="51F5B724">
      <w:pPr>
        <w:spacing w:line="560" w:lineRule="exact"/>
        <w:ind w:firstLine="480" w:firstLineChars="200"/>
        <w:rPr>
          <w:rFonts w:hint="eastAsia" w:ascii="宋体" w:hAnsi="宋体" w:cs="宋体"/>
          <w:sz w:val="24"/>
          <w:u w:val="single"/>
        </w:rPr>
      </w:pPr>
      <w:r>
        <w:rPr>
          <w:rFonts w:hint="eastAsia" w:ascii="宋体" w:hAnsi="宋体" w:cs="宋体"/>
          <w:sz w:val="24"/>
        </w:rPr>
        <w:t>1.5.1 履行期限：</w:t>
      </w:r>
      <w:r>
        <w:rPr>
          <w:rFonts w:hint="eastAsia" w:ascii="宋体" w:hAnsi="宋体" w:cs="宋体"/>
          <w:sz w:val="24"/>
          <w:u w:val="single"/>
        </w:rPr>
        <w:t xml:space="preserve">                                                </w:t>
      </w:r>
      <w:r>
        <w:rPr>
          <w:rFonts w:hint="eastAsia" w:ascii="宋体" w:hAnsi="宋体" w:cs="宋体"/>
          <w:sz w:val="24"/>
        </w:rPr>
        <w:t>；</w:t>
      </w:r>
    </w:p>
    <w:p w14:paraId="480C166A">
      <w:pPr>
        <w:spacing w:line="560" w:lineRule="exact"/>
        <w:ind w:firstLine="480" w:firstLineChars="200"/>
        <w:rPr>
          <w:rFonts w:hint="eastAsia" w:ascii="宋体" w:hAnsi="宋体" w:cs="宋体"/>
          <w:sz w:val="24"/>
        </w:rPr>
      </w:pPr>
      <w:r>
        <w:rPr>
          <w:rFonts w:hint="eastAsia" w:ascii="宋体" w:hAnsi="宋体" w:cs="宋体"/>
          <w:sz w:val="24"/>
        </w:rPr>
        <w:t>1.5.2 履行地点：</w:t>
      </w:r>
      <w:r>
        <w:rPr>
          <w:rFonts w:hint="eastAsia" w:ascii="宋体" w:hAnsi="宋体" w:cs="宋体"/>
          <w:sz w:val="24"/>
          <w:u w:val="single"/>
        </w:rPr>
        <w:t xml:space="preserve">                                                </w:t>
      </w:r>
      <w:r>
        <w:rPr>
          <w:rFonts w:hint="eastAsia" w:ascii="宋体" w:hAnsi="宋体" w:cs="宋体"/>
          <w:sz w:val="24"/>
        </w:rPr>
        <w:t>；</w:t>
      </w:r>
    </w:p>
    <w:p w14:paraId="5FF96C69">
      <w:pPr>
        <w:spacing w:line="560" w:lineRule="exact"/>
        <w:ind w:firstLine="480" w:firstLineChars="200"/>
        <w:rPr>
          <w:rFonts w:hint="eastAsia" w:ascii="宋体" w:hAnsi="宋体" w:cs="宋体"/>
          <w:sz w:val="24"/>
        </w:rPr>
      </w:pPr>
      <w:r>
        <w:rPr>
          <w:rFonts w:hint="eastAsia" w:ascii="宋体" w:hAnsi="宋体" w:cs="宋体"/>
          <w:sz w:val="24"/>
        </w:rPr>
        <w:t>1.5.3 履行方式：</w:t>
      </w:r>
      <w:r>
        <w:rPr>
          <w:rFonts w:hint="eastAsia" w:ascii="宋体" w:hAnsi="宋体" w:cs="宋体"/>
          <w:sz w:val="24"/>
          <w:u w:val="single"/>
        </w:rPr>
        <w:t xml:space="preserve">　　　　　　　　　                      　      </w:t>
      </w:r>
      <w:r>
        <w:rPr>
          <w:rFonts w:hint="eastAsia" w:ascii="宋体" w:hAnsi="宋体" w:cs="宋体"/>
          <w:sz w:val="24"/>
        </w:rPr>
        <w:t>。</w:t>
      </w:r>
    </w:p>
    <w:p w14:paraId="10EBFE83">
      <w:pPr>
        <w:spacing w:line="560" w:lineRule="exact"/>
        <w:ind w:firstLine="482" w:firstLineChars="200"/>
        <w:outlineLvl w:val="0"/>
        <w:rPr>
          <w:rFonts w:hint="eastAsia" w:ascii="宋体" w:hAnsi="宋体" w:cs="宋体"/>
          <w:sz w:val="24"/>
          <w:u w:val="single"/>
        </w:rPr>
      </w:pPr>
      <w:bookmarkStart w:id="397" w:name="_Toc5698"/>
      <w:bookmarkStart w:id="398" w:name="_Toc3079"/>
      <w:bookmarkStart w:id="399" w:name="_Toc2375"/>
      <w:bookmarkStart w:id="400" w:name="_Toc24662"/>
      <w:bookmarkStart w:id="401" w:name="_Toc8586"/>
      <w:r>
        <w:rPr>
          <w:rFonts w:hint="eastAsia" w:ascii="宋体" w:hAnsi="宋体" w:cs="宋体"/>
          <w:b/>
          <w:sz w:val="24"/>
        </w:rPr>
        <w:t>1.6 违约责任</w:t>
      </w:r>
      <w:bookmarkEnd w:id="397"/>
      <w:bookmarkEnd w:id="398"/>
      <w:bookmarkEnd w:id="399"/>
      <w:bookmarkEnd w:id="400"/>
      <w:bookmarkEnd w:id="401"/>
    </w:p>
    <w:p w14:paraId="63C386B8">
      <w:pPr>
        <w:spacing w:line="560" w:lineRule="exact"/>
        <w:ind w:firstLine="480" w:firstLineChars="200"/>
        <w:rPr>
          <w:rFonts w:hint="eastAsia" w:ascii="宋体" w:hAnsi="宋体" w:cs="宋体"/>
          <w:sz w:val="24"/>
        </w:rPr>
      </w:pPr>
      <w:r>
        <w:rPr>
          <w:rFonts w:hint="eastAsia" w:ascii="宋体" w:hAnsi="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%；迟延履行的违约金计算数额达到前述最高限额之日起，甲方有权在要求乙方支付违约金的同时，书面通知乙方解除本合同；</w:t>
      </w:r>
    </w:p>
    <w:p w14:paraId="7AFC2B7A">
      <w:pPr>
        <w:spacing w:line="560" w:lineRule="exact"/>
        <w:ind w:firstLine="480" w:firstLineChars="200"/>
        <w:rPr>
          <w:rFonts w:hint="eastAsia" w:ascii="宋体" w:hAnsi="宋体" w:cs="宋体"/>
          <w:sz w:val="24"/>
        </w:rPr>
      </w:pPr>
      <w:r>
        <w:rPr>
          <w:rFonts w:hint="eastAsia" w:ascii="宋体" w:hAnsi="宋体" w:cs="宋体"/>
          <w:sz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p>
    <w:p w14:paraId="374744B6">
      <w:pPr>
        <w:spacing w:line="560" w:lineRule="exact"/>
        <w:ind w:firstLine="480" w:firstLineChars="200"/>
        <w:rPr>
          <w:rFonts w:hint="eastAsia"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695E5BF">
      <w:pPr>
        <w:spacing w:line="560" w:lineRule="exact"/>
        <w:ind w:firstLine="480" w:firstLineChars="200"/>
        <w:rPr>
          <w:rFonts w:hint="eastAsia" w:ascii="宋体" w:hAnsi="宋体" w:cs="宋体"/>
          <w:sz w:val="24"/>
        </w:rPr>
      </w:pPr>
      <w:r>
        <w:rPr>
          <w:rFonts w:hint="eastAsia" w:ascii="宋体" w:hAnsi="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7AA6BD5">
      <w:pPr>
        <w:spacing w:line="560" w:lineRule="exact"/>
        <w:ind w:firstLine="480" w:firstLineChars="200"/>
        <w:rPr>
          <w:rFonts w:hint="eastAsia" w:ascii="宋体" w:hAnsi="宋体" w:cs="宋体"/>
          <w:sz w:val="24"/>
        </w:rPr>
      </w:pPr>
      <w:r>
        <w:rPr>
          <w:rFonts w:hint="eastAsia" w:ascii="宋体" w:hAnsi="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865C924">
      <w:pPr>
        <w:spacing w:line="560" w:lineRule="exact"/>
        <w:ind w:firstLine="480" w:firstLineChars="200"/>
        <w:rPr>
          <w:rFonts w:hint="eastAsia" w:ascii="宋体" w:hAnsi="宋体" w:cs="宋体"/>
          <w:sz w:val="24"/>
        </w:rPr>
      </w:pPr>
      <w:r>
        <w:rPr>
          <w:rFonts w:hint="eastAsia" w:ascii="宋体" w:hAnsi="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14:paraId="5FC7C1BF">
      <w:pPr>
        <w:spacing w:line="560" w:lineRule="exact"/>
        <w:ind w:firstLine="482" w:firstLineChars="200"/>
        <w:outlineLvl w:val="0"/>
        <w:rPr>
          <w:rFonts w:hint="eastAsia" w:ascii="宋体" w:hAnsi="宋体" w:cs="宋体"/>
          <w:b/>
          <w:sz w:val="24"/>
        </w:rPr>
      </w:pPr>
      <w:bookmarkStart w:id="402" w:name="_Toc9497"/>
      <w:bookmarkStart w:id="403" w:name="_Toc18683"/>
      <w:bookmarkStart w:id="404" w:name="_Toc26807"/>
      <w:bookmarkStart w:id="405" w:name="_Toc30329"/>
      <w:bookmarkStart w:id="406" w:name="_Toc32454"/>
      <w:r>
        <w:rPr>
          <w:rFonts w:hint="eastAsia" w:ascii="宋体" w:hAnsi="宋体" w:cs="宋体"/>
          <w:b/>
          <w:sz w:val="24"/>
        </w:rPr>
        <w:t>1.7 合同争议的解决</w:t>
      </w:r>
      <w:bookmarkEnd w:id="402"/>
      <w:bookmarkEnd w:id="403"/>
      <w:bookmarkEnd w:id="404"/>
      <w:bookmarkEnd w:id="405"/>
      <w:bookmarkEnd w:id="406"/>
    </w:p>
    <w:p w14:paraId="170210F2">
      <w:pPr>
        <w:spacing w:line="560" w:lineRule="exact"/>
        <w:ind w:firstLine="480" w:firstLineChars="200"/>
        <w:rPr>
          <w:rFonts w:hint="eastAsia"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w:t>
      </w:r>
      <w:r>
        <w:rPr>
          <w:rFonts w:hint="eastAsia" w:ascii="宋体" w:hAnsi="宋体" w:cs="宋体"/>
          <w:sz w:val="24"/>
          <w:u w:val="single"/>
        </w:rPr>
        <w:t xml:space="preserve">    </w:t>
      </w:r>
      <w:r>
        <w:rPr>
          <w:rFonts w:hint="eastAsia" w:ascii="宋体" w:hAnsi="宋体" w:cs="宋体"/>
          <w:sz w:val="24"/>
        </w:rPr>
        <w:t>种方式解决：</w:t>
      </w:r>
    </w:p>
    <w:p w14:paraId="0119B420">
      <w:pPr>
        <w:spacing w:line="560" w:lineRule="exact"/>
        <w:ind w:firstLine="480" w:firstLineChars="200"/>
        <w:rPr>
          <w:rFonts w:hint="eastAsia" w:ascii="宋体" w:hAnsi="宋体" w:cs="宋体"/>
          <w:sz w:val="24"/>
        </w:rPr>
      </w:pPr>
      <w:r>
        <w:rPr>
          <w:rFonts w:hint="eastAsia" w:ascii="宋体" w:hAnsi="宋体" w:cs="宋体"/>
          <w:sz w:val="24"/>
        </w:rPr>
        <w:t>1.7.1 将争议提交</w:t>
      </w:r>
      <w:r>
        <w:rPr>
          <w:rFonts w:hint="eastAsia" w:ascii="宋体" w:hAnsi="宋体" w:cs="宋体"/>
          <w:sz w:val="24"/>
          <w:u w:val="single"/>
        </w:rPr>
        <w:t xml:space="preserve">              </w:t>
      </w:r>
      <w:r>
        <w:rPr>
          <w:rFonts w:hint="eastAsia" w:ascii="宋体" w:hAnsi="宋体" w:cs="宋体"/>
          <w:sz w:val="24"/>
        </w:rPr>
        <w:t>仲裁委员会依申请仲裁时其现行有效的仲裁规则裁决；</w:t>
      </w:r>
    </w:p>
    <w:p w14:paraId="5F9F5586">
      <w:pPr>
        <w:spacing w:line="560" w:lineRule="exact"/>
        <w:ind w:firstLine="480" w:firstLineChars="200"/>
        <w:rPr>
          <w:rFonts w:hint="eastAsia" w:ascii="宋体" w:hAnsi="宋体" w:cs="宋体"/>
          <w:sz w:val="24"/>
        </w:rPr>
      </w:pPr>
      <w:r>
        <w:rPr>
          <w:rFonts w:hint="eastAsia" w:ascii="宋体" w:hAnsi="宋体" w:cs="宋体"/>
          <w:sz w:val="24"/>
        </w:rPr>
        <w:t>1.7.2 向</w:t>
      </w:r>
      <w:r>
        <w:rPr>
          <w:rFonts w:hint="eastAsia" w:ascii="宋体" w:hAnsi="宋体" w:cs="宋体"/>
          <w:sz w:val="24"/>
          <w:u w:val="single"/>
        </w:rPr>
        <w:t xml:space="preserve">   （被告住所地、合同履行地、合同签订地、原告住所地、标的物所在地等与争议有实际联系的地点中选出的人民法院名称）    </w:t>
      </w:r>
      <w:r>
        <w:rPr>
          <w:rFonts w:hint="eastAsia" w:ascii="宋体" w:hAnsi="宋体" w:cs="宋体"/>
          <w:sz w:val="24"/>
        </w:rPr>
        <w:t>人民法院起诉。</w:t>
      </w:r>
    </w:p>
    <w:p w14:paraId="5A4E5E5F">
      <w:pPr>
        <w:spacing w:line="560" w:lineRule="exact"/>
        <w:ind w:firstLine="482" w:firstLineChars="200"/>
        <w:outlineLvl w:val="0"/>
        <w:rPr>
          <w:rFonts w:hint="eastAsia" w:ascii="宋体" w:hAnsi="宋体" w:cs="宋体"/>
          <w:b/>
          <w:sz w:val="24"/>
        </w:rPr>
      </w:pPr>
      <w:bookmarkStart w:id="407" w:name="_Toc23784"/>
      <w:bookmarkStart w:id="408" w:name="_Toc16417"/>
      <w:bookmarkStart w:id="409" w:name="_Toc15827"/>
      <w:bookmarkStart w:id="410" w:name="_Toc26227"/>
      <w:bookmarkStart w:id="411" w:name="_Toc12273"/>
      <w:r>
        <w:rPr>
          <w:rFonts w:hint="eastAsia" w:ascii="宋体" w:hAnsi="宋体" w:cs="宋体"/>
          <w:b/>
          <w:sz w:val="24"/>
        </w:rPr>
        <w:t>1.8 合同生效</w:t>
      </w:r>
      <w:bookmarkEnd w:id="407"/>
      <w:bookmarkEnd w:id="408"/>
      <w:bookmarkEnd w:id="409"/>
      <w:bookmarkEnd w:id="410"/>
      <w:bookmarkEnd w:id="411"/>
    </w:p>
    <w:p w14:paraId="23BF3415">
      <w:pPr>
        <w:spacing w:line="560" w:lineRule="exact"/>
        <w:ind w:firstLine="480" w:firstLineChars="200"/>
        <w:rPr>
          <w:rFonts w:hint="eastAsia" w:ascii="宋体" w:hAnsi="宋体" w:cs="宋体"/>
          <w:b/>
          <w:sz w:val="24"/>
        </w:rPr>
      </w:pPr>
      <w:r>
        <w:rPr>
          <w:rFonts w:hint="eastAsia" w:ascii="宋体" w:hAnsi="宋体" w:cs="宋体"/>
          <w:sz w:val="24"/>
        </w:rPr>
        <w:t>本合同自双方当事人盖章或者签字时生效。</w:t>
      </w:r>
    </w:p>
    <w:p w14:paraId="2D5B268D">
      <w:pPr>
        <w:autoSpaceDE w:val="0"/>
        <w:autoSpaceDN w:val="0"/>
        <w:adjustRightInd w:val="0"/>
        <w:spacing w:line="560" w:lineRule="exact"/>
        <w:rPr>
          <w:rFonts w:hint="eastAsia" w:ascii="宋体" w:hAnsi="宋体" w:cs="宋体"/>
          <w:sz w:val="24"/>
          <w:lang w:val="zh-CN"/>
        </w:rPr>
      </w:pPr>
    </w:p>
    <w:p w14:paraId="53A2404C">
      <w:pPr>
        <w:autoSpaceDE w:val="0"/>
        <w:autoSpaceDN w:val="0"/>
        <w:adjustRightInd w:val="0"/>
        <w:spacing w:line="560" w:lineRule="exact"/>
        <w:rPr>
          <w:rFonts w:hint="eastAsia"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14:paraId="1C4F07C5">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统一社会信用代码：                        统一社会信用代码或身份证号码：</w:t>
      </w:r>
    </w:p>
    <w:p w14:paraId="5189D421">
      <w:pPr>
        <w:autoSpaceDE w:val="0"/>
        <w:autoSpaceDN w:val="0"/>
        <w:adjustRightInd w:val="0"/>
        <w:spacing w:line="560" w:lineRule="exact"/>
        <w:rPr>
          <w:rFonts w:hint="eastAsia" w:ascii="宋体" w:hAnsi="宋体" w:cs="宋体"/>
          <w:sz w:val="24"/>
          <w:lang w:val="zh-CN"/>
        </w:rPr>
      </w:pPr>
    </w:p>
    <w:p w14:paraId="7F3F8E33">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住所：                                   住所：</w:t>
      </w:r>
    </w:p>
    <w:p w14:paraId="4E6DFB60">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法定代表人或                             法定代表人</w:t>
      </w:r>
    </w:p>
    <w:p w14:paraId="45A1B2E7">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 xml:space="preserve">授权代表（签字）：                        或授权代表（签字）: </w:t>
      </w:r>
    </w:p>
    <w:p w14:paraId="6A1CE7E3">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联系人：                                 联系人：</w:t>
      </w:r>
    </w:p>
    <w:p w14:paraId="3DF561A7">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约定送达地址：                           约定送达地址：</w:t>
      </w:r>
    </w:p>
    <w:p w14:paraId="47C98934">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邮政编码：                               邮政编码：</w:t>
      </w:r>
    </w:p>
    <w:p w14:paraId="297CEA63">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 xml:space="preserve">电话:                                    电话: </w:t>
      </w:r>
    </w:p>
    <w:p w14:paraId="6953A30F">
      <w:pPr>
        <w:autoSpaceDE w:val="0"/>
        <w:autoSpaceDN w:val="0"/>
        <w:adjustRightInd w:val="0"/>
        <w:spacing w:line="560" w:lineRule="exact"/>
        <w:rPr>
          <w:rFonts w:hint="eastAsia" w:ascii="宋体" w:hAnsi="宋体" w:cs="宋体"/>
          <w:sz w:val="24"/>
          <w:lang w:val="zh-CN"/>
        </w:rPr>
      </w:pPr>
      <w:r>
        <w:rPr>
          <w:rFonts w:hint="eastAsia" w:ascii="宋体" w:hAnsi="宋体" w:cs="宋体"/>
          <w:sz w:val="24"/>
          <w:lang w:val="zh-CN"/>
        </w:rPr>
        <w:t>传真:                                    传真:</w:t>
      </w:r>
    </w:p>
    <w:p w14:paraId="139198A2">
      <w:pPr>
        <w:autoSpaceDE w:val="0"/>
        <w:autoSpaceDN w:val="0"/>
        <w:adjustRightInd w:val="0"/>
        <w:spacing w:line="560" w:lineRule="exact"/>
        <w:rPr>
          <w:rFonts w:hint="eastAsia" w:ascii="宋体" w:hAnsi="宋体" w:cs="宋体"/>
          <w:sz w:val="24"/>
        </w:rPr>
      </w:pPr>
      <w:r>
        <w:rPr>
          <w:rFonts w:hint="eastAsia" w:ascii="宋体" w:hAnsi="宋体" w:cs="宋体"/>
          <w:sz w:val="24"/>
          <w:lang w:val="zh-CN"/>
        </w:rPr>
        <w:t>电子邮箱：                               电子邮箱：</w:t>
      </w:r>
    </w:p>
    <w:p w14:paraId="3A6B2127">
      <w:pPr>
        <w:autoSpaceDE w:val="0"/>
        <w:autoSpaceDN w:val="0"/>
        <w:adjustRightInd w:val="0"/>
        <w:spacing w:line="560" w:lineRule="exact"/>
        <w:rPr>
          <w:rFonts w:hint="eastAsia" w:ascii="宋体" w:hAnsi="宋体" w:cs="宋体"/>
          <w:sz w:val="24"/>
        </w:rPr>
      </w:pPr>
      <w:r>
        <w:rPr>
          <w:rFonts w:hint="eastAsia" w:ascii="宋体" w:hAnsi="宋体" w:cs="宋体"/>
          <w:sz w:val="24"/>
        </w:rPr>
        <w:t xml:space="preserve">开户银行：                               开户银行： </w:t>
      </w:r>
    </w:p>
    <w:p w14:paraId="694A5AE8">
      <w:pPr>
        <w:autoSpaceDE w:val="0"/>
        <w:autoSpaceDN w:val="0"/>
        <w:adjustRightInd w:val="0"/>
        <w:spacing w:line="560" w:lineRule="exact"/>
        <w:rPr>
          <w:rFonts w:hint="eastAsia" w:ascii="宋体" w:hAnsi="宋体" w:cs="宋体"/>
          <w:sz w:val="24"/>
        </w:rPr>
      </w:pPr>
      <w:r>
        <w:rPr>
          <w:rFonts w:hint="eastAsia" w:ascii="宋体" w:hAnsi="宋体" w:cs="宋体"/>
          <w:sz w:val="24"/>
        </w:rPr>
        <w:t xml:space="preserve">开户名称：                               开户名称： </w:t>
      </w:r>
    </w:p>
    <w:p w14:paraId="01E2711F">
      <w:pPr>
        <w:autoSpaceDE w:val="0"/>
        <w:autoSpaceDN w:val="0"/>
        <w:adjustRightInd w:val="0"/>
        <w:spacing w:line="560" w:lineRule="exact"/>
        <w:rPr>
          <w:rFonts w:hint="eastAsia"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14:paraId="7B5081AB">
      <w:pPr>
        <w:widowControl/>
        <w:spacing w:line="560" w:lineRule="exact"/>
        <w:jc w:val="left"/>
        <w:rPr>
          <w:rFonts w:hint="eastAsia" w:ascii="宋体" w:hAnsi="宋体" w:cs="宋体"/>
          <w:b/>
        </w:rPr>
      </w:pPr>
      <w:bookmarkStart w:id="412" w:name="_Toc331685783"/>
    </w:p>
    <w:p w14:paraId="1F682A30">
      <w:pPr>
        <w:widowControl/>
        <w:spacing w:line="560" w:lineRule="exact"/>
        <w:jc w:val="left"/>
        <w:rPr>
          <w:rFonts w:hint="eastAsia" w:ascii="宋体" w:hAnsi="宋体" w:cs="宋体"/>
          <w:b/>
        </w:rPr>
      </w:pPr>
    </w:p>
    <w:p w14:paraId="6CBDFC6F">
      <w:pPr>
        <w:pStyle w:val="68"/>
        <w:spacing w:line="560" w:lineRule="exact"/>
        <w:ind w:firstLine="200"/>
        <w:jc w:val="center"/>
        <w:rPr>
          <w:rFonts w:hint="eastAsia" w:hAnsi="宋体" w:cs="宋体"/>
          <w:b/>
          <w:szCs w:val="24"/>
        </w:rPr>
      </w:pPr>
      <w:r>
        <w:rPr>
          <w:rFonts w:hint="eastAsia" w:hAnsi="宋体" w:cs="宋体"/>
          <w:b/>
          <w:szCs w:val="24"/>
        </w:rPr>
        <w:t>第二部分 合同一般条款</w:t>
      </w:r>
      <w:bookmarkEnd w:id="412"/>
    </w:p>
    <w:p w14:paraId="0F029AEB">
      <w:pPr>
        <w:spacing w:line="560" w:lineRule="exact"/>
        <w:ind w:firstLine="482" w:firstLineChars="200"/>
        <w:outlineLvl w:val="0"/>
        <w:rPr>
          <w:rFonts w:hint="eastAsia" w:ascii="宋体" w:hAnsi="宋体" w:cs="宋体"/>
          <w:b/>
          <w:sz w:val="24"/>
        </w:rPr>
      </w:pPr>
      <w:bookmarkStart w:id="413" w:name="_Ref467379214"/>
      <w:bookmarkStart w:id="414" w:name="_Ref467379094"/>
      <w:bookmarkStart w:id="415" w:name="_Ref467379225"/>
      <w:bookmarkStart w:id="416" w:name="_Ref467378499"/>
      <w:bookmarkStart w:id="417" w:name="_Ref467379195"/>
      <w:bookmarkStart w:id="418" w:name="_Toc19680"/>
      <w:bookmarkStart w:id="419" w:name="_Ref467378404"/>
      <w:bookmarkStart w:id="420" w:name="_Ref467378463"/>
      <w:bookmarkStart w:id="421" w:name="_Toc279701240"/>
      <w:bookmarkStart w:id="422" w:name="_Toc487900349"/>
      <w:bookmarkStart w:id="423" w:name="_Toc25079"/>
      <w:bookmarkStart w:id="424" w:name="_Toc31297"/>
      <w:bookmarkStart w:id="425" w:name="_Toc5228"/>
      <w:bookmarkStart w:id="426" w:name="_Ref467379101"/>
      <w:bookmarkStart w:id="427" w:name="_Toc259093669"/>
      <w:bookmarkStart w:id="428" w:name="_Toc14021"/>
      <w:bookmarkStart w:id="429" w:name="_Ref467379109"/>
      <w:bookmarkStart w:id="430" w:name="_Ref467379205"/>
      <w:r>
        <w:rPr>
          <w:rFonts w:hint="eastAsia" w:ascii="宋体" w:hAnsi="宋体" w:cs="宋体"/>
          <w:b/>
          <w:sz w:val="24"/>
        </w:rPr>
        <w:t>2.1 定义</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062C4046">
      <w:pPr>
        <w:spacing w:line="560" w:lineRule="exact"/>
        <w:ind w:firstLine="480" w:firstLineChars="200"/>
        <w:rPr>
          <w:rFonts w:hint="eastAsia" w:ascii="宋体" w:hAnsi="宋体" w:cs="宋体"/>
          <w:sz w:val="24"/>
        </w:rPr>
      </w:pPr>
      <w:r>
        <w:rPr>
          <w:rFonts w:hint="eastAsia" w:ascii="宋体" w:hAnsi="宋体" w:cs="宋体"/>
          <w:sz w:val="24"/>
        </w:rPr>
        <w:t>本合同中的下列词语应按以下内容进行解释：</w:t>
      </w:r>
    </w:p>
    <w:p w14:paraId="7EBD0C79">
      <w:pPr>
        <w:spacing w:line="560" w:lineRule="exact"/>
        <w:ind w:firstLine="480" w:firstLineChars="200"/>
        <w:rPr>
          <w:rFonts w:hint="eastAsia" w:ascii="宋体" w:hAnsi="宋体" w:cs="宋体"/>
          <w:sz w:val="24"/>
        </w:rPr>
      </w:pPr>
      <w:r>
        <w:rPr>
          <w:rFonts w:hint="eastAsia" w:ascii="宋体" w:hAnsi="宋体" w:cs="宋体"/>
          <w:sz w:val="24"/>
        </w:rPr>
        <w:t>2.1.1 “合同”系指采购人和中标供应商签订的载明双方当事人所达成的协议，并包括所有的附件、附录和构成合同的其他文件。</w:t>
      </w:r>
    </w:p>
    <w:p w14:paraId="35C0767E">
      <w:pPr>
        <w:spacing w:line="560" w:lineRule="exact"/>
        <w:ind w:firstLine="480" w:firstLineChars="200"/>
        <w:rPr>
          <w:rFonts w:hint="eastAsia" w:ascii="宋体" w:hAnsi="宋体" w:cs="宋体"/>
          <w:sz w:val="24"/>
        </w:rPr>
      </w:pPr>
      <w:r>
        <w:rPr>
          <w:rFonts w:hint="eastAsia" w:ascii="宋体" w:hAnsi="宋体" w:cs="宋体"/>
          <w:sz w:val="24"/>
        </w:rPr>
        <w:t>2.1.2 “合同价”系指根据合同约定，中标供应商在完全履行合同义务后，采购人应支付给中标供应商的价格。</w:t>
      </w:r>
    </w:p>
    <w:p w14:paraId="740DE62F">
      <w:pPr>
        <w:spacing w:line="560" w:lineRule="exact"/>
        <w:ind w:firstLine="480" w:firstLineChars="200"/>
        <w:rPr>
          <w:rFonts w:hint="eastAsia" w:ascii="宋体" w:hAnsi="宋体" w:cs="宋体"/>
          <w:sz w:val="24"/>
        </w:rPr>
      </w:pPr>
      <w:r>
        <w:rPr>
          <w:rFonts w:hint="eastAsia" w:ascii="宋体" w:hAnsi="宋体" w:cs="宋体"/>
          <w:sz w:val="24"/>
        </w:rPr>
        <w:t>2.1.3 “服务”系指中标供应商根据合同约定应向采购人履行的除货物和工程以外的其他政府采购对象，包括采购人自身需要的服务和向社会公众提供的公共服务。</w:t>
      </w:r>
    </w:p>
    <w:p w14:paraId="02687EF2">
      <w:pPr>
        <w:spacing w:line="560" w:lineRule="exact"/>
        <w:ind w:firstLine="480" w:firstLineChars="200"/>
        <w:rPr>
          <w:rFonts w:hint="eastAsia" w:ascii="宋体" w:hAnsi="宋体" w:cs="宋体"/>
          <w:sz w:val="24"/>
        </w:rPr>
      </w:pPr>
      <w:bookmarkStart w:id="431" w:name="_Ref467378840"/>
      <w:r>
        <w:rPr>
          <w:rFonts w:hint="eastAsia" w:ascii="宋体" w:hAnsi="宋体" w:cs="宋体"/>
          <w:sz w:val="24"/>
        </w:rPr>
        <w:t>2.1.4 “甲方”系指与中标供应商签署合同的采购人</w:t>
      </w:r>
      <w:bookmarkEnd w:id="431"/>
      <w:r>
        <w:rPr>
          <w:rFonts w:hint="eastAsia" w:ascii="宋体" w:hAnsi="宋体" w:cs="宋体"/>
          <w:sz w:val="24"/>
        </w:rPr>
        <w:t>；采购人委托采购代理机构代表其与乙方签订合同的，采购人的授权委托书作为合同附件。</w:t>
      </w:r>
    </w:p>
    <w:p w14:paraId="20C50CA4">
      <w:pPr>
        <w:spacing w:line="560" w:lineRule="exact"/>
        <w:ind w:firstLine="480" w:firstLineChars="200"/>
        <w:rPr>
          <w:rFonts w:hint="eastAsia" w:ascii="宋体" w:hAnsi="宋体" w:cs="宋体"/>
          <w:sz w:val="24"/>
        </w:rPr>
      </w:pPr>
      <w:bookmarkStart w:id="432" w:name="_Ref467379400"/>
      <w:r>
        <w:rPr>
          <w:rFonts w:hint="eastAsia" w:ascii="宋体" w:hAnsi="宋体" w:cs="宋体"/>
          <w:sz w:val="24"/>
        </w:rPr>
        <w:t>2.1.5 “乙方”系指根据合同约定提供服务的中标供应商</w:t>
      </w:r>
      <w:bookmarkEnd w:id="432"/>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24546E9">
      <w:pPr>
        <w:spacing w:line="560" w:lineRule="exact"/>
        <w:ind w:firstLine="480" w:firstLineChars="200"/>
        <w:rPr>
          <w:rFonts w:hint="eastAsia" w:ascii="宋体" w:hAnsi="宋体" w:cs="宋体"/>
          <w:sz w:val="24"/>
        </w:rPr>
      </w:pPr>
      <w:bookmarkStart w:id="433" w:name="_Ref467379436"/>
      <w:r>
        <w:rPr>
          <w:rFonts w:hint="eastAsia" w:ascii="宋体" w:hAnsi="宋体" w:cs="宋体"/>
          <w:sz w:val="24"/>
        </w:rPr>
        <w:t>2.1.6 “现场”系指合同约定提供服务的地点。</w:t>
      </w:r>
      <w:bookmarkEnd w:id="433"/>
    </w:p>
    <w:p w14:paraId="2D8CED7E">
      <w:pPr>
        <w:spacing w:line="560" w:lineRule="exact"/>
        <w:ind w:firstLine="482" w:firstLineChars="200"/>
        <w:outlineLvl w:val="0"/>
        <w:rPr>
          <w:rFonts w:hint="eastAsia" w:ascii="宋体" w:hAnsi="宋体" w:cs="宋体"/>
          <w:b/>
          <w:sz w:val="24"/>
        </w:rPr>
      </w:pPr>
      <w:bookmarkStart w:id="434" w:name="_Toc279701241"/>
      <w:bookmarkStart w:id="435" w:name="_Toc3769"/>
      <w:bookmarkStart w:id="436" w:name="_Toc16752"/>
      <w:bookmarkStart w:id="437" w:name="_Toc31402"/>
      <w:bookmarkStart w:id="438" w:name="_Toc487900350"/>
      <w:bookmarkStart w:id="439" w:name="_Toc259093670"/>
      <w:bookmarkStart w:id="440" w:name="_Toc23289"/>
      <w:bookmarkStart w:id="441" w:name="_Toc19539"/>
      <w:r>
        <w:rPr>
          <w:rFonts w:hint="eastAsia" w:ascii="宋体" w:hAnsi="宋体" w:cs="宋体"/>
          <w:b/>
          <w:sz w:val="24"/>
        </w:rPr>
        <w:t>2.2 技术规范</w:t>
      </w:r>
      <w:bookmarkEnd w:id="434"/>
      <w:bookmarkEnd w:id="435"/>
      <w:bookmarkEnd w:id="436"/>
      <w:bookmarkEnd w:id="437"/>
      <w:bookmarkEnd w:id="438"/>
      <w:bookmarkEnd w:id="439"/>
      <w:bookmarkEnd w:id="440"/>
      <w:bookmarkEnd w:id="441"/>
    </w:p>
    <w:p w14:paraId="179EAA86">
      <w:pPr>
        <w:spacing w:line="560" w:lineRule="exact"/>
        <w:ind w:firstLine="480" w:firstLineChars="200"/>
        <w:rPr>
          <w:rFonts w:hint="eastAsia" w:ascii="宋体" w:hAnsi="宋体" w:cs="宋体"/>
          <w:sz w:val="24"/>
        </w:rPr>
      </w:pPr>
      <w:r>
        <w:rPr>
          <w:rFonts w:hint="eastAsia" w:ascii="宋体" w:hAnsi="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09D92CE">
      <w:pPr>
        <w:spacing w:line="560" w:lineRule="exact"/>
        <w:ind w:firstLine="482" w:firstLineChars="200"/>
        <w:outlineLvl w:val="0"/>
        <w:rPr>
          <w:rFonts w:hint="eastAsia" w:ascii="宋体" w:hAnsi="宋体" w:cs="宋体"/>
          <w:b/>
          <w:sz w:val="24"/>
        </w:rPr>
      </w:pPr>
      <w:bookmarkStart w:id="442" w:name="_Toc12412"/>
      <w:bookmarkStart w:id="443" w:name="_Toc13673"/>
      <w:bookmarkStart w:id="444" w:name="_Toc279701242"/>
      <w:bookmarkStart w:id="445" w:name="_Toc259093671"/>
      <w:bookmarkStart w:id="446" w:name="_Toc4133"/>
      <w:bookmarkStart w:id="447" w:name="_Toc9161"/>
      <w:bookmarkStart w:id="448" w:name="_Toc487900351"/>
      <w:bookmarkStart w:id="449" w:name="_Toc27945"/>
      <w:r>
        <w:rPr>
          <w:rFonts w:hint="eastAsia" w:ascii="宋体" w:hAnsi="宋体" w:cs="宋体"/>
          <w:b/>
          <w:sz w:val="24"/>
        </w:rPr>
        <w:t>2.3 知识产权</w:t>
      </w:r>
      <w:bookmarkEnd w:id="442"/>
      <w:bookmarkEnd w:id="443"/>
      <w:bookmarkEnd w:id="444"/>
      <w:bookmarkEnd w:id="445"/>
      <w:bookmarkEnd w:id="446"/>
      <w:bookmarkEnd w:id="447"/>
      <w:bookmarkEnd w:id="448"/>
      <w:bookmarkEnd w:id="449"/>
    </w:p>
    <w:p w14:paraId="1FCF233A">
      <w:pPr>
        <w:spacing w:line="560" w:lineRule="exact"/>
        <w:ind w:firstLine="480" w:firstLineChars="200"/>
        <w:rPr>
          <w:rFonts w:hint="eastAsia" w:ascii="宋体" w:hAnsi="宋体" w:cs="宋体"/>
          <w:sz w:val="24"/>
        </w:rPr>
      </w:pPr>
      <w:r>
        <w:rPr>
          <w:rFonts w:hint="eastAsia" w:ascii="宋体" w:hAnsi="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75AB84E">
      <w:pPr>
        <w:spacing w:line="560" w:lineRule="exact"/>
        <w:ind w:firstLine="480" w:firstLineChars="200"/>
        <w:rPr>
          <w:rFonts w:hint="eastAsia" w:ascii="宋体" w:hAnsi="宋体" w:cs="宋体"/>
          <w:sz w:val="24"/>
        </w:rPr>
      </w:pPr>
      <w:r>
        <w:rPr>
          <w:rFonts w:hint="eastAsia" w:ascii="宋体" w:hAnsi="宋体" w:cs="宋体"/>
          <w:sz w:val="24"/>
        </w:rPr>
        <w:t>2.3.2 合同涉及技术成果的归属和收益的分成办法的，详见</w:t>
      </w:r>
      <w:r>
        <w:rPr>
          <w:rFonts w:hint="eastAsia" w:ascii="宋体" w:hAnsi="宋体" w:cs="宋体"/>
          <w:b/>
          <w:i/>
          <w:sz w:val="24"/>
          <w:u w:val="single"/>
        </w:rPr>
        <w:t>合同专用条款</w:t>
      </w:r>
      <w:r>
        <w:rPr>
          <w:rFonts w:hint="eastAsia" w:ascii="宋体" w:hAnsi="宋体" w:cs="宋体"/>
          <w:sz w:val="24"/>
        </w:rPr>
        <w:t>。</w:t>
      </w:r>
    </w:p>
    <w:p w14:paraId="5EEFE21E">
      <w:pPr>
        <w:spacing w:line="560" w:lineRule="exact"/>
        <w:ind w:firstLine="482" w:firstLineChars="200"/>
        <w:rPr>
          <w:rFonts w:hint="eastAsia" w:ascii="宋体" w:hAnsi="宋体" w:cs="宋体"/>
          <w:b/>
          <w:sz w:val="24"/>
        </w:rPr>
      </w:pPr>
      <w:r>
        <w:rPr>
          <w:rFonts w:hint="eastAsia" w:ascii="宋体" w:hAnsi="宋体" w:cs="宋体"/>
          <w:b/>
          <w:sz w:val="24"/>
        </w:rPr>
        <w:t>2.4 履约检查和问题反馈</w:t>
      </w:r>
    </w:p>
    <w:p w14:paraId="6FA02991">
      <w:pPr>
        <w:spacing w:line="560" w:lineRule="exact"/>
        <w:ind w:firstLine="480" w:firstLineChars="200"/>
        <w:rPr>
          <w:rFonts w:hint="eastAsia" w:ascii="宋体" w:hAnsi="宋体" w:cs="宋体"/>
          <w:sz w:val="24"/>
        </w:rPr>
      </w:pPr>
      <w:bookmarkStart w:id="450" w:name="_Ref467379657"/>
      <w:r>
        <w:rPr>
          <w:rFonts w:hint="eastAsia" w:ascii="宋体" w:hAnsi="宋体" w:cs="宋体"/>
          <w:sz w:val="24"/>
        </w:rPr>
        <w:t>2.4.1</w:t>
      </w:r>
      <w:bookmarkEnd w:id="450"/>
      <w:bookmarkStart w:id="451" w:name="_Toc186431854"/>
      <w:bookmarkStart w:id="452" w:name="_Toc259093676"/>
      <w:bookmarkStart w:id="453" w:name="_Ref467379807"/>
      <w:bookmarkStart w:id="454" w:name="_Ref467379793"/>
      <w:bookmarkStart w:id="455" w:name="_Toc279701247"/>
      <w:bookmarkStart w:id="456" w:name="_Toc487900357"/>
      <w:r>
        <w:rPr>
          <w:rFonts w:hint="eastAsia" w:ascii="宋体" w:hAnsi="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3C1BF8A1">
      <w:pPr>
        <w:spacing w:line="560" w:lineRule="exact"/>
        <w:ind w:firstLine="480" w:firstLineChars="200"/>
        <w:rPr>
          <w:rFonts w:hint="eastAsia" w:ascii="宋体" w:hAnsi="宋体" w:cs="宋体"/>
          <w:sz w:val="24"/>
        </w:rPr>
      </w:pPr>
      <w:r>
        <w:rPr>
          <w:rFonts w:hint="eastAsia" w:ascii="宋体" w:hAnsi="宋体" w:cs="宋体"/>
          <w:sz w:val="24"/>
        </w:rPr>
        <w:t>2.4.2 合同履行期间，甲方有权将履行过程中出现的问题反馈给乙方，双方当事人应以书面形式约定需要完善和改进的内容</w:t>
      </w:r>
      <w:bookmarkEnd w:id="451"/>
      <w:bookmarkStart w:id="457" w:name="_Toc186431855"/>
      <w:r>
        <w:rPr>
          <w:rFonts w:hint="eastAsia" w:ascii="宋体" w:hAnsi="宋体" w:cs="宋体"/>
          <w:sz w:val="24"/>
        </w:rPr>
        <w:t>。</w:t>
      </w:r>
    </w:p>
    <w:bookmarkEnd w:id="457"/>
    <w:p w14:paraId="2C64E76F">
      <w:pPr>
        <w:spacing w:line="560" w:lineRule="exact"/>
        <w:ind w:firstLine="482" w:firstLineChars="200"/>
        <w:outlineLvl w:val="0"/>
        <w:rPr>
          <w:rFonts w:hint="eastAsia" w:ascii="宋体" w:hAnsi="宋体" w:cs="宋体"/>
          <w:b/>
          <w:sz w:val="24"/>
        </w:rPr>
      </w:pPr>
      <w:bookmarkStart w:id="458" w:name="_Toc15447"/>
      <w:bookmarkStart w:id="459" w:name="_Toc32670"/>
      <w:bookmarkStart w:id="460" w:name="_Toc26555"/>
      <w:bookmarkStart w:id="461" w:name="_Toc31233"/>
      <w:bookmarkStart w:id="462" w:name="_Toc22011"/>
      <w:r>
        <w:rPr>
          <w:rFonts w:hint="eastAsia" w:ascii="宋体" w:hAnsi="宋体" w:cs="宋体"/>
          <w:b/>
          <w:sz w:val="24"/>
        </w:rPr>
        <w:t>2.5 结算方式和付款条件</w:t>
      </w:r>
      <w:bookmarkEnd w:id="452"/>
      <w:bookmarkEnd w:id="453"/>
      <w:bookmarkEnd w:id="454"/>
      <w:bookmarkEnd w:id="455"/>
      <w:bookmarkEnd w:id="456"/>
      <w:bookmarkEnd w:id="458"/>
      <w:bookmarkEnd w:id="459"/>
      <w:bookmarkEnd w:id="460"/>
      <w:bookmarkEnd w:id="461"/>
      <w:bookmarkEnd w:id="462"/>
    </w:p>
    <w:p w14:paraId="158F27CF">
      <w:pPr>
        <w:spacing w:line="560" w:lineRule="exact"/>
        <w:ind w:firstLine="480" w:firstLineChars="200"/>
        <w:rPr>
          <w:rFonts w:hint="eastAsia" w:ascii="宋体" w:hAnsi="宋体" w:cs="宋体"/>
          <w:sz w:val="24"/>
        </w:rPr>
      </w:pPr>
      <w:r>
        <w:rPr>
          <w:rFonts w:hint="eastAsia" w:ascii="宋体" w:hAnsi="宋体" w:cs="宋体"/>
          <w:sz w:val="24"/>
        </w:rPr>
        <w:t>详见</w:t>
      </w:r>
      <w:r>
        <w:rPr>
          <w:rFonts w:hint="eastAsia" w:ascii="宋体" w:hAnsi="宋体" w:cs="宋体"/>
          <w:b/>
          <w:i/>
          <w:sz w:val="24"/>
          <w:u w:val="single"/>
        </w:rPr>
        <w:t>合同专用条款</w:t>
      </w:r>
      <w:r>
        <w:rPr>
          <w:rFonts w:hint="eastAsia" w:ascii="宋体" w:hAnsi="宋体" w:cs="宋体"/>
          <w:sz w:val="24"/>
        </w:rPr>
        <w:t>。</w:t>
      </w:r>
    </w:p>
    <w:p w14:paraId="248A9289">
      <w:pPr>
        <w:spacing w:line="560" w:lineRule="exact"/>
        <w:ind w:firstLine="482" w:firstLineChars="200"/>
        <w:outlineLvl w:val="0"/>
        <w:rPr>
          <w:rFonts w:hint="eastAsia" w:ascii="宋体" w:hAnsi="宋体" w:cs="宋体"/>
          <w:b/>
          <w:sz w:val="24"/>
        </w:rPr>
      </w:pPr>
      <w:bookmarkStart w:id="463" w:name="_Toc279701248"/>
      <w:bookmarkStart w:id="464" w:name="_Ref467379852"/>
      <w:bookmarkStart w:id="465" w:name="_Ref467379923"/>
      <w:bookmarkStart w:id="466" w:name="_Ref467379863"/>
      <w:bookmarkStart w:id="467" w:name="_Toc259093677"/>
      <w:bookmarkStart w:id="468" w:name="_Toc487900358"/>
      <w:bookmarkStart w:id="469" w:name="_Toc13467"/>
      <w:bookmarkStart w:id="470" w:name="_Toc13154"/>
      <w:bookmarkStart w:id="471" w:name="_Toc16163"/>
      <w:bookmarkStart w:id="472" w:name="_Toc18990"/>
      <w:bookmarkStart w:id="473" w:name="_Toc30507"/>
      <w:r>
        <w:rPr>
          <w:rFonts w:hint="eastAsia" w:ascii="宋体" w:hAnsi="宋体" w:cs="宋体"/>
          <w:b/>
          <w:sz w:val="24"/>
        </w:rPr>
        <w:t>2.6 技术资料</w:t>
      </w:r>
      <w:bookmarkEnd w:id="463"/>
      <w:bookmarkEnd w:id="464"/>
      <w:bookmarkEnd w:id="465"/>
      <w:bookmarkEnd w:id="466"/>
      <w:bookmarkEnd w:id="467"/>
      <w:bookmarkEnd w:id="468"/>
      <w:r>
        <w:rPr>
          <w:rFonts w:hint="eastAsia" w:ascii="宋体" w:hAnsi="宋体" w:cs="宋体"/>
          <w:b/>
          <w:sz w:val="24"/>
        </w:rPr>
        <w:t>和保密义务</w:t>
      </w:r>
      <w:bookmarkEnd w:id="469"/>
      <w:bookmarkEnd w:id="470"/>
      <w:bookmarkEnd w:id="471"/>
      <w:bookmarkEnd w:id="472"/>
      <w:bookmarkEnd w:id="473"/>
    </w:p>
    <w:p w14:paraId="336E81D2">
      <w:pPr>
        <w:spacing w:line="560" w:lineRule="exact"/>
        <w:ind w:firstLine="480" w:firstLineChars="200"/>
        <w:rPr>
          <w:rFonts w:hint="eastAsia" w:ascii="宋体" w:hAnsi="宋体" w:cs="宋体"/>
          <w:sz w:val="24"/>
        </w:rPr>
      </w:pPr>
      <w:r>
        <w:rPr>
          <w:rFonts w:hint="eastAsia" w:ascii="宋体" w:hAnsi="宋体" w:cs="宋体"/>
          <w:sz w:val="24"/>
        </w:rPr>
        <w:t>2.6.1 乙方有权依据合同约定和项目需要，向甲方了解有关情况，调阅有关资料等，甲方应予积极配合；</w:t>
      </w:r>
    </w:p>
    <w:p w14:paraId="12FA9EF4">
      <w:pPr>
        <w:spacing w:line="560" w:lineRule="exact"/>
        <w:ind w:firstLine="480" w:firstLineChars="200"/>
        <w:rPr>
          <w:rFonts w:hint="eastAsia" w:ascii="宋体" w:hAnsi="宋体" w:cs="宋体"/>
          <w:sz w:val="24"/>
        </w:rPr>
      </w:pPr>
      <w:r>
        <w:rPr>
          <w:rFonts w:hint="eastAsia" w:ascii="宋体" w:hAnsi="宋体" w:cs="宋体"/>
          <w:sz w:val="24"/>
        </w:rPr>
        <w:t>2.6.2 乙方有义务妥善保管和保护由甲方提供的前款信息和资料等；</w:t>
      </w:r>
    </w:p>
    <w:p w14:paraId="668EF1BC">
      <w:pPr>
        <w:spacing w:line="560" w:lineRule="exact"/>
        <w:ind w:firstLine="480" w:firstLineChars="200"/>
        <w:rPr>
          <w:rFonts w:hint="eastAsia"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134A0BD">
      <w:pPr>
        <w:spacing w:line="560" w:lineRule="exact"/>
        <w:ind w:firstLine="482" w:firstLineChars="200"/>
        <w:outlineLvl w:val="0"/>
        <w:rPr>
          <w:rFonts w:hint="eastAsia" w:ascii="宋体" w:hAnsi="宋体" w:cs="宋体"/>
          <w:b/>
          <w:sz w:val="24"/>
        </w:rPr>
      </w:pPr>
      <w:bookmarkStart w:id="474" w:name="_Toc19069"/>
      <w:bookmarkStart w:id="475" w:name="_Toc259093681"/>
      <w:bookmarkStart w:id="476" w:name="_Toc279701252"/>
      <w:bookmarkStart w:id="477" w:name="_Toc487900362"/>
      <w:r>
        <w:rPr>
          <w:rFonts w:hint="eastAsia" w:ascii="宋体" w:hAnsi="宋体" w:cs="宋体"/>
          <w:b/>
          <w:sz w:val="24"/>
        </w:rPr>
        <w:t>2.7 质量保证</w:t>
      </w:r>
      <w:bookmarkEnd w:id="474"/>
    </w:p>
    <w:p w14:paraId="68ED436F">
      <w:pPr>
        <w:spacing w:line="560" w:lineRule="exact"/>
        <w:ind w:firstLine="480" w:firstLineChars="200"/>
        <w:rPr>
          <w:rFonts w:hint="eastAsia"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14:paraId="0E8DB1A1">
      <w:pPr>
        <w:spacing w:line="560" w:lineRule="exact"/>
        <w:ind w:firstLine="480" w:firstLineChars="200"/>
        <w:rPr>
          <w:rFonts w:hint="eastAsia"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14:paraId="2EB363E0">
      <w:pPr>
        <w:spacing w:line="560" w:lineRule="exact"/>
        <w:ind w:firstLine="482" w:firstLineChars="200"/>
        <w:outlineLvl w:val="0"/>
        <w:rPr>
          <w:rFonts w:hint="eastAsia" w:ascii="宋体" w:hAnsi="宋体" w:cs="宋体"/>
          <w:b/>
          <w:sz w:val="24"/>
        </w:rPr>
      </w:pPr>
      <w:bookmarkStart w:id="478" w:name="_Toc22267"/>
      <w:r>
        <w:rPr>
          <w:rFonts w:hint="eastAsia" w:ascii="宋体" w:hAnsi="宋体" w:cs="宋体"/>
          <w:b/>
          <w:sz w:val="24"/>
        </w:rPr>
        <w:t>2.8 延迟</w:t>
      </w:r>
      <w:bookmarkEnd w:id="475"/>
      <w:bookmarkEnd w:id="476"/>
      <w:bookmarkEnd w:id="477"/>
      <w:r>
        <w:rPr>
          <w:rFonts w:hint="eastAsia" w:ascii="宋体" w:hAnsi="宋体" w:cs="宋体"/>
          <w:b/>
          <w:sz w:val="24"/>
        </w:rPr>
        <w:t>履行</w:t>
      </w:r>
      <w:bookmarkEnd w:id="478"/>
    </w:p>
    <w:p w14:paraId="0F8420FE">
      <w:pPr>
        <w:spacing w:line="560" w:lineRule="exact"/>
        <w:ind w:firstLine="480" w:firstLineChars="200"/>
        <w:rPr>
          <w:rFonts w:hint="eastAsia" w:ascii="宋体" w:hAnsi="宋体" w:cs="宋体"/>
          <w:sz w:val="24"/>
        </w:rPr>
      </w:pPr>
      <w:r>
        <w:rPr>
          <w:rFonts w:hint="eastAsia" w:ascii="宋体" w:hAnsi="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BADFE71">
      <w:pPr>
        <w:spacing w:line="560" w:lineRule="exact"/>
        <w:ind w:firstLine="482" w:firstLineChars="200"/>
        <w:outlineLvl w:val="0"/>
        <w:rPr>
          <w:rFonts w:hint="eastAsia" w:ascii="宋体" w:hAnsi="宋体" w:cs="宋体"/>
          <w:b/>
          <w:sz w:val="24"/>
        </w:rPr>
      </w:pPr>
      <w:bookmarkStart w:id="479" w:name="_Toc10611"/>
      <w:bookmarkStart w:id="480" w:name="_Toc279701254"/>
      <w:bookmarkStart w:id="481" w:name="_Ref467378121"/>
      <w:bookmarkStart w:id="482" w:name="_Toc259093683"/>
      <w:bookmarkStart w:id="483" w:name="_Toc487900364"/>
      <w:r>
        <w:rPr>
          <w:rFonts w:hint="eastAsia" w:ascii="宋体" w:hAnsi="宋体" w:cs="宋体"/>
          <w:b/>
          <w:sz w:val="24"/>
        </w:rPr>
        <w:t>2.9 合同变更</w:t>
      </w:r>
      <w:bookmarkEnd w:id="479"/>
    </w:p>
    <w:p w14:paraId="1FDAFA82">
      <w:pPr>
        <w:spacing w:line="560" w:lineRule="exact"/>
        <w:ind w:firstLine="480" w:firstLineChars="200"/>
        <w:rPr>
          <w:rFonts w:hint="eastAsia" w:ascii="宋体" w:hAnsi="宋体" w:cs="宋体"/>
          <w:sz w:val="24"/>
        </w:rPr>
      </w:pPr>
      <w:r>
        <w:rPr>
          <w:rFonts w:hint="eastAsia" w:ascii="宋体" w:hAnsi="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61E52C47">
      <w:pPr>
        <w:spacing w:line="560" w:lineRule="exact"/>
        <w:ind w:firstLine="480" w:firstLineChars="200"/>
        <w:rPr>
          <w:rFonts w:hint="eastAsia" w:ascii="宋体" w:hAnsi="宋体" w:cs="宋体"/>
          <w:sz w:val="24"/>
        </w:rPr>
      </w:pPr>
      <w:r>
        <w:rPr>
          <w:rFonts w:hint="eastAsia" w:ascii="宋体" w:hAnsi="宋体" w:cs="宋体"/>
          <w:sz w:val="24"/>
        </w:rPr>
        <w:t>2.9.2 合同继续履行将损害国家利益和社会公共利益的，双方当事人应当以书面形式变更合同。有过错的一方应当承担赔偿责任，双方当事人都有过错的，各自承担相应的责任。</w:t>
      </w:r>
      <w:bookmarkStart w:id="484" w:name="_Toc279701259"/>
      <w:bookmarkStart w:id="485" w:name="_Toc487900369"/>
      <w:bookmarkStart w:id="486" w:name="_Toc259093688"/>
    </w:p>
    <w:p w14:paraId="09919AC4">
      <w:pPr>
        <w:spacing w:line="560" w:lineRule="exact"/>
        <w:ind w:firstLine="482" w:firstLineChars="200"/>
        <w:outlineLvl w:val="0"/>
        <w:rPr>
          <w:rFonts w:hint="eastAsia" w:ascii="宋体" w:hAnsi="宋体" w:cs="宋体"/>
          <w:b/>
          <w:sz w:val="24"/>
        </w:rPr>
      </w:pPr>
      <w:bookmarkStart w:id="487" w:name="_Toc21830"/>
      <w:bookmarkStart w:id="488" w:name="_Toc10663"/>
      <w:bookmarkStart w:id="489" w:name="_Toc23368"/>
      <w:bookmarkStart w:id="490" w:name="_Toc42"/>
      <w:bookmarkStart w:id="491" w:name="_Toc26689"/>
      <w:r>
        <w:rPr>
          <w:rFonts w:hint="eastAsia" w:ascii="宋体" w:hAnsi="宋体" w:cs="宋体"/>
          <w:b/>
          <w:sz w:val="24"/>
        </w:rPr>
        <w:t>2.10 合同转让</w:t>
      </w:r>
      <w:bookmarkEnd w:id="484"/>
      <w:bookmarkEnd w:id="485"/>
      <w:bookmarkEnd w:id="486"/>
      <w:r>
        <w:rPr>
          <w:rFonts w:hint="eastAsia" w:ascii="宋体" w:hAnsi="宋体" w:cs="宋体"/>
          <w:b/>
          <w:sz w:val="24"/>
        </w:rPr>
        <w:t>和分包</w:t>
      </w:r>
      <w:bookmarkEnd w:id="487"/>
      <w:bookmarkEnd w:id="488"/>
      <w:bookmarkEnd w:id="489"/>
      <w:bookmarkEnd w:id="490"/>
      <w:bookmarkEnd w:id="491"/>
    </w:p>
    <w:p w14:paraId="494C82D2">
      <w:pPr>
        <w:spacing w:line="560" w:lineRule="exact"/>
        <w:ind w:firstLine="480" w:firstLineChars="200"/>
        <w:rPr>
          <w:rFonts w:hint="eastAsia"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2CCE710">
      <w:pPr>
        <w:spacing w:line="560" w:lineRule="exact"/>
        <w:ind w:firstLine="482" w:firstLineChars="200"/>
        <w:outlineLvl w:val="0"/>
        <w:rPr>
          <w:rFonts w:hint="eastAsia" w:ascii="宋体" w:hAnsi="宋体" w:cs="宋体"/>
          <w:b/>
          <w:sz w:val="24"/>
        </w:rPr>
      </w:pPr>
      <w:bookmarkStart w:id="492" w:name="_Toc26633"/>
      <w:bookmarkStart w:id="493" w:name="_Toc25571"/>
      <w:bookmarkStart w:id="494" w:name="_Toc4720"/>
      <w:bookmarkStart w:id="495" w:name="_Toc14371"/>
      <w:bookmarkStart w:id="496" w:name="_Toc32494"/>
      <w:r>
        <w:rPr>
          <w:rFonts w:hint="eastAsia" w:ascii="宋体" w:hAnsi="宋体" w:cs="宋体"/>
          <w:b/>
          <w:sz w:val="24"/>
        </w:rPr>
        <w:t>2.11 不可抗力</w:t>
      </w:r>
      <w:bookmarkEnd w:id="492"/>
      <w:bookmarkEnd w:id="493"/>
      <w:bookmarkEnd w:id="494"/>
      <w:bookmarkEnd w:id="495"/>
      <w:bookmarkEnd w:id="496"/>
    </w:p>
    <w:p w14:paraId="338EAA1B">
      <w:pPr>
        <w:spacing w:line="560" w:lineRule="exact"/>
        <w:ind w:firstLine="480" w:firstLineChars="200"/>
        <w:rPr>
          <w:rFonts w:hint="eastAsia" w:ascii="宋体" w:hAnsi="宋体" w:cs="宋体"/>
          <w:sz w:val="24"/>
        </w:rPr>
      </w:pPr>
      <w:r>
        <w:rPr>
          <w:rFonts w:hint="eastAsia" w:ascii="宋体" w:hAnsi="宋体" w:cs="宋体"/>
          <w:sz w:val="24"/>
        </w:rPr>
        <w:t>2.11.1如果任何一方遭遇法律规定的不可抗力，致使合同履行受阻时，履行合同的期限应予延长，延长的期限应相当于不可抗力所影响的时间；</w:t>
      </w:r>
    </w:p>
    <w:p w14:paraId="2A02A142">
      <w:pPr>
        <w:spacing w:line="560" w:lineRule="exact"/>
        <w:ind w:firstLine="480" w:firstLineChars="200"/>
        <w:rPr>
          <w:rFonts w:hint="eastAsia" w:ascii="宋体" w:hAnsi="宋体" w:cs="宋体"/>
          <w:sz w:val="24"/>
        </w:rPr>
      </w:pPr>
      <w:r>
        <w:rPr>
          <w:rFonts w:hint="eastAsia" w:ascii="宋体" w:hAnsi="宋体" w:cs="宋体"/>
          <w:sz w:val="24"/>
        </w:rPr>
        <w:t>2.11.2 因不可抗力致使不能实现合同目的的，当事人可以解除合同；</w:t>
      </w:r>
    </w:p>
    <w:p w14:paraId="52ED17F8">
      <w:pPr>
        <w:spacing w:line="560" w:lineRule="exact"/>
        <w:ind w:firstLine="480" w:firstLineChars="200"/>
        <w:rPr>
          <w:rFonts w:hint="eastAsia" w:ascii="宋体" w:hAnsi="宋体" w:cs="宋体"/>
          <w:sz w:val="24"/>
        </w:rPr>
      </w:pPr>
      <w:r>
        <w:rPr>
          <w:rFonts w:hint="eastAsia" w:ascii="宋体" w:hAnsi="宋体" w:cs="宋体"/>
          <w:sz w:val="24"/>
        </w:rPr>
        <w:t>2.11.3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14:paraId="7EDB4F79">
      <w:pPr>
        <w:spacing w:line="560" w:lineRule="exact"/>
        <w:ind w:firstLine="480" w:firstLineChars="200"/>
        <w:rPr>
          <w:rFonts w:hint="eastAsia" w:ascii="宋体" w:hAnsi="宋体" w:cs="宋体"/>
          <w:sz w:val="24"/>
        </w:rPr>
      </w:pPr>
      <w:r>
        <w:rPr>
          <w:rFonts w:hint="eastAsia" w:ascii="宋体" w:hAnsi="宋体" w:cs="宋体"/>
          <w:sz w:val="24"/>
        </w:rPr>
        <w:t>2.11.4受不可抗力影响的一方在不可抗力发生后，应在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14:paraId="3168C99D">
      <w:pPr>
        <w:spacing w:line="560" w:lineRule="exact"/>
        <w:ind w:firstLine="482" w:firstLineChars="200"/>
        <w:outlineLvl w:val="0"/>
        <w:rPr>
          <w:rFonts w:hint="eastAsia" w:ascii="宋体" w:hAnsi="宋体" w:cs="宋体"/>
          <w:b/>
          <w:sz w:val="24"/>
        </w:rPr>
      </w:pPr>
      <w:bookmarkStart w:id="497" w:name="_Toc259093684"/>
      <w:bookmarkStart w:id="498" w:name="_Toc3638"/>
      <w:bookmarkStart w:id="499" w:name="_Toc487900365"/>
      <w:bookmarkStart w:id="500" w:name="_Toc23854"/>
      <w:bookmarkStart w:id="501" w:name="_Toc24465"/>
      <w:bookmarkStart w:id="502" w:name="_Toc14115"/>
      <w:bookmarkStart w:id="503" w:name="_Toc25783"/>
      <w:bookmarkStart w:id="504" w:name="_Toc279701255"/>
      <w:r>
        <w:rPr>
          <w:rFonts w:hint="eastAsia" w:ascii="宋体" w:hAnsi="宋体" w:cs="宋体"/>
          <w:b/>
          <w:sz w:val="24"/>
        </w:rPr>
        <w:t>2.12 税费</w:t>
      </w:r>
      <w:bookmarkEnd w:id="497"/>
      <w:bookmarkEnd w:id="498"/>
      <w:bookmarkEnd w:id="499"/>
      <w:bookmarkEnd w:id="500"/>
      <w:bookmarkEnd w:id="501"/>
      <w:bookmarkEnd w:id="502"/>
      <w:bookmarkEnd w:id="503"/>
      <w:bookmarkEnd w:id="504"/>
    </w:p>
    <w:p w14:paraId="4497AE8C">
      <w:pPr>
        <w:spacing w:line="560" w:lineRule="exact"/>
        <w:ind w:firstLine="480" w:firstLineChars="200"/>
        <w:rPr>
          <w:rFonts w:hint="eastAsia" w:ascii="宋体" w:hAnsi="宋体" w:cs="宋体"/>
          <w:sz w:val="24"/>
        </w:rPr>
      </w:pPr>
      <w:r>
        <w:rPr>
          <w:rFonts w:hint="eastAsia" w:ascii="宋体" w:hAnsi="宋体" w:cs="宋体"/>
          <w:sz w:val="24"/>
        </w:rPr>
        <w:t>与合同有关的一切税费，均按照中华人民共和国法律的相关规定缴纳。</w:t>
      </w:r>
    </w:p>
    <w:p w14:paraId="013AAA98">
      <w:pPr>
        <w:spacing w:line="560" w:lineRule="exact"/>
        <w:ind w:firstLine="482" w:firstLineChars="200"/>
        <w:outlineLvl w:val="0"/>
        <w:rPr>
          <w:rFonts w:hint="eastAsia" w:ascii="宋体" w:hAnsi="宋体" w:cs="宋体"/>
          <w:b/>
          <w:sz w:val="24"/>
        </w:rPr>
      </w:pPr>
      <w:bookmarkStart w:id="505" w:name="_Toc30105"/>
      <w:bookmarkStart w:id="506" w:name="_Toc487900368"/>
      <w:bookmarkStart w:id="507" w:name="_Toc25525"/>
      <w:bookmarkStart w:id="508" w:name="_Toc279701258"/>
      <w:bookmarkStart w:id="509" w:name="_Toc26883"/>
      <w:bookmarkStart w:id="510" w:name="_Toc259093687"/>
      <w:bookmarkStart w:id="511" w:name="_Toc7315"/>
      <w:bookmarkStart w:id="512" w:name="_Toc14814"/>
      <w:r>
        <w:rPr>
          <w:rFonts w:hint="eastAsia" w:ascii="宋体" w:hAnsi="宋体" w:cs="宋体"/>
          <w:b/>
          <w:sz w:val="24"/>
        </w:rPr>
        <w:t>2.13 乙方破产</w:t>
      </w:r>
      <w:bookmarkEnd w:id="505"/>
      <w:bookmarkEnd w:id="506"/>
      <w:bookmarkEnd w:id="507"/>
      <w:bookmarkEnd w:id="508"/>
      <w:bookmarkEnd w:id="509"/>
      <w:bookmarkEnd w:id="510"/>
      <w:bookmarkEnd w:id="511"/>
      <w:bookmarkEnd w:id="512"/>
    </w:p>
    <w:p w14:paraId="0B1475C4">
      <w:pPr>
        <w:spacing w:line="560" w:lineRule="exact"/>
        <w:ind w:firstLine="480" w:firstLineChars="200"/>
        <w:rPr>
          <w:rFonts w:hint="eastAsia"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A11A1E5">
      <w:pPr>
        <w:spacing w:line="560" w:lineRule="exact"/>
        <w:ind w:firstLine="482" w:firstLineChars="200"/>
        <w:outlineLvl w:val="0"/>
        <w:rPr>
          <w:rFonts w:hint="eastAsia" w:ascii="宋体" w:hAnsi="宋体" w:cs="宋体"/>
          <w:b/>
          <w:sz w:val="24"/>
        </w:rPr>
      </w:pPr>
      <w:bookmarkStart w:id="513" w:name="_Toc23323"/>
      <w:bookmarkStart w:id="514" w:name="_Toc1123"/>
      <w:bookmarkStart w:id="515" w:name="_Toc2016"/>
      <w:r>
        <w:rPr>
          <w:rFonts w:hint="eastAsia" w:ascii="宋体" w:hAnsi="宋体" w:cs="宋体"/>
          <w:b/>
          <w:sz w:val="24"/>
        </w:rPr>
        <w:t>2.14 合同中止、终止</w:t>
      </w:r>
      <w:bookmarkEnd w:id="513"/>
      <w:bookmarkEnd w:id="514"/>
      <w:bookmarkEnd w:id="515"/>
    </w:p>
    <w:p w14:paraId="68496FB2">
      <w:pPr>
        <w:spacing w:line="560" w:lineRule="exact"/>
        <w:ind w:firstLine="480" w:firstLineChars="200"/>
        <w:rPr>
          <w:rFonts w:hint="eastAsia" w:ascii="宋体" w:hAnsi="宋体" w:cs="宋体"/>
          <w:sz w:val="24"/>
        </w:rPr>
      </w:pPr>
      <w:r>
        <w:rPr>
          <w:rFonts w:hint="eastAsia" w:ascii="宋体" w:hAnsi="宋体" w:cs="宋体"/>
          <w:sz w:val="24"/>
        </w:rPr>
        <w:t>2.14.1 双方当事人不得擅自中止或者终止合同；</w:t>
      </w:r>
    </w:p>
    <w:p w14:paraId="272CDBE1">
      <w:pPr>
        <w:spacing w:line="560" w:lineRule="exact"/>
        <w:ind w:firstLine="480" w:firstLineChars="200"/>
        <w:rPr>
          <w:rFonts w:hint="eastAsia" w:ascii="宋体" w:hAnsi="宋体" w:cs="宋体"/>
          <w:sz w:val="24"/>
        </w:rPr>
      </w:pPr>
      <w:r>
        <w:rPr>
          <w:rFonts w:hint="eastAsia" w:ascii="宋体" w:hAnsi="宋体" w:cs="宋体"/>
          <w:sz w:val="24"/>
        </w:rPr>
        <w:t>2.14.2合同继续履行将损害国家利益和社会公共利益的，双方当事人应当中止或者终止合同。有过错的一方应当承担赔偿责任，双方当事人都有过错的，各自承担相应的责任。</w:t>
      </w:r>
    </w:p>
    <w:p w14:paraId="2D23F322">
      <w:pPr>
        <w:spacing w:line="560" w:lineRule="exact"/>
        <w:ind w:firstLine="482" w:firstLineChars="200"/>
        <w:outlineLvl w:val="0"/>
        <w:rPr>
          <w:rFonts w:hint="eastAsia" w:ascii="宋体" w:hAnsi="宋体" w:cs="宋体"/>
          <w:b/>
          <w:sz w:val="24"/>
        </w:rPr>
      </w:pPr>
      <w:bookmarkStart w:id="516" w:name="_Toc17363"/>
      <w:bookmarkStart w:id="517" w:name="_Toc14525"/>
      <w:bookmarkStart w:id="518" w:name="_Toc1969"/>
      <w:r>
        <w:rPr>
          <w:rFonts w:hint="eastAsia" w:ascii="宋体" w:hAnsi="宋体" w:cs="宋体"/>
          <w:b/>
          <w:sz w:val="24"/>
        </w:rPr>
        <w:t>2.15 检验和验收</w:t>
      </w:r>
      <w:bookmarkEnd w:id="516"/>
      <w:bookmarkEnd w:id="517"/>
      <w:bookmarkEnd w:id="518"/>
    </w:p>
    <w:p w14:paraId="4CA3244A">
      <w:pPr>
        <w:tabs>
          <w:tab w:val="left" w:pos="360"/>
          <w:tab w:val="left" w:pos="540"/>
          <w:tab w:val="left" w:pos="1080"/>
        </w:tabs>
        <w:spacing w:line="560" w:lineRule="exact"/>
        <w:ind w:firstLine="480" w:firstLineChars="200"/>
        <w:rPr>
          <w:rFonts w:hint="eastAsia" w:ascii="宋体" w:hAnsi="宋体" w:cs="宋体"/>
          <w:sz w:val="24"/>
        </w:rPr>
      </w:pPr>
      <w:r>
        <w:rPr>
          <w:rFonts w:hint="eastAsia" w:ascii="宋体" w:hAnsi="宋体" w:cs="宋体"/>
          <w:sz w:val="24"/>
        </w:rPr>
        <w:t>2.15.1 乙方按照</w:t>
      </w:r>
      <w:r>
        <w:rPr>
          <w:rFonts w:hint="eastAsia" w:ascii="宋体" w:hAnsi="宋体" w:cs="宋体"/>
          <w:b/>
          <w:i/>
          <w:sz w:val="24"/>
          <w:u w:val="single"/>
        </w:rPr>
        <w:t>合同专用条款</w:t>
      </w:r>
      <w:r>
        <w:rPr>
          <w:rFonts w:hint="eastAsia" w:ascii="宋体" w:hAnsi="宋体" w:cs="宋体"/>
          <w:sz w:val="24"/>
        </w:rPr>
        <w:t>的约定，定期提交服务报告，甲方按照</w:t>
      </w:r>
      <w:r>
        <w:rPr>
          <w:rFonts w:hint="eastAsia" w:ascii="宋体" w:hAnsi="宋体" w:cs="宋体"/>
          <w:b/>
          <w:i/>
          <w:sz w:val="24"/>
          <w:u w:val="single"/>
        </w:rPr>
        <w:t>合同专用条款</w:t>
      </w:r>
      <w:r>
        <w:rPr>
          <w:rFonts w:hint="eastAsia" w:ascii="宋体" w:hAnsi="宋体" w:cs="宋体"/>
          <w:sz w:val="24"/>
        </w:rPr>
        <w:t>的约定进行定期验收；</w:t>
      </w:r>
    </w:p>
    <w:p w14:paraId="7B956C7C">
      <w:pPr>
        <w:tabs>
          <w:tab w:val="left" w:pos="360"/>
          <w:tab w:val="left" w:pos="540"/>
          <w:tab w:val="left" w:pos="1080"/>
        </w:tabs>
        <w:spacing w:line="560" w:lineRule="exact"/>
        <w:ind w:firstLine="480" w:firstLineChars="200"/>
        <w:rPr>
          <w:rFonts w:hint="eastAsia" w:ascii="宋体" w:hAnsi="宋体" w:cs="宋体"/>
          <w:sz w:val="24"/>
        </w:rPr>
      </w:pPr>
      <w:r>
        <w:rPr>
          <w:rFonts w:hint="eastAsia" w:ascii="宋体" w:hAnsi="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A28045C">
      <w:pPr>
        <w:tabs>
          <w:tab w:val="left" w:pos="360"/>
          <w:tab w:val="left" w:pos="540"/>
          <w:tab w:val="left" w:pos="1080"/>
        </w:tabs>
        <w:spacing w:line="560" w:lineRule="exact"/>
        <w:ind w:firstLine="480" w:firstLineChars="200"/>
        <w:rPr>
          <w:rFonts w:hint="eastAsia" w:ascii="宋体" w:hAnsi="宋体" w:cs="宋体"/>
          <w:sz w:val="24"/>
        </w:rPr>
      </w:pPr>
      <w:r>
        <w:rPr>
          <w:rFonts w:hint="eastAsia" w:ascii="宋体" w:hAnsi="宋体" w:cs="宋体"/>
          <w:sz w:val="24"/>
        </w:rPr>
        <w:t>2.15.3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480"/>
    <w:bookmarkEnd w:id="481"/>
    <w:bookmarkEnd w:id="482"/>
    <w:bookmarkEnd w:id="483"/>
    <w:p w14:paraId="637DFC45">
      <w:pPr>
        <w:spacing w:line="560" w:lineRule="exact"/>
        <w:ind w:firstLine="482" w:firstLineChars="200"/>
        <w:outlineLvl w:val="0"/>
        <w:rPr>
          <w:rFonts w:hint="eastAsia" w:ascii="宋体" w:hAnsi="宋体" w:cs="宋体"/>
          <w:b/>
          <w:sz w:val="24"/>
        </w:rPr>
      </w:pPr>
      <w:bookmarkStart w:id="519" w:name="_Toc279701261"/>
      <w:bookmarkStart w:id="520" w:name="_Toc259093690"/>
      <w:bookmarkStart w:id="521" w:name="_Toc487900371"/>
      <w:bookmarkStart w:id="522" w:name="_Toc12666"/>
      <w:bookmarkStart w:id="523" w:name="_Toc9808"/>
      <w:bookmarkStart w:id="524" w:name="_Toc25198"/>
      <w:bookmarkStart w:id="525" w:name="_Toc31892"/>
      <w:bookmarkStart w:id="526" w:name="_Toc2308"/>
      <w:r>
        <w:rPr>
          <w:rFonts w:hint="eastAsia" w:ascii="宋体" w:hAnsi="宋体" w:cs="宋体"/>
          <w:b/>
          <w:sz w:val="24"/>
        </w:rPr>
        <w:t>2.16 通知</w:t>
      </w:r>
      <w:bookmarkEnd w:id="519"/>
      <w:bookmarkEnd w:id="520"/>
      <w:bookmarkEnd w:id="521"/>
      <w:r>
        <w:rPr>
          <w:rFonts w:hint="eastAsia" w:ascii="宋体" w:hAnsi="宋体" w:cs="宋体"/>
          <w:b/>
          <w:sz w:val="24"/>
        </w:rPr>
        <w:t>和送达</w:t>
      </w:r>
      <w:bookmarkEnd w:id="522"/>
      <w:bookmarkEnd w:id="523"/>
      <w:bookmarkEnd w:id="524"/>
      <w:bookmarkEnd w:id="525"/>
      <w:bookmarkEnd w:id="526"/>
    </w:p>
    <w:p w14:paraId="4115DFA5">
      <w:pPr>
        <w:spacing w:line="560" w:lineRule="exact"/>
        <w:ind w:firstLine="480" w:firstLineChars="200"/>
        <w:rPr>
          <w:rFonts w:hint="eastAsia" w:ascii="宋体" w:hAnsi="宋体" w:cs="宋体"/>
          <w:sz w:val="24"/>
        </w:rPr>
      </w:pPr>
      <w:bookmarkStart w:id="527" w:name="_Toc7073"/>
      <w:bookmarkStart w:id="528" w:name="_Toc29220"/>
      <w:bookmarkStart w:id="529" w:name="_Toc279701262"/>
      <w:bookmarkStart w:id="530" w:name="_Toc487900372"/>
      <w:bookmarkStart w:id="531" w:name="_Toc259093691"/>
      <w:r>
        <w:rPr>
          <w:rFonts w:hint="eastAsia" w:ascii="宋体" w:hAnsi="宋体" w:cs="宋体"/>
          <w:sz w:val="24"/>
        </w:rPr>
        <w:t>2.16.1 任何一方因履行合同而以合同第一部分尾部所列明的</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个工作日内书面通知对方当事人，在对方当事人收到有关变更通知之前，变更前的约定送达方式或者地址仍视为有效。</w:t>
      </w:r>
      <w:bookmarkEnd w:id="527"/>
      <w:bookmarkEnd w:id="528"/>
    </w:p>
    <w:p w14:paraId="0ECABE59">
      <w:pPr>
        <w:spacing w:line="560" w:lineRule="exact"/>
        <w:ind w:firstLine="480" w:firstLineChars="200"/>
        <w:rPr>
          <w:rFonts w:hint="eastAsia" w:ascii="宋体" w:hAnsi="宋体" w:cs="宋体"/>
          <w:sz w:val="24"/>
        </w:rPr>
      </w:pPr>
      <w:bookmarkStart w:id="532" w:name="_Toc18401"/>
      <w:bookmarkStart w:id="533" w:name="_Toc27674"/>
      <w:r>
        <w:rPr>
          <w:rFonts w:hint="eastAsia" w:ascii="宋体" w:hAnsi="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2"/>
      <w:bookmarkEnd w:id="533"/>
    </w:p>
    <w:bookmarkEnd w:id="529"/>
    <w:bookmarkEnd w:id="530"/>
    <w:bookmarkEnd w:id="531"/>
    <w:p w14:paraId="16F7DDB5">
      <w:pPr>
        <w:spacing w:line="560" w:lineRule="exact"/>
        <w:ind w:firstLine="482" w:firstLineChars="200"/>
        <w:outlineLvl w:val="0"/>
        <w:rPr>
          <w:rFonts w:hint="eastAsia" w:ascii="宋体" w:hAnsi="宋体" w:cs="宋体"/>
          <w:b/>
          <w:sz w:val="24"/>
        </w:rPr>
      </w:pPr>
      <w:bookmarkStart w:id="534" w:name="_Toc12254"/>
      <w:bookmarkStart w:id="535" w:name="_Toc279701263"/>
      <w:bookmarkStart w:id="536" w:name="_Toc20808"/>
      <w:bookmarkStart w:id="537" w:name="_Toc5063"/>
      <w:bookmarkStart w:id="538" w:name="_Toc487900373"/>
      <w:bookmarkStart w:id="539" w:name="_Toc28906"/>
      <w:bookmarkStart w:id="540" w:name="_Toc27644"/>
      <w:bookmarkStart w:id="541" w:name="_Toc259093692"/>
      <w:r>
        <w:rPr>
          <w:rFonts w:hint="eastAsia" w:ascii="宋体" w:hAnsi="宋体" w:cs="宋体"/>
          <w:b/>
          <w:sz w:val="24"/>
        </w:rPr>
        <w:t>2.17 合同使用的文字和适用的法律</w:t>
      </w:r>
      <w:bookmarkEnd w:id="534"/>
      <w:bookmarkEnd w:id="535"/>
      <w:bookmarkEnd w:id="536"/>
      <w:bookmarkEnd w:id="537"/>
      <w:bookmarkEnd w:id="538"/>
      <w:bookmarkEnd w:id="539"/>
      <w:bookmarkEnd w:id="540"/>
      <w:bookmarkEnd w:id="541"/>
    </w:p>
    <w:p w14:paraId="03C8A56C">
      <w:pPr>
        <w:spacing w:line="560" w:lineRule="exact"/>
        <w:ind w:firstLine="480" w:firstLineChars="200"/>
        <w:rPr>
          <w:rFonts w:hint="eastAsia" w:ascii="宋体" w:hAnsi="宋体" w:cs="宋体"/>
          <w:sz w:val="24"/>
        </w:rPr>
      </w:pPr>
      <w:r>
        <w:rPr>
          <w:rFonts w:hint="eastAsia" w:ascii="宋体" w:hAnsi="宋体" w:cs="宋体"/>
          <w:sz w:val="24"/>
        </w:rPr>
        <w:t>2.17.1 合同使用</w:t>
      </w:r>
      <w:r>
        <w:rPr>
          <w:rFonts w:hint="eastAsia" w:ascii="宋体" w:hAnsi="宋体" w:cs="宋体"/>
          <w:sz w:val="24"/>
          <w:lang w:val="en-US" w:eastAsia="zh-CN"/>
        </w:rPr>
        <w:t>中文</w:t>
      </w:r>
      <w:r>
        <w:rPr>
          <w:rFonts w:hint="eastAsia" w:ascii="宋体" w:hAnsi="宋体" w:cs="宋体"/>
          <w:sz w:val="24"/>
        </w:rPr>
        <w:t>就、变更和解释；</w:t>
      </w:r>
    </w:p>
    <w:p w14:paraId="728906A7">
      <w:pPr>
        <w:spacing w:line="560" w:lineRule="exact"/>
        <w:ind w:firstLine="480" w:firstLineChars="200"/>
        <w:rPr>
          <w:rFonts w:hint="eastAsia" w:ascii="宋体" w:hAnsi="宋体" w:cs="宋体"/>
          <w:sz w:val="24"/>
        </w:rPr>
      </w:pPr>
      <w:r>
        <w:rPr>
          <w:rFonts w:hint="eastAsia" w:ascii="宋体" w:hAnsi="宋体" w:cs="宋体"/>
          <w:sz w:val="24"/>
        </w:rPr>
        <w:t>2.17.2 合同适用中华人民共和国法律。</w:t>
      </w:r>
    </w:p>
    <w:p w14:paraId="2C2FDF5E">
      <w:pPr>
        <w:spacing w:line="560" w:lineRule="exact"/>
        <w:ind w:firstLine="482" w:firstLineChars="200"/>
        <w:outlineLvl w:val="0"/>
        <w:rPr>
          <w:rFonts w:hint="eastAsia" w:ascii="宋体" w:hAnsi="宋体" w:cs="宋体"/>
          <w:b/>
          <w:sz w:val="24"/>
        </w:rPr>
      </w:pPr>
      <w:bookmarkStart w:id="542" w:name="_Toc30096"/>
      <w:bookmarkStart w:id="543" w:name="_Toc259093693"/>
      <w:bookmarkStart w:id="544" w:name="_Toc1492"/>
      <w:bookmarkStart w:id="545" w:name="_Toc22266"/>
      <w:bookmarkStart w:id="546" w:name="_Toc27403"/>
      <w:bookmarkStart w:id="547" w:name="_Toc279701264"/>
      <w:bookmarkStart w:id="548" w:name="_Toc27127"/>
      <w:bookmarkStart w:id="549" w:name="_Toc487900374"/>
      <w:r>
        <w:rPr>
          <w:rFonts w:hint="eastAsia" w:ascii="宋体" w:hAnsi="宋体" w:cs="宋体"/>
          <w:b/>
          <w:sz w:val="24"/>
        </w:rPr>
        <w:t>2.18 履约保证金</w:t>
      </w:r>
      <w:bookmarkEnd w:id="542"/>
      <w:bookmarkEnd w:id="543"/>
      <w:bookmarkEnd w:id="544"/>
      <w:bookmarkEnd w:id="545"/>
      <w:bookmarkEnd w:id="546"/>
      <w:bookmarkEnd w:id="547"/>
      <w:bookmarkEnd w:id="548"/>
    </w:p>
    <w:p w14:paraId="623295B0">
      <w:pPr>
        <w:spacing w:line="560" w:lineRule="exact"/>
        <w:ind w:firstLine="480" w:firstLineChars="200"/>
        <w:rPr>
          <w:rFonts w:hint="eastAsia" w:ascii="宋体" w:hAnsi="宋体" w:cs="宋体"/>
          <w:sz w:val="24"/>
        </w:rPr>
      </w:pPr>
      <w:r>
        <w:rPr>
          <w:rFonts w:hint="eastAsia" w:ascii="宋体" w:hAnsi="宋体" w:cs="宋体"/>
          <w:sz w:val="24"/>
        </w:rPr>
        <w:t>2.18.1 采购文件要求乙方提交履约保证金的，乙方应按</w:t>
      </w:r>
      <w:r>
        <w:rPr>
          <w:rFonts w:hint="eastAsia" w:ascii="宋体" w:hAnsi="宋体" w:cs="宋体"/>
          <w:b/>
          <w:i/>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14:paraId="3F067279">
      <w:pPr>
        <w:spacing w:line="560" w:lineRule="exact"/>
        <w:ind w:firstLine="480" w:firstLineChars="200"/>
        <w:rPr>
          <w:rFonts w:hint="eastAsia" w:ascii="宋体" w:hAnsi="宋体" w:cs="宋体"/>
          <w:sz w:val="24"/>
        </w:rPr>
      </w:pPr>
      <w:r>
        <w:rPr>
          <w:rFonts w:hint="eastAsia" w:ascii="宋体" w:hAnsi="宋体" w:cs="宋体"/>
          <w:sz w:val="24"/>
        </w:rPr>
        <w:t>2.18.2 履约保证金在</w:t>
      </w:r>
      <w:r>
        <w:rPr>
          <w:rFonts w:hint="eastAsia" w:ascii="宋体" w:hAnsi="宋体" w:cs="宋体"/>
          <w:b/>
          <w:i/>
          <w:sz w:val="24"/>
          <w:u w:val="single"/>
        </w:rPr>
        <w:t>合同专用条款</w:t>
      </w:r>
      <w:r>
        <w:rPr>
          <w:rFonts w:hint="eastAsia" w:ascii="宋体" w:hAnsi="宋体" w:cs="宋体"/>
          <w:sz w:val="24"/>
        </w:rPr>
        <w:t>约定期间内不予退还或者应完全有效，前述约定期间届满之日起</w:t>
      </w:r>
      <w:r>
        <w:rPr>
          <w:rFonts w:hint="eastAsia" w:ascii="宋体" w:hAnsi="宋体" w:cs="宋体"/>
          <w:sz w:val="24"/>
          <w:u w:val="single"/>
        </w:rPr>
        <w:t xml:space="preserve">    </w:t>
      </w:r>
      <w:r>
        <w:rPr>
          <w:rFonts w:hint="eastAsia" w:ascii="宋体" w:hAnsi="宋体" w:cs="宋体"/>
          <w:sz w:val="24"/>
        </w:rPr>
        <w:t>个工作日内，甲方应将履约保证金退还乙方；</w:t>
      </w:r>
    </w:p>
    <w:p w14:paraId="5C44FBF1">
      <w:pPr>
        <w:spacing w:line="560" w:lineRule="exact"/>
        <w:ind w:firstLine="480" w:firstLineChars="200"/>
        <w:rPr>
          <w:rFonts w:hint="eastAsia" w:ascii="宋体" w:hAnsi="宋体" w:cs="宋体"/>
          <w:sz w:val="24"/>
        </w:rPr>
      </w:pPr>
      <w:r>
        <w:rPr>
          <w:rFonts w:hint="eastAsia" w:ascii="宋体" w:hAnsi="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49"/>
    <w:p w14:paraId="75F4BA60">
      <w:pPr>
        <w:spacing w:line="560" w:lineRule="exact"/>
        <w:ind w:firstLine="482" w:firstLineChars="200"/>
        <w:rPr>
          <w:rFonts w:hint="eastAsia" w:ascii="宋体" w:hAnsi="宋体" w:cs="宋体"/>
          <w:b/>
          <w:sz w:val="24"/>
        </w:rPr>
      </w:pPr>
      <w:r>
        <w:rPr>
          <w:rFonts w:hint="eastAsia" w:ascii="宋体" w:hAnsi="宋体" w:cs="宋体"/>
          <w:b/>
          <w:sz w:val="24"/>
        </w:rPr>
        <w:t>2.19 合同份数</w:t>
      </w:r>
    </w:p>
    <w:p w14:paraId="3961F0F4">
      <w:pPr>
        <w:spacing w:line="560" w:lineRule="exact"/>
        <w:ind w:firstLine="480" w:firstLineChars="200"/>
        <w:rPr>
          <w:rFonts w:hint="eastAsia"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14:paraId="668A4CC2">
      <w:pPr>
        <w:pStyle w:val="68"/>
        <w:spacing w:line="560" w:lineRule="exact"/>
        <w:ind w:firstLine="0"/>
        <w:jc w:val="center"/>
        <w:rPr>
          <w:rFonts w:hint="eastAsia" w:hAnsi="宋体" w:cs="宋体"/>
          <w:b/>
          <w:szCs w:val="24"/>
        </w:rPr>
      </w:pPr>
      <w:r>
        <w:rPr>
          <w:rFonts w:hint="eastAsia" w:hAnsi="宋体" w:cs="宋体"/>
          <w:szCs w:val="24"/>
        </w:rPr>
        <w:br w:type="page"/>
      </w:r>
      <w:bookmarkStart w:id="550" w:name="_Toc331685784"/>
      <w:r>
        <w:rPr>
          <w:rFonts w:hint="eastAsia" w:hAnsi="宋体" w:cs="宋体"/>
          <w:b/>
          <w:szCs w:val="24"/>
        </w:rPr>
        <w:t>第三部分  合同专用条款</w:t>
      </w:r>
      <w:bookmarkEnd w:id="550"/>
    </w:p>
    <w:p w14:paraId="0D680CB4">
      <w:pPr>
        <w:spacing w:line="560" w:lineRule="exact"/>
        <w:ind w:firstLine="480" w:firstLineChars="200"/>
        <w:rPr>
          <w:rFonts w:hint="eastAsia"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6F10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74149AD5">
            <w:pPr>
              <w:spacing w:line="560" w:lineRule="exact"/>
              <w:jc w:val="center"/>
              <w:rPr>
                <w:rFonts w:hint="eastAsia" w:ascii="宋体" w:hAnsi="宋体" w:cs="宋体"/>
                <w:b/>
                <w:sz w:val="24"/>
              </w:rPr>
            </w:pPr>
            <w:r>
              <w:rPr>
                <w:rFonts w:hint="eastAsia" w:ascii="宋体" w:hAnsi="宋体" w:cs="宋体"/>
                <w:b/>
                <w:sz w:val="24"/>
              </w:rPr>
              <w:t>条款号</w:t>
            </w:r>
          </w:p>
        </w:tc>
        <w:tc>
          <w:tcPr>
            <w:tcW w:w="7633" w:type="dxa"/>
            <w:noWrap w:val="0"/>
            <w:vAlign w:val="center"/>
          </w:tcPr>
          <w:p w14:paraId="07567976">
            <w:pPr>
              <w:spacing w:line="560" w:lineRule="exact"/>
              <w:jc w:val="center"/>
              <w:rPr>
                <w:rFonts w:hint="eastAsia" w:ascii="宋体" w:hAnsi="宋体" w:cs="宋体"/>
                <w:b/>
                <w:sz w:val="24"/>
              </w:rPr>
            </w:pPr>
            <w:r>
              <w:rPr>
                <w:rFonts w:hint="eastAsia" w:ascii="宋体" w:hAnsi="宋体" w:cs="宋体"/>
                <w:b/>
                <w:sz w:val="24"/>
              </w:rPr>
              <w:t>约定内容</w:t>
            </w:r>
          </w:p>
        </w:tc>
      </w:tr>
      <w:tr w14:paraId="5BD59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0159F8EC">
            <w:pPr>
              <w:spacing w:line="560" w:lineRule="exact"/>
              <w:rPr>
                <w:rFonts w:hint="eastAsia" w:ascii="宋体" w:hAnsi="宋体" w:cs="宋体"/>
                <w:sz w:val="24"/>
              </w:rPr>
            </w:pPr>
          </w:p>
        </w:tc>
        <w:tc>
          <w:tcPr>
            <w:tcW w:w="7633" w:type="dxa"/>
            <w:noWrap w:val="0"/>
            <w:vAlign w:val="center"/>
          </w:tcPr>
          <w:p w14:paraId="4B83616E">
            <w:pPr>
              <w:spacing w:line="560" w:lineRule="exact"/>
              <w:rPr>
                <w:rFonts w:hint="eastAsia" w:ascii="宋体" w:hAnsi="宋体" w:cs="宋体"/>
                <w:sz w:val="24"/>
              </w:rPr>
            </w:pPr>
          </w:p>
        </w:tc>
      </w:tr>
      <w:tr w14:paraId="3021E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3C121EB">
            <w:pPr>
              <w:spacing w:line="560" w:lineRule="exact"/>
              <w:rPr>
                <w:rFonts w:hint="eastAsia" w:ascii="宋体" w:hAnsi="宋体" w:cs="宋体"/>
                <w:sz w:val="24"/>
              </w:rPr>
            </w:pPr>
          </w:p>
        </w:tc>
        <w:tc>
          <w:tcPr>
            <w:tcW w:w="7633" w:type="dxa"/>
            <w:noWrap w:val="0"/>
            <w:vAlign w:val="center"/>
          </w:tcPr>
          <w:p w14:paraId="4FB04692">
            <w:pPr>
              <w:spacing w:line="560" w:lineRule="exact"/>
              <w:rPr>
                <w:rFonts w:hint="eastAsia" w:ascii="宋体" w:hAnsi="宋体" w:cs="宋体"/>
                <w:sz w:val="24"/>
              </w:rPr>
            </w:pPr>
          </w:p>
        </w:tc>
      </w:tr>
      <w:tr w14:paraId="53C57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E7ECEBD">
            <w:pPr>
              <w:spacing w:line="560" w:lineRule="exact"/>
              <w:rPr>
                <w:rFonts w:hint="eastAsia" w:ascii="宋体" w:hAnsi="宋体" w:cs="宋体"/>
                <w:sz w:val="24"/>
              </w:rPr>
            </w:pPr>
          </w:p>
        </w:tc>
        <w:tc>
          <w:tcPr>
            <w:tcW w:w="7633" w:type="dxa"/>
            <w:noWrap w:val="0"/>
            <w:vAlign w:val="center"/>
          </w:tcPr>
          <w:p w14:paraId="6730CF1A">
            <w:pPr>
              <w:spacing w:line="560" w:lineRule="exact"/>
              <w:rPr>
                <w:rFonts w:hint="eastAsia" w:ascii="宋体" w:hAnsi="宋体" w:cs="宋体"/>
                <w:sz w:val="24"/>
              </w:rPr>
            </w:pPr>
          </w:p>
        </w:tc>
      </w:tr>
      <w:tr w14:paraId="3F009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42F5344">
            <w:pPr>
              <w:spacing w:line="560" w:lineRule="exact"/>
              <w:rPr>
                <w:rFonts w:hint="eastAsia" w:ascii="宋体" w:hAnsi="宋体" w:cs="宋体"/>
                <w:sz w:val="24"/>
              </w:rPr>
            </w:pPr>
          </w:p>
        </w:tc>
        <w:tc>
          <w:tcPr>
            <w:tcW w:w="7633" w:type="dxa"/>
            <w:noWrap w:val="0"/>
            <w:vAlign w:val="center"/>
          </w:tcPr>
          <w:p w14:paraId="4851976B">
            <w:pPr>
              <w:spacing w:line="560" w:lineRule="exact"/>
              <w:rPr>
                <w:rFonts w:hint="eastAsia" w:ascii="宋体" w:hAnsi="宋体" w:cs="宋体"/>
                <w:sz w:val="24"/>
              </w:rPr>
            </w:pPr>
          </w:p>
        </w:tc>
      </w:tr>
      <w:tr w14:paraId="29E8A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74D48BD">
            <w:pPr>
              <w:spacing w:line="560" w:lineRule="exact"/>
              <w:rPr>
                <w:rFonts w:hint="eastAsia" w:ascii="宋体" w:hAnsi="宋体" w:cs="宋体"/>
                <w:sz w:val="24"/>
              </w:rPr>
            </w:pPr>
          </w:p>
        </w:tc>
        <w:tc>
          <w:tcPr>
            <w:tcW w:w="7633" w:type="dxa"/>
            <w:noWrap w:val="0"/>
            <w:vAlign w:val="center"/>
          </w:tcPr>
          <w:p w14:paraId="31F286FE">
            <w:pPr>
              <w:spacing w:line="560" w:lineRule="exact"/>
              <w:rPr>
                <w:rFonts w:hint="eastAsia" w:ascii="宋体" w:hAnsi="宋体" w:cs="宋体"/>
                <w:sz w:val="24"/>
                <w:u w:val="single"/>
              </w:rPr>
            </w:pPr>
          </w:p>
        </w:tc>
      </w:tr>
      <w:tr w14:paraId="2618A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00FEEB4">
            <w:pPr>
              <w:spacing w:line="560" w:lineRule="exact"/>
              <w:rPr>
                <w:rFonts w:hint="eastAsia" w:ascii="宋体" w:hAnsi="宋体" w:cs="宋体"/>
                <w:sz w:val="24"/>
              </w:rPr>
            </w:pPr>
          </w:p>
        </w:tc>
        <w:tc>
          <w:tcPr>
            <w:tcW w:w="7633" w:type="dxa"/>
            <w:noWrap w:val="0"/>
            <w:vAlign w:val="center"/>
          </w:tcPr>
          <w:p w14:paraId="19E58397">
            <w:pPr>
              <w:spacing w:line="560" w:lineRule="exact"/>
              <w:rPr>
                <w:rFonts w:hint="eastAsia" w:ascii="宋体" w:hAnsi="宋体" w:cs="宋体"/>
                <w:sz w:val="24"/>
              </w:rPr>
            </w:pPr>
          </w:p>
        </w:tc>
      </w:tr>
      <w:tr w14:paraId="09116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DA8D44D">
            <w:pPr>
              <w:spacing w:line="560" w:lineRule="exact"/>
              <w:rPr>
                <w:rFonts w:hint="eastAsia" w:ascii="宋体" w:hAnsi="宋体" w:cs="宋体"/>
                <w:sz w:val="24"/>
              </w:rPr>
            </w:pPr>
          </w:p>
        </w:tc>
        <w:tc>
          <w:tcPr>
            <w:tcW w:w="7633" w:type="dxa"/>
            <w:noWrap w:val="0"/>
            <w:vAlign w:val="center"/>
          </w:tcPr>
          <w:p w14:paraId="7FB4D2E0">
            <w:pPr>
              <w:spacing w:line="560" w:lineRule="exact"/>
              <w:rPr>
                <w:rFonts w:hint="eastAsia" w:ascii="宋体" w:hAnsi="宋体" w:cs="宋体"/>
                <w:sz w:val="24"/>
                <w:u w:val="single"/>
              </w:rPr>
            </w:pPr>
          </w:p>
        </w:tc>
      </w:tr>
      <w:tr w14:paraId="42A14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DA5D9DD">
            <w:pPr>
              <w:spacing w:line="560" w:lineRule="exact"/>
              <w:rPr>
                <w:rFonts w:hint="eastAsia" w:ascii="宋体" w:hAnsi="宋体" w:cs="宋体"/>
                <w:sz w:val="24"/>
              </w:rPr>
            </w:pPr>
          </w:p>
        </w:tc>
        <w:tc>
          <w:tcPr>
            <w:tcW w:w="7633" w:type="dxa"/>
            <w:noWrap w:val="0"/>
            <w:vAlign w:val="center"/>
          </w:tcPr>
          <w:p w14:paraId="19C1C0DF">
            <w:pPr>
              <w:spacing w:line="560" w:lineRule="exact"/>
              <w:rPr>
                <w:rFonts w:hint="eastAsia" w:ascii="宋体" w:hAnsi="宋体" w:cs="宋体"/>
                <w:sz w:val="24"/>
              </w:rPr>
            </w:pPr>
          </w:p>
        </w:tc>
      </w:tr>
      <w:tr w14:paraId="75152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6226174B">
            <w:pPr>
              <w:spacing w:line="560" w:lineRule="exact"/>
              <w:rPr>
                <w:rFonts w:hint="eastAsia" w:ascii="宋体" w:hAnsi="宋体" w:cs="宋体"/>
                <w:sz w:val="24"/>
              </w:rPr>
            </w:pPr>
          </w:p>
        </w:tc>
        <w:tc>
          <w:tcPr>
            <w:tcW w:w="7633" w:type="dxa"/>
            <w:noWrap w:val="0"/>
            <w:vAlign w:val="center"/>
          </w:tcPr>
          <w:p w14:paraId="35AA5523">
            <w:pPr>
              <w:spacing w:line="560" w:lineRule="exact"/>
              <w:rPr>
                <w:rFonts w:hint="eastAsia" w:ascii="宋体" w:hAnsi="宋体" w:cs="宋体"/>
                <w:sz w:val="24"/>
              </w:rPr>
            </w:pPr>
          </w:p>
        </w:tc>
      </w:tr>
      <w:tr w14:paraId="649A5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888596C">
            <w:pPr>
              <w:spacing w:line="560" w:lineRule="exact"/>
              <w:rPr>
                <w:rFonts w:hint="eastAsia" w:ascii="宋体" w:hAnsi="宋体" w:cs="宋体"/>
                <w:sz w:val="24"/>
              </w:rPr>
            </w:pPr>
          </w:p>
        </w:tc>
        <w:tc>
          <w:tcPr>
            <w:tcW w:w="7633" w:type="dxa"/>
            <w:noWrap w:val="0"/>
            <w:vAlign w:val="center"/>
          </w:tcPr>
          <w:p w14:paraId="4976FD8E">
            <w:pPr>
              <w:spacing w:line="560" w:lineRule="exact"/>
              <w:rPr>
                <w:rFonts w:hint="eastAsia" w:ascii="宋体" w:hAnsi="宋体" w:cs="宋体"/>
                <w:sz w:val="24"/>
              </w:rPr>
            </w:pPr>
          </w:p>
        </w:tc>
      </w:tr>
      <w:tr w14:paraId="5FF30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27FA436">
            <w:pPr>
              <w:spacing w:line="560" w:lineRule="exact"/>
              <w:rPr>
                <w:rFonts w:hint="eastAsia" w:ascii="宋体" w:hAnsi="宋体" w:cs="宋体"/>
                <w:sz w:val="24"/>
              </w:rPr>
            </w:pPr>
          </w:p>
        </w:tc>
        <w:tc>
          <w:tcPr>
            <w:tcW w:w="7633" w:type="dxa"/>
            <w:noWrap w:val="0"/>
            <w:vAlign w:val="center"/>
          </w:tcPr>
          <w:p w14:paraId="7423D4F0">
            <w:pPr>
              <w:spacing w:line="560" w:lineRule="exact"/>
              <w:rPr>
                <w:rFonts w:hint="eastAsia" w:ascii="宋体" w:hAnsi="宋体" w:cs="宋体"/>
                <w:sz w:val="24"/>
              </w:rPr>
            </w:pPr>
          </w:p>
        </w:tc>
      </w:tr>
      <w:tr w14:paraId="7CB29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2A529642">
            <w:pPr>
              <w:spacing w:line="560" w:lineRule="exact"/>
              <w:rPr>
                <w:rFonts w:hint="eastAsia" w:ascii="宋体" w:hAnsi="宋体" w:cs="宋体"/>
                <w:sz w:val="24"/>
              </w:rPr>
            </w:pPr>
          </w:p>
        </w:tc>
        <w:tc>
          <w:tcPr>
            <w:tcW w:w="7633" w:type="dxa"/>
            <w:noWrap w:val="0"/>
            <w:vAlign w:val="center"/>
          </w:tcPr>
          <w:p w14:paraId="556D0BC5">
            <w:pPr>
              <w:spacing w:line="560" w:lineRule="exact"/>
              <w:rPr>
                <w:rFonts w:hint="eastAsia" w:ascii="宋体" w:hAnsi="宋体" w:cs="宋体"/>
                <w:sz w:val="24"/>
              </w:rPr>
            </w:pPr>
          </w:p>
        </w:tc>
      </w:tr>
    </w:tbl>
    <w:p w14:paraId="5167EEB3">
      <w:pPr>
        <w:spacing w:after="156" w:line="560" w:lineRule="exact"/>
        <w:ind w:firstLine="480"/>
        <w:rPr>
          <w:rFonts w:hint="eastAsia" w:ascii="宋体" w:hAnsi="宋体" w:cs="宋体"/>
        </w:rPr>
      </w:pPr>
    </w:p>
    <w:p w14:paraId="7B1CD424">
      <w:pPr>
        <w:pStyle w:val="3"/>
        <w:spacing w:before="0" w:line="240" w:lineRule="atLeast"/>
        <w:ind w:left="1080" w:leftChars="257" w:hanging="540"/>
        <w:rPr>
          <w:rFonts w:hint="eastAsia" w:ascii="宋体" w:hAnsi="宋体" w:eastAsia="宋体" w:cs="宋体"/>
          <w:sz w:val="24"/>
        </w:rPr>
      </w:pPr>
    </w:p>
    <w:p w14:paraId="1212AFE3">
      <w:pPr>
        <w:rPr>
          <w:rFonts w:hint="eastAsia" w:ascii="宋体" w:hAnsi="宋体" w:cs="宋体"/>
        </w:rPr>
      </w:pPr>
    </w:p>
    <w:p w14:paraId="2A7ED4F8">
      <w:pPr>
        <w:pStyle w:val="5"/>
        <w:spacing w:line="240" w:lineRule="atLeast"/>
        <w:ind w:firstLine="0"/>
        <w:rPr>
          <w:rFonts w:hint="eastAsia" w:hAnsi="宋体" w:cs="宋体"/>
          <w:color w:val="000000"/>
          <w:sz w:val="28"/>
        </w:rPr>
      </w:pPr>
    </w:p>
    <w:p w14:paraId="58E17801">
      <w:pPr>
        <w:pStyle w:val="5"/>
        <w:spacing w:line="240" w:lineRule="atLeast"/>
        <w:ind w:left="1080" w:leftChars="257" w:hanging="540"/>
        <w:rPr>
          <w:rFonts w:hint="eastAsia" w:hAnsi="宋体" w:cs="宋体"/>
          <w:color w:val="auto"/>
          <w:sz w:val="28"/>
          <w:highlight w:val="none"/>
        </w:rPr>
      </w:pPr>
    </w:p>
    <w:sectPr>
      <w:headerReference r:id="rId23" w:type="default"/>
      <w:footerReference r:id="rId24"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F0EBE20-C1F9-4727-8C28-80D9DE5ED06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2AD93D78-850F-441E-A301-BF4A381A178D}"/>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3E705161-BC36-459C-AB34-9D00756E53ED}"/>
  </w:font>
  <w:font w:name="仿宋">
    <w:panose1 w:val="02010609060101010101"/>
    <w:charset w:val="86"/>
    <w:family w:val="auto"/>
    <w:pitch w:val="default"/>
    <w:sig w:usb0="800002BF" w:usb1="38CF7CFA" w:usb2="00000016" w:usb3="00000000" w:csb0="00040001" w:csb1="00000000"/>
    <w:embedRegular r:id="rId4" w:fontKey="{F685584D-77D9-446F-859F-E61B12DCA1C7}"/>
  </w:font>
  <w:font w:name="方正仿宋_GB2312">
    <w:panose1 w:val="02000000000000000000"/>
    <w:charset w:val="86"/>
    <w:family w:val="auto"/>
    <w:pitch w:val="default"/>
    <w:sig w:usb0="A00002BF" w:usb1="184F6CFA" w:usb2="00000012" w:usb3="00000000" w:csb0="00040001" w:csb1="00000000"/>
    <w:embedRegular r:id="rId5" w:fontKey="{59C0CB39-DACE-4B27-A71A-E6E01D238A0A}"/>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C6F4B">
    <w:pPr>
      <w:pStyle w:val="21"/>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2511">
    <w:pPr>
      <w:pStyle w:val="2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4CF3E">
    <w:pPr>
      <w:pStyle w:val="2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41DF0">
    <w:pPr>
      <w:pStyle w:val="21"/>
      <w:jc w:val="center"/>
    </w:pPr>
    <w:r>
      <w:pict>
        <v:shape id="_x0000_s2059" o:spid="_x0000_s205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F2E1381">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w:r>
  </w:p>
  <w:p w14:paraId="740E839C">
    <w:pPr>
      <w:pStyle w:val="21"/>
      <w:ind w:right="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F1DE">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26A7A">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5D87F">
    <w:pPr>
      <w:pStyle w:val="21"/>
      <w:ind w:right="360" w:firstLine="360"/>
      <w:jc w:val="right"/>
      <w:rPr>
        <w:rFonts w:hint="eastAsia"/>
      </w:rPr>
    </w:pPr>
    <w:r>
      <w:rPr>
        <w:sz w:val="18"/>
      </w:rPr>
      <w:pict>
        <v:shape id="_x0000_s2067" o:spid="_x0000_s206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0BF9C64">
                <w:pPr>
                  <w:pStyle w:val="2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59E35">
    <w:pPr>
      <w:pStyle w:val="21"/>
      <w:framePr w:wrap="around" w:vAnchor="text" w:hAnchor="margin" w:xAlign="center" w:y="1"/>
      <w:rPr>
        <w:rStyle w:val="41"/>
      </w:rPr>
    </w:pPr>
    <w:r>
      <w:fldChar w:fldCharType="begin"/>
    </w:r>
    <w:r>
      <w:rPr>
        <w:rStyle w:val="41"/>
      </w:rPr>
      <w:instrText xml:space="preserve">PAGE  </w:instrText>
    </w:r>
    <w:r>
      <w:fldChar w:fldCharType="end"/>
    </w:r>
  </w:p>
  <w:p w14:paraId="4846E10C">
    <w:pPr>
      <w:pStyle w:val="2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006E">
    <w:pPr>
      <w:pStyle w:val="21"/>
      <w:framePr w:wrap="around" w:vAnchor="text" w:hAnchor="margin" w:xAlign="right" w:y="1"/>
      <w:rPr>
        <w:rStyle w:val="41"/>
      </w:rPr>
    </w:pPr>
  </w:p>
  <w:p w14:paraId="3C725645">
    <w:pPr>
      <w:pStyle w:val="2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925D">
    <w:pPr>
      <w:pStyle w:val="21"/>
      <w:jc w:val="center"/>
    </w:pPr>
    <w:r>
      <w:pict>
        <v:shape id="_x0000_s2057" o:spid="_x0000_s205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D995198">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w:r>
  </w:p>
  <w:p w14:paraId="65013DF6">
    <w:pPr>
      <w:pStyle w:val="21"/>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1913">
    <w:pPr>
      <w:pStyle w:val="21"/>
      <w:framePr w:wrap="around" w:vAnchor="text" w:hAnchor="margin" w:xAlign="center" w:y="1"/>
      <w:rPr>
        <w:rStyle w:val="41"/>
      </w:rPr>
    </w:pPr>
    <w:r>
      <w:fldChar w:fldCharType="begin"/>
    </w:r>
    <w:r>
      <w:rPr>
        <w:rStyle w:val="41"/>
      </w:rPr>
      <w:instrText xml:space="preserve">PAGE  </w:instrText>
    </w:r>
    <w:r>
      <w:fldChar w:fldCharType="end"/>
    </w:r>
  </w:p>
  <w:p w14:paraId="0EEB474D">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E76EF">
    <w:pPr>
      <w:pStyle w:val="21"/>
      <w:jc w:val="center"/>
    </w:pPr>
    <w:r>
      <w:pict>
        <v:shape id="_x0000_s2069" o:spid="_x0000_s206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5EE7047F">
                <w:pPr>
                  <w:pStyle w:val="21"/>
                </w:pPr>
                <w:r>
                  <w:fldChar w:fldCharType="begin"/>
                </w:r>
                <w:r>
                  <w:instrText xml:space="preserve"> PAGE  \* MERGEFORMAT </w:instrText>
                </w:r>
                <w:r>
                  <w:fldChar w:fldCharType="separate"/>
                </w:r>
                <w:r>
                  <w:t>46</w:t>
                </w:r>
                <w:r>
                  <w:fldChar w:fldCharType="end"/>
                </w:r>
              </w:p>
            </w:txbxContent>
          </v:textbox>
        </v:shape>
      </w:pict>
    </w:r>
  </w:p>
  <w:p w14:paraId="7C9BA03A">
    <w:pPr>
      <w:pStyle w:val="2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ED1B0">
    <w:pPr>
      <w:pStyle w:val="2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B66F4">
    <w:pPr>
      <w:pStyle w:val="22"/>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FFFE">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C09A4">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8F07">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F59A1">
    <w:pPr>
      <w:pStyle w:val="2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123B">
    <w:pPr>
      <w:pStyle w:val="2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28076">
    <w:pPr>
      <w:pStyle w:val="22"/>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A1504">
    <w:pPr>
      <w:pStyle w:val="2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DAC4">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D87103E0"/>
    <w:multiLevelType w:val="singleLevel"/>
    <w:tmpl w:val="D87103E0"/>
    <w:lvl w:ilvl="0" w:tentative="0">
      <w:start w:val="3"/>
      <w:numFmt w:val="decimal"/>
      <w:suff w:val="nothing"/>
      <w:lvlText w:val="%1、"/>
      <w:lvlJc w:val="left"/>
    </w:lvl>
  </w:abstractNum>
  <w:abstractNum w:abstractNumId="2">
    <w:nsid w:val="0FF9642E"/>
    <w:multiLevelType w:val="multilevel"/>
    <w:tmpl w:val="0FF9642E"/>
    <w:lvl w:ilvl="0" w:tentative="0">
      <w:start w:val="1"/>
      <w:numFmt w:val="decimal"/>
      <w:lvlText w:val="第%1章"/>
      <w:lvlJc w:val="left"/>
      <w:pPr>
        <w:tabs>
          <w:tab w:val="left" w:pos="3134"/>
        </w:tabs>
        <w:ind w:left="402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4694C14"/>
    <w:multiLevelType w:val="singleLevel"/>
    <w:tmpl w:val="14694C14"/>
    <w:lvl w:ilvl="0" w:tentative="0">
      <w:start w:val="1"/>
      <w:numFmt w:val="decimal"/>
      <w:suff w:val="nothing"/>
      <w:lvlText w:val="%1、"/>
      <w:lvlJc w:val="left"/>
    </w:lvl>
  </w:abstractNum>
  <w:abstractNum w:abstractNumId="4">
    <w:nsid w:val="449C7C59"/>
    <w:multiLevelType w:val="singleLevel"/>
    <w:tmpl w:val="449C7C59"/>
    <w:lvl w:ilvl="0" w:tentative="0">
      <w:start w:val="5"/>
      <w:numFmt w:val="decimal"/>
      <w:suff w:val="space"/>
      <w:lvlText w:val="第%1章"/>
      <w:lvlJc w:val="left"/>
    </w:lvl>
  </w:abstractNum>
  <w:abstractNum w:abstractNumId="5">
    <w:nsid w:val="48BFA080"/>
    <w:multiLevelType w:val="singleLevel"/>
    <w:tmpl w:val="48BFA080"/>
    <w:lvl w:ilvl="0" w:tentative="0">
      <w:start w:val="1"/>
      <w:numFmt w:val="decimal"/>
      <w:suff w:val="nothing"/>
      <w:lvlText w:val="（%1）"/>
      <w:lvlJc w:val="left"/>
    </w:lvl>
  </w:abstractNum>
  <w:abstractNum w:abstractNumId="6">
    <w:nsid w:val="5C347B90"/>
    <w:multiLevelType w:val="multilevel"/>
    <w:tmpl w:val="5C347B90"/>
    <w:lvl w:ilvl="0" w:tentative="0">
      <w:start w:val="1"/>
      <w:numFmt w:val="chineseCountingThousand"/>
      <w:lvlText w:val="第%1卷"/>
      <w:lvlJc w:val="left"/>
      <w:pPr>
        <w:ind w:left="0" w:firstLine="0"/>
      </w:pPr>
      <w:rPr>
        <w:rFonts w:hint="eastAsia"/>
      </w:rPr>
    </w:lvl>
    <w:lvl w:ilvl="1" w:tentative="0">
      <w:start w:val="1"/>
      <w:numFmt w:val="chineseCountingThousand"/>
      <w:suff w:val="nothing"/>
      <w:lvlText w:val="第%2章"/>
      <w:lvlJc w:val="left"/>
      <w:pPr>
        <w:ind w:left="0" w:firstLine="0"/>
      </w:pPr>
      <w:rPr>
        <w:rFonts w:hint="eastAsia"/>
      </w:rPr>
    </w:lvl>
    <w:lvl w:ilvl="2" w:tentative="0">
      <w:start w:val="1"/>
      <w:numFmt w:val="chineseCountingThousand"/>
      <w:lvlText w:val="%3"/>
      <w:lvlJc w:val="left"/>
      <w:pPr>
        <w:ind w:left="283" w:firstLine="0"/>
      </w:pPr>
      <w:rPr>
        <w:rFonts w:hint="eastAsia"/>
      </w:rPr>
    </w:lvl>
    <w:lvl w:ilvl="3" w:tentative="0">
      <w:start w:val="1"/>
      <w:numFmt w:val="chineseCountingThousand"/>
      <w:pStyle w:val="7"/>
      <w:lvlText w:val="(%4)"/>
      <w:lvlJc w:val="left"/>
      <w:pPr>
        <w:ind w:left="0" w:firstLine="0"/>
      </w:pPr>
      <w:rPr>
        <w:rFonts w:hint="eastAsia"/>
      </w:rPr>
    </w:lvl>
    <w:lvl w:ilvl="4" w:tentative="0">
      <w:start w:val="1"/>
      <w:numFmt w:val="decimal"/>
      <w:lvlText w:val="%5"/>
      <w:lvlJc w:val="left"/>
      <w:pPr>
        <w:ind w:left="0" w:firstLine="0"/>
      </w:pPr>
      <w:rPr>
        <w:rFonts w:hint="eastAsia"/>
      </w:rPr>
    </w:lvl>
    <w:lvl w:ilvl="5" w:tentative="0">
      <w:start w:val="1"/>
      <w:numFmt w:val="decimal"/>
      <w:lvlText w:val="%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6"/>
  </w:num>
  <w:num w:numId="2">
    <w:abstractNumId w:val="2"/>
  </w:num>
  <w:num w:numId="3">
    <w:abstractNumId w:val="0"/>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03年范本稿123.doc"/>
    <w:docVar w:name="commondata" w:val="eyJoZGlkIjoiYjZlYTU3ZTFlNWJjNzYzOTIxZWZlYzM1ZTEyOTZmZG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93645"/>
    <w:rsid w:val="00093F68"/>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7694"/>
    <w:rsid w:val="00141EAC"/>
    <w:rsid w:val="00143652"/>
    <w:rsid w:val="0014627C"/>
    <w:rsid w:val="0015142E"/>
    <w:rsid w:val="0015219F"/>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3E4B"/>
    <w:rsid w:val="00187B13"/>
    <w:rsid w:val="00187EB4"/>
    <w:rsid w:val="0019618B"/>
    <w:rsid w:val="00196FA0"/>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3FC"/>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933"/>
    <w:rsid w:val="003A6B72"/>
    <w:rsid w:val="003B020F"/>
    <w:rsid w:val="003B3917"/>
    <w:rsid w:val="003B41D9"/>
    <w:rsid w:val="003B4356"/>
    <w:rsid w:val="003B5422"/>
    <w:rsid w:val="003B7293"/>
    <w:rsid w:val="003B7D7E"/>
    <w:rsid w:val="003C0EF3"/>
    <w:rsid w:val="003C53B2"/>
    <w:rsid w:val="003C6422"/>
    <w:rsid w:val="003C6C9A"/>
    <w:rsid w:val="003D5FC9"/>
    <w:rsid w:val="003D6961"/>
    <w:rsid w:val="003E2C77"/>
    <w:rsid w:val="003E2C89"/>
    <w:rsid w:val="003E3C14"/>
    <w:rsid w:val="003E6516"/>
    <w:rsid w:val="003E747A"/>
    <w:rsid w:val="003F0149"/>
    <w:rsid w:val="003F11BD"/>
    <w:rsid w:val="003F396B"/>
    <w:rsid w:val="003F4748"/>
    <w:rsid w:val="003F61AC"/>
    <w:rsid w:val="00401267"/>
    <w:rsid w:val="00401B70"/>
    <w:rsid w:val="00402836"/>
    <w:rsid w:val="0040298F"/>
    <w:rsid w:val="0040367C"/>
    <w:rsid w:val="00404B23"/>
    <w:rsid w:val="00405154"/>
    <w:rsid w:val="004109B8"/>
    <w:rsid w:val="00410FBC"/>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470E1"/>
    <w:rsid w:val="004504F2"/>
    <w:rsid w:val="00450C1F"/>
    <w:rsid w:val="00455240"/>
    <w:rsid w:val="0045705D"/>
    <w:rsid w:val="00457AEF"/>
    <w:rsid w:val="0046046C"/>
    <w:rsid w:val="004663F3"/>
    <w:rsid w:val="00467553"/>
    <w:rsid w:val="00471F78"/>
    <w:rsid w:val="00473B94"/>
    <w:rsid w:val="00473DC2"/>
    <w:rsid w:val="0047556E"/>
    <w:rsid w:val="00475991"/>
    <w:rsid w:val="00475B13"/>
    <w:rsid w:val="00476998"/>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6542"/>
    <w:rsid w:val="004B72A3"/>
    <w:rsid w:val="004C1E33"/>
    <w:rsid w:val="004C6870"/>
    <w:rsid w:val="004D29A3"/>
    <w:rsid w:val="004D4D48"/>
    <w:rsid w:val="004D5250"/>
    <w:rsid w:val="004D6AD9"/>
    <w:rsid w:val="004D6DEB"/>
    <w:rsid w:val="004E0517"/>
    <w:rsid w:val="004E0C12"/>
    <w:rsid w:val="004E13F0"/>
    <w:rsid w:val="004E4854"/>
    <w:rsid w:val="004E5FCE"/>
    <w:rsid w:val="004F036B"/>
    <w:rsid w:val="004F052D"/>
    <w:rsid w:val="004F0E54"/>
    <w:rsid w:val="004F3F46"/>
    <w:rsid w:val="004F7B7E"/>
    <w:rsid w:val="00501785"/>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34C2F"/>
    <w:rsid w:val="00540C55"/>
    <w:rsid w:val="00542227"/>
    <w:rsid w:val="005422EB"/>
    <w:rsid w:val="0054426F"/>
    <w:rsid w:val="0054508F"/>
    <w:rsid w:val="00546903"/>
    <w:rsid w:val="00546F3A"/>
    <w:rsid w:val="005475C6"/>
    <w:rsid w:val="00550C61"/>
    <w:rsid w:val="00550FFE"/>
    <w:rsid w:val="00552FBA"/>
    <w:rsid w:val="00554D9D"/>
    <w:rsid w:val="00555A82"/>
    <w:rsid w:val="00556C52"/>
    <w:rsid w:val="0056008C"/>
    <w:rsid w:val="00570A8A"/>
    <w:rsid w:val="00571BE1"/>
    <w:rsid w:val="0057268E"/>
    <w:rsid w:val="00573C95"/>
    <w:rsid w:val="005750B7"/>
    <w:rsid w:val="005806C7"/>
    <w:rsid w:val="00582CA5"/>
    <w:rsid w:val="00582FE9"/>
    <w:rsid w:val="0058511B"/>
    <w:rsid w:val="005852AF"/>
    <w:rsid w:val="00586FF5"/>
    <w:rsid w:val="0059089D"/>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7BF"/>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46CBF"/>
    <w:rsid w:val="00653EEF"/>
    <w:rsid w:val="00656DB1"/>
    <w:rsid w:val="0065706C"/>
    <w:rsid w:val="006570F3"/>
    <w:rsid w:val="006574CA"/>
    <w:rsid w:val="00663087"/>
    <w:rsid w:val="006631B5"/>
    <w:rsid w:val="006633B3"/>
    <w:rsid w:val="00666E6E"/>
    <w:rsid w:val="00667926"/>
    <w:rsid w:val="00672A07"/>
    <w:rsid w:val="00672A3D"/>
    <w:rsid w:val="00673284"/>
    <w:rsid w:val="00673C56"/>
    <w:rsid w:val="00674E3C"/>
    <w:rsid w:val="00684218"/>
    <w:rsid w:val="00684A17"/>
    <w:rsid w:val="0068548A"/>
    <w:rsid w:val="00686ACA"/>
    <w:rsid w:val="006904AF"/>
    <w:rsid w:val="00693C8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B7741"/>
    <w:rsid w:val="006C0F43"/>
    <w:rsid w:val="006C2D51"/>
    <w:rsid w:val="006C3C74"/>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1E47"/>
    <w:rsid w:val="006F2035"/>
    <w:rsid w:val="006F28EE"/>
    <w:rsid w:val="006F42C2"/>
    <w:rsid w:val="006F602A"/>
    <w:rsid w:val="006F7412"/>
    <w:rsid w:val="00704E65"/>
    <w:rsid w:val="0071025E"/>
    <w:rsid w:val="007105A5"/>
    <w:rsid w:val="00710B8D"/>
    <w:rsid w:val="00712CF9"/>
    <w:rsid w:val="00713024"/>
    <w:rsid w:val="00713EA1"/>
    <w:rsid w:val="00715D6B"/>
    <w:rsid w:val="00717F6B"/>
    <w:rsid w:val="007212F0"/>
    <w:rsid w:val="00722EC6"/>
    <w:rsid w:val="00723458"/>
    <w:rsid w:val="00723FF6"/>
    <w:rsid w:val="0072460B"/>
    <w:rsid w:val="00726876"/>
    <w:rsid w:val="007269B1"/>
    <w:rsid w:val="00730DF7"/>
    <w:rsid w:val="0073123A"/>
    <w:rsid w:val="007331F6"/>
    <w:rsid w:val="0073362F"/>
    <w:rsid w:val="00733A3E"/>
    <w:rsid w:val="00736B54"/>
    <w:rsid w:val="00740605"/>
    <w:rsid w:val="00740FA5"/>
    <w:rsid w:val="007440A8"/>
    <w:rsid w:val="00747B97"/>
    <w:rsid w:val="00747DD4"/>
    <w:rsid w:val="00751820"/>
    <w:rsid w:val="00751B7E"/>
    <w:rsid w:val="00752AB2"/>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5B96"/>
    <w:rsid w:val="007863E1"/>
    <w:rsid w:val="007910D3"/>
    <w:rsid w:val="0079336E"/>
    <w:rsid w:val="00797BFE"/>
    <w:rsid w:val="007A5BD0"/>
    <w:rsid w:val="007B4B46"/>
    <w:rsid w:val="007B5E5F"/>
    <w:rsid w:val="007B6CA0"/>
    <w:rsid w:val="007B6F71"/>
    <w:rsid w:val="007C06F8"/>
    <w:rsid w:val="007C27E5"/>
    <w:rsid w:val="007C2E24"/>
    <w:rsid w:val="007C3F78"/>
    <w:rsid w:val="007C4B09"/>
    <w:rsid w:val="007C6167"/>
    <w:rsid w:val="007C6455"/>
    <w:rsid w:val="007C6EB8"/>
    <w:rsid w:val="007C7809"/>
    <w:rsid w:val="007D13B9"/>
    <w:rsid w:val="007D2774"/>
    <w:rsid w:val="007D71F7"/>
    <w:rsid w:val="007E024C"/>
    <w:rsid w:val="007E160E"/>
    <w:rsid w:val="007E1BDD"/>
    <w:rsid w:val="007E700C"/>
    <w:rsid w:val="007E7388"/>
    <w:rsid w:val="007F1BAF"/>
    <w:rsid w:val="007F1F1C"/>
    <w:rsid w:val="007F2277"/>
    <w:rsid w:val="007F433C"/>
    <w:rsid w:val="007F4428"/>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DE3"/>
    <w:rsid w:val="00844F5E"/>
    <w:rsid w:val="00846701"/>
    <w:rsid w:val="00851049"/>
    <w:rsid w:val="0085232F"/>
    <w:rsid w:val="00854E2A"/>
    <w:rsid w:val="008550CD"/>
    <w:rsid w:val="00857E3A"/>
    <w:rsid w:val="00861135"/>
    <w:rsid w:val="00863E40"/>
    <w:rsid w:val="00864495"/>
    <w:rsid w:val="0086449D"/>
    <w:rsid w:val="008651BC"/>
    <w:rsid w:val="00866B3F"/>
    <w:rsid w:val="00867059"/>
    <w:rsid w:val="00867A5A"/>
    <w:rsid w:val="008711B1"/>
    <w:rsid w:val="00871FBA"/>
    <w:rsid w:val="00872119"/>
    <w:rsid w:val="008722FB"/>
    <w:rsid w:val="00874256"/>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C020E"/>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0918"/>
    <w:rsid w:val="00947632"/>
    <w:rsid w:val="0094786C"/>
    <w:rsid w:val="00947B9F"/>
    <w:rsid w:val="00947FB4"/>
    <w:rsid w:val="00952834"/>
    <w:rsid w:val="00952D2F"/>
    <w:rsid w:val="00952D60"/>
    <w:rsid w:val="00952E44"/>
    <w:rsid w:val="00955447"/>
    <w:rsid w:val="00955A17"/>
    <w:rsid w:val="00957C50"/>
    <w:rsid w:val="00960E12"/>
    <w:rsid w:val="0096331F"/>
    <w:rsid w:val="00963914"/>
    <w:rsid w:val="00963A90"/>
    <w:rsid w:val="00966C71"/>
    <w:rsid w:val="009729D8"/>
    <w:rsid w:val="0097453F"/>
    <w:rsid w:val="00974577"/>
    <w:rsid w:val="00975045"/>
    <w:rsid w:val="0097622D"/>
    <w:rsid w:val="00976670"/>
    <w:rsid w:val="00976BC3"/>
    <w:rsid w:val="00976E64"/>
    <w:rsid w:val="00977929"/>
    <w:rsid w:val="0098426D"/>
    <w:rsid w:val="009851AF"/>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9F798E"/>
    <w:rsid w:val="00A01D25"/>
    <w:rsid w:val="00A0624A"/>
    <w:rsid w:val="00A06830"/>
    <w:rsid w:val="00A12892"/>
    <w:rsid w:val="00A149DF"/>
    <w:rsid w:val="00A1634D"/>
    <w:rsid w:val="00A1707B"/>
    <w:rsid w:val="00A32694"/>
    <w:rsid w:val="00A33A18"/>
    <w:rsid w:val="00A350BE"/>
    <w:rsid w:val="00A35C8A"/>
    <w:rsid w:val="00A36343"/>
    <w:rsid w:val="00A36638"/>
    <w:rsid w:val="00A36B9A"/>
    <w:rsid w:val="00A4149B"/>
    <w:rsid w:val="00A51ECF"/>
    <w:rsid w:val="00A5335D"/>
    <w:rsid w:val="00A53EBD"/>
    <w:rsid w:val="00A56524"/>
    <w:rsid w:val="00A610B8"/>
    <w:rsid w:val="00A61208"/>
    <w:rsid w:val="00A62660"/>
    <w:rsid w:val="00A62D2C"/>
    <w:rsid w:val="00A64D6A"/>
    <w:rsid w:val="00A66A0F"/>
    <w:rsid w:val="00A67AE7"/>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5D62"/>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10D3"/>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C029B6"/>
    <w:rsid w:val="00C03B0F"/>
    <w:rsid w:val="00C03E68"/>
    <w:rsid w:val="00C05139"/>
    <w:rsid w:val="00C124B7"/>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139D"/>
    <w:rsid w:val="00C62A8F"/>
    <w:rsid w:val="00C634E0"/>
    <w:rsid w:val="00C671BC"/>
    <w:rsid w:val="00C70919"/>
    <w:rsid w:val="00C759E4"/>
    <w:rsid w:val="00C75BEC"/>
    <w:rsid w:val="00C80D96"/>
    <w:rsid w:val="00C82CA8"/>
    <w:rsid w:val="00C83560"/>
    <w:rsid w:val="00C836E3"/>
    <w:rsid w:val="00C83A19"/>
    <w:rsid w:val="00C8527E"/>
    <w:rsid w:val="00C855D2"/>
    <w:rsid w:val="00C85E96"/>
    <w:rsid w:val="00C86FBD"/>
    <w:rsid w:val="00C9128F"/>
    <w:rsid w:val="00C91666"/>
    <w:rsid w:val="00C9219D"/>
    <w:rsid w:val="00C923D5"/>
    <w:rsid w:val="00C9249C"/>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66FB"/>
    <w:rsid w:val="00CD67D5"/>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64F8"/>
    <w:rsid w:val="00D879A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89F"/>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41955"/>
    <w:rsid w:val="00E42235"/>
    <w:rsid w:val="00E43B3E"/>
    <w:rsid w:val="00E4414C"/>
    <w:rsid w:val="00E443BA"/>
    <w:rsid w:val="00E45FB7"/>
    <w:rsid w:val="00E470CE"/>
    <w:rsid w:val="00E50F94"/>
    <w:rsid w:val="00E528C9"/>
    <w:rsid w:val="00E5462E"/>
    <w:rsid w:val="00E61156"/>
    <w:rsid w:val="00E62AD0"/>
    <w:rsid w:val="00E65605"/>
    <w:rsid w:val="00E65AFF"/>
    <w:rsid w:val="00E6767D"/>
    <w:rsid w:val="00E7109E"/>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7916"/>
    <w:rsid w:val="00EF1C6E"/>
    <w:rsid w:val="00EF2C80"/>
    <w:rsid w:val="00EF4D3B"/>
    <w:rsid w:val="00EF6A34"/>
    <w:rsid w:val="00EF7579"/>
    <w:rsid w:val="00F00BE0"/>
    <w:rsid w:val="00F016BD"/>
    <w:rsid w:val="00F026F0"/>
    <w:rsid w:val="00F067F6"/>
    <w:rsid w:val="00F0680A"/>
    <w:rsid w:val="00F06ED0"/>
    <w:rsid w:val="00F12013"/>
    <w:rsid w:val="00F12999"/>
    <w:rsid w:val="00F13822"/>
    <w:rsid w:val="00F14565"/>
    <w:rsid w:val="00F14A70"/>
    <w:rsid w:val="00F175A5"/>
    <w:rsid w:val="00F21E39"/>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723"/>
    <w:rsid w:val="00F46AD5"/>
    <w:rsid w:val="00F47DCD"/>
    <w:rsid w:val="00F50CA4"/>
    <w:rsid w:val="00F50CE7"/>
    <w:rsid w:val="00F51438"/>
    <w:rsid w:val="00F5301A"/>
    <w:rsid w:val="00F549E7"/>
    <w:rsid w:val="00F5550D"/>
    <w:rsid w:val="00F618BB"/>
    <w:rsid w:val="00F6302F"/>
    <w:rsid w:val="00F67625"/>
    <w:rsid w:val="00F70A23"/>
    <w:rsid w:val="00F76B14"/>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333953"/>
    <w:rsid w:val="01592D24"/>
    <w:rsid w:val="01775986"/>
    <w:rsid w:val="018E7ABF"/>
    <w:rsid w:val="0198796C"/>
    <w:rsid w:val="01AB1D86"/>
    <w:rsid w:val="01C04E49"/>
    <w:rsid w:val="01C133B8"/>
    <w:rsid w:val="01E34F8B"/>
    <w:rsid w:val="02004BC4"/>
    <w:rsid w:val="020F2171"/>
    <w:rsid w:val="02192B92"/>
    <w:rsid w:val="02284F9A"/>
    <w:rsid w:val="02A3645B"/>
    <w:rsid w:val="02F778BD"/>
    <w:rsid w:val="03121468"/>
    <w:rsid w:val="03822C68"/>
    <w:rsid w:val="039F2BBC"/>
    <w:rsid w:val="03D96AC5"/>
    <w:rsid w:val="047862F9"/>
    <w:rsid w:val="04E46DE8"/>
    <w:rsid w:val="05071955"/>
    <w:rsid w:val="050B36B6"/>
    <w:rsid w:val="051E3875"/>
    <w:rsid w:val="0533125B"/>
    <w:rsid w:val="054F4EE9"/>
    <w:rsid w:val="05794D04"/>
    <w:rsid w:val="057A2F7A"/>
    <w:rsid w:val="060542D0"/>
    <w:rsid w:val="061A2557"/>
    <w:rsid w:val="06AB5586"/>
    <w:rsid w:val="06AC2B14"/>
    <w:rsid w:val="06BF2353"/>
    <w:rsid w:val="06CB44B7"/>
    <w:rsid w:val="06EE20B1"/>
    <w:rsid w:val="071071B0"/>
    <w:rsid w:val="071D6562"/>
    <w:rsid w:val="072744D7"/>
    <w:rsid w:val="072C348F"/>
    <w:rsid w:val="075B63E2"/>
    <w:rsid w:val="076A2856"/>
    <w:rsid w:val="07877DBB"/>
    <w:rsid w:val="07B1625B"/>
    <w:rsid w:val="07D96E9C"/>
    <w:rsid w:val="07EC6998"/>
    <w:rsid w:val="082522C9"/>
    <w:rsid w:val="08534B88"/>
    <w:rsid w:val="0880773A"/>
    <w:rsid w:val="08A6327D"/>
    <w:rsid w:val="08D276BA"/>
    <w:rsid w:val="08F062C2"/>
    <w:rsid w:val="090B19E1"/>
    <w:rsid w:val="0910646C"/>
    <w:rsid w:val="094C41B9"/>
    <w:rsid w:val="09AC6517"/>
    <w:rsid w:val="09B616AB"/>
    <w:rsid w:val="09E15530"/>
    <w:rsid w:val="0A1B58FF"/>
    <w:rsid w:val="0A3867E6"/>
    <w:rsid w:val="0A6D7B49"/>
    <w:rsid w:val="0A755B00"/>
    <w:rsid w:val="0AA63267"/>
    <w:rsid w:val="0AD11D45"/>
    <w:rsid w:val="0AE047FE"/>
    <w:rsid w:val="0AE903B8"/>
    <w:rsid w:val="0B1873A5"/>
    <w:rsid w:val="0B4922C9"/>
    <w:rsid w:val="0B5961B4"/>
    <w:rsid w:val="0B7462A1"/>
    <w:rsid w:val="0BA16641"/>
    <w:rsid w:val="0BAA281D"/>
    <w:rsid w:val="0BEE4B46"/>
    <w:rsid w:val="0BF70980"/>
    <w:rsid w:val="0C7226DE"/>
    <w:rsid w:val="0C9661EF"/>
    <w:rsid w:val="0CAC6BB6"/>
    <w:rsid w:val="0CBF7D7B"/>
    <w:rsid w:val="0CC34F37"/>
    <w:rsid w:val="0CC80889"/>
    <w:rsid w:val="0CEA1C84"/>
    <w:rsid w:val="0CF467AA"/>
    <w:rsid w:val="0D52069E"/>
    <w:rsid w:val="0D864353"/>
    <w:rsid w:val="0DD505F0"/>
    <w:rsid w:val="0DEA5E6A"/>
    <w:rsid w:val="0DFC36FB"/>
    <w:rsid w:val="0E333E52"/>
    <w:rsid w:val="0E6122BA"/>
    <w:rsid w:val="0EB37705"/>
    <w:rsid w:val="0F0106A7"/>
    <w:rsid w:val="0F046107"/>
    <w:rsid w:val="0F0D26CC"/>
    <w:rsid w:val="0F184ADA"/>
    <w:rsid w:val="0F720392"/>
    <w:rsid w:val="0F8325B6"/>
    <w:rsid w:val="0F885FAC"/>
    <w:rsid w:val="0FA1669B"/>
    <w:rsid w:val="0FA32E66"/>
    <w:rsid w:val="0FF16986"/>
    <w:rsid w:val="0FFF121C"/>
    <w:rsid w:val="101B1843"/>
    <w:rsid w:val="10B804EE"/>
    <w:rsid w:val="10D27139"/>
    <w:rsid w:val="10EF538B"/>
    <w:rsid w:val="10F47727"/>
    <w:rsid w:val="11026DA4"/>
    <w:rsid w:val="11312DC0"/>
    <w:rsid w:val="114701EB"/>
    <w:rsid w:val="116A6B7F"/>
    <w:rsid w:val="118848CF"/>
    <w:rsid w:val="11A0534F"/>
    <w:rsid w:val="11AB1590"/>
    <w:rsid w:val="11C11380"/>
    <w:rsid w:val="11D14E7D"/>
    <w:rsid w:val="11DE30D8"/>
    <w:rsid w:val="11F57E64"/>
    <w:rsid w:val="12092462"/>
    <w:rsid w:val="120F2891"/>
    <w:rsid w:val="121D403F"/>
    <w:rsid w:val="123019D1"/>
    <w:rsid w:val="1264260D"/>
    <w:rsid w:val="12716CB4"/>
    <w:rsid w:val="129832B1"/>
    <w:rsid w:val="129F7C67"/>
    <w:rsid w:val="12A04F4F"/>
    <w:rsid w:val="12CB268D"/>
    <w:rsid w:val="12FA4EF2"/>
    <w:rsid w:val="130C6519"/>
    <w:rsid w:val="13117400"/>
    <w:rsid w:val="131D39A4"/>
    <w:rsid w:val="1331023E"/>
    <w:rsid w:val="13380DD8"/>
    <w:rsid w:val="1344521A"/>
    <w:rsid w:val="1345318E"/>
    <w:rsid w:val="135875D7"/>
    <w:rsid w:val="13645ACB"/>
    <w:rsid w:val="13765F57"/>
    <w:rsid w:val="13E957B5"/>
    <w:rsid w:val="13F54664"/>
    <w:rsid w:val="142A0CFE"/>
    <w:rsid w:val="14412BB2"/>
    <w:rsid w:val="14641D14"/>
    <w:rsid w:val="146F2D0E"/>
    <w:rsid w:val="146F703C"/>
    <w:rsid w:val="14941655"/>
    <w:rsid w:val="14CF5C6E"/>
    <w:rsid w:val="14D94203"/>
    <w:rsid w:val="15660CCE"/>
    <w:rsid w:val="15A078BC"/>
    <w:rsid w:val="15AE733A"/>
    <w:rsid w:val="1643020E"/>
    <w:rsid w:val="165276B0"/>
    <w:rsid w:val="16646293"/>
    <w:rsid w:val="166D1F50"/>
    <w:rsid w:val="16CE124A"/>
    <w:rsid w:val="16F93153"/>
    <w:rsid w:val="172A1253"/>
    <w:rsid w:val="17F81646"/>
    <w:rsid w:val="18450A88"/>
    <w:rsid w:val="18461A36"/>
    <w:rsid w:val="18854042"/>
    <w:rsid w:val="18904498"/>
    <w:rsid w:val="18982224"/>
    <w:rsid w:val="18A3471E"/>
    <w:rsid w:val="18B4549A"/>
    <w:rsid w:val="18ED431E"/>
    <w:rsid w:val="190D3E3D"/>
    <w:rsid w:val="19240802"/>
    <w:rsid w:val="192B246C"/>
    <w:rsid w:val="192B4DF7"/>
    <w:rsid w:val="193366FA"/>
    <w:rsid w:val="1937277D"/>
    <w:rsid w:val="194F5E74"/>
    <w:rsid w:val="196B52AE"/>
    <w:rsid w:val="197B2776"/>
    <w:rsid w:val="19BA6371"/>
    <w:rsid w:val="19CA03A7"/>
    <w:rsid w:val="19F90D7B"/>
    <w:rsid w:val="1A307C74"/>
    <w:rsid w:val="1A3C3108"/>
    <w:rsid w:val="1A4964D8"/>
    <w:rsid w:val="1A7E26C9"/>
    <w:rsid w:val="1A7F18ED"/>
    <w:rsid w:val="1A820B06"/>
    <w:rsid w:val="1ABE11AA"/>
    <w:rsid w:val="1AF6583C"/>
    <w:rsid w:val="1B7B66B5"/>
    <w:rsid w:val="1B894627"/>
    <w:rsid w:val="1B8B0910"/>
    <w:rsid w:val="1C060978"/>
    <w:rsid w:val="1C225F98"/>
    <w:rsid w:val="1C272EF4"/>
    <w:rsid w:val="1C8713FB"/>
    <w:rsid w:val="1CB75CE5"/>
    <w:rsid w:val="1CBA6994"/>
    <w:rsid w:val="1CBB5B95"/>
    <w:rsid w:val="1CC245E7"/>
    <w:rsid w:val="1D02622A"/>
    <w:rsid w:val="1D320A97"/>
    <w:rsid w:val="1D3541D9"/>
    <w:rsid w:val="1D3E6FE0"/>
    <w:rsid w:val="1D3F7112"/>
    <w:rsid w:val="1D4F2685"/>
    <w:rsid w:val="1D5F1562"/>
    <w:rsid w:val="1E3E2D25"/>
    <w:rsid w:val="1E4507E4"/>
    <w:rsid w:val="1E5219F4"/>
    <w:rsid w:val="1E6210B8"/>
    <w:rsid w:val="1EC014EF"/>
    <w:rsid w:val="1EC664F8"/>
    <w:rsid w:val="1EDA6951"/>
    <w:rsid w:val="1EE34AF2"/>
    <w:rsid w:val="1F903C55"/>
    <w:rsid w:val="1FAE5051"/>
    <w:rsid w:val="1FB83BBA"/>
    <w:rsid w:val="1FDB053D"/>
    <w:rsid w:val="1FDD2549"/>
    <w:rsid w:val="1FF318DD"/>
    <w:rsid w:val="1FF91559"/>
    <w:rsid w:val="2005645D"/>
    <w:rsid w:val="205B2DAC"/>
    <w:rsid w:val="20762E53"/>
    <w:rsid w:val="2087653B"/>
    <w:rsid w:val="20D920A8"/>
    <w:rsid w:val="20E166A5"/>
    <w:rsid w:val="214F1D4D"/>
    <w:rsid w:val="21A3266E"/>
    <w:rsid w:val="21C92CFB"/>
    <w:rsid w:val="21D414F5"/>
    <w:rsid w:val="22155EFF"/>
    <w:rsid w:val="222A330E"/>
    <w:rsid w:val="2254593D"/>
    <w:rsid w:val="226006F6"/>
    <w:rsid w:val="22E61393"/>
    <w:rsid w:val="230212E4"/>
    <w:rsid w:val="23207452"/>
    <w:rsid w:val="2364528E"/>
    <w:rsid w:val="23871813"/>
    <w:rsid w:val="2395665B"/>
    <w:rsid w:val="23B66BC6"/>
    <w:rsid w:val="241B7961"/>
    <w:rsid w:val="242B2EF0"/>
    <w:rsid w:val="24A91605"/>
    <w:rsid w:val="24F36825"/>
    <w:rsid w:val="252922FF"/>
    <w:rsid w:val="25445D9E"/>
    <w:rsid w:val="25484804"/>
    <w:rsid w:val="25716E87"/>
    <w:rsid w:val="257B5BEF"/>
    <w:rsid w:val="26346744"/>
    <w:rsid w:val="263D4A6F"/>
    <w:rsid w:val="268027DF"/>
    <w:rsid w:val="26826930"/>
    <w:rsid w:val="26976C25"/>
    <w:rsid w:val="26A10D09"/>
    <w:rsid w:val="26CF57CC"/>
    <w:rsid w:val="26EA3C96"/>
    <w:rsid w:val="27022042"/>
    <w:rsid w:val="276C29FF"/>
    <w:rsid w:val="27A54A31"/>
    <w:rsid w:val="27AB4523"/>
    <w:rsid w:val="27B13177"/>
    <w:rsid w:val="27F324C2"/>
    <w:rsid w:val="27F6479E"/>
    <w:rsid w:val="282059D2"/>
    <w:rsid w:val="2836300E"/>
    <w:rsid w:val="28855A7D"/>
    <w:rsid w:val="28864A54"/>
    <w:rsid w:val="28A56A0F"/>
    <w:rsid w:val="28A9755D"/>
    <w:rsid w:val="28C84008"/>
    <w:rsid w:val="28DA1012"/>
    <w:rsid w:val="28E82768"/>
    <w:rsid w:val="295D7A5C"/>
    <w:rsid w:val="29B328DF"/>
    <w:rsid w:val="29EB624B"/>
    <w:rsid w:val="29EC23D0"/>
    <w:rsid w:val="29F43901"/>
    <w:rsid w:val="29FD63E9"/>
    <w:rsid w:val="2A0423FD"/>
    <w:rsid w:val="2A0876CB"/>
    <w:rsid w:val="2A1831C5"/>
    <w:rsid w:val="2A270611"/>
    <w:rsid w:val="2A472991"/>
    <w:rsid w:val="2A4A05F6"/>
    <w:rsid w:val="2A900FAD"/>
    <w:rsid w:val="2A9949B6"/>
    <w:rsid w:val="2A9D1189"/>
    <w:rsid w:val="2ABF25ED"/>
    <w:rsid w:val="2AE7106A"/>
    <w:rsid w:val="2B2A3917"/>
    <w:rsid w:val="2BB22E3C"/>
    <w:rsid w:val="2BCF560F"/>
    <w:rsid w:val="2BE74A05"/>
    <w:rsid w:val="2BE95450"/>
    <w:rsid w:val="2C0440A1"/>
    <w:rsid w:val="2C1124EA"/>
    <w:rsid w:val="2C2643AF"/>
    <w:rsid w:val="2C4D3D8C"/>
    <w:rsid w:val="2C8E59C0"/>
    <w:rsid w:val="2CA91D7F"/>
    <w:rsid w:val="2CC76232"/>
    <w:rsid w:val="2CCD04F7"/>
    <w:rsid w:val="2CEA4190"/>
    <w:rsid w:val="2CF271A5"/>
    <w:rsid w:val="2D1955CF"/>
    <w:rsid w:val="2D395076"/>
    <w:rsid w:val="2D3B3693"/>
    <w:rsid w:val="2D426A09"/>
    <w:rsid w:val="2D69305E"/>
    <w:rsid w:val="2D78301E"/>
    <w:rsid w:val="2D8400D7"/>
    <w:rsid w:val="2D851D9A"/>
    <w:rsid w:val="2D8A4FB7"/>
    <w:rsid w:val="2E3762E6"/>
    <w:rsid w:val="2E4B691E"/>
    <w:rsid w:val="2EAD19A5"/>
    <w:rsid w:val="2EDE0726"/>
    <w:rsid w:val="2EFF55B4"/>
    <w:rsid w:val="2F557DCF"/>
    <w:rsid w:val="2F7B10A8"/>
    <w:rsid w:val="2F9634CD"/>
    <w:rsid w:val="2FB76FDC"/>
    <w:rsid w:val="2FE0427D"/>
    <w:rsid w:val="2FE7396B"/>
    <w:rsid w:val="300D7D4A"/>
    <w:rsid w:val="305C6B46"/>
    <w:rsid w:val="30686DB4"/>
    <w:rsid w:val="309E313D"/>
    <w:rsid w:val="30B77333"/>
    <w:rsid w:val="31640A8F"/>
    <w:rsid w:val="31CC3E43"/>
    <w:rsid w:val="31D32E61"/>
    <w:rsid w:val="31E700F2"/>
    <w:rsid w:val="31FE7C49"/>
    <w:rsid w:val="321D403E"/>
    <w:rsid w:val="322F37A1"/>
    <w:rsid w:val="324463DD"/>
    <w:rsid w:val="32C5103D"/>
    <w:rsid w:val="32DA4D9D"/>
    <w:rsid w:val="32DF2AD1"/>
    <w:rsid w:val="330733A8"/>
    <w:rsid w:val="3362313B"/>
    <w:rsid w:val="33FB0DDF"/>
    <w:rsid w:val="346644D8"/>
    <w:rsid w:val="34BD5094"/>
    <w:rsid w:val="34D47B0A"/>
    <w:rsid w:val="34D84DA0"/>
    <w:rsid w:val="35224512"/>
    <w:rsid w:val="352C5D76"/>
    <w:rsid w:val="35301CBF"/>
    <w:rsid w:val="35425F9B"/>
    <w:rsid w:val="35445251"/>
    <w:rsid w:val="355043B4"/>
    <w:rsid w:val="35B6520A"/>
    <w:rsid w:val="35E60968"/>
    <w:rsid w:val="360607D9"/>
    <w:rsid w:val="360C03FC"/>
    <w:rsid w:val="36190C5C"/>
    <w:rsid w:val="36207AD6"/>
    <w:rsid w:val="363D616D"/>
    <w:rsid w:val="36617AB4"/>
    <w:rsid w:val="3680580C"/>
    <w:rsid w:val="36E27E9F"/>
    <w:rsid w:val="36E81F5E"/>
    <w:rsid w:val="373047DD"/>
    <w:rsid w:val="375C30B0"/>
    <w:rsid w:val="375D2B5F"/>
    <w:rsid w:val="376021F7"/>
    <w:rsid w:val="37C24A44"/>
    <w:rsid w:val="37EF35E9"/>
    <w:rsid w:val="380641E7"/>
    <w:rsid w:val="38124861"/>
    <w:rsid w:val="381B79C3"/>
    <w:rsid w:val="38482D1C"/>
    <w:rsid w:val="385A07E5"/>
    <w:rsid w:val="389E008F"/>
    <w:rsid w:val="38A94C99"/>
    <w:rsid w:val="38BC3F4C"/>
    <w:rsid w:val="38D6246F"/>
    <w:rsid w:val="38F00189"/>
    <w:rsid w:val="38F53D93"/>
    <w:rsid w:val="392E47B3"/>
    <w:rsid w:val="395F4B2D"/>
    <w:rsid w:val="399334B6"/>
    <w:rsid w:val="39995F33"/>
    <w:rsid w:val="39BA65F6"/>
    <w:rsid w:val="39FE23D7"/>
    <w:rsid w:val="3A0B1F14"/>
    <w:rsid w:val="3A3C70DA"/>
    <w:rsid w:val="3A4D30EF"/>
    <w:rsid w:val="3A6A0EBC"/>
    <w:rsid w:val="3A8E5D10"/>
    <w:rsid w:val="3ACB7350"/>
    <w:rsid w:val="3AD9490D"/>
    <w:rsid w:val="3AE11A4E"/>
    <w:rsid w:val="3AE8373F"/>
    <w:rsid w:val="3B10495E"/>
    <w:rsid w:val="3B2A4FB6"/>
    <w:rsid w:val="3B3536D7"/>
    <w:rsid w:val="3B932D9C"/>
    <w:rsid w:val="3B951732"/>
    <w:rsid w:val="3BC45C47"/>
    <w:rsid w:val="3BCB5B0D"/>
    <w:rsid w:val="3BD26834"/>
    <w:rsid w:val="3BE32EF3"/>
    <w:rsid w:val="3BFF246F"/>
    <w:rsid w:val="3C19288C"/>
    <w:rsid w:val="3C516087"/>
    <w:rsid w:val="3C5D5A52"/>
    <w:rsid w:val="3C65052B"/>
    <w:rsid w:val="3C6A415F"/>
    <w:rsid w:val="3C791991"/>
    <w:rsid w:val="3C8768C8"/>
    <w:rsid w:val="3CB151DB"/>
    <w:rsid w:val="3CBA43FC"/>
    <w:rsid w:val="3CCE5FE8"/>
    <w:rsid w:val="3CFC753D"/>
    <w:rsid w:val="3D475AC0"/>
    <w:rsid w:val="3D573AAE"/>
    <w:rsid w:val="3DDC6AF7"/>
    <w:rsid w:val="3E5E6B64"/>
    <w:rsid w:val="3E5F1E94"/>
    <w:rsid w:val="3E753269"/>
    <w:rsid w:val="3E8916EE"/>
    <w:rsid w:val="3E955A06"/>
    <w:rsid w:val="3EC10360"/>
    <w:rsid w:val="3EFE0737"/>
    <w:rsid w:val="3F022944"/>
    <w:rsid w:val="3F125943"/>
    <w:rsid w:val="3F2B095C"/>
    <w:rsid w:val="3F632287"/>
    <w:rsid w:val="3F7D3D9E"/>
    <w:rsid w:val="3F817D6A"/>
    <w:rsid w:val="3FAF4912"/>
    <w:rsid w:val="3FB52975"/>
    <w:rsid w:val="3FE539A4"/>
    <w:rsid w:val="40084B6E"/>
    <w:rsid w:val="405126BE"/>
    <w:rsid w:val="406A72FF"/>
    <w:rsid w:val="40953481"/>
    <w:rsid w:val="40CD787E"/>
    <w:rsid w:val="413C7CD0"/>
    <w:rsid w:val="4151633F"/>
    <w:rsid w:val="41804241"/>
    <w:rsid w:val="41A62A0A"/>
    <w:rsid w:val="421B7832"/>
    <w:rsid w:val="42254A34"/>
    <w:rsid w:val="42855BC9"/>
    <w:rsid w:val="429462ED"/>
    <w:rsid w:val="42BC7DDF"/>
    <w:rsid w:val="42BE1986"/>
    <w:rsid w:val="42FC1899"/>
    <w:rsid w:val="43076C51"/>
    <w:rsid w:val="43104F29"/>
    <w:rsid w:val="437E2698"/>
    <w:rsid w:val="43AD43B9"/>
    <w:rsid w:val="43D52B37"/>
    <w:rsid w:val="43EF206A"/>
    <w:rsid w:val="44003B51"/>
    <w:rsid w:val="44201AAB"/>
    <w:rsid w:val="44780ABD"/>
    <w:rsid w:val="44805BE0"/>
    <w:rsid w:val="448A72D9"/>
    <w:rsid w:val="44EF1B82"/>
    <w:rsid w:val="455E59EB"/>
    <w:rsid w:val="4567333D"/>
    <w:rsid w:val="45797C51"/>
    <w:rsid w:val="45921C25"/>
    <w:rsid w:val="45A168B6"/>
    <w:rsid w:val="45DE7647"/>
    <w:rsid w:val="45E725A1"/>
    <w:rsid w:val="45EE4E64"/>
    <w:rsid w:val="46123655"/>
    <w:rsid w:val="461B2714"/>
    <w:rsid w:val="46492C2C"/>
    <w:rsid w:val="4657626C"/>
    <w:rsid w:val="46854511"/>
    <w:rsid w:val="46A025FE"/>
    <w:rsid w:val="46E22739"/>
    <w:rsid w:val="46F41301"/>
    <w:rsid w:val="46FC6C97"/>
    <w:rsid w:val="470A5B17"/>
    <w:rsid w:val="47231D97"/>
    <w:rsid w:val="473D2DF8"/>
    <w:rsid w:val="473F0AAE"/>
    <w:rsid w:val="479A3E13"/>
    <w:rsid w:val="47D74B9C"/>
    <w:rsid w:val="47F66832"/>
    <w:rsid w:val="486A20A2"/>
    <w:rsid w:val="48A328CF"/>
    <w:rsid w:val="49316C19"/>
    <w:rsid w:val="498C3173"/>
    <w:rsid w:val="49BA7429"/>
    <w:rsid w:val="49BF7BAD"/>
    <w:rsid w:val="49CE1761"/>
    <w:rsid w:val="4ABB577A"/>
    <w:rsid w:val="4B214123"/>
    <w:rsid w:val="4B807D59"/>
    <w:rsid w:val="4B83204C"/>
    <w:rsid w:val="4B873091"/>
    <w:rsid w:val="4BA72EF2"/>
    <w:rsid w:val="4BD9732F"/>
    <w:rsid w:val="4C0D56B5"/>
    <w:rsid w:val="4C3E203F"/>
    <w:rsid w:val="4C4A2448"/>
    <w:rsid w:val="4C8F5111"/>
    <w:rsid w:val="4CA37009"/>
    <w:rsid w:val="4CF6285E"/>
    <w:rsid w:val="4CFA4B09"/>
    <w:rsid w:val="4D5235B2"/>
    <w:rsid w:val="4DBF06EC"/>
    <w:rsid w:val="4DED52D5"/>
    <w:rsid w:val="4E2D1DDA"/>
    <w:rsid w:val="4E3B2540"/>
    <w:rsid w:val="4E70653D"/>
    <w:rsid w:val="4ECF17A1"/>
    <w:rsid w:val="4F136F24"/>
    <w:rsid w:val="4F342A5E"/>
    <w:rsid w:val="4F73779A"/>
    <w:rsid w:val="4FB97DFA"/>
    <w:rsid w:val="4FEE3857"/>
    <w:rsid w:val="502A4E02"/>
    <w:rsid w:val="504B4D66"/>
    <w:rsid w:val="506B2AEC"/>
    <w:rsid w:val="50902684"/>
    <w:rsid w:val="50A20E32"/>
    <w:rsid w:val="50AE3701"/>
    <w:rsid w:val="50DF56DA"/>
    <w:rsid w:val="516A1F01"/>
    <w:rsid w:val="51FD1C8F"/>
    <w:rsid w:val="52031FDD"/>
    <w:rsid w:val="52386779"/>
    <w:rsid w:val="523A25A8"/>
    <w:rsid w:val="523B0DC6"/>
    <w:rsid w:val="52693681"/>
    <w:rsid w:val="527103FC"/>
    <w:rsid w:val="52910A3B"/>
    <w:rsid w:val="5299285F"/>
    <w:rsid w:val="529A792F"/>
    <w:rsid w:val="52A4759B"/>
    <w:rsid w:val="52B35629"/>
    <w:rsid w:val="52D32AFD"/>
    <w:rsid w:val="53107AFD"/>
    <w:rsid w:val="532C049D"/>
    <w:rsid w:val="53481136"/>
    <w:rsid w:val="536E0CCA"/>
    <w:rsid w:val="53916C12"/>
    <w:rsid w:val="539F3171"/>
    <w:rsid w:val="53C2720D"/>
    <w:rsid w:val="53E80794"/>
    <w:rsid w:val="54304E4F"/>
    <w:rsid w:val="54414C19"/>
    <w:rsid w:val="544C0A13"/>
    <w:rsid w:val="54AE7824"/>
    <w:rsid w:val="54D25223"/>
    <w:rsid w:val="54F0176D"/>
    <w:rsid w:val="550564C5"/>
    <w:rsid w:val="55992337"/>
    <w:rsid w:val="559C189E"/>
    <w:rsid w:val="561F1F50"/>
    <w:rsid w:val="56262AA1"/>
    <w:rsid w:val="562E2336"/>
    <w:rsid w:val="565F1615"/>
    <w:rsid w:val="56B670D7"/>
    <w:rsid w:val="56E5664D"/>
    <w:rsid w:val="56F35993"/>
    <w:rsid w:val="57467B96"/>
    <w:rsid w:val="57B27C22"/>
    <w:rsid w:val="57D46313"/>
    <w:rsid w:val="57E667F4"/>
    <w:rsid w:val="57F61A15"/>
    <w:rsid w:val="583C59BC"/>
    <w:rsid w:val="58632F34"/>
    <w:rsid w:val="58686D75"/>
    <w:rsid w:val="58863D65"/>
    <w:rsid w:val="589E309B"/>
    <w:rsid w:val="58D26CDD"/>
    <w:rsid w:val="58D736B4"/>
    <w:rsid w:val="58DF6CF4"/>
    <w:rsid w:val="5904132B"/>
    <w:rsid w:val="59157827"/>
    <w:rsid w:val="594400A5"/>
    <w:rsid w:val="59460EC7"/>
    <w:rsid w:val="595A1AF9"/>
    <w:rsid w:val="59641E81"/>
    <w:rsid w:val="598F6750"/>
    <w:rsid w:val="59935797"/>
    <w:rsid w:val="59A51405"/>
    <w:rsid w:val="59B06EA8"/>
    <w:rsid w:val="59C90F05"/>
    <w:rsid w:val="59CD2932"/>
    <w:rsid w:val="5A0C68A2"/>
    <w:rsid w:val="5A3C4156"/>
    <w:rsid w:val="5A55060E"/>
    <w:rsid w:val="5A695661"/>
    <w:rsid w:val="5A7F5484"/>
    <w:rsid w:val="5A9410D3"/>
    <w:rsid w:val="5AB23A35"/>
    <w:rsid w:val="5ACE503D"/>
    <w:rsid w:val="5AF413B3"/>
    <w:rsid w:val="5B04773F"/>
    <w:rsid w:val="5B4F7AA0"/>
    <w:rsid w:val="5B7458E4"/>
    <w:rsid w:val="5B944FA2"/>
    <w:rsid w:val="5BDE4C01"/>
    <w:rsid w:val="5BF64864"/>
    <w:rsid w:val="5BF904FE"/>
    <w:rsid w:val="5C3914B8"/>
    <w:rsid w:val="5C46074B"/>
    <w:rsid w:val="5C6D68F5"/>
    <w:rsid w:val="5C85755D"/>
    <w:rsid w:val="5CB0284C"/>
    <w:rsid w:val="5CE018ED"/>
    <w:rsid w:val="5D0E478E"/>
    <w:rsid w:val="5D1F13A6"/>
    <w:rsid w:val="5D7647EC"/>
    <w:rsid w:val="5DBA1FF8"/>
    <w:rsid w:val="5DBD14BD"/>
    <w:rsid w:val="5E1D3725"/>
    <w:rsid w:val="5E2735C3"/>
    <w:rsid w:val="5E37668B"/>
    <w:rsid w:val="5E9C51FA"/>
    <w:rsid w:val="5EC42D73"/>
    <w:rsid w:val="5ED54C52"/>
    <w:rsid w:val="5F161B26"/>
    <w:rsid w:val="5F267751"/>
    <w:rsid w:val="5F92436A"/>
    <w:rsid w:val="5F963BEE"/>
    <w:rsid w:val="5FE92BF5"/>
    <w:rsid w:val="60036809"/>
    <w:rsid w:val="601D73D2"/>
    <w:rsid w:val="60C3152C"/>
    <w:rsid w:val="60C346C6"/>
    <w:rsid w:val="60C73328"/>
    <w:rsid w:val="60D3082A"/>
    <w:rsid w:val="61141727"/>
    <w:rsid w:val="61593740"/>
    <w:rsid w:val="61D41829"/>
    <w:rsid w:val="61E433B1"/>
    <w:rsid w:val="62223398"/>
    <w:rsid w:val="62445441"/>
    <w:rsid w:val="625E1FC6"/>
    <w:rsid w:val="626544F2"/>
    <w:rsid w:val="6273227D"/>
    <w:rsid w:val="628F003F"/>
    <w:rsid w:val="62950332"/>
    <w:rsid w:val="630011AB"/>
    <w:rsid w:val="630048F7"/>
    <w:rsid w:val="63215DB8"/>
    <w:rsid w:val="63221DAA"/>
    <w:rsid w:val="632757F0"/>
    <w:rsid w:val="6342799E"/>
    <w:rsid w:val="63B77B8E"/>
    <w:rsid w:val="63D20EE7"/>
    <w:rsid w:val="63F3316E"/>
    <w:rsid w:val="63FA4DC2"/>
    <w:rsid w:val="64220275"/>
    <w:rsid w:val="643E06B3"/>
    <w:rsid w:val="6443691C"/>
    <w:rsid w:val="645079A9"/>
    <w:rsid w:val="645841F8"/>
    <w:rsid w:val="646447D2"/>
    <w:rsid w:val="646B5735"/>
    <w:rsid w:val="64BE130D"/>
    <w:rsid w:val="64EE69A2"/>
    <w:rsid w:val="65064BEE"/>
    <w:rsid w:val="650A4AEB"/>
    <w:rsid w:val="65160EC7"/>
    <w:rsid w:val="65A427A4"/>
    <w:rsid w:val="65CB33B9"/>
    <w:rsid w:val="65D02B72"/>
    <w:rsid w:val="6601473C"/>
    <w:rsid w:val="661D7DE2"/>
    <w:rsid w:val="66691CB0"/>
    <w:rsid w:val="666E595E"/>
    <w:rsid w:val="66721ACB"/>
    <w:rsid w:val="66763DB7"/>
    <w:rsid w:val="66820B52"/>
    <w:rsid w:val="66847D31"/>
    <w:rsid w:val="668F7750"/>
    <w:rsid w:val="669C395B"/>
    <w:rsid w:val="66B0366A"/>
    <w:rsid w:val="66F06D87"/>
    <w:rsid w:val="66FA4DE3"/>
    <w:rsid w:val="670A2DCF"/>
    <w:rsid w:val="670D0267"/>
    <w:rsid w:val="674816B3"/>
    <w:rsid w:val="675149F2"/>
    <w:rsid w:val="67D20125"/>
    <w:rsid w:val="67D71F14"/>
    <w:rsid w:val="67FA2386"/>
    <w:rsid w:val="682949EE"/>
    <w:rsid w:val="68373AB7"/>
    <w:rsid w:val="6878082B"/>
    <w:rsid w:val="68873540"/>
    <w:rsid w:val="68F10571"/>
    <w:rsid w:val="69005C27"/>
    <w:rsid w:val="6922313D"/>
    <w:rsid w:val="692B0CE1"/>
    <w:rsid w:val="69942680"/>
    <w:rsid w:val="69D460C0"/>
    <w:rsid w:val="6A160FCF"/>
    <w:rsid w:val="6A296146"/>
    <w:rsid w:val="6A8F72B9"/>
    <w:rsid w:val="6A9C1BAB"/>
    <w:rsid w:val="6AAB7F50"/>
    <w:rsid w:val="6AF20FCD"/>
    <w:rsid w:val="6B0779F2"/>
    <w:rsid w:val="6B185F9F"/>
    <w:rsid w:val="6B39476E"/>
    <w:rsid w:val="6B601982"/>
    <w:rsid w:val="6B643659"/>
    <w:rsid w:val="6BAB2A3D"/>
    <w:rsid w:val="6BB46349"/>
    <w:rsid w:val="6BC72219"/>
    <w:rsid w:val="6BFC46D6"/>
    <w:rsid w:val="6C296732"/>
    <w:rsid w:val="6C310293"/>
    <w:rsid w:val="6C5D7FE5"/>
    <w:rsid w:val="6C601602"/>
    <w:rsid w:val="6C7A7E87"/>
    <w:rsid w:val="6CC21BE9"/>
    <w:rsid w:val="6CC7769F"/>
    <w:rsid w:val="6CC90D79"/>
    <w:rsid w:val="6CF52DBA"/>
    <w:rsid w:val="6D02522C"/>
    <w:rsid w:val="6D553175"/>
    <w:rsid w:val="6D587005"/>
    <w:rsid w:val="6D9956BA"/>
    <w:rsid w:val="6DC73840"/>
    <w:rsid w:val="6DD9185D"/>
    <w:rsid w:val="6DFC351E"/>
    <w:rsid w:val="6E326276"/>
    <w:rsid w:val="6E3E12BD"/>
    <w:rsid w:val="6E625129"/>
    <w:rsid w:val="6E642207"/>
    <w:rsid w:val="6EA16987"/>
    <w:rsid w:val="6F2D3DC4"/>
    <w:rsid w:val="6F484143"/>
    <w:rsid w:val="6F574271"/>
    <w:rsid w:val="6F750F26"/>
    <w:rsid w:val="6F7B72E9"/>
    <w:rsid w:val="6F8445D4"/>
    <w:rsid w:val="6F8D5C1A"/>
    <w:rsid w:val="6F8E342E"/>
    <w:rsid w:val="6FA8133A"/>
    <w:rsid w:val="6FB25C71"/>
    <w:rsid w:val="6FCD6B73"/>
    <w:rsid w:val="6FD27139"/>
    <w:rsid w:val="6FFC56A6"/>
    <w:rsid w:val="70034D5E"/>
    <w:rsid w:val="700E1116"/>
    <w:rsid w:val="70340665"/>
    <w:rsid w:val="70BB0548"/>
    <w:rsid w:val="70CD2B48"/>
    <w:rsid w:val="710F28F2"/>
    <w:rsid w:val="71126EE7"/>
    <w:rsid w:val="71154488"/>
    <w:rsid w:val="713B42AD"/>
    <w:rsid w:val="71654E27"/>
    <w:rsid w:val="71986147"/>
    <w:rsid w:val="719C4275"/>
    <w:rsid w:val="719E73CE"/>
    <w:rsid w:val="71CF18EC"/>
    <w:rsid w:val="71F6500C"/>
    <w:rsid w:val="728F5F29"/>
    <w:rsid w:val="729E1638"/>
    <w:rsid w:val="72AB1549"/>
    <w:rsid w:val="730E6F63"/>
    <w:rsid w:val="731A170A"/>
    <w:rsid w:val="733B10D3"/>
    <w:rsid w:val="736F12B0"/>
    <w:rsid w:val="737E24ED"/>
    <w:rsid w:val="737E590F"/>
    <w:rsid w:val="73817937"/>
    <w:rsid w:val="73E343B5"/>
    <w:rsid w:val="74203020"/>
    <w:rsid w:val="757C043C"/>
    <w:rsid w:val="758378C5"/>
    <w:rsid w:val="75CD3D27"/>
    <w:rsid w:val="75FB2D49"/>
    <w:rsid w:val="76134845"/>
    <w:rsid w:val="763922F4"/>
    <w:rsid w:val="764F27B8"/>
    <w:rsid w:val="7665615C"/>
    <w:rsid w:val="76926D36"/>
    <w:rsid w:val="76C64C3A"/>
    <w:rsid w:val="770A4941"/>
    <w:rsid w:val="77153AAD"/>
    <w:rsid w:val="77160587"/>
    <w:rsid w:val="77314A3A"/>
    <w:rsid w:val="774B075C"/>
    <w:rsid w:val="774F7F34"/>
    <w:rsid w:val="77896DD2"/>
    <w:rsid w:val="77967C03"/>
    <w:rsid w:val="77C13F0D"/>
    <w:rsid w:val="77DC2835"/>
    <w:rsid w:val="77F83FF8"/>
    <w:rsid w:val="782561DB"/>
    <w:rsid w:val="782A7F03"/>
    <w:rsid w:val="782B7A40"/>
    <w:rsid w:val="783C38C6"/>
    <w:rsid w:val="78536B97"/>
    <w:rsid w:val="785F7D93"/>
    <w:rsid w:val="792235CC"/>
    <w:rsid w:val="79616DC4"/>
    <w:rsid w:val="797701CE"/>
    <w:rsid w:val="79791547"/>
    <w:rsid w:val="79E820BE"/>
    <w:rsid w:val="79EB6E3D"/>
    <w:rsid w:val="79F50AB5"/>
    <w:rsid w:val="7A4F53A0"/>
    <w:rsid w:val="7A5B1025"/>
    <w:rsid w:val="7A606FCD"/>
    <w:rsid w:val="7A69418C"/>
    <w:rsid w:val="7A6E0372"/>
    <w:rsid w:val="7A862644"/>
    <w:rsid w:val="7A971443"/>
    <w:rsid w:val="7B0862F8"/>
    <w:rsid w:val="7B3C614D"/>
    <w:rsid w:val="7B4128F5"/>
    <w:rsid w:val="7B4A65B5"/>
    <w:rsid w:val="7B681A01"/>
    <w:rsid w:val="7B86410F"/>
    <w:rsid w:val="7BAC1C0B"/>
    <w:rsid w:val="7BB60F98"/>
    <w:rsid w:val="7BCA68E0"/>
    <w:rsid w:val="7BD3539E"/>
    <w:rsid w:val="7BD97621"/>
    <w:rsid w:val="7BFA37D9"/>
    <w:rsid w:val="7C0D14C3"/>
    <w:rsid w:val="7C47478B"/>
    <w:rsid w:val="7C667B74"/>
    <w:rsid w:val="7C934573"/>
    <w:rsid w:val="7CA47088"/>
    <w:rsid w:val="7CB42860"/>
    <w:rsid w:val="7D021F92"/>
    <w:rsid w:val="7D03303C"/>
    <w:rsid w:val="7D711B45"/>
    <w:rsid w:val="7D794C5E"/>
    <w:rsid w:val="7D887CB8"/>
    <w:rsid w:val="7DBD04BA"/>
    <w:rsid w:val="7DC914E1"/>
    <w:rsid w:val="7E6E2E4D"/>
    <w:rsid w:val="7E767848"/>
    <w:rsid w:val="7E8E21A9"/>
    <w:rsid w:val="7EBE6F11"/>
    <w:rsid w:val="7EC40A46"/>
    <w:rsid w:val="7ED12FBA"/>
    <w:rsid w:val="7EE30DF1"/>
    <w:rsid w:val="7F02245E"/>
    <w:rsid w:val="7F611CD0"/>
    <w:rsid w:val="7F814F6E"/>
    <w:rsid w:val="7F833D8D"/>
    <w:rsid w:val="7FE855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2"/>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9"/>
    <w:pPr>
      <w:keepNext/>
      <w:keepLines/>
      <w:numPr>
        <w:ilvl w:val="3"/>
        <w:numId w:val="1"/>
      </w:numPr>
      <w:spacing w:line="377" w:lineRule="auto"/>
      <w:outlineLvl w:val="3"/>
    </w:pPr>
    <w:rPr>
      <w:rFonts w:ascii="Cambria" w:hAnsi="Cambria" w:eastAsia="宋体" w:cs="Times New Roman"/>
      <w:b/>
      <w:bCs/>
      <w:szCs w:val="28"/>
    </w:rPr>
  </w:style>
  <w:style w:type="character" w:default="1" w:styleId="39">
    <w:name w:val="Default Paragraph Font"/>
    <w:autoRedefine/>
    <w:semiHidden/>
    <w:qFormat/>
    <w:uiPriority w:val="0"/>
  </w:style>
  <w:style w:type="table" w:default="1" w:styleId="37">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autoRedefine/>
    <w:qFormat/>
    <w:uiPriority w:val="0"/>
    <w:pPr>
      <w:widowControl/>
      <w:spacing w:before="120" w:after="0" w:line="240" w:lineRule="auto"/>
      <w:ind w:left="0" w:firstLine="3584"/>
    </w:pPr>
  </w:style>
  <w:style w:type="paragraph" w:styleId="8">
    <w:name w:val="toc 7"/>
    <w:basedOn w:val="1"/>
    <w:next w:val="1"/>
    <w:autoRedefine/>
    <w:qFormat/>
    <w:uiPriority w:val="39"/>
    <w:pPr>
      <w:ind w:left="2520" w:leftChars="1200"/>
    </w:pPr>
  </w:style>
  <w:style w:type="paragraph" w:styleId="9">
    <w:name w:val="annotation text"/>
    <w:basedOn w:val="1"/>
    <w:link w:val="53"/>
    <w:autoRedefine/>
    <w:qFormat/>
    <w:uiPriority w:val="99"/>
    <w:pPr>
      <w:jc w:val="left"/>
    </w:pPr>
  </w:style>
  <w:style w:type="paragraph" w:styleId="10">
    <w:name w:val="Body Text"/>
    <w:basedOn w:val="1"/>
    <w:link w:val="49"/>
    <w:autoRedefine/>
    <w:qFormat/>
    <w:uiPriority w:val="0"/>
    <w:pPr>
      <w:tabs>
        <w:tab w:val="left" w:pos="567"/>
      </w:tabs>
      <w:spacing w:before="120" w:line="22" w:lineRule="atLeast"/>
    </w:pPr>
    <w:rPr>
      <w:rFonts w:ascii="宋体" w:hAnsi="宋体"/>
      <w:sz w:val="24"/>
    </w:rPr>
  </w:style>
  <w:style w:type="paragraph" w:styleId="11">
    <w:name w:val="Body Text Indent"/>
    <w:basedOn w:val="1"/>
    <w:next w:val="12"/>
    <w:autoRedefine/>
    <w:qFormat/>
    <w:uiPriority w:val="0"/>
    <w:pPr>
      <w:spacing w:line="360" w:lineRule="auto"/>
      <w:ind w:firstLine="570"/>
    </w:pPr>
    <w:rPr>
      <w:sz w:val="24"/>
    </w:rPr>
  </w:style>
  <w:style w:type="paragraph" w:styleId="12">
    <w:name w:val="Body Text First Indent 2"/>
    <w:basedOn w:val="11"/>
    <w:next w:val="5"/>
    <w:autoRedefine/>
    <w:qFormat/>
    <w:uiPriority w:val="99"/>
    <w:pPr>
      <w:ind w:firstLine="420"/>
    </w:pPr>
  </w:style>
  <w:style w:type="paragraph" w:styleId="13">
    <w:name w:val="toc 5"/>
    <w:basedOn w:val="1"/>
    <w:next w:val="1"/>
    <w:autoRedefine/>
    <w:qFormat/>
    <w:uiPriority w:val="39"/>
    <w:pPr>
      <w:ind w:left="1680" w:leftChars="800"/>
    </w:pPr>
  </w:style>
  <w:style w:type="paragraph" w:styleId="14">
    <w:name w:val="toc 3"/>
    <w:basedOn w:val="1"/>
    <w:next w:val="1"/>
    <w:autoRedefine/>
    <w:qFormat/>
    <w:uiPriority w:val="39"/>
    <w:pPr>
      <w:tabs>
        <w:tab w:val="left" w:pos="1260"/>
        <w:tab w:val="right" w:leader="dot" w:pos="8630"/>
      </w:tabs>
      <w:ind w:left="840" w:leftChars="400"/>
    </w:pPr>
  </w:style>
  <w:style w:type="paragraph" w:styleId="15">
    <w:name w:val="Plain Text"/>
    <w:basedOn w:val="1"/>
    <w:next w:val="16"/>
    <w:link w:val="54"/>
    <w:autoRedefine/>
    <w:qFormat/>
    <w:uiPriority w:val="0"/>
    <w:rPr>
      <w:rFonts w:ascii="宋体" w:hAnsi="Courier New"/>
      <w:szCs w:val="20"/>
    </w:rPr>
  </w:style>
  <w:style w:type="paragraph" w:styleId="16">
    <w:name w:val="index 7"/>
    <w:basedOn w:val="1"/>
    <w:next w:val="1"/>
    <w:autoRedefine/>
    <w:qFormat/>
    <w:uiPriority w:val="0"/>
    <w:pPr>
      <w:autoSpaceDE/>
      <w:autoSpaceDN/>
      <w:adjustRightInd/>
      <w:ind w:left="1200" w:leftChars="1200"/>
    </w:pPr>
    <w:rPr>
      <w:color w:val="auto"/>
      <w:kern w:val="2"/>
      <w:szCs w:val="24"/>
    </w:rPr>
  </w:style>
  <w:style w:type="paragraph" w:styleId="17">
    <w:name w:val="toc 8"/>
    <w:basedOn w:val="1"/>
    <w:next w:val="1"/>
    <w:autoRedefine/>
    <w:qFormat/>
    <w:uiPriority w:val="39"/>
    <w:pPr>
      <w:ind w:left="2940" w:leftChars="1400"/>
    </w:pPr>
  </w:style>
  <w:style w:type="paragraph" w:styleId="18">
    <w:name w:val="Date"/>
    <w:basedOn w:val="1"/>
    <w:next w:val="1"/>
    <w:link w:val="55"/>
    <w:autoRedefine/>
    <w:qFormat/>
    <w:uiPriority w:val="0"/>
    <w:pPr>
      <w:ind w:left="100" w:leftChars="2500"/>
    </w:pPr>
    <w:rPr>
      <w:rFonts w:ascii="仿宋_GB2312" w:hAnsi="宋体" w:eastAsia="仿宋_GB2312"/>
      <w:color w:val="000000"/>
      <w:sz w:val="24"/>
    </w:rPr>
  </w:style>
  <w:style w:type="paragraph" w:styleId="19">
    <w:name w:val="Body Text Indent 2"/>
    <w:basedOn w:val="1"/>
    <w:autoRedefine/>
    <w:qFormat/>
    <w:uiPriority w:val="0"/>
    <w:pPr>
      <w:ind w:firstLine="480" w:firstLineChars="200"/>
    </w:pPr>
    <w:rPr>
      <w:rFonts w:ascii="仿宋_GB2312" w:eastAsia="仿宋_GB2312"/>
      <w:sz w:val="24"/>
    </w:rPr>
  </w:style>
  <w:style w:type="paragraph" w:styleId="20">
    <w:name w:val="Balloon Text"/>
    <w:basedOn w:val="1"/>
    <w:link w:val="56"/>
    <w:autoRedefine/>
    <w:qFormat/>
    <w:uiPriority w:val="0"/>
    <w:rPr>
      <w:sz w:val="18"/>
      <w:szCs w:val="18"/>
    </w:rPr>
  </w:style>
  <w:style w:type="paragraph" w:styleId="21">
    <w:name w:val="footer"/>
    <w:basedOn w:val="1"/>
    <w:link w:val="57"/>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2">
    <w:name w:val="header"/>
    <w:basedOn w:val="1"/>
    <w:link w:val="58"/>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style>
  <w:style w:type="paragraph" w:styleId="24">
    <w:name w:val="toc 4"/>
    <w:basedOn w:val="1"/>
    <w:next w:val="1"/>
    <w:autoRedefine/>
    <w:qFormat/>
    <w:uiPriority w:val="39"/>
    <w:pPr>
      <w:ind w:left="1260" w:leftChars="600"/>
    </w:pPr>
  </w:style>
  <w:style w:type="paragraph" w:styleId="25">
    <w:name w:val="footnote text"/>
    <w:basedOn w:val="1"/>
    <w:autoRedefine/>
    <w:unhideWhenUsed/>
    <w:qFormat/>
    <w:uiPriority w:val="99"/>
    <w:pPr>
      <w:snapToGrid w:val="0"/>
      <w:jc w:val="left"/>
    </w:pPr>
    <w:rPr>
      <w:sz w:val="18"/>
      <w:szCs w:val="18"/>
    </w:rPr>
  </w:style>
  <w:style w:type="paragraph" w:styleId="26">
    <w:name w:val="toc 6"/>
    <w:basedOn w:val="1"/>
    <w:next w:val="1"/>
    <w:autoRedefine/>
    <w:qFormat/>
    <w:uiPriority w:val="39"/>
    <w:pPr>
      <w:ind w:left="2100" w:leftChars="1000"/>
    </w:pPr>
  </w:style>
  <w:style w:type="paragraph" w:styleId="27">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autoRedefine/>
    <w:qFormat/>
    <w:uiPriority w:val="39"/>
    <w:pPr>
      <w:ind w:left="420" w:leftChars="200"/>
    </w:pPr>
  </w:style>
  <w:style w:type="paragraph" w:styleId="29">
    <w:name w:val="toc 9"/>
    <w:basedOn w:val="1"/>
    <w:next w:val="1"/>
    <w:autoRedefine/>
    <w:qFormat/>
    <w:uiPriority w:val="39"/>
    <w:pPr>
      <w:ind w:left="3360" w:leftChars="1600"/>
    </w:pPr>
  </w:style>
  <w:style w:type="paragraph" w:styleId="30">
    <w:name w:val="Body Text 2"/>
    <w:basedOn w:val="1"/>
    <w:autoRedefine/>
    <w:unhideWhenUsed/>
    <w:qFormat/>
    <w:uiPriority w:val="99"/>
    <w:pPr>
      <w:spacing w:after="120" w:line="480" w:lineRule="auto"/>
    </w:pPr>
  </w:style>
  <w:style w:type="paragraph" w:styleId="3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2">
    <w:name w:val="Normal (Web)"/>
    <w:basedOn w:val="1"/>
    <w:autoRedefine/>
    <w:qFormat/>
    <w:uiPriority w:val="0"/>
    <w:pPr>
      <w:spacing w:before="75" w:beforeAutospacing="0" w:after="75" w:afterAutospacing="0"/>
      <w:ind w:left="0" w:right="0"/>
      <w:jc w:val="left"/>
    </w:pPr>
    <w:rPr>
      <w:kern w:val="0"/>
      <w:sz w:val="24"/>
      <w:lang w:val="en-US" w:eastAsia="zh-CN" w:bidi="ar"/>
    </w:rPr>
  </w:style>
  <w:style w:type="paragraph" w:styleId="33">
    <w:name w:val="index 1"/>
    <w:basedOn w:val="1"/>
    <w:next w:val="1"/>
    <w:autoRedefine/>
    <w:semiHidden/>
    <w:qFormat/>
    <w:uiPriority w:val="0"/>
    <w:rPr>
      <w:szCs w:val="20"/>
    </w:rPr>
  </w:style>
  <w:style w:type="paragraph" w:styleId="34">
    <w:name w:val="Title"/>
    <w:basedOn w:val="1"/>
    <w:next w:val="1"/>
    <w:autoRedefine/>
    <w:qFormat/>
    <w:uiPriority w:val="10"/>
    <w:pPr>
      <w:spacing w:before="240" w:after="60"/>
      <w:jc w:val="center"/>
      <w:outlineLvl w:val="0"/>
    </w:pPr>
    <w:rPr>
      <w:rFonts w:ascii="Calibri Light" w:hAnsi="Calibri Light" w:eastAsia="宋体" w:cs="宋体"/>
      <w:b/>
      <w:bCs/>
      <w:sz w:val="32"/>
      <w:szCs w:val="32"/>
    </w:rPr>
  </w:style>
  <w:style w:type="paragraph" w:styleId="35">
    <w:name w:val="annotation subject"/>
    <w:basedOn w:val="9"/>
    <w:next w:val="9"/>
    <w:link w:val="59"/>
    <w:autoRedefine/>
    <w:qFormat/>
    <w:uiPriority w:val="0"/>
    <w:rPr>
      <w:b/>
      <w:bCs/>
    </w:rPr>
  </w:style>
  <w:style w:type="paragraph" w:styleId="36">
    <w:name w:val="Body Text First Indent"/>
    <w:basedOn w:val="10"/>
    <w:next w:val="1"/>
    <w:qFormat/>
    <w:uiPriority w:val="0"/>
    <w:pPr>
      <w:widowControl/>
      <w:spacing w:line="312" w:lineRule="auto"/>
      <w:ind w:firstLine="420" w:firstLineChars="100"/>
    </w:pPr>
    <w:rPr>
      <w:rFonts w:hint="eastAsia" w:ascii="微软雅黑" w:hAnsi="微软雅黑" w:eastAsia="微软雅黑" w:cs="微软雅黑"/>
      <w:szCs w:val="21"/>
    </w:rPr>
  </w:style>
  <w:style w:type="table" w:styleId="38">
    <w:name w:val="Table Grid"/>
    <w:basedOn w:val="3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0"/>
    <w:rPr>
      <w:b/>
    </w:rPr>
  </w:style>
  <w:style w:type="character" w:styleId="41">
    <w:name w:val="page number"/>
    <w:basedOn w:val="39"/>
    <w:autoRedefine/>
    <w:qFormat/>
    <w:uiPriority w:val="0"/>
  </w:style>
  <w:style w:type="character" w:styleId="42">
    <w:name w:val="Hyperlink"/>
    <w:autoRedefine/>
    <w:qFormat/>
    <w:uiPriority w:val="99"/>
    <w:rPr>
      <w:color w:val="0000FF"/>
      <w:u w:val="single"/>
    </w:rPr>
  </w:style>
  <w:style w:type="character" w:styleId="43">
    <w:name w:val="annotation reference"/>
    <w:autoRedefine/>
    <w:qFormat/>
    <w:uiPriority w:val="99"/>
    <w:rPr>
      <w:sz w:val="21"/>
      <w:szCs w:val="21"/>
    </w:rPr>
  </w:style>
  <w:style w:type="paragraph" w:customStyle="1" w:styleId="44">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45">
    <w:name w:val="Body Text First Indent1"/>
    <w:basedOn w:val="10"/>
    <w:qFormat/>
    <w:uiPriority w:val="0"/>
    <w:pPr>
      <w:adjustRightInd/>
      <w:spacing w:after="120"/>
      <w:ind w:firstLine="420"/>
      <w:jc w:val="both"/>
      <w:textAlignment w:val="auto"/>
    </w:pPr>
    <w:rPr>
      <w:rFonts w:ascii="Times New Roman"/>
      <w:kern w:val="2"/>
      <w:sz w:val="32"/>
    </w:rPr>
  </w:style>
  <w:style w:type="paragraph" w:customStyle="1" w:styleId="46">
    <w:name w:val="4正文"/>
    <w:basedOn w:val="1"/>
    <w:autoRedefine/>
    <w:qFormat/>
    <w:uiPriority w:val="0"/>
    <w:pPr>
      <w:jc w:val="left"/>
    </w:pPr>
    <w:rPr>
      <w:szCs w:val="24"/>
    </w:rPr>
  </w:style>
  <w:style w:type="paragraph" w:customStyle="1" w:styleId="47">
    <w:name w:val="正文首行缩进1"/>
    <w:basedOn w:val="10"/>
    <w:qFormat/>
    <w:uiPriority w:val="0"/>
    <w:pPr>
      <w:ind w:firstLine="420"/>
    </w:pPr>
    <w:rPr>
      <w:sz w:val="32"/>
    </w:rPr>
  </w:style>
  <w:style w:type="paragraph" w:customStyle="1" w:styleId="48">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49">
    <w:name w:val="正文文本 Char"/>
    <w:link w:val="10"/>
    <w:autoRedefine/>
    <w:qFormat/>
    <w:uiPriority w:val="0"/>
    <w:rPr>
      <w:rFonts w:ascii="宋体" w:hAnsi="宋体"/>
      <w:kern w:val="2"/>
      <w:sz w:val="24"/>
      <w:szCs w:val="24"/>
    </w:rPr>
  </w:style>
  <w:style w:type="character" w:customStyle="1" w:styleId="50">
    <w:name w:val="标题 1 Char"/>
    <w:link w:val="2"/>
    <w:autoRedefine/>
    <w:qFormat/>
    <w:uiPriority w:val="0"/>
    <w:rPr>
      <w:rFonts w:ascii="宋体"/>
      <w:b/>
      <w:kern w:val="44"/>
      <w:sz w:val="32"/>
    </w:rPr>
  </w:style>
  <w:style w:type="character" w:customStyle="1" w:styleId="51">
    <w:name w:val="标题 2 Char"/>
    <w:link w:val="3"/>
    <w:autoRedefine/>
    <w:qFormat/>
    <w:uiPriority w:val="0"/>
    <w:rPr>
      <w:rFonts w:ascii="Arial" w:hAnsi="Arial" w:eastAsia="黑体"/>
      <w:b/>
      <w:sz w:val="30"/>
    </w:rPr>
  </w:style>
  <w:style w:type="character" w:customStyle="1" w:styleId="52">
    <w:name w:val="标题 3 Char"/>
    <w:link w:val="4"/>
    <w:autoRedefine/>
    <w:qFormat/>
    <w:uiPriority w:val="0"/>
    <w:rPr>
      <w:rFonts w:ascii="宋体"/>
      <w:b/>
      <w:sz w:val="24"/>
      <w:u w:val="single"/>
    </w:rPr>
  </w:style>
  <w:style w:type="character" w:customStyle="1" w:styleId="53">
    <w:name w:val="批注文字 Char"/>
    <w:link w:val="9"/>
    <w:autoRedefine/>
    <w:qFormat/>
    <w:uiPriority w:val="99"/>
    <w:rPr>
      <w:kern w:val="2"/>
      <w:sz w:val="21"/>
      <w:szCs w:val="24"/>
    </w:rPr>
  </w:style>
  <w:style w:type="character" w:customStyle="1" w:styleId="54">
    <w:name w:val="纯文本 Char"/>
    <w:link w:val="15"/>
    <w:autoRedefine/>
    <w:qFormat/>
    <w:uiPriority w:val="0"/>
    <w:rPr>
      <w:rFonts w:ascii="宋体" w:hAnsi="Courier New"/>
      <w:kern w:val="2"/>
      <w:sz w:val="21"/>
    </w:rPr>
  </w:style>
  <w:style w:type="character" w:customStyle="1" w:styleId="55">
    <w:name w:val="日期 Char"/>
    <w:link w:val="18"/>
    <w:autoRedefine/>
    <w:qFormat/>
    <w:uiPriority w:val="0"/>
    <w:rPr>
      <w:rFonts w:ascii="仿宋_GB2312" w:hAnsi="宋体" w:eastAsia="仿宋_GB2312"/>
      <w:color w:val="000000"/>
      <w:kern w:val="2"/>
      <w:sz w:val="24"/>
      <w:szCs w:val="24"/>
    </w:rPr>
  </w:style>
  <w:style w:type="character" w:customStyle="1" w:styleId="56">
    <w:name w:val="批注框文本 Char"/>
    <w:link w:val="20"/>
    <w:autoRedefine/>
    <w:qFormat/>
    <w:uiPriority w:val="0"/>
    <w:rPr>
      <w:kern w:val="2"/>
      <w:sz w:val="18"/>
      <w:szCs w:val="18"/>
    </w:rPr>
  </w:style>
  <w:style w:type="character" w:customStyle="1" w:styleId="57">
    <w:name w:val="页脚 Char"/>
    <w:link w:val="21"/>
    <w:autoRedefine/>
    <w:qFormat/>
    <w:uiPriority w:val="99"/>
    <w:rPr>
      <w:rFonts w:ascii="宋体"/>
      <w:sz w:val="18"/>
    </w:rPr>
  </w:style>
  <w:style w:type="character" w:customStyle="1" w:styleId="58">
    <w:name w:val="页眉 Char"/>
    <w:link w:val="22"/>
    <w:autoRedefine/>
    <w:qFormat/>
    <w:uiPriority w:val="0"/>
    <w:rPr>
      <w:kern w:val="2"/>
      <w:sz w:val="18"/>
      <w:szCs w:val="18"/>
    </w:rPr>
  </w:style>
  <w:style w:type="character" w:customStyle="1" w:styleId="59">
    <w:name w:val="批注主题 Char"/>
    <w:link w:val="35"/>
    <w:autoRedefine/>
    <w:qFormat/>
    <w:uiPriority w:val="0"/>
    <w:rPr>
      <w:b/>
      <w:bCs/>
      <w:kern w:val="2"/>
      <w:sz w:val="21"/>
      <w:szCs w:val="24"/>
    </w:rPr>
  </w:style>
  <w:style w:type="paragraph" w:customStyle="1" w:styleId="60">
    <w:name w:val="列出段落1"/>
    <w:basedOn w:val="1"/>
    <w:autoRedefine/>
    <w:qFormat/>
    <w:uiPriority w:val="34"/>
    <w:pPr>
      <w:widowControl/>
      <w:ind w:firstLine="420" w:firstLineChars="200"/>
      <w:jc w:val="left"/>
    </w:pPr>
    <w:rPr>
      <w:kern w:val="0"/>
      <w:sz w:val="24"/>
    </w:rPr>
  </w:style>
  <w:style w:type="character" w:customStyle="1" w:styleId="61">
    <w:name w:val="font201"/>
    <w:basedOn w:val="39"/>
    <w:autoRedefine/>
    <w:qFormat/>
    <w:uiPriority w:val="0"/>
    <w:rPr>
      <w:rFonts w:hint="eastAsia" w:ascii="微软雅黑" w:hAnsi="微软雅黑" w:eastAsia="微软雅黑" w:cs="微软雅黑"/>
      <w:color w:val="000000"/>
      <w:sz w:val="24"/>
      <w:szCs w:val="24"/>
      <w:u w:val="none"/>
    </w:rPr>
  </w:style>
  <w:style w:type="character" w:customStyle="1" w:styleId="62">
    <w:name w:val="批注框文本 Char1"/>
    <w:autoRedefine/>
    <w:semiHidden/>
    <w:qFormat/>
    <w:uiPriority w:val="99"/>
    <w:rPr>
      <w:kern w:val="2"/>
      <w:sz w:val="18"/>
      <w:szCs w:val="18"/>
    </w:rPr>
  </w:style>
  <w:style w:type="character" w:customStyle="1" w:styleId="63">
    <w:name w:val="批注主题 Char1"/>
    <w:autoRedefine/>
    <w:semiHidden/>
    <w:qFormat/>
    <w:uiPriority w:val="99"/>
    <w:rPr>
      <w:b/>
      <w:bCs/>
      <w:kern w:val="2"/>
      <w:sz w:val="21"/>
      <w:szCs w:val="24"/>
    </w:rPr>
  </w:style>
  <w:style w:type="character" w:customStyle="1" w:styleId="64">
    <w:name w:val="font122"/>
    <w:basedOn w:val="39"/>
    <w:autoRedefine/>
    <w:qFormat/>
    <w:uiPriority w:val="0"/>
    <w:rPr>
      <w:rFonts w:ascii="宋体" w:hAnsi="宋体" w:eastAsia="宋体" w:cs="宋体"/>
      <w:color w:val="000000"/>
      <w:sz w:val="24"/>
      <w:szCs w:val="24"/>
      <w:u w:val="none"/>
    </w:rPr>
  </w:style>
  <w:style w:type="character" w:customStyle="1" w:styleId="65">
    <w:name w:val="font11"/>
    <w:autoRedefine/>
    <w:qFormat/>
    <w:uiPriority w:val="0"/>
    <w:rPr>
      <w:rFonts w:hint="eastAsia" w:ascii="宋体" w:hAnsi="宋体" w:eastAsia="宋体" w:cs="宋体"/>
      <w:color w:val="000000"/>
      <w:sz w:val="20"/>
      <w:szCs w:val="20"/>
      <w:u w:val="none"/>
      <w:vertAlign w:val="superscript"/>
    </w:rPr>
  </w:style>
  <w:style w:type="character" w:customStyle="1" w:styleId="66">
    <w:name w:val="font41"/>
    <w:basedOn w:val="39"/>
    <w:autoRedefine/>
    <w:qFormat/>
    <w:uiPriority w:val="0"/>
    <w:rPr>
      <w:rFonts w:hint="eastAsia" w:ascii="微软雅黑" w:hAnsi="微软雅黑" w:eastAsia="微软雅黑" w:cs="微软雅黑"/>
      <w:color w:val="000000"/>
      <w:sz w:val="24"/>
      <w:szCs w:val="24"/>
      <w:u w:val="none"/>
    </w:rPr>
  </w:style>
  <w:style w:type="character" w:customStyle="1" w:styleId="67">
    <w:name w:val="正文缩进 Char1"/>
    <w:link w:val="68"/>
    <w:autoRedefine/>
    <w:qFormat/>
    <w:uiPriority w:val="0"/>
    <w:rPr>
      <w:rFonts w:ascii="宋体"/>
      <w:sz w:val="24"/>
    </w:rPr>
  </w:style>
  <w:style w:type="paragraph" w:customStyle="1" w:styleId="68">
    <w:name w:val="正文缩进1"/>
    <w:basedOn w:val="1"/>
    <w:link w:val="67"/>
    <w:autoRedefine/>
    <w:qFormat/>
    <w:uiPriority w:val="0"/>
    <w:pPr>
      <w:autoSpaceDE w:val="0"/>
      <w:autoSpaceDN w:val="0"/>
      <w:adjustRightInd w:val="0"/>
      <w:ind w:firstLine="420"/>
      <w:jc w:val="left"/>
    </w:pPr>
    <w:rPr>
      <w:rFonts w:ascii="宋体"/>
      <w:kern w:val="0"/>
      <w:sz w:val="24"/>
      <w:szCs w:val="20"/>
    </w:rPr>
  </w:style>
  <w:style w:type="character" w:customStyle="1" w:styleId="69">
    <w:name w:val="font01"/>
    <w:autoRedefine/>
    <w:qFormat/>
    <w:uiPriority w:val="0"/>
    <w:rPr>
      <w:rFonts w:hint="eastAsia" w:ascii="宋体" w:hAnsi="宋体" w:eastAsia="宋体" w:cs="宋体"/>
      <w:color w:val="000000"/>
      <w:sz w:val="22"/>
      <w:szCs w:val="22"/>
      <w:u w:val="none"/>
    </w:rPr>
  </w:style>
  <w:style w:type="character" w:customStyle="1" w:styleId="70">
    <w:name w:val="font191"/>
    <w:basedOn w:val="39"/>
    <w:autoRedefine/>
    <w:qFormat/>
    <w:uiPriority w:val="0"/>
    <w:rPr>
      <w:rFonts w:ascii="宋体" w:hAnsi="宋体" w:eastAsia="宋体" w:cs="宋体"/>
      <w:color w:val="000000"/>
      <w:sz w:val="24"/>
      <w:szCs w:val="24"/>
      <w:u w:val="none"/>
    </w:rPr>
  </w:style>
  <w:style w:type="character" w:customStyle="1" w:styleId="71">
    <w:name w:val="页眉 Char1"/>
    <w:autoRedefine/>
    <w:semiHidden/>
    <w:qFormat/>
    <w:uiPriority w:val="99"/>
    <w:rPr>
      <w:kern w:val="2"/>
      <w:sz w:val="18"/>
      <w:szCs w:val="18"/>
    </w:rPr>
  </w:style>
  <w:style w:type="character" w:customStyle="1" w:styleId="72">
    <w:name w:val="font212"/>
    <w:basedOn w:val="39"/>
    <w:autoRedefine/>
    <w:qFormat/>
    <w:uiPriority w:val="0"/>
    <w:rPr>
      <w:rFonts w:hint="eastAsia" w:ascii="微软雅黑" w:hAnsi="微软雅黑" w:eastAsia="微软雅黑" w:cs="微软雅黑"/>
      <w:color w:val="000000"/>
      <w:sz w:val="24"/>
      <w:szCs w:val="24"/>
      <w:u w:val="none"/>
    </w:rPr>
  </w:style>
  <w:style w:type="character" w:customStyle="1" w:styleId="73">
    <w:name w:val="font111"/>
    <w:basedOn w:val="39"/>
    <w:autoRedefine/>
    <w:qFormat/>
    <w:uiPriority w:val="0"/>
    <w:rPr>
      <w:rFonts w:hint="default" w:ascii="Times New Roman" w:hAnsi="Times New Roman" w:cs="Times New Roman"/>
      <w:color w:val="000000"/>
      <w:sz w:val="24"/>
      <w:szCs w:val="24"/>
      <w:u w:val="none"/>
    </w:rPr>
  </w:style>
  <w:style w:type="character" w:customStyle="1" w:styleId="74">
    <w:name w:val="纯文本 Char1"/>
    <w:link w:val="75"/>
    <w:autoRedefine/>
    <w:qFormat/>
    <w:uiPriority w:val="0"/>
    <w:rPr>
      <w:rFonts w:ascii="宋体" w:hAnsi="Courier New"/>
    </w:rPr>
  </w:style>
  <w:style w:type="paragraph" w:customStyle="1" w:styleId="75">
    <w:name w:val="纯文本1"/>
    <w:basedOn w:val="1"/>
    <w:link w:val="74"/>
    <w:autoRedefine/>
    <w:qFormat/>
    <w:uiPriority w:val="0"/>
    <w:rPr>
      <w:rFonts w:ascii="宋体" w:hAnsi="Courier New"/>
      <w:kern w:val="0"/>
      <w:sz w:val="20"/>
      <w:szCs w:val="20"/>
    </w:rPr>
  </w:style>
  <w:style w:type="character" w:customStyle="1" w:styleId="76">
    <w:name w:val="font171"/>
    <w:basedOn w:val="39"/>
    <w:autoRedefine/>
    <w:qFormat/>
    <w:uiPriority w:val="0"/>
    <w:rPr>
      <w:rFonts w:hint="eastAsia" w:ascii="微软雅黑" w:hAnsi="微软雅黑" w:eastAsia="微软雅黑" w:cs="微软雅黑"/>
      <w:color w:val="000000"/>
      <w:sz w:val="24"/>
      <w:szCs w:val="24"/>
      <w:u w:val="none"/>
    </w:rPr>
  </w:style>
  <w:style w:type="character" w:customStyle="1" w:styleId="77">
    <w:name w:val="font12"/>
    <w:basedOn w:val="39"/>
    <w:autoRedefine/>
    <w:qFormat/>
    <w:uiPriority w:val="0"/>
    <w:rPr>
      <w:rFonts w:hint="default" w:ascii="Times New Roman" w:hAnsi="Times New Roman" w:cs="Times New Roman"/>
      <w:color w:val="000000"/>
      <w:sz w:val="24"/>
      <w:szCs w:val="24"/>
      <w:u w:val="none"/>
    </w:rPr>
  </w:style>
  <w:style w:type="character" w:customStyle="1" w:styleId="78">
    <w:name w:val="font121"/>
    <w:basedOn w:val="39"/>
    <w:autoRedefine/>
    <w:qFormat/>
    <w:uiPriority w:val="0"/>
    <w:rPr>
      <w:rFonts w:ascii="宋体" w:hAnsi="宋体" w:eastAsia="宋体" w:cs="宋体"/>
      <w:color w:val="000000"/>
      <w:sz w:val="24"/>
      <w:szCs w:val="24"/>
      <w:u w:val="none"/>
    </w:rPr>
  </w:style>
  <w:style w:type="character" w:customStyle="1" w:styleId="79">
    <w:name w:val="font131"/>
    <w:basedOn w:val="39"/>
    <w:autoRedefine/>
    <w:qFormat/>
    <w:uiPriority w:val="0"/>
    <w:rPr>
      <w:rFonts w:hint="default" w:ascii="Times New Roman" w:hAnsi="Times New Roman" w:cs="Times New Roman"/>
      <w:color w:val="000000"/>
      <w:sz w:val="24"/>
      <w:szCs w:val="24"/>
      <w:u w:val="none"/>
    </w:rPr>
  </w:style>
  <w:style w:type="character" w:customStyle="1" w:styleId="80">
    <w:name w:val="font181"/>
    <w:basedOn w:val="39"/>
    <w:autoRedefine/>
    <w:qFormat/>
    <w:uiPriority w:val="0"/>
    <w:rPr>
      <w:rFonts w:hint="default" w:ascii="Times New Roman" w:hAnsi="Times New Roman" w:cs="Times New Roman"/>
      <w:color w:val="000000"/>
      <w:sz w:val="24"/>
      <w:szCs w:val="24"/>
      <w:u w:val="none"/>
    </w:rPr>
  </w:style>
  <w:style w:type="character" w:customStyle="1" w:styleId="81">
    <w:name w:val="font31"/>
    <w:autoRedefine/>
    <w:qFormat/>
    <w:uiPriority w:val="0"/>
    <w:rPr>
      <w:rFonts w:hint="eastAsia" w:ascii="宋体" w:hAnsi="宋体" w:eastAsia="宋体" w:cs="宋体"/>
      <w:color w:val="000000"/>
      <w:sz w:val="24"/>
      <w:szCs w:val="24"/>
      <w:u w:val="none"/>
    </w:rPr>
  </w:style>
  <w:style w:type="character" w:customStyle="1" w:styleId="82">
    <w:name w:val="font21"/>
    <w:autoRedefine/>
    <w:qFormat/>
    <w:uiPriority w:val="0"/>
    <w:rPr>
      <w:rFonts w:hint="eastAsia" w:ascii="宋体" w:hAnsi="宋体" w:eastAsia="宋体" w:cs="宋体"/>
      <w:color w:val="000000"/>
      <w:sz w:val="20"/>
      <w:szCs w:val="20"/>
      <w:u w:val="none"/>
    </w:rPr>
  </w:style>
  <w:style w:type="character" w:customStyle="1" w:styleId="83">
    <w:name w:val="批注文字 Char1"/>
    <w:autoRedefine/>
    <w:semiHidden/>
    <w:qFormat/>
    <w:uiPriority w:val="99"/>
    <w:rPr>
      <w:kern w:val="2"/>
      <w:sz w:val="21"/>
      <w:szCs w:val="24"/>
    </w:rPr>
  </w:style>
  <w:style w:type="character" w:customStyle="1" w:styleId="84">
    <w:name w:val="font141"/>
    <w:basedOn w:val="39"/>
    <w:autoRedefine/>
    <w:qFormat/>
    <w:uiPriority w:val="0"/>
    <w:rPr>
      <w:rFonts w:hint="eastAsia" w:ascii="微软雅黑" w:hAnsi="微软雅黑" w:eastAsia="微软雅黑" w:cs="微软雅黑"/>
      <w:color w:val="000000"/>
      <w:sz w:val="24"/>
      <w:szCs w:val="24"/>
      <w:u w:val="none"/>
    </w:rPr>
  </w:style>
  <w:style w:type="paragraph" w:customStyle="1" w:styleId="85">
    <w:name w:val="索引 11"/>
    <w:basedOn w:val="1"/>
    <w:next w:val="1"/>
    <w:autoRedefine/>
    <w:qFormat/>
    <w:uiPriority w:val="0"/>
    <w:pPr>
      <w:spacing w:line="360" w:lineRule="auto"/>
    </w:pPr>
    <w:rPr>
      <w:rFonts w:ascii="仿宋_GB2312" w:eastAsia="仿宋_GB2312"/>
      <w:sz w:val="24"/>
      <w:szCs w:val="20"/>
    </w:rPr>
  </w:style>
  <w:style w:type="paragraph" w:customStyle="1" w:styleId="86">
    <w:name w:val="Char"/>
    <w:basedOn w:val="1"/>
    <w:autoRedefine/>
    <w:qFormat/>
    <w:uiPriority w:val="0"/>
    <w:pPr>
      <w:tabs>
        <w:tab w:val="left" w:pos="360"/>
      </w:tabs>
    </w:pPr>
    <w:rPr>
      <w:sz w:val="24"/>
    </w:rPr>
  </w:style>
  <w:style w:type="paragraph" w:styleId="87">
    <w:name w:val="List Paragraph"/>
    <w:basedOn w:val="1"/>
    <w:autoRedefine/>
    <w:qFormat/>
    <w:uiPriority w:val="34"/>
    <w:pPr>
      <w:ind w:firstLine="420" w:firstLineChars="200"/>
    </w:pPr>
  </w:style>
  <w:style w:type="paragraph" w:customStyle="1" w:styleId="88">
    <w:name w:val="z-窗体顶端1"/>
    <w:basedOn w:val="1"/>
    <w:autoRedefine/>
    <w:qFormat/>
    <w:uiPriority w:val="0"/>
    <w:pPr>
      <w:ind w:firstLine="420" w:firstLineChars="200"/>
    </w:pPr>
  </w:style>
  <w:style w:type="paragraph" w:customStyle="1" w:styleId="89">
    <w:name w:val="Heading3"/>
    <w:basedOn w:val="1"/>
    <w:next w:val="1"/>
    <w:autoRedefine/>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90">
    <w:name w:val="列出段落"/>
    <w:basedOn w:val="1"/>
    <w:autoRedefine/>
    <w:qFormat/>
    <w:uiPriority w:val="34"/>
    <w:pPr>
      <w:widowControl/>
      <w:ind w:firstLine="420" w:firstLineChars="200"/>
      <w:jc w:val="left"/>
    </w:pPr>
    <w:rPr>
      <w:kern w:val="0"/>
      <w:sz w:val="24"/>
    </w:rPr>
  </w:style>
  <w:style w:type="paragraph" w:customStyle="1" w:styleId="91">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92">
    <w:name w:val="WPSOffice手动目录 2"/>
    <w:autoRedefine/>
    <w:qFormat/>
    <w:uiPriority w:val="0"/>
    <w:pPr>
      <w:ind w:left="200" w:leftChars="200"/>
    </w:pPr>
    <w:rPr>
      <w:rFonts w:ascii="Calibri" w:hAnsi="Calibri" w:eastAsia="宋体" w:cs="Times New Roman"/>
      <w:kern w:val="2"/>
      <w:sz w:val="24"/>
      <w:szCs w:val="24"/>
      <w:lang w:val="en-US" w:eastAsia="zh-CN" w:bidi="ar-SA"/>
    </w:rPr>
  </w:style>
  <w:style w:type="paragraph" w:customStyle="1" w:styleId="93">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94">
    <w:name w:val="普通(网站)1"/>
    <w:basedOn w:val="1"/>
    <w:autoRedefine/>
    <w:qFormat/>
    <w:uiPriority w:val="2"/>
    <w:pPr>
      <w:spacing w:before="75" w:after="75"/>
      <w:ind w:left="0" w:right="0" w:firstLine="0"/>
      <w:jc w:val="left"/>
    </w:pPr>
    <w:rPr>
      <w:kern w:val="0"/>
      <w:sz w:val="24"/>
      <w:lang w:val="en-US" w:eastAsia="zh-CN" w:bidi="ar"/>
    </w:rPr>
  </w:style>
  <w:style w:type="paragraph" w:customStyle="1" w:styleId="95">
    <w:name w:val="样式 正文缩进 + 首行缩进:  2 字符"/>
    <w:basedOn w:val="5"/>
    <w:autoRedefine/>
    <w:qFormat/>
    <w:uiPriority w:val="0"/>
    <w:pPr>
      <w:ind w:firstLine="560" w:firstLineChars="200"/>
    </w:pPr>
    <w:rPr>
      <w:rFonts w:cs="宋体"/>
    </w:rPr>
  </w:style>
  <w:style w:type="paragraph" w:customStyle="1" w:styleId="96">
    <w:name w:val="Table Text"/>
    <w:basedOn w:val="1"/>
    <w:autoRedefine/>
    <w:semiHidden/>
    <w:qFormat/>
    <w:uiPriority w:val="0"/>
    <w:rPr>
      <w:rFonts w:ascii="宋体" w:hAnsi="宋体" w:eastAsia="宋体" w:cs="宋体"/>
      <w:sz w:val="24"/>
      <w:szCs w:val="24"/>
      <w:lang w:val="en-US" w:eastAsia="en-US" w:bidi="ar-SA"/>
    </w:rPr>
  </w:style>
  <w:style w:type="table" w:customStyle="1" w:styleId="97">
    <w:name w:val="Table Normal"/>
    <w:autoRedefine/>
    <w:semiHidden/>
    <w:unhideWhenUsed/>
    <w:qFormat/>
    <w:uiPriority w:val="0"/>
    <w:tblPr>
      <w:tblCellMar>
        <w:top w:w="0" w:type="dxa"/>
        <w:left w:w="0" w:type="dxa"/>
        <w:bottom w:w="0" w:type="dxa"/>
        <w:right w:w="0" w:type="dxa"/>
      </w:tblCellMar>
    </w:tblPr>
  </w:style>
  <w:style w:type="paragraph" w:customStyle="1" w:styleId="9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67" textRotate="1"/>
    <customShpInfo spid="_x0000_s2057" textRotate="1"/>
    <customShpInfo spid="_x0000_s2069" textRotate="1"/>
    <customShpInfo spid="_x0000_s2059" textRotate="1"/>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10818</Words>
  <Characters>11413</Characters>
  <Lines>258</Lines>
  <Paragraphs>72</Paragraphs>
  <TotalTime>3</TotalTime>
  <ScaleCrop>false</ScaleCrop>
  <LinksUpToDate>false</LinksUpToDate>
  <CharactersWithSpaces>12307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请叫我闫优秀</cp:lastModifiedBy>
  <cp:lastPrinted>2026-03-18T08:53:00Z</cp:lastPrinted>
  <dcterms:modified xsi:type="dcterms:W3CDTF">2026-04-30T11:26:58Z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3BE621CB49104D3CA5EBE425344CD8BB</vt:lpwstr>
  </property>
  <property fmtid="{D5CDD505-2E9C-101B-9397-08002B2CF9AE}" pid="4" name="KSOTemplateDocerSaveRecord">
    <vt:lpwstr>eyJoZGlkIjoiYjZlYTU3ZTFlNWJjNzYzOTIxZWZlYzM1ZTEyOTZmZGMiLCJ1c2VySWQiOiI0OTM5MTE4MzMifQ==</vt:lpwstr>
  </property>
</Properties>
</file>