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24BB93">
      <w:pPr>
        <w:rPr>
          <w:rFonts w:hint="eastAsia" w:ascii="黑体" w:hAnsi="黑体" w:eastAsia="黑体"/>
          <w:color w:val="auto"/>
          <w:sz w:val="24"/>
          <w:szCs w:val="24"/>
          <w:highlight w:val="none"/>
          <w:lang w:eastAsia="zh-CN"/>
        </w:rPr>
      </w:pPr>
    </w:p>
    <w:p w14:paraId="5E76F09E">
      <w:pPr>
        <w:jc w:val="center"/>
        <w:rPr>
          <w:rFonts w:hint="eastAsia" w:cs="宋体"/>
          <w:b/>
          <w:bCs/>
          <w:color w:val="auto"/>
          <w:kern w:val="0"/>
          <w:sz w:val="48"/>
          <w:szCs w:val="48"/>
          <w:highlight w:val="none"/>
          <w:lang w:val="en-US" w:eastAsia="zh-CN"/>
        </w:rPr>
      </w:pPr>
    </w:p>
    <w:p w14:paraId="6C9131F7">
      <w:pPr>
        <w:jc w:val="center"/>
        <w:rPr>
          <w:rFonts w:hint="default" w:ascii="宋体" w:hAnsi="宋体" w:eastAsia="宋体" w:cs="宋体"/>
          <w:b/>
          <w:bCs/>
          <w:color w:val="auto"/>
          <w:sz w:val="48"/>
          <w:szCs w:val="48"/>
          <w:highlight w:val="none"/>
          <w:lang w:val="en-US" w:eastAsia="zh-CN"/>
        </w:rPr>
      </w:pPr>
    </w:p>
    <w:p w14:paraId="02327FC9">
      <w:pPr>
        <w:jc w:val="center"/>
        <w:rPr>
          <w:rFonts w:hint="default" w:ascii="宋体" w:hAnsi="宋体" w:eastAsia="宋体" w:cs="宋体"/>
          <w:b/>
          <w:bCs/>
          <w:color w:val="auto"/>
          <w:sz w:val="48"/>
          <w:szCs w:val="48"/>
          <w:highlight w:val="none"/>
          <w:lang w:val="en-US" w:eastAsia="zh-CN"/>
        </w:rPr>
      </w:pPr>
      <w:r>
        <w:rPr>
          <w:rFonts w:hint="eastAsia" w:cs="宋体"/>
          <w:b/>
          <w:bCs/>
          <w:color w:val="auto"/>
          <w:sz w:val="48"/>
          <w:szCs w:val="48"/>
          <w:highlight w:val="none"/>
          <w:lang w:val="en-US" w:eastAsia="zh-CN"/>
        </w:rPr>
        <w:t>2026年乌鲁木齐市属单位采购防护用具项目</w:t>
      </w:r>
    </w:p>
    <w:p w14:paraId="7AAE2502">
      <w:pPr>
        <w:jc w:val="center"/>
        <w:rPr>
          <w:rFonts w:hint="eastAsia" w:ascii="宋体" w:hAnsi="宋体" w:eastAsia="宋体" w:cs="宋体"/>
          <w:b/>
          <w:bCs/>
          <w:color w:val="auto"/>
          <w:sz w:val="52"/>
          <w:szCs w:val="52"/>
          <w:highlight w:val="none"/>
        </w:rPr>
      </w:pPr>
    </w:p>
    <w:p w14:paraId="584E0CD7">
      <w:pPr>
        <w:jc w:val="center"/>
        <w:rPr>
          <w:rFonts w:hint="eastAsia" w:ascii="宋体" w:hAnsi="宋体" w:eastAsia="宋体" w:cs="宋体"/>
          <w:b/>
          <w:bCs/>
          <w:color w:val="auto"/>
          <w:sz w:val="52"/>
          <w:szCs w:val="52"/>
          <w:highlight w:val="none"/>
          <w:lang w:val="en-US" w:eastAsia="zh-CN"/>
        </w:rPr>
      </w:pPr>
      <w:r>
        <w:rPr>
          <w:rFonts w:hint="eastAsia" w:ascii="宋体" w:hAnsi="宋体" w:eastAsia="宋体" w:cs="宋体"/>
          <w:b/>
          <w:bCs/>
          <w:color w:val="auto"/>
          <w:sz w:val="52"/>
          <w:szCs w:val="52"/>
          <w:highlight w:val="none"/>
        </w:rPr>
        <w:t>公开招标文件</w:t>
      </w:r>
    </w:p>
    <w:p w14:paraId="3254C361">
      <w:pPr>
        <w:spacing w:line="240" w:lineRule="auto"/>
        <w:jc w:val="center"/>
        <w:rPr>
          <w:rFonts w:ascii="黑体" w:hAnsi="黑体" w:eastAsia="黑体"/>
          <w:color w:val="auto"/>
          <w:sz w:val="52"/>
          <w:szCs w:val="52"/>
          <w:highlight w:val="none"/>
        </w:rPr>
      </w:pPr>
    </w:p>
    <w:p w14:paraId="1A55F2DB">
      <w:pPr>
        <w:pStyle w:val="36"/>
        <w:rPr>
          <w:rFonts w:ascii="黑体" w:hAnsi="黑体" w:eastAsia="黑体"/>
          <w:color w:val="auto"/>
          <w:sz w:val="52"/>
          <w:szCs w:val="52"/>
          <w:highlight w:val="none"/>
        </w:rPr>
      </w:pPr>
    </w:p>
    <w:p w14:paraId="2F7CF4C9">
      <w:pPr>
        <w:rPr>
          <w:rFonts w:hint="eastAsia" w:ascii="宋体" w:hAnsi="宋体" w:eastAsia="宋体" w:cs="宋体"/>
          <w:color w:val="auto"/>
          <w:sz w:val="32"/>
          <w:szCs w:val="32"/>
          <w:highlight w:val="none"/>
        </w:rPr>
      </w:pPr>
    </w:p>
    <w:p w14:paraId="77F1860D">
      <w:pPr>
        <w:rPr>
          <w:rFonts w:hint="eastAsia" w:ascii="宋体" w:hAnsi="宋体" w:eastAsia="宋体" w:cs="宋体"/>
          <w:color w:val="auto"/>
          <w:sz w:val="32"/>
          <w:szCs w:val="32"/>
          <w:highlight w:val="none"/>
        </w:rPr>
      </w:pPr>
    </w:p>
    <w:p w14:paraId="430363F6">
      <w:pPr>
        <w:rPr>
          <w:rFonts w:hint="eastAsia" w:ascii="宋体" w:hAnsi="宋体" w:eastAsia="宋体" w:cs="宋体"/>
          <w:color w:val="auto"/>
          <w:sz w:val="32"/>
          <w:szCs w:val="32"/>
          <w:highlight w:val="none"/>
        </w:rPr>
      </w:pPr>
    </w:p>
    <w:p w14:paraId="20821928">
      <w:pPr>
        <w:rPr>
          <w:rFonts w:hint="eastAsia" w:ascii="宋体" w:hAnsi="宋体" w:eastAsia="宋体" w:cs="宋体"/>
          <w:color w:val="auto"/>
          <w:sz w:val="32"/>
          <w:szCs w:val="32"/>
          <w:highlight w:val="none"/>
        </w:rPr>
      </w:pPr>
    </w:p>
    <w:p w14:paraId="66981B6C">
      <w:pPr>
        <w:rPr>
          <w:rFonts w:hint="eastAsia" w:ascii="宋体" w:hAnsi="宋体" w:eastAsia="宋体" w:cs="宋体"/>
          <w:color w:val="auto"/>
          <w:sz w:val="32"/>
          <w:szCs w:val="32"/>
          <w:highlight w:val="none"/>
        </w:rPr>
      </w:pPr>
    </w:p>
    <w:p w14:paraId="44264031">
      <w:pPr>
        <w:rPr>
          <w:rFonts w:hint="eastAsia" w:ascii="宋体" w:hAnsi="宋体" w:eastAsia="宋体" w:cs="宋体"/>
          <w:color w:val="auto"/>
          <w:sz w:val="32"/>
          <w:szCs w:val="32"/>
          <w:highlight w:val="none"/>
        </w:rPr>
      </w:pPr>
    </w:p>
    <w:p w14:paraId="4682E655">
      <w:pPr>
        <w:rPr>
          <w:rFonts w:hint="default"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rPr>
        <w:t>项目编号：</w:t>
      </w:r>
      <w:r>
        <w:rPr>
          <w:rFonts w:hint="eastAsia" w:cs="宋体"/>
          <w:color w:val="auto"/>
          <w:sz w:val="32"/>
          <w:szCs w:val="32"/>
          <w:highlight w:val="none"/>
          <w:u w:val="none"/>
          <w:lang w:val="en-US" w:eastAsia="zh-CN"/>
        </w:rPr>
        <w:t>XSY-2026-Z-106</w:t>
      </w:r>
    </w:p>
    <w:p w14:paraId="4A8C0F72">
      <w:pPr>
        <w:ind w:left="1600" w:hanging="1600" w:hangingChars="500"/>
        <w:rPr>
          <w:rFonts w:hint="eastAsia"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rPr>
        <w:t>项目名称：</w:t>
      </w:r>
      <w:r>
        <w:rPr>
          <w:rFonts w:hint="eastAsia" w:cs="宋体"/>
          <w:color w:val="auto"/>
          <w:sz w:val="32"/>
          <w:szCs w:val="32"/>
          <w:highlight w:val="none"/>
          <w:lang w:val="en-US" w:eastAsia="zh-CN"/>
        </w:rPr>
        <w:t>2026年乌鲁木齐市属单位采购防护用具项目</w:t>
      </w:r>
    </w:p>
    <w:p w14:paraId="32EE0426">
      <w:pPr>
        <w:ind w:left="1600" w:hanging="1600" w:hangingChars="5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采</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购</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人：乌鲁木齐市公安局（本级）</w:t>
      </w:r>
    </w:p>
    <w:p w14:paraId="6F60F0A4">
      <w:pPr>
        <w:rPr>
          <w:rFonts w:hint="eastAsia" w:ascii="宋体" w:hAnsi="宋体" w:eastAsia="宋体" w:cs="宋体"/>
          <w:color w:val="auto"/>
          <w:sz w:val="32"/>
          <w:szCs w:val="32"/>
          <w:highlight w:val="none"/>
          <w:lang w:eastAsia="zh-CN"/>
        </w:rPr>
      </w:pPr>
      <w:r>
        <w:rPr>
          <w:rFonts w:hint="eastAsia" w:ascii="宋体" w:hAnsi="宋体" w:eastAsia="宋体" w:cs="宋体"/>
          <w:color w:val="auto"/>
          <w:sz w:val="32"/>
          <w:szCs w:val="32"/>
          <w:highlight w:val="none"/>
        </w:rPr>
        <w:t>采购代理机构：</w:t>
      </w:r>
      <w:r>
        <w:rPr>
          <w:rFonts w:hint="eastAsia" w:cs="宋体"/>
          <w:color w:val="auto"/>
          <w:sz w:val="32"/>
          <w:szCs w:val="32"/>
          <w:highlight w:val="none"/>
          <w:u w:val="none"/>
          <w:lang w:eastAsia="zh-CN"/>
        </w:rPr>
        <w:t>新疆星圣源工程项目管理有限公司</w:t>
      </w:r>
    </w:p>
    <w:p w14:paraId="5DDD85AA">
      <w:pPr>
        <w:rPr>
          <w:rFonts w:ascii="黑体" w:hAnsi="黑体" w:eastAsia="黑体"/>
          <w:color w:val="auto"/>
          <w:highlight w:val="none"/>
        </w:rPr>
      </w:pPr>
    </w:p>
    <w:p w14:paraId="63860BF1">
      <w:pPr>
        <w:jc w:val="center"/>
        <w:rPr>
          <w:rFonts w:hint="eastAsia" w:ascii="宋体" w:hAnsi="宋体" w:eastAsia="宋体" w:cs="宋体"/>
          <w:b/>
          <w:bCs/>
          <w:color w:val="auto"/>
          <w:sz w:val="36"/>
          <w:szCs w:val="36"/>
          <w:highlight w:val="none"/>
        </w:rPr>
        <w:sectPr>
          <w:headerReference r:id="rId5"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4C2F78F5">
      <w:pPr>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 xml:space="preserve">目 </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rPr>
        <w:t>录</w:t>
      </w:r>
    </w:p>
    <w:p w14:paraId="241FBB78">
      <w:pPr>
        <w:pStyle w:val="36"/>
        <w:rPr>
          <w:rFonts w:hint="eastAsia"/>
        </w:rPr>
      </w:pPr>
    </w:p>
    <w:p w14:paraId="162F692D">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"1-2"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_Toc3968 </w:instrText>
      </w:r>
      <w:r>
        <w:rPr>
          <w:rFonts w:hint="eastAsia" w:ascii="宋体" w:hAnsi="宋体" w:eastAsia="宋体" w:cs="宋体"/>
          <w:sz w:val="24"/>
          <w:szCs w:val="24"/>
          <w:highlight w:val="none"/>
        </w:rPr>
        <w:fldChar w:fldCharType="separate"/>
      </w:r>
      <w:r>
        <w:rPr>
          <w:rFonts w:hint="eastAsia" w:ascii="宋体" w:hAnsi="宋体" w:eastAsia="宋体" w:cs="宋体"/>
          <w:bCs/>
          <w:kern w:val="44"/>
          <w:sz w:val="24"/>
          <w:szCs w:val="24"/>
          <w:highlight w:val="none"/>
          <w:lang w:val="en-US" w:eastAsia="zh-CN" w:bidi="ar-SA"/>
        </w:rPr>
        <w:t xml:space="preserve">第一章 </w:t>
      </w:r>
      <w:r>
        <w:rPr>
          <w:rFonts w:hint="eastAsia" w:ascii="宋体" w:hAnsi="宋体" w:eastAsia="宋体" w:cs="宋体"/>
          <w:sz w:val="24"/>
          <w:szCs w:val="24"/>
          <w:highlight w:val="none"/>
          <w:lang w:val="en-US" w:eastAsia="zh-CN"/>
        </w:rPr>
        <w:t>招标公告</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_Toc3968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1A400667">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_Toc29609 </w:instrText>
      </w:r>
      <w:r>
        <w:rPr>
          <w:rFonts w:hint="eastAsia" w:ascii="宋体" w:hAnsi="宋体" w:eastAsia="宋体" w:cs="宋体"/>
          <w:sz w:val="24"/>
          <w:szCs w:val="24"/>
          <w:highlight w:val="none"/>
        </w:rPr>
        <w:fldChar w:fldCharType="separate"/>
      </w:r>
      <w:r>
        <w:rPr>
          <w:rFonts w:hint="eastAsia" w:ascii="宋体" w:hAnsi="宋体" w:eastAsia="宋体" w:cs="宋体"/>
          <w:bCs/>
          <w:kern w:val="44"/>
          <w:sz w:val="24"/>
          <w:szCs w:val="24"/>
          <w:highlight w:val="none"/>
          <w:lang w:val="en-US" w:eastAsia="zh-CN" w:bidi="ar-SA"/>
        </w:rPr>
        <w:t>第二章 投标人须知</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_Toc29609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36D87E44">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_Toc22090 </w:instrText>
      </w:r>
      <w:r>
        <w:rPr>
          <w:rFonts w:hint="eastAsia" w:ascii="宋体" w:hAnsi="宋体" w:eastAsia="宋体" w:cs="宋体"/>
          <w:sz w:val="24"/>
          <w:szCs w:val="24"/>
          <w:highlight w:val="none"/>
        </w:rPr>
        <w:fldChar w:fldCharType="separate"/>
      </w:r>
      <w:r>
        <w:rPr>
          <w:rFonts w:hint="eastAsia" w:ascii="宋体" w:hAnsi="宋体" w:eastAsia="宋体" w:cs="宋体"/>
          <w:bCs/>
          <w:kern w:val="44"/>
          <w:sz w:val="24"/>
          <w:szCs w:val="24"/>
          <w:highlight w:val="none"/>
          <w:lang w:val="en-US" w:eastAsia="zh-CN" w:bidi="ar-SA"/>
        </w:rPr>
        <w:t>第三章 采购需求</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_Toc22090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39</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300B5157">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_Toc12252 </w:instrText>
      </w:r>
      <w:r>
        <w:rPr>
          <w:rFonts w:hint="eastAsia" w:ascii="宋体" w:hAnsi="宋体" w:eastAsia="宋体" w:cs="宋体"/>
          <w:sz w:val="24"/>
          <w:szCs w:val="24"/>
          <w:highlight w:val="none"/>
        </w:rPr>
        <w:fldChar w:fldCharType="separate"/>
      </w:r>
      <w:r>
        <w:rPr>
          <w:rFonts w:hint="eastAsia" w:ascii="宋体" w:hAnsi="宋体" w:eastAsia="宋体" w:cs="宋体"/>
          <w:bCs/>
          <w:kern w:val="44"/>
          <w:sz w:val="24"/>
          <w:szCs w:val="24"/>
          <w:highlight w:val="none"/>
          <w:lang w:val="en-US" w:eastAsia="zh-CN" w:bidi="ar-SA"/>
        </w:rPr>
        <w:t>第四章 资格审查</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_Toc12252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46</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3ABA7586">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_Toc23606 </w:instrText>
      </w:r>
      <w:r>
        <w:rPr>
          <w:rFonts w:hint="eastAsia" w:ascii="宋体" w:hAnsi="宋体" w:eastAsia="宋体" w:cs="宋体"/>
          <w:sz w:val="24"/>
          <w:szCs w:val="24"/>
          <w:highlight w:val="none"/>
        </w:rPr>
        <w:fldChar w:fldCharType="separate"/>
      </w:r>
      <w:r>
        <w:rPr>
          <w:rFonts w:hint="eastAsia" w:ascii="宋体" w:hAnsi="宋体" w:eastAsia="宋体" w:cs="宋体"/>
          <w:bCs/>
          <w:kern w:val="44"/>
          <w:sz w:val="24"/>
          <w:szCs w:val="24"/>
          <w:highlight w:val="none"/>
          <w:lang w:val="en-US" w:eastAsia="zh-CN" w:bidi="ar-SA"/>
        </w:rPr>
        <w:t>第五章 评标方法及标准(综合评分法)</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_Toc23606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71</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2B332AF2">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_Toc23323 </w:instrText>
      </w:r>
      <w:r>
        <w:rPr>
          <w:rFonts w:hint="eastAsia" w:ascii="宋体" w:hAnsi="宋体" w:eastAsia="宋体" w:cs="宋体"/>
          <w:sz w:val="24"/>
          <w:szCs w:val="24"/>
          <w:highlight w:val="none"/>
        </w:rPr>
        <w:fldChar w:fldCharType="separate"/>
      </w:r>
      <w:r>
        <w:rPr>
          <w:rFonts w:hint="eastAsia" w:ascii="宋体" w:hAnsi="宋体" w:eastAsia="宋体" w:cs="宋体"/>
          <w:bCs/>
          <w:kern w:val="44"/>
          <w:sz w:val="24"/>
          <w:szCs w:val="24"/>
          <w:highlight w:val="none"/>
          <w:lang w:val="zh-CN" w:eastAsia="zh-CN" w:bidi="ar-SA"/>
        </w:rPr>
        <w:t>第六章 合同草案</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_Toc23323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82</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44675F92">
      <w:pPr>
        <w:pStyle w:val="22"/>
        <w:keepNext w:val="0"/>
        <w:keepLines w:val="0"/>
        <w:pageBreakBefore w:val="0"/>
        <w:widowControl w:val="0"/>
        <w:tabs>
          <w:tab w:val="right" w:leader="dot" w:pos="8306"/>
        </w:tabs>
        <w:kinsoku/>
        <w:wordWrap/>
        <w:overflowPunct/>
        <w:topLinePunct w:val="0"/>
        <w:autoSpaceDE/>
        <w:autoSpaceDN/>
        <w:bidi w:val="0"/>
        <w:adjustRightInd/>
        <w:snapToGrid/>
        <w:spacing w:before="0" w:after="0" w:line="360" w:lineRule="auto"/>
        <w:textAlignment w:val="auto"/>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_Toc15820 </w:instrText>
      </w:r>
      <w:r>
        <w:rPr>
          <w:rFonts w:hint="eastAsia" w:ascii="宋体" w:hAnsi="宋体" w:eastAsia="宋体" w:cs="宋体"/>
          <w:sz w:val="24"/>
          <w:szCs w:val="24"/>
          <w:highlight w:val="none"/>
        </w:rPr>
        <w:fldChar w:fldCharType="separate"/>
      </w:r>
      <w:r>
        <w:rPr>
          <w:rFonts w:hint="eastAsia" w:ascii="宋体" w:hAnsi="宋体" w:eastAsia="宋体" w:cs="宋体"/>
          <w:bCs/>
          <w:kern w:val="44"/>
          <w:sz w:val="24"/>
          <w:szCs w:val="24"/>
          <w:highlight w:val="none"/>
          <w:lang w:val="en-US" w:eastAsia="zh-CN" w:bidi="ar-SA"/>
        </w:rPr>
        <w:t>第七章 投标文件格式</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_Toc15820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100</w:t>
      </w:r>
      <w:r>
        <w:rPr>
          <w:rFonts w:hint="eastAsia" w:ascii="宋体" w:hAnsi="宋体" w:eastAsia="宋体" w:cs="宋体"/>
          <w:sz w:val="24"/>
          <w:szCs w:val="24"/>
          <w:highlight w:val="none"/>
        </w:rPr>
        <w:fldChar w:fldCharType="end"/>
      </w:r>
      <w:r>
        <w:rPr>
          <w:rFonts w:hint="eastAsia" w:ascii="宋体" w:hAnsi="宋体" w:eastAsia="宋体" w:cs="宋体"/>
          <w:color w:val="auto"/>
          <w:sz w:val="24"/>
          <w:szCs w:val="24"/>
          <w:highlight w:val="none"/>
        </w:rPr>
        <w:fldChar w:fldCharType="end"/>
      </w:r>
    </w:p>
    <w:p w14:paraId="6DF328CC">
      <w:pPr>
        <w:keepNext w:val="0"/>
        <w:keepLines w:val="0"/>
        <w:pageBreakBefore w:val="0"/>
        <w:widowControl w:val="0"/>
        <w:kinsoku/>
        <w:wordWrap/>
        <w:overflowPunct/>
        <w:topLinePunct w:val="0"/>
        <w:autoSpaceDE/>
        <w:autoSpaceDN/>
        <w:bidi w:val="0"/>
        <w:adjustRightInd/>
        <w:snapToGrid/>
        <w:spacing w:line="360" w:lineRule="auto"/>
        <w:textAlignment w:val="auto"/>
        <w:rPr>
          <w:color w:val="auto"/>
          <w:highlight w:val="none"/>
        </w:rPr>
      </w:pPr>
      <w:r>
        <w:rPr>
          <w:rFonts w:hint="eastAsia" w:ascii="宋体" w:hAnsi="宋体" w:eastAsia="宋体" w:cs="宋体"/>
          <w:color w:val="auto"/>
          <w:sz w:val="24"/>
          <w:szCs w:val="24"/>
          <w:highlight w:val="none"/>
        </w:rPr>
        <w:fldChar w:fldCharType="end"/>
      </w:r>
    </w:p>
    <w:p w14:paraId="134BB9C0">
      <w:pPr>
        <w:jc w:val="center"/>
        <w:rPr>
          <w:rFonts w:ascii="黑体" w:hAnsi="黑体" w:eastAsia="黑体"/>
          <w:b/>
          <w:bCs/>
          <w:color w:val="auto"/>
          <w:sz w:val="32"/>
          <w:szCs w:val="32"/>
          <w:highlight w:val="non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410" w:name="_GoBack"/>
      <w:bookmarkEnd w:id="410"/>
    </w:p>
    <w:p w14:paraId="735B1C9A">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color w:val="auto"/>
          <w:sz w:val="36"/>
          <w:szCs w:val="36"/>
          <w:highlight w:val="none"/>
          <w:lang w:val="en-US" w:eastAsia="zh-CN"/>
        </w:rPr>
      </w:pPr>
      <w:bookmarkStart w:id="0" w:name="_Toc155185859"/>
      <w:bookmarkStart w:id="1" w:name="_Toc163492811"/>
      <w:bookmarkStart w:id="2" w:name="_Toc3968"/>
      <w:r>
        <w:rPr>
          <w:rFonts w:hint="eastAsia" w:ascii="宋体" w:hAnsi="宋体" w:eastAsia="宋体" w:cs="宋体"/>
          <w:b/>
          <w:bCs/>
          <w:color w:val="auto"/>
          <w:kern w:val="44"/>
          <w:sz w:val="36"/>
          <w:szCs w:val="36"/>
          <w:highlight w:val="none"/>
          <w:lang w:val="en-US" w:eastAsia="zh-CN" w:bidi="ar-SA"/>
        </w:rPr>
        <w:t xml:space="preserve">第一章 </w:t>
      </w:r>
      <w:bookmarkEnd w:id="0"/>
      <w:bookmarkEnd w:id="1"/>
      <w:bookmarkStart w:id="3" w:name="_Hlk130458318"/>
      <w:r>
        <w:rPr>
          <w:rFonts w:hint="eastAsia" w:ascii="宋体" w:hAnsi="宋体" w:eastAsia="宋体" w:cs="宋体"/>
          <w:color w:val="auto"/>
          <w:sz w:val="36"/>
          <w:szCs w:val="36"/>
          <w:highlight w:val="none"/>
          <w:lang w:val="en-US" w:eastAsia="zh-CN"/>
        </w:rPr>
        <w:t>招标公告</w:t>
      </w:r>
      <w:bookmarkEnd w:id="2"/>
    </w:p>
    <w:tbl>
      <w:tblPr>
        <w:tblStyle w:val="3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0921B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09E7A841">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color w:val="auto"/>
                <w:sz w:val="24"/>
                <w:szCs w:val="24"/>
                <w:highlight w:val="none"/>
                <w:lang w:val="en-US" w:eastAsia="zh-CN"/>
              </w:rPr>
            </w:pPr>
            <w:bookmarkStart w:id="4" w:name="_Toc17609"/>
            <w:bookmarkStart w:id="5" w:name="_Toc28359012"/>
            <w:bookmarkStart w:id="6" w:name="_Toc109900248"/>
            <w:bookmarkStart w:id="7" w:name="_Toc35393798"/>
            <w:bookmarkStart w:id="8" w:name="_Toc109899410"/>
            <w:bookmarkStart w:id="9" w:name="_Toc35393629"/>
            <w:bookmarkStart w:id="10" w:name="_Toc140132745"/>
            <w:bookmarkStart w:id="11" w:name="_Toc163492812"/>
            <w:bookmarkStart w:id="12" w:name="_Toc28359089"/>
            <w:bookmarkStart w:id="13" w:name="_Toc109899829"/>
            <w:bookmarkStart w:id="14" w:name="_Toc44583628"/>
            <w:bookmarkStart w:id="15" w:name="_Toc155185860"/>
            <w:r>
              <w:rPr>
                <w:rFonts w:hint="eastAsia"/>
                <w:color w:val="auto"/>
                <w:sz w:val="24"/>
                <w:szCs w:val="24"/>
                <w:highlight w:val="none"/>
                <w:lang w:val="en-US" w:eastAsia="zh-CN"/>
              </w:rPr>
              <w:t>项目概况：</w:t>
            </w:r>
            <w:bookmarkEnd w:id="4"/>
          </w:p>
          <w:p w14:paraId="08E9CBA4">
            <w:pPr>
              <w:spacing w:line="360" w:lineRule="auto"/>
              <w:ind w:firstLine="480" w:firstLineChars="200"/>
              <w:rPr>
                <w:rFonts w:hint="default"/>
                <w:color w:val="auto"/>
                <w:highlight w:val="none"/>
                <w:lang w:val="en-US" w:eastAsia="zh-CN"/>
              </w:rPr>
            </w:pPr>
            <w:r>
              <w:rPr>
                <w:rFonts w:hint="eastAsia" w:cstheme="minorBidi"/>
                <w:iCs/>
                <w:color w:val="auto"/>
                <w:kern w:val="2"/>
                <w:sz w:val="24"/>
                <w:szCs w:val="24"/>
                <w:highlight w:val="none"/>
                <w:u w:val="single"/>
                <w:shd w:val="clear" w:color="auto" w:fill="FFFFFF" w:themeFill="background1"/>
                <w:lang w:val="hr-HR" w:eastAsia="zh-CN" w:bidi="ar-SA"/>
              </w:rPr>
              <w:t>2026年乌鲁木齐市属单位采购防护用具项目</w:t>
            </w:r>
            <w:r>
              <w:rPr>
                <w:rFonts w:hint="eastAsia" w:ascii="宋体" w:hAnsi="宋体" w:eastAsia="宋体" w:cstheme="minorBidi"/>
                <w:iCs/>
                <w:color w:val="auto"/>
                <w:kern w:val="2"/>
                <w:sz w:val="24"/>
                <w:szCs w:val="24"/>
                <w:highlight w:val="none"/>
                <w:u w:val="single"/>
                <w:shd w:val="clear" w:color="auto" w:fill="FFFFFF" w:themeFill="background1"/>
                <w:lang w:val="hr-HR" w:eastAsia="zh-CN" w:bidi="ar-SA"/>
              </w:rPr>
              <w:t xml:space="preserve"> </w:t>
            </w:r>
            <w:r>
              <w:rPr>
                <w:rFonts w:hint="eastAsia" w:ascii="宋体" w:hAnsi="宋体" w:eastAsia="宋体" w:cstheme="minorBidi"/>
                <w:iCs/>
                <w:color w:val="auto"/>
                <w:kern w:val="2"/>
                <w:sz w:val="24"/>
                <w:szCs w:val="24"/>
                <w:highlight w:val="none"/>
                <w:shd w:val="clear" w:color="auto" w:fill="FFFFFF" w:themeFill="background1"/>
                <w:lang w:val="hr-HR" w:eastAsia="zh-CN" w:bidi="ar-SA"/>
              </w:rPr>
              <w:t>招标项目的潜在投标人应在</w:t>
            </w:r>
            <w:r>
              <w:rPr>
                <w:rFonts w:hint="eastAsia" w:ascii="宋体" w:hAnsi="宋体" w:eastAsia="宋体" w:cstheme="minorBidi"/>
                <w:iCs/>
                <w:color w:val="auto"/>
                <w:kern w:val="2"/>
                <w:sz w:val="24"/>
                <w:szCs w:val="24"/>
                <w:highlight w:val="none"/>
                <w:u w:val="single"/>
                <w:shd w:val="clear" w:color="auto" w:fill="FFFFFF" w:themeFill="background1"/>
                <w:lang w:val="hr-HR" w:eastAsia="zh-CN" w:bidi="ar-SA"/>
              </w:rPr>
              <w:t>（政采云平台http://www.zcygov.cn/）</w:t>
            </w:r>
            <w:r>
              <w:rPr>
                <w:rFonts w:hint="eastAsia" w:ascii="宋体" w:hAnsi="宋体" w:eastAsia="宋体" w:cstheme="minorBidi"/>
                <w:iCs/>
                <w:color w:val="auto"/>
                <w:kern w:val="2"/>
                <w:sz w:val="24"/>
                <w:szCs w:val="24"/>
                <w:highlight w:val="none"/>
                <w:shd w:val="clear" w:color="auto" w:fill="FFFFFF" w:themeFill="background1"/>
                <w:lang w:val="hr-HR" w:eastAsia="zh-CN" w:bidi="ar-SA"/>
              </w:rPr>
              <w:t>获取招标文件，并于</w:t>
            </w:r>
            <w:r>
              <w:rPr>
                <w:rFonts w:hint="eastAsia" w:cstheme="minorBidi"/>
                <w:i w:val="0"/>
                <w:iCs w:val="0"/>
                <w:color w:val="auto"/>
                <w:kern w:val="2"/>
                <w:sz w:val="24"/>
                <w:szCs w:val="22"/>
                <w:highlight w:val="cyan"/>
                <w:u w:val="single"/>
                <w:lang w:val="en-US" w:eastAsia="zh-CN" w:bidi="ar-SA"/>
              </w:rPr>
              <w:t>2026</w:t>
            </w:r>
            <w:r>
              <w:rPr>
                <w:rFonts w:hint="default" w:ascii="宋体" w:hAnsi="宋体" w:eastAsia="宋体" w:cstheme="minorBidi"/>
                <w:i w:val="0"/>
                <w:iCs w:val="0"/>
                <w:color w:val="auto"/>
                <w:kern w:val="2"/>
                <w:sz w:val="24"/>
                <w:szCs w:val="22"/>
                <w:highlight w:val="cyan"/>
                <w:u w:val="single"/>
                <w:lang w:val="en-US" w:eastAsia="zh-CN" w:bidi="ar-SA"/>
              </w:rPr>
              <w:t>年</w:t>
            </w:r>
            <w:r>
              <w:rPr>
                <w:rFonts w:hint="eastAsia" w:cstheme="minorBidi"/>
                <w:i w:val="0"/>
                <w:iCs w:val="0"/>
                <w:color w:val="auto"/>
                <w:kern w:val="2"/>
                <w:sz w:val="24"/>
                <w:szCs w:val="22"/>
                <w:highlight w:val="cyan"/>
                <w:u w:val="single"/>
                <w:lang w:val="en-US" w:eastAsia="zh-CN" w:bidi="ar-SA"/>
              </w:rPr>
              <w:t>06</w:t>
            </w:r>
            <w:r>
              <w:rPr>
                <w:rFonts w:hint="default" w:ascii="宋体" w:hAnsi="宋体" w:eastAsia="宋体" w:cstheme="minorBidi"/>
                <w:i w:val="0"/>
                <w:iCs w:val="0"/>
                <w:color w:val="auto"/>
                <w:kern w:val="2"/>
                <w:sz w:val="24"/>
                <w:szCs w:val="22"/>
                <w:highlight w:val="cyan"/>
                <w:u w:val="single"/>
                <w:lang w:val="en-US" w:eastAsia="zh-CN" w:bidi="ar-SA"/>
              </w:rPr>
              <w:t>月</w:t>
            </w:r>
            <w:r>
              <w:rPr>
                <w:rFonts w:hint="eastAsia" w:cstheme="minorBidi"/>
                <w:i w:val="0"/>
                <w:iCs w:val="0"/>
                <w:color w:val="auto"/>
                <w:kern w:val="2"/>
                <w:sz w:val="24"/>
                <w:szCs w:val="22"/>
                <w:highlight w:val="cyan"/>
                <w:u w:val="single"/>
                <w:lang w:val="en-US" w:eastAsia="zh-CN" w:bidi="ar-SA"/>
              </w:rPr>
              <w:t>02</w:t>
            </w:r>
            <w:r>
              <w:rPr>
                <w:rFonts w:hint="default" w:ascii="宋体" w:hAnsi="宋体" w:eastAsia="宋体" w:cstheme="minorBidi"/>
                <w:i w:val="0"/>
                <w:iCs w:val="0"/>
                <w:color w:val="auto"/>
                <w:kern w:val="2"/>
                <w:sz w:val="24"/>
                <w:szCs w:val="22"/>
                <w:highlight w:val="cyan"/>
                <w:u w:val="single"/>
                <w:lang w:val="en-US" w:eastAsia="zh-CN" w:bidi="ar-SA"/>
              </w:rPr>
              <w:t>日</w:t>
            </w:r>
            <w:r>
              <w:rPr>
                <w:rFonts w:hint="eastAsia" w:cstheme="minorBidi"/>
                <w:i w:val="0"/>
                <w:iCs w:val="0"/>
                <w:color w:val="auto"/>
                <w:kern w:val="2"/>
                <w:sz w:val="24"/>
                <w:szCs w:val="22"/>
                <w:highlight w:val="cyan"/>
                <w:u w:val="single"/>
                <w:lang w:val="en-US" w:eastAsia="zh-CN" w:bidi="ar-SA"/>
              </w:rPr>
              <w:t>11时00</w:t>
            </w:r>
            <w:r>
              <w:rPr>
                <w:rFonts w:hint="eastAsia" w:ascii="宋体" w:hAnsi="宋体" w:eastAsia="宋体" w:cstheme="minorBidi"/>
                <w:iCs/>
                <w:color w:val="auto"/>
                <w:kern w:val="2"/>
                <w:sz w:val="24"/>
                <w:szCs w:val="24"/>
                <w:highlight w:val="cyan"/>
                <w:u w:val="single"/>
                <w:shd w:val="clear" w:color="auto" w:fill="FFFFFF" w:themeFill="background1"/>
                <w:lang w:val="hr-HR" w:eastAsia="zh-CN" w:bidi="ar-SA"/>
              </w:rPr>
              <w:t>分</w:t>
            </w:r>
            <w:r>
              <w:rPr>
                <w:rFonts w:hint="eastAsia" w:ascii="宋体" w:hAnsi="宋体" w:eastAsia="宋体" w:cstheme="minorBidi"/>
                <w:iCs/>
                <w:color w:val="auto"/>
                <w:kern w:val="2"/>
                <w:sz w:val="24"/>
                <w:szCs w:val="24"/>
                <w:highlight w:val="none"/>
                <w:shd w:val="clear" w:color="auto" w:fill="FFFFFF" w:themeFill="background1"/>
                <w:lang w:val="hr-HR" w:eastAsia="zh-CN" w:bidi="ar-SA"/>
              </w:rPr>
              <w:t>（北京时间）前递交投标文件。</w:t>
            </w:r>
          </w:p>
        </w:tc>
      </w:tr>
    </w:tbl>
    <w:p w14:paraId="71F1C651">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color w:val="auto"/>
          <w:sz w:val="24"/>
          <w:szCs w:val="24"/>
          <w:highlight w:val="none"/>
          <w:lang w:val="hr-HR"/>
        </w:rPr>
      </w:pPr>
      <w:bookmarkStart w:id="16" w:name="_Toc32499"/>
      <w:r>
        <w:rPr>
          <w:rFonts w:hint="eastAsia" w:ascii="宋体" w:hAnsi="宋体" w:eastAsia="宋体" w:cs="宋体"/>
          <w:b/>
          <w:bCs/>
          <w:color w:val="auto"/>
          <w:kern w:val="2"/>
          <w:sz w:val="24"/>
          <w:szCs w:val="24"/>
          <w:highlight w:val="none"/>
          <w:lang w:val="hr-HR" w:eastAsia="zh-CN" w:bidi="ar-SA"/>
        </w:rPr>
        <w:t>一、</w:t>
      </w:r>
      <w:r>
        <w:rPr>
          <w:rFonts w:hint="eastAsia" w:ascii="宋体" w:hAnsi="宋体" w:eastAsia="宋体" w:cs="宋体"/>
          <w:color w:val="auto"/>
          <w:sz w:val="24"/>
          <w:szCs w:val="24"/>
          <w:highlight w:val="none"/>
          <w:lang w:val="hr-HR"/>
        </w:rPr>
        <w:t>项目基本情况</w:t>
      </w:r>
      <w:bookmarkEnd w:id="5"/>
      <w:bookmarkEnd w:id="6"/>
      <w:bookmarkEnd w:id="7"/>
      <w:bookmarkEnd w:id="8"/>
      <w:bookmarkEnd w:id="9"/>
      <w:bookmarkEnd w:id="10"/>
      <w:bookmarkEnd w:id="11"/>
      <w:bookmarkEnd w:id="12"/>
      <w:bookmarkEnd w:id="13"/>
      <w:bookmarkEnd w:id="14"/>
      <w:bookmarkEnd w:id="15"/>
      <w:bookmarkEnd w:id="16"/>
    </w:p>
    <w:p w14:paraId="5F1BBAA0">
      <w:pPr>
        <w:pStyle w:val="39"/>
        <w:pageBreakBefore w:val="0"/>
        <w:widowControl w:val="0"/>
        <w:kinsoku/>
        <w:overflowPunct/>
        <w:topLinePunct w:val="0"/>
        <w:autoSpaceDE/>
        <w:autoSpaceDN/>
        <w:bidi w:val="0"/>
        <w:adjustRightInd/>
        <w:snapToGrid/>
        <w:spacing w:line="360" w:lineRule="auto"/>
        <w:textAlignment w:val="auto"/>
        <w:rPr>
          <w:rFonts w:hint="default"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lang w:val="hr-HR"/>
        </w:rPr>
        <w:t>1.项目编号：</w:t>
      </w:r>
      <w:r>
        <w:rPr>
          <w:rFonts w:hint="eastAsia" w:cs="宋体"/>
          <w:color w:val="auto"/>
          <w:sz w:val="24"/>
          <w:highlight w:val="none"/>
          <w:u w:val="none"/>
          <w:lang w:val="en-US" w:eastAsia="zh-CN"/>
        </w:rPr>
        <w:t>XSY-2026-Z-106</w:t>
      </w:r>
    </w:p>
    <w:p w14:paraId="7A08F715">
      <w:pPr>
        <w:pStyle w:val="39"/>
        <w:pageBreakBefore w:val="0"/>
        <w:widowControl w:val="0"/>
        <w:kinsoku/>
        <w:overflowPunct/>
        <w:topLinePunct w:val="0"/>
        <w:autoSpaceDE/>
        <w:autoSpaceDN/>
        <w:bidi w:val="0"/>
        <w:adjustRightInd/>
        <w:snapToGrid/>
        <w:spacing w:line="360" w:lineRule="auto"/>
        <w:ind w:left="1920" w:leftChars="200" w:hanging="1440" w:hangingChars="600"/>
        <w:textAlignment w:val="auto"/>
        <w:rPr>
          <w:rFonts w:hint="eastAsia" w:ascii="宋体" w:hAnsi="宋体" w:eastAsia="宋体" w:cs="宋体"/>
          <w:color w:val="auto"/>
          <w:sz w:val="24"/>
          <w:highlight w:val="none"/>
          <w:u w:val="none"/>
          <w:lang w:val="hr-HR"/>
        </w:rPr>
      </w:pPr>
      <w:r>
        <w:rPr>
          <w:rFonts w:hint="eastAsia" w:ascii="宋体" w:hAnsi="宋体" w:eastAsia="宋体" w:cs="宋体"/>
          <w:color w:val="auto"/>
          <w:sz w:val="24"/>
          <w:highlight w:val="none"/>
          <w:u w:val="none"/>
          <w:lang w:val="en-US" w:eastAsia="zh-CN"/>
        </w:rPr>
        <w:t>2</w:t>
      </w:r>
      <w:r>
        <w:rPr>
          <w:rFonts w:hint="eastAsia" w:ascii="宋体" w:hAnsi="宋体" w:eastAsia="宋体" w:cs="宋体"/>
          <w:color w:val="auto"/>
          <w:sz w:val="24"/>
          <w:highlight w:val="none"/>
          <w:u w:val="none"/>
          <w:lang w:val="hr-HR"/>
        </w:rPr>
        <w:t>.项目名称：</w:t>
      </w:r>
      <w:r>
        <w:rPr>
          <w:rFonts w:hint="eastAsia" w:cs="宋体"/>
          <w:color w:val="auto"/>
          <w:sz w:val="24"/>
          <w:highlight w:val="none"/>
          <w:u w:val="none"/>
          <w:lang w:val="hr-HR" w:eastAsia="zh-CN"/>
        </w:rPr>
        <w:t>2026年乌鲁木齐市属单位采购防护用具项目</w:t>
      </w:r>
    </w:p>
    <w:p w14:paraId="1CECED80">
      <w:pPr>
        <w:pStyle w:val="39"/>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r>
        <w:rPr>
          <w:rFonts w:hint="eastAsia" w:ascii="宋体" w:hAnsi="宋体" w:eastAsia="宋体" w:cs="宋体"/>
          <w:color w:val="auto"/>
          <w:sz w:val="24"/>
          <w:highlight w:val="none"/>
          <w:lang w:val="en-US" w:eastAsia="zh-CN"/>
        </w:rPr>
        <w:t>3</w:t>
      </w:r>
      <w:r>
        <w:rPr>
          <w:rFonts w:hint="eastAsia" w:ascii="宋体" w:hAnsi="宋体" w:eastAsia="宋体" w:cs="宋体"/>
          <w:color w:val="auto"/>
          <w:sz w:val="24"/>
          <w:highlight w:val="none"/>
        </w:rPr>
        <w:t>.采购方式：公开招标</w:t>
      </w:r>
    </w:p>
    <w:p w14:paraId="5EC2A157">
      <w:pPr>
        <w:pStyle w:val="39"/>
        <w:pageBreakBefore w:val="0"/>
        <w:widowControl w:val="0"/>
        <w:kinsoku/>
        <w:overflowPunct/>
        <w:topLinePunct w:val="0"/>
        <w:autoSpaceDE/>
        <w:autoSpaceDN/>
        <w:bidi w:val="0"/>
        <w:adjustRightInd/>
        <w:snapToGrid/>
        <w:spacing w:line="360" w:lineRule="auto"/>
        <w:ind w:left="2400" w:leftChars="200" w:hanging="1920" w:hangingChars="800"/>
        <w:textAlignment w:val="auto"/>
        <w:rPr>
          <w:rFonts w:hint="eastAsia" w:cs="宋体"/>
          <w:color w:val="auto"/>
          <w:sz w:val="24"/>
          <w:highlight w:val="none"/>
          <w:lang w:val="en-US" w:eastAsia="zh-CN"/>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lang w:val="hr-HR"/>
        </w:rPr>
        <w:t>.预算金额：</w:t>
      </w:r>
      <w:r>
        <w:rPr>
          <w:rFonts w:hint="eastAsia" w:cs="宋体"/>
          <w:color w:val="auto"/>
          <w:sz w:val="24"/>
          <w:highlight w:val="none"/>
          <w:u w:val="none"/>
          <w:lang w:val="en-US" w:eastAsia="zh-CN"/>
        </w:rPr>
        <w:t>350</w:t>
      </w:r>
      <w:r>
        <w:rPr>
          <w:rFonts w:hint="eastAsia" w:cs="宋体"/>
          <w:color w:val="auto"/>
          <w:sz w:val="24"/>
          <w:highlight w:val="none"/>
          <w:lang w:val="en-US" w:eastAsia="zh-CN"/>
        </w:rPr>
        <w:t>万元</w:t>
      </w:r>
    </w:p>
    <w:p w14:paraId="336B10C3">
      <w:pPr>
        <w:pStyle w:val="39"/>
        <w:pageBreakBefore w:val="0"/>
        <w:widowControl w:val="0"/>
        <w:kinsoku/>
        <w:overflowPunct/>
        <w:topLinePunct w:val="0"/>
        <w:autoSpaceDE/>
        <w:autoSpaceDN/>
        <w:bidi w:val="0"/>
        <w:adjustRightInd/>
        <w:snapToGrid/>
        <w:spacing w:line="360" w:lineRule="auto"/>
        <w:ind w:firstLine="1680" w:firstLineChars="700"/>
        <w:textAlignment w:val="auto"/>
        <w:rPr>
          <w:rFonts w:hint="default" w:ascii="宋体" w:hAnsi="宋体" w:eastAsia="宋体" w:cs="宋体"/>
          <w:color w:val="auto"/>
          <w:sz w:val="24"/>
          <w:highlight w:val="none"/>
          <w:lang w:val="en-US" w:eastAsia="zh-CN"/>
        </w:rPr>
      </w:pPr>
      <w:r>
        <w:rPr>
          <w:rFonts w:hint="eastAsia" w:cs="宋体"/>
          <w:color w:val="auto"/>
          <w:sz w:val="24"/>
          <w:highlight w:val="none"/>
          <w:lang w:val="en-US" w:eastAsia="zh-CN"/>
        </w:rPr>
        <w:t>（标项一：180万元；标项二：170万）</w:t>
      </w:r>
    </w:p>
    <w:p w14:paraId="0555FA4A">
      <w:pPr>
        <w:pStyle w:val="39"/>
        <w:pageBreakBefore w:val="0"/>
        <w:widowControl w:val="0"/>
        <w:kinsoku/>
        <w:overflowPunct/>
        <w:topLinePunct w:val="0"/>
        <w:autoSpaceDE/>
        <w:autoSpaceDN/>
        <w:bidi w:val="0"/>
        <w:adjustRightInd/>
        <w:snapToGrid/>
        <w:spacing w:line="360" w:lineRule="auto"/>
        <w:ind w:left="1680" w:leftChars="200" w:hanging="1200" w:hangingChars="500"/>
        <w:textAlignment w:val="auto"/>
        <w:rPr>
          <w:rFonts w:hint="eastAsia" w:ascii="宋体" w:hAnsi="宋体" w:eastAsia="宋体" w:cs="宋体"/>
          <w:color w:val="auto"/>
          <w:sz w:val="24"/>
          <w:highlight w:val="none"/>
          <w:lang w:val="hr-HR" w:eastAsia="zh-CN"/>
        </w:rPr>
      </w:pPr>
      <w:r>
        <w:rPr>
          <w:rFonts w:hint="eastAsia" w:ascii="宋体" w:hAnsi="宋体" w:eastAsia="宋体" w:cs="宋体"/>
          <w:color w:val="auto"/>
          <w:sz w:val="24"/>
          <w:highlight w:val="none"/>
          <w:lang w:val="en-US" w:eastAsia="zh-CN"/>
        </w:rPr>
        <w:t>5</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rPr>
        <w:t>最高限价</w:t>
      </w:r>
      <w:r>
        <w:rPr>
          <w:rFonts w:hint="eastAsia" w:ascii="宋体" w:hAnsi="宋体" w:eastAsia="宋体" w:cs="宋体"/>
          <w:color w:val="auto"/>
          <w:sz w:val="24"/>
          <w:highlight w:val="none"/>
          <w:lang w:val="hr-HR"/>
        </w:rPr>
        <w:t>：</w:t>
      </w:r>
      <w:r>
        <w:rPr>
          <w:rFonts w:hint="eastAsia" w:cs="宋体"/>
          <w:color w:val="auto"/>
          <w:sz w:val="24"/>
          <w:highlight w:val="none"/>
          <w:u w:val="none"/>
          <w:lang w:val="en-US" w:eastAsia="zh-CN"/>
        </w:rPr>
        <w:t>350</w:t>
      </w:r>
      <w:r>
        <w:rPr>
          <w:rFonts w:hint="eastAsia" w:ascii="宋体" w:hAnsi="宋体" w:eastAsia="宋体" w:cs="宋体"/>
          <w:color w:val="auto"/>
          <w:sz w:val="24"/>
          <w:highlight w:val="none"/>
          <w:lang w:val="hr-HR" w:eastAsia="zh-CN"/>
        </w:rPr>
        <w:t>万元</w:t>
      </w:r>
    </w:p>
    <w:p w14:paraId="2A66A2A2">
      <w:pPr>
        <w:pStyle w:val="39"/>
        <w:pageBreakBefore w:val="0"/>
        <w:widowControl w:val="0"/>
        <w:kinsoku/>
        <w:overflowPunct/>
        <w:topLinePunct w:val="0"/>
        <w:autoSpaceDE/>
        <w:autoSpaceDN/>
        <w:bidi w:val="0"/>
        <w:adjustRightInd/>
        <w:snapToGrid/>
        <w:spacing w:line="360" w:lineRule="auto"/>
        <w:ind w:left="1680" w:leftChars="700" w:firstLine="0" w:firstLineChars="0"/>
        <w:textAlignment w:val="auto"/>
        <w:rPr>
          <w:rFonts w:hint="eastAsia" w:cs="宋体"/>
          <w:color w:val="auto"/>
          <w:sz w:val="24"/>
          <w:highlight w:val="none"/>
          <w:lang w:val="en-US" w:eastAsia="zh-CN"/>
        </w:rPr>
      </w:pPr>
      <w:r>
        <w:rPr>
          <w:rFonts w:hint="eastAsia" w:cs="宋体"/>
          <w:color w:val="auto"/>
          <w:sz w:val="24"/>
          <w:highlight w:val="none"/>
          <w:lang w:val="en-US" w:eastAsia="zh-CN"/>
        </w:rPr>
        <w:t>（标项一：180万元；标项二：170万）</w:t>
      </w:r>
    </w:p>
    <w:p w14:paraId="710CED56">
      <w:pPr>
        <w:pStyle w:val="39"/>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r>
        <w:rPr>
          <w:rFonts w:hint="eastAsia" w:cs="宋体"/>
          <w:color w:val="auto"/>
          <w:sz w:val="24"/>
          <w:highlight w:val="none"/>
          <w:lang w:val="en-US" w:eastAsia="zh-CN"/>
        </w:rPr>
        <w:t>6.</w:t>
      </w:r>
      <w:r>
        <w:rPr>
          <w:rFonts w:hint="eastAsia" w:ascii="宋体" w:hAnsi="宋体" w:eastAsia="宋体" w:cs="宋体"/>
          <w:color w:val="auto"/>
          <w:sz w:val="24"/>
          <w:highlight w:val="none"/>
          <w:lang w:val="hr-HR"/>
        </w:rPr>
        <w:t>采购需求：</w:t>
      </w:r>
    </w:p>
    <w:p w14:paraId="25CB8669">
      <w:pPr>
        <w:pStyle w:val="39"/>
        <w:pageBreakBefore w:val="0"/>
        <w:widowControl w:val="0"/>
        <w:numPr>
          <w:ilvl w:val="0"/>
          <w:numId w:val="0"/>
        </w:numPr>
        <w:kinsoku/>
        <w:overflowPunct/>
        <w:topLinePunct w:val="0"/>
        <w:autoSpaceDE/>
        <w:autoSpaceDN/>
        <w:bidi w:val="0"/>
        <w:adjustRightInd/>
        <w:snapToGrid/>
        <w:spacing w:line="360" w:lineRule="auto"/>
        <w:ind w:leftChars="-400" w:firstLine="1440" w:firstLineChars="600"/>
        <w:textAlignment w:val="auto"/>
        <w:rPr>
          <w:rFonts w:hint="eastAsia" w:cs="宋体"/>
          <w:color w:val="auto"/>
          <w:sz w:val="24"/>
          <w:highlight w:val="none"/>
          <w:lang w:val="en-US" w:eastAsia="zh-CN"/>
        </w:rPr>
      </w:pPr>
      <w:r>
        <w:rPr>
          <w:rFonts w:hint="eastAsia" w:cs="宋体"/>
          <w:color w:val="auto"/>
          <w:sz w:val="24"/>
          <w:highlight w:val="none"/>
          <w:lang w:val="en-US" w:eastAsia="zh-CN"/>
        </w:rPr>
        <w:t>标项一：</w:t>
      </w:r>
    </w:p>
    <w:p w14:paraId="4ABAA8ED">
      <w:pPr>
        <w:pStyle w:val="39"/>
        <w:pageBreakBefore w:val="0"/>
        <w:widowControl w:val="0"/>
        <w:numPr>
          <w:ilvl w:val="0"/>
          <w:numId w:val="0"/>
        </w:numPr>
        <w:kinsoku/>
        <w:overflowPunct/>
        <w:topLinePunct w:val="0"/>
        <w:autoSpaceDE/>
        <w:autoSpaceDN/>
        <w:bidi w:val="0"/>
        <w:adjustRightInd/>
        <w:snapToGrid/>
        <w:spacing w:line="360" w:lineRule="auto"/>
        <w:ind w:leftChars="-400" w:firstLine="1440" w:firstLineChars="600"/>
        <w:textAlignment w:val="auto"/>
        <w:rPr>
          <w:rFonts w:hint="eastAsia" w:cs="宋体"/>
          <w:color w:val="auto"/>
          <w:sz w:val="24"/>
          <w:highlight w:val="none"/>
          <w:lang w:val="en-US" w:eastAsia="zh-CN"/>
        </w:rPr>
      </w:pPr>
      <w:r>
        <w:rPr>
          <w:rFonts w:hint="eastAsia" w:cs="宋体"/>
          <w:color w:val="auto"/>
          <w:sz w:val="24"/>
          <w:highlight w:val="none"/>
          <w:lang w:val="en-US" w:eastAsia="zh-CN"/>
        </w:rPr>
        <w:t>标项名称：防护用具类一</w:t>
      </w:r>
    </w:p>
    <w:p w14:paraId="4BA81B2D">
      <w:pPr>
        <w:pStyle w:val="39"/>
        <w:pageBreakBefore w:val="0"/>
        <w:widowControl w:val="0"/>
        <w:numPr>
          <w:ilvl w:val="0"/>
          <w:numId w:val="0"/>
        </w:numPr>
        <w:kinsoku/>
        <w:overflowPunct/>
        <w:topLinePunct w:val="0"/>
        <w:autoSpaceDE/>
        <w:autoSpaceDN/>
        <w:bidi w:val="0"/>
        <w:adjustRightInd/>
        <w:snapToGrid/>
        <w:spacing w:line="360" w:lineRule="auto"/>
        <w:ind w:leftChars="-400" w:firstLine="1440" w:firstLineChars="600"/>
        <w:textAlignment w:val="auto"/>
        <w:rPr>
          <w:rFonts w:hint="eastAsia" w:cs="宋体"/>
          <w:color w:val="auto"/>
          <w:sz w:val="24"/>
          <w:highlight w:val="none"/>
          <w:lang w:val="en-US" w:eastAsia="zh-CN"/>
        </w:rPr>
      </w:pPr>
      <w:r>
        <w:rPr>
          <w:rFonts w:hint="eastAsia" w:cs="宋体"/>
          <w:color w:val="auto"/>
          <w:sz w:val="24"/>
          <w:highlight w:val="none"/>
          <w:lang w:val="en-US" w:eastAsia="zh-CN"/>
        </w:rPr>
        <w:t>数量：1</w:t>
      </w:r>
    </w:p>
    <w:p w14:paraId="5829B215">
      <w:pPr>
        <w:pStyle w:val="39"/>
        <w:pageBreakBefore w:val="0"/>
        <w:widowControl w:val="0"/>
        <w:numPr>
          <w:ilvl w:val="0"/>
          <w:numId w:val="0"/>
        </w:numPr>
        <w:kinsoku/>
        <w:overflowPunct/>
        <w:topLinePunct w:val="0"/>
        <w:autoSpaceDE/>
        <w:autoSpaceDN/>
        <w:bidi w:val="0"/>
        <w:adjustRightInd/>
        <w:snapToGrid/>
        <w:spacing w:line="360" w:lineRule="auto"/>
        <w:ind w:leftChars="-400" w:firstLine="1440" w:firstLineChars="600"/>
        <w:textAlignment w:val="auto"/>
        <w:rPr>
          <w:rFonts w:hint="default" w:cs="宋体"/>
          <w:color w:val="auto"/>
          <w:sz w:val="24"/>
          <w:highlight w:val="none"/>
          <w:lang w:val="en-US" w:eastAsia="zh-CN"/>
        </w:rPr>
      </w:pPr>
      <w:r>
        <w:rPr>
          <w:rFonts w:hint="eastAsia" w:cs="宋体"/>
          <w:color w:val="auto"/>
          <w:sz w:val="24"/>
          <w:highlight w:val="none"/>
          <w:lang w:val="en-US" w:eastAsia="zh-CN"/>
        </w:rPr>
        <w:t>预算金额（元）：1800000</w:t>
      </w:r>
    </w:p>
    <w:p w14:paraId="0AEC55AA">
      <w:pPr>
        <w:pStyle w:val="39"/>
        <w:pageBreakBefore w:val="0"/>
        <w:widowControl w:val="0"/>
        <w:numPr>
          <w:ilvl w:val="0"/>
          <w:numId w:val="0"/>
        </w:numPr>
        <w:kinsoku/>
        <w:overflowPunct/>
        <w:topLinePunct w:val="0"/>
        <w:autoSpaceDE/>
        <w:autoSpaceDN/>
        <w:bidi w:val="0"/>
        <w:adjustRightInd/>
        <w:snapToGrid/>
        <w:spacing w:line="360" w:lineRule="auto"/>
        <w:ind w:leftChars="-400" w:firstLine="1440" w:firstLineChars="600"/>
        <w:textAlignment w:val="auto"/>
        <w:rPr>
          <w:rFonts w:hint="default" w:eastAsia="宋体" w:cs="宋体"/>
          <w:color w:val="auto"/>
          <w:kern w:val="2"/>
          <w:sz w:val="24"/>
          <w:szCs w:val="24"/>
          <w:highlight w:val="none"/>
          <w:lang w:val="en-US" w:eastAsia="zh-CN"/>
        </w:rPr>
      </w:pPr>
      <w:r>
        <w:rPr>
          <w:rFonts w:hint="eastAsia" w:cs="宋体"/>
          <w:color w:val="auto"/>
          <w:kern w:val="2"/>
          <w:sz w:val="24"/>
          <w:szCs w:val="24"/>
          <w:highlight w:val="none"/>
          <w:lang w:val="en-US" w:eastAsia="zh-CN"/>
        </w:rPr>
        <w:t>单位：批</w:t>
      </w:r>
    </w:p>
    <w:p w14:paraId="065B545D">
      <w:pPr>
        <w:pStyle w:val="39"/>
        <w:pageBreakBefore w:val="0"/>
        <w:widowControl w:val="0"/>
        <w:numPr>
          <w:ilvl w:val="0"/>
          <w:numId w:val="0"/>
        </w:numPr>
        <w:kinsoku/>
        <w:overflowPunct/>
        <w:topLinePunct w:val="0"/>
        <w:autoSpaceDE/>
        <w:autoSpaceDN/>
        <w:bidi w:val="0"/>
        <w:adjustRightInd/>
        <w:snapToGrid/>
        <w:spacing w:line="360" w:lineRule="auto"/>
        <w:ind w:left="960" w:leftChars="200" w:hanging="480" w:hangingChars="200"/>
        <w:textAlignment w:val="auto"/>
        <w:rPr>
          <w:rFonts w:hint="eastAsia" w:cs="宋体"/>
          <w:color w:val="auto"/>
          <w:sz w:val="24"/>
          <w:highlight w:val="none"/>
          <w:u w:val="none"/>
          <w:lang w:val="en-US" w:eastAsia="zh-CN"/>
        </w:rPr>
      </w:pPr>
      <w:r>
        <w:rPr>
          <w:rFonts w:eastAsia="宋体" w:cs="宋体"/>
          <w:color w:val="auto"/>
          <w:kern w:val="2"/>
          <w:sz w:val="24"/>
          <w:szCs w:val="24"/>
          <w:highlight w:val="none"/>
        </w:rPr>
        <w:t>简要规格描述或项目基本概况介绍、用途：</w:t>
      </w:r>
      <w:r>
        <w:rPr>
          <w:rFonts w:hint="eastAsia" w:eastAsia="宋体" w:cs="宋体"/>
          <w:color w:val="auto"/>
          <w:kern w:val="2"/>
          <w:sz w:val="24"/>
          <w:szCs w:val="24"/>
          <w:highlight w:val="none"/>
          <w:lang w:val="en-US" w:eastAsia="zh-CN"/>
        </w:rPr>
        <w:t>防护用具类一</w:t>
      </w:r>
      <w:r>
        <w:rPr>
          <w:rFonts w:hint="eastAsia" w:ascii="宋体" w:hAnsi="宋体" w:eastAsia="宋体" w:cs="宋体"/>
          <w:color w:val="auto"/>
          <w:sz w:val="24"/>
          <w:highlight w:val="none"/>
          <w:lang w:val="hr-HR" w:eastAsia="zh-CN"/>
        </w:rPr>
        <w:t>采购</w:t>
      </w:r>
      <w:r>
        <w:rPr>
          <w:rFonts w:hint="eastAsia" w:cs="宋体"/>
          <w:color w:val="auto"/>
          <w:sz w:val="24"/>
          <w:highlight w:val="none"/>
          <w:u w:val="none"/>
          <w:lang w:val="en-US" w:eastAsia="zh-CN"/>
        </w:rPr>
        <w:t>，具体详见采购需求。</w:t>
      </w:r>
    </w:p>
    <w:p w14:paraId="41D20131">
      <w:pPr>
        <w:pStyle w:val="39"/>
        <w:pageBreakBefore w:val="0"/>
        <w:widowControl w:val="0"/>
        <w:numPr>
          <w:ilvl w:val="0"/>
          <w:numId w:val="0"/>
        </w:numPr>
        <w:kinsoku/>
        <w:overflowPunct/>
        <w:topLinePunct w:val="0"/>
        <w:autoSpaceDE/>
        <w:autoSpaceDN/>
        <w:bidi w:val="0"/>
        <w:adjustRightInd/>
        <w:snapToGrid/>
        <w:spacing w:line="360" w:lineRule="auto"/>
        <w:ind w:left="960" w:leftChars="200" w:hanging="480" w:hangingChars="200"/>
        <w:textAlignment w:val="auto"/>
        <w:rPr>
          <w:rFonts w:hint="eastAsia" w:cs="宋体"/>
          <w:color w:val="auto"/>
          <w:sz w:val="24"/>
          <w:highlight w:val="none"/>
          <w:u w:val="none"/>
          <w:lang w:val="en-US" w:eastAsia="zh-CN"/>
        </w:rPr>
      </w:pPr>
      <w:r>
        <w:rPr>
          <w:rFonts w:hint="eastAsia" w:cs="宋体"/>
          <w:color w:val="auto"/>
          <w:sz w:val="24"/>
          <w:highlight w:val="none"/>
          <w:u w:val="none"/>
          <w:lang w:val="en-US" w:eastAsia="zh-CN"/>
        </w:rPr>
        <w:t>备注：本项目各标项兼投不兼中。</w:t>
      </w:r>
    </w:p>
    <w:p w14:paraId="380E1D6D">
      <w:pPr>
        <w:pStyle w:val="39"/>
        <w:pageBreakBefore w:val="0"/>
        <w:widowControl w:val="0"/>
        <w:numPr>
          <w:ilvl w:val="0"/>
          <w:numId w:val="0"/>
        </w:numPr>
        <w:kinsoku/>
        <w:overflowPunct/>
        <w:topLinePunct w:val="0"/>
        <w:autoSpaceDE/>
        <w:autoSpaceDN/>
        <w:bidi w:val="0"/>
        <w:adjustRightInd/>
        <w:snapToGrid/>
        <w:spacing w:line="360" w:lineRule="auto"/>
        <w:ind w:left="960" w:leftChars="200" w:hanging="480" w:hangingChars="200"/>
        <w:textAlignment w:val="auto"/>
        <w:rPr>
          <w:rFonts w:hint="eastAsia" w:cs="宋体"/>
          <w:color w:val="auto"/>
          <w:sz w:val="24"/>
          <w:highlight w:val="none"/>
          <w:u w:val="none"/>
          <w:lang w:val="hr-HR" w:eastAsia="zh-CN"/>
        </w:rPr>
      </w:pPr>
    </w:p>
    <w:p w14:paraId="6D5877D5">
      <w:pPr>
        <w:pStyle w:val="39"/>
        <w:pageBreakBefore w:val="0"/>
        <w:widowControl w:val="0"/>
        <w:numPr>
          <w:ilvl w:val="0"/>
          <w:numId w:val="0"/>
        </w:numPr>
        <w:kinsoku/>
        <w:overflowPunct/>
        <w:topLinePunct w:val="0"/>
        <w:autoSpaceDE/>
        <w:autoSpaceDN/>
        <w:bidi w:val="0"/>
        <w:adjustRightInd/>
        <w:snapToGrid/>
        <w:spacing w:line="360" w:lineRule="auto"/>
        <w:ind w:leftChars="-400" w:firstLine="1440" w:firstLineChars="600"/>
        <w:textAlignment w:val="auto"/>
        <w:rPr>
          <w:rFonts w:hint="eastAsia" w:cs="宋体"/>
          <w:color w:val="auto"/>
          <w:sz w:val="24"/>
          <w:highlight w:val="none"/>
          <w:lang w:val="en-US" w:eastAsia="zh-CN"/>
        </w:rPr>
      </w:pPr>
      <w:r>
        <w:rPr>
          <w:rFonts w:hint="eastAsia" w:cs="宋体"/>
          <w:color w:val="auto"/>
          <w:sz w:val="24"/>
          <w:highlight w:val="none"/>
          <w:lang w:val="en-US" w:eastAsia="zh-CN"/>
        </w:rPr>
        <w:t>标项二：</w:t>
      </w:r>
    </w:p>
    <w:p w14:paraId="1CE6AA31">
      <w:pPr>
        <w:pStyle w:val="39"/>
        <w:pageBreakBefore w:val="0"/>
        <w:widowControl w:val="0"/>
        <w:numPr>
          <w:ilvl w:val="0"/>
          <w:numId w:val="0"/>
        </w:numPr>
        <w:kinsoku/>
        <w:overflowPunct/>
        <w:topLinePunct w:val="0"/>
        <w:autoSpaceDE/>
        <w:autoSpaceDN/>
        <w:bidi w:val="0"/>
        <w:adjustRightInd/>
        <w:snapToGrid/>
        <w:spacing w:line="360" w:lineRule="auto"/>
        <w:ind w:leftChars="-400" w:firstLine="1440" w:firstLineChars="600"/>
        <w:textAlignment w:val="auto"/>
        <w:rPr>
          <w:rFonts w:hint="eastAsia" w:cs="宋体"/>
          <w:color w:val="auto"/>
          <w:sz w:val="24"/>
          <w:highlight w:val="none"/>
          <w:lang w:val="en-US" w:eastAsia="zh-CN"/>
        </w:rPr>
      </w:pPr>
      <w:r>
        <w:rPr>
          <w:rFonts w:hint="eastAsia" w:cs="宋体"/>
          <w:color w:val="auto"/>
          <w:sz w:val="24"/>
          <w:highlight w:val="none"/>
          <w:lang w:val="en-US" w:eastAsia="zh-CN"/>
        </w:rPr>
        <w:t>标项名称：防护用具类二</w:t>
      </w:r>
    </w:p>
    <w:p w14:paraId="6AEAA92A">
      <w:pPr>
        <w:pStyle w:val="39"/>
        <w:pageBreakBefore w:val="0"/>
        <w:widowControl w:val="0"/>
        <w:numPr>
          <w:ilvl w:val="0"/>
          <w:numId w:val="0"/>
        </w:numPr>
        <w:kinsoku/>
        <w:overflowPunct/>
        <w:topLinePunct w:val="0"/>
        <w:autoSpaceDE/>
        <w:autoSpaceDN/>
        <w:bidi w:val="0"/>
        <w:adjustRightInd/>
        <w:snapToGrid/>
        <w:spacing w:line="360" w:lineRule="auto"/>
        <w:ind w:leftChars="-400" w:firstLine="1440" w:firstLineChars="600"/>
        <w:textAlignment w:val="auto"/>
        <w:rPr>
          <w:rFonts w:hint="eastAsia" w:cs="宋体"/>
          <w:color w:val="auto"/>
          <w:sz w:val="24"/>
          <w:highlight w:val="none"/>
          <w:lang w:val="en-US" w:eastAsia="zh-CN"/>
        </w:rPr>
      </w:pPr>
      <w:r>
        <w:rPr>
          <w:rFonts w:hint="eastAsia" w:cs="宋体"/>
          <w:color w:val="auto"/>
          <w:sz w:val="24"/>
          <w:highlight w:val="none"/>
          <w:lang w:val="en-US" w:eastAsia="zh-CN"/>
        </w:rPr>
        <w:t>数量：1</w:t>
      </w:r>
    </w:p>
    <w:p w14:paraId="009160F9">
      <w:pPr>
        <w:pStyle w:val="39"/>
        <w:pageBreakBefore w:val="0"/>
        <w:widowControl w:val="0"/>
        <w:numPr>
          <w:ilvl w:val="0"/>
          <w:numId w:val="0"/>
        </w:numPr>
        <w:kinsoku/>
        <w:overflowPunct/>
        <w:topLinePunct w:val="0"/>
        <w:autoSpaceDE/>
        <w:autoSpaceDN/>
        <w:bidi w:val="0"/>
        <w:adjustRightInd/>
        <w:snapToGrid/>
        <w:spacing w:line="360" w:lineRule="auto"/>
        <w:ind w:leftChars="-400" w:firstLine="1440" w:firstLineChars="600"/>
        <w:textAlignment w:val="auto"/>
        <w:rPr>
          <w:rFonts w:hint="default" w:cs="宋体"/>
          <w:color w:val="auto"/>
          <w:sz w:val="24"/>
          <w:highlight w:val="none"/>
          <w:lang w:val="en-US" w:eastAsia="zh-CN"/>
        </w:rPr>
      </w:pPr>
      <w:r>
        <w:rPr>
          <w:rFonts w:hint="eastAsia" w:cs="宋体"/>
          <w:color w:val="auto"/>
          <w:sz w:val="24"/>
          <w:highlight w:val="none"/>
          <w:lang w:val="en-US" w:eastAsia="zh-CN"/>
        </w:rPr>
        <w:t>预算金额（元）：1700000</w:t>
      </w:r>
    </w:p>
    <w:p w14:paraId="6B5976A1">
      <w:pPr>
        <w:pStyle w:val="39"/>
        <w:pageBreakBefore w:val="0"/>
        <w:widowControl w:val="0"/>
        <w:numPr>
          <w:ilvl w:val="0"/>
          <w:numId w:val="0"/>
        </w:numPr>
        <w:kinsoku/>
        <w:overflowPunct/>
        <w:topLinePunct w:val="0"/>
        <w:autoSpaceDE/>
        <w:autoSpaceDN/>
        <w:bidi w:val="0"/>
        <w:adjustRightInd/>
        <w:snapToGrid/>
        <w:spacing w:line="360" w:lineRule="auto"/>
        <w:ind w:leftChars="-400" w:firstLine="1440" w:firstLineChars="600"/>
        <w:textAlignment w:val="auto"/>
        <w:rPr>
          <w:rFonts w:hint="default" w:eastAsia="宋体" w:cs="宋体"/>
          <w:color w:val="auto"/>
          <w:kern w:val="2"/>
          <w:sz w:val="24"/>
          <w:szCs w:val="24"/>
          <w:highlight w:val="none"/>
          <w:lang w:val="en-US" w:eastAsia="zh-CN"/>
        </w:rPr>
      </w:pPr>
      <w:r>
        <w:rPr>
          <w:rFonts w:hint="eastAsia" w:cs="宋体"/>
          <w:color w:val="auto"/>
          <w:kern w:val="2"/>
          <w:sz w:val="24"/>
          <w:szCs w:val="24"/>
          <w:highlight w:val="none"/>
          <w:lang w:val="en-US" w:eastAsia="zh-CN"/>
        </w:rPr>
        <w:t>单位：批</w:t>
      </w:r>
    </w:p>
    <w:p w14:paraId="213986FB">
      <w:pPr>
        <w:pStyle w:val="39"/>
        <w:pageBreakBefore w:val="0"/>
        <w:widowControl w:val="0"/>
        <w:numPr>
          <w:ilvl w:val="0"/>
          <w:numId w:val="0"/>
        </w:numPr>
        <w:kinsoku/>
        <w:overflowPunct/>
        <w:topLinePunct w:val="0"/>
        <w:autoSpaceDE/>
        <w:autoSpaceDN/>
        <w:bidi w:val="0"/>
        <w:adjustRightInd/>
        <w:snapToGrid/>
        <w:spacing w:line="360" w:lineRule="auto"/>
        <w:ind w:left="960" w:leftChars="200" w:hanging="480" w:hangingChars="200"/>
        <w:textAlignment w:val="auto"/>
        <w:rPr>
          <w:rFonts w:hint="eastAsia" w:cs="宋体"/>
          <w:color w:val="auto"/>
          <w:sz w:val="24"/>
          <w:highlight w:val="none"/>
          <w:u w:val="none"/>
          <w:lang w:val="en-US" w:eastAsia="zh-CN"/>
        </w:rPr>
      </w:pPr>
      <w:r>
        <w:rPr>
          <w:rFonts w:eastAsia="宋体" w:cs="宋体"/>
          <w:color w:val="auto"/>
          <w:kern w:val="2"/>
          <w:sz w:val="24"/>
          <w:szCs w:val="24"/>
          <w:highlight w:val="none"/>
        </w:rPr>
        <w:t>简要规格描述或项目基本概况介绍、用途：</w:t>
      </w:r>
      <w:r>
        <w:rPr>
          <w:rFonts w:hint="eastAsia" w:eastAsia="宋体" w:cs="宋体"/>
          <w:color w:val="auto"/>
          <w:kern w:val="2"/>
          <w:sz w:val="24"/>
          <w:szCs w:val="24"/>
          <w:highlight w:val="none"/>
          <w:lang w:val="en-US" w:eastAsia="zh-CN"/>
        </w:rPr>
        <w:t>防护用具类</w:t>
      </w:r>
      <w:r>
        <w:rPr>
          <w:rFonts w:hint="eastAsia" w:cs="宋体"/>
          <w:color w:val="auto"/>
          <w:kern w:val="2"/>
          <w:sz w:val="24"/>
          <w:szCs w:val="24"/>
          <w:highlight w:val="none"/>
          <w:lang w:val="en-US" w:eastAsia="zh-CN"/>
        </w:rPr>
        <w:t>二</w:t>
      </w:r>
      <w:r>
        <w:rPr>
          <w:rFonts w:hint="eastAsia" w:ascii="宋体" w:hAnsi="宋体" w:eastAsia="宋体" w:cs="宋体"/>
          <w:color w:val="auto"/>
          <w:sz w:val="24"/>
          <w:highlight w:val="none"/>
          <w:lang w:val="hr-HR" w:eastAsia="zh-CN"/>
        </w:rPr>
        <w:t>采购</w:t>
      </w:r>
      <w:r>
        <w:rPr>
          <w:rFonts w:hint="eastAsia" w:cs="宋体"/>
          <w:color w:val="auto"/>
          <w:sz w:val="24"/>
          <w:highlight w:val="none"/>
          <w:u w:val="none"/>
          <w:lang w:val="en-US" w:eastAsia="zh-CN"/>
        </w:rPr>
        <w:t>，具体详见采购需求。</w:t>
      </w:r>
    </w:p>
    <w:p w14:paraId="3DA4D552">
      <w:pPr>
        <w:pStyle w:val="39"/>
        <w:pageBreakBefore w:val="0"/>
        <w:widowControl w:val="0"/>
        <w:numPr>
          <w:ilvl w:val="0"/>
          <w:numId w:val="0"/>
        </w:numPr>
        <w:kinsoku/>
        <w:overflowPunct/>
        <w:topLinePunct w:val="0"/>
        <w:autoSpaceDE/>
        <w:autoSpaceDN/>
        <w:bidi w:val="0"/>
        <w:adjustRightInd/>
        <w:snapToGrid/>
        <w:spacing w:line="360" w:lineRule="auto"/>
        <w:ind w:left="960" w:leftChars="200" w:hanging="480" w:hangingChars="200"/>
        <w:textAlignment w:val="auto"/>
        <w:rPr>
          <w:rFonts w:hint="eastAsia" w:cs="宋体"/>
          <w:color w:val="auto"/>
          <w:sz w:val="24"/>
          <w:highlight w:val="none"/>
          <w:u w:val="none"/>
          <w:lang w:val="en-US" w:eastAsia="zh-CN"/>
        </w:rPr>
      </w:pPr>
      <w:r>
        <w:rPr>
          <w:rFonts w:hint="eastAsia" w:cs="宋体"/>
          <w:color w:val="auto"/>
          <w:sz w:val="24"/>
          <w:highlight w:val="none"/>
          <w:u w:val="none"/>
          <w:lang w:val="en-US" w:eastAsia="zh-CN"/>
        </w:rPr>
        <w:t>备注：本项目各标项兼投不兼中。</w:t>
      </w:r>
    </w:p>
    <w:p w14:paraId="210F82B1">
      <w:pPr>
        <w:pStyle w:val="39"/>
        <w:pageBreakBefore w:val="0"/>
        <w:widowControl w:val="0"/>
        <w:numPr>
          <w:ilvl w:val="0"/>
          <w:numId w:val="0"/>
        </w:numPr>
        <w:kinsoku/>
        <w:overflowPunct/>
        <w:topLinePunct w:val="0"/>
        <w:autoSpaceDE/>
        <w:autoSpaceDN/>
        <w:bidi w:val="0"/>
        <w:adjustRightInd/>
        <w:snapToGrid/>
        <w:spacing w:line="360" w:lineRule="auto"/>
        <w:ind w:left="960" w:leftChars="200" w:hanging="480" w:hangingChars="200"/>
        <w:textAlignment w:val="auto"/>
        <w:rPr>
          <w:rFonts w:hint="eastAsia" w:cs="宋体"/>
          <w:color w:val="auto"/>
          <w:sz w:val="24"/>
          <w:highlight w:val="none"/>
          <w:u w:val="none"/>
          <w:lang w:val="hr-HR" w:eastAsia="zh-CN"/>
        </w:rPr>
      </w:pPr>
    </w:p>
    <w:p w14:paraId="1C9803A8">
      <w:pPr>
        <w:pStyle w:val="39"/>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cs="宋体"/>
          <w:color w:val="auto"/>
          <w:sz w:val="24"/>
          <w:highlight w:val="none"/>
          <w:u w:val="none"/>
          <w:lang w:val="en-US" w:eastAsia="zh-CN"/>
        </w:rPr>
      </w:pP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.合同履</w:t>
      </w:r>
      <w:r>
        <w:rPr>
          <w:rFonts w:hint="eastAsia" w:cs="宋体"/>
          <w:color w:val="auto"/>
          <w:sz w:val="24"/>
          <w:highlight w:val="none"/>
          <w:lang w:eastAsia="zh-CN"/>
        </w:rPr>
        <w:t>约</w:t>
      </w:r>
      <w:r>
        <w:rPr>
          <w:rFonts w:hint="eastAsia" w:ascii="宋体" w:hAnsi="宋体" w:eastAsia="宋体" w:cs="宋体"/>
          <w:color w:val="auto"/>
          <w:sz w:val="24"/>
          <w:highlight w:val="none"/>
        </w:rPr>
        <w:t>期限</w:t>
      </w:r>
      <w:r>
        <w:rPr>
          <w:rFonts w:hint="eastAsia" w:cs="宋体"/>
          <w:color w:val="auto"/>
          <w:sz w:val="24"/>
          <w:highlight w:val="none"/>
          <w:lang w:eastAsia="zh-CN"/>
        </w:rPr>
        <w:t>（</w:t>
      </w:r>
      <w:r>
        <w:rPr>
          <w:rFonts w:hint="eastAsia" w:cs="宋体"/>
          <w:color w:val="auto"/>
          <w:sz w:val="24"/>
          <w:highlight w:val="none"/>
          <w:lang w:val="en-US" w:eastAsia="zh-CN"/>
        </w:rPr>
        <w:t>供货期限</w:t>
      </w:r>
      <w:r>
        <w:rPr>
          <w:rFonts w:hint="eastAsia" w:cs="宋体"/>
          <w:color w:val="auto"/>
          <w:sz w:val="24"/>
          <w:highlight w:val="none"/>
          <w:lang w:eastAsia="zh-CN"/>
        </w:rPr>
        <w:t>）</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自采购合同签订之日起，</w:t>
      </w:r>
      <w:r>
        <w:rPr>
          <w:rFonts w:hint="eastAsia" w:ascii="宋体" w:hAnsi="宋体" w:eastAsia="宋体" w:cs="宋体"/>
          <w:color w:val="auto"/>
          <w:sz w:val="24"/>
          <w:highlight w:val="none"/>
        </w:rPr>
        <w:t>在</w:t>
      </w:r>
      <w:r>
        <w:rPr>
          <w:rFonts w:hint="eastAsia" w:ascii="宋体" w:hAnsi="宋体" w:eastAsia="宋体" w:cs="宋体"/>
          <w:color w:val="auto"/>
          <w:sz w:val="24"/>
          <w:highlight w:val="none"/>
          <w:lang w:val="en-US" w:eastAsia="zh-CN"/>
        </w:rPr>
        <w:t>25</w:t>
      </w:r>
      <w:r>
        <w:rPr>
          <w:rFonts w:hint="eastAsia" w:ascii="宋体" w:hAnsi="宋体" w:eastAsia="宋体" w:cs="宋体"/>
          <w:color w:val="auto"/>
          <w:sz w:val="24"/>
          <w:highlight w:val="none"/>
        </w:rPr>
        <w:t>日内完成所有货物供货和安装服务</w:t>
      </w:r>
      <w:r>
        <w:rPr>
          <w:rFonts w:hint="eastAsia" w:cs="宋体"/>
          <w:color w:val="auto"/>
          <w:sz w:val="24"/>
          <w:highlight w:val="none"/>
          <w:u w:val="none"/>
          <w:lang w:val="en-US" w:eastAsia="zh-CN"/>
        </w:rPr>
        <w:t>。</w:t>
      </w:r>
    </w:p>
    <w:p w14:paraId="25F45F38">
      <w:pPr>
        <w:pStyle w:val="39"/>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bookmarkStart w:id="17" w:name="_Toc44583629"/>
      <w:bookmarkStart w:id="18" w:name="_Toc28359090"/>
      <w:bookmarkStart w:id="19" w:name="_Toc35393799"/>
      <w:bookmarkStart w:id="20" w:name="_Toc35393630"/>
      <w:bookmarkStart w:id="21" w:name="_Toc28359013"/>
      <w:r>
        <w:rPr>
          <w:rFonts w:hint="eastAsia" w:ascii="宋体" w:hAnsi="宋体" w:eastAsia="宋体" w:cs="宋体"/>
          <w:color w:val="auto"/>
          <w:sz w:val="24"/>
          <w:highlight w:val="none"/>
          <w:lang w:val="en-US" w:eastAsia="zh-CN"/>
        </w:rPr>
        <w:t>8.</w:t>
      </w:r>
      <w:bookmarkStart w:id="22" w:name="_Hlk162011358"/>
      <w:r>
        <w:rPr>
          <w:rFonts w:hint="eastAsia" w:ascii="宋体" w:hAnsi="宋体" w:eastAsia="宋体" w:cs="宋体"/>
          <w:color w:val="auto"/>
          <w:sz w:val="24"/>
          <w:highlight w:val="none"/>
          <w:lang w:val="en-US" w:eastAsia="zh-CN"/>
        </w:rPr>
        <w:t>本项目是否接受联合体投标：□是</w:t>
      </w:r>
      <w:bookmarkEnd w:id="22"/>
      <w:r>
        <w:rPr>
          <w:rFonts w:hint="eastAsia" w:ascii="宋体" w:hAnsi="宋体" w:eastAsia="宋体" w:cs="宋体"/>
          <w:color w:val="auto"/>
          <w:sz w:val="24"/>
          <w:highlight w:val="none"/>
          <w:lang w:val="en-US" w:eastAsia="zh-CN"/>
        </w:rPr>
        <w:t xml:space="preserve">   </w:t>
      </w:r>
      <w:r>
        <w:rPr>
          <w:rFonts w:hint="eastAsia" w:cs="宋体"/>
          <w:color w:val="auto"/>
          <w:sz w:val="24"/>
          <w:highlight w:val="none"/>
          <w:lang w:val="en-US" w:eastAsia="zh-CN"/>
        </w:rPr>
        <w:t>☑</w:t>
      </w:r>
      <w:r>
        <w:rPr>
          <w:rFonts w:hint="eastAsia" w:ascii="宋体" w:hAnsi="宋体" w:eastAsia="宋体" w:cs="宋体"/>
          <w:color w:val="auto"/>
          <w:sz w:val="24"/>
          <w:highlight w:val="none"/>
          <w:lang w:val="en-US" w:eastAsia="zh-CN"/>
        </w:rPr>
        <w:t>否</w:t>
      </w:r>
    </w:p>
    <w:p w14:paraId="2251C8BE">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23" w:name="_Toc109899411"/>
      <w:bookmarkStart w:id="24" w:name="_Toc163492813"/>
      <w:bookmarkStart w:id="25" w:name="_Toc109900249"/>
      <w:bookmarkStart w:id="26" w:name="_Toc155185861"/>
      <w:bookmarkStart w:id="27" w:name="_Toc140132746"/>
      <w:bookmarkStart w:id="28" w:name="_Toc3089"/>
      <w:bookmarkStart w:id="29" w:name="_Toc109899830"/>
      <w:r>
        <w:rPr>
          <w:rFonts w:hint="eastAsia" w:ascii="宋体" w:hAnsi="宋体" w:eastAsia="宋体" w:cs="宋体"/>
          <w:b/>
          <w:bCs/>
          <w:color w:val="auto"/>
          <w:kern w:val="2"/>
          <w:sz w:val="24"/>
          <w:szCs w:val="24"/>
          <w:highlight w:val="none"/>
          <w:lang w:val="en-US" w:eastAsia="zh-CN" w:bidi="ar-SA"/>
        </w:rPr>
        <w:t>二、申请</w:t>
      </w:r>
      <w:r>
        <w:rPr>
          <w:rFonts w:hint="eastAsia" w:ascii="宋体" w:hAnsi="宋体" w:eastAsia="宋体" w:cs="宋体"/>
          <w:b/>
          <w:bCs/>
          <w:color w:val="auto"/>
          <w:kern w:val="2"/>
          <w:sz w:val="24"/>
          <w:szCs w:val="24"/>
          <w:highlight w:val="none"/>
          <w:lang w:val="hr-HR" w:eastAsia="zh-CN" w:bidi="ar-SA"/>
        </w:rPr>
        <w:t>人</w:t>
      </w:r>
      <w:r>
        <w:rPr>
          <w:rFonts w:hint="eastAsia" w:ascii="宋体" w:hAnsi="宋体" w:eastAsia="宋体" w:cs="宋体"/>
          <w:b/>
          <w:bCs/>
          <w:color w:val="auto"/>
          <w:kern w:val="2"/>
          <w:sz w:val="24"/>
          <w:szCs w:val="24"/>
          <w:highlight w:val="none"/>
          <w:lang w:val="en-US" w:eastAsia="zh-CN" w:bidi="ar-SA"/>
        </w:rPr>
        <w:t>的</w:t>
      </w:r>
      <w:r>
        <w:rPr>
          <w:rFonts w:hint="eastAsia" w:ascii="宋体" w:hAnsi="宋体" w:eastAsia="宋体" w:cs="宋体"/>
          <w:b/>
          <w:bCs/>
          <w:color w:val="auto"/>
          <w:kern w:val="2"/>
          <w:sz w:val="24"/>
          <w:szCs w:val="24"/>
          <w:highlight w:val="none"/>
          <w:lang w:val="hr-HR" w:eastAsia="zh-CN" w:bidi="ar-SA"/>
        </w:rPr>
        <w:t>资格要求</w:t>
      </w:r>
      <w:bookmarkEnd w:id="17"/>
      <w:bookmarkEnd w:id="18"/>
      <w:bookmarkEnd w:id="19"/>
      <w:bookmarkEnd w:id="20"/>
      <w:bookmarkEnd w:id="21"/>
      <w:bookmarkEnd w:id="23"/>
      <w:bookmarkEnd w:id="24"/>
      <w:bookmarkEnd w:id="25"/>
      <w:bookmarkEnd w:id="26"/>
      <w:bookmarkEnd w:id="27"/>
      <w:bookmarkEnd w:id="28"/>
      <w:bookmarkEnd w:id="29"/>
    </w:p>
    <w:p w14:paraId="46A44AD6">
      <w:pPr>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bookmarkStart w:id="30" w:name="_Toc35393800"/>
      <w:bookmarkStart w:id="31" w:name="_Toc28359014"/>
      <w:bookmarkStart w:id="32" w:name="_Toc35393631"/>
      <w:bookmarkStart w:id="33" w:name="_Toc28359091"/>
      <w:bookmarkStart w:id="34" w:name="_Toc44583630"/>
      <w:r>
        <w:rPr>
          <w:rFonts w:hint="eastAsia" w:ascii="宋体" w:hAnsi="宋体" w:eastAsia="宋体" w:cs="宋体"/>
          <w:color w:val="auto"/>
          <w:sz w:val="24"/>
          <w:highlight w:val="none"/>
          <w:lang w:val="en-US" w:eastAsia="zh-CN"/>
        </w:rPr>
        <w:t>1.满足《中华人民共和国政府采购法》第二十二条规定；</w:t>
      </w:r>
    </w:p>
    <w:p w14:paraId="57DB370E">
      <w:pPr>
        <w:pageBreakBefore w:val="0"/>
        <w:widowControl w:val="0"/>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2.落实政府采购政策需满足的资格要</w:t>
      </w:r>
      <w:r>
        <w:rPr>
          <w:rFonts w:hint="eastAsia" w:ascii="宋体" w:hAnsi="宋体" w:eastAsia="宋体" w:cs="宋体"/>
          <w:color w:val="auto"/>
          <w:sz w:val="24"/>
          <w:highlight w:val="none"/>
          <w:u w:val="none"/>
          <w:lang w:val="en-US" w:eastAsia="zh-CN"/>
        </w:rPr>
        <w:t>求：</w:t>
      </w:r>
      <w:r>
        <w:rPr>
          <w:rFonts w:hint="eastAsia" w:cs="宋体"/>
          <w:color w:val="auto"/>
          <w:sz w:val="24"/>
          <w:highlight w:val="none"/>
          <w:u w:val="none"/>
          <w:lang w:val="en-US" w:eastAsia="zh-CN"/>
        </w:rPr>
        <w:t>本项目标项一</w:t>
      </w:r>
      <w:r>
        <w:rPr>
          <w:rFonts w:hint="eastAsia" w:ascii="宋体" w:hAnsi="宋体" w:eastAsia="宋体" w:cs="宋体"/>
          <w:color w:val="auto"/>
          <w:sz w:val="24"/>
          <w:highlight w:val="none"/>
          <w:u w:val="none"/>
          <w:lang w:val="en-US" w:eastAsia="zh-CN"/>
        </w:rPr>
        <w:t>专门面向</w:t>
      </w:r>
      <w:r>
        <w:rPr>
          <w:rFonts w:hint="eastAsia" w:cs="宋体"/>
          <w:color w:val="auto"/>
          <w:sz w:val="24"/>
          <w:highlight w:val="none"/>
          <w:u w:val="none"/>
          <w:lang w:val="en-US" w:eastAsia="zh-CN"/>
        </w:rPr>
        <w:t>小微</w:t>
      </w:r>
      <w:r>
        <w:rPr>
          <w:rFonts w:hint="eastAsia" w:ascii="宋体" w:hAnsi="宋体" w:eastAsia="宋体" w:cs="宋体"/>
          <w:color w:val="auto"/>
          <w:sz w:val="24"/>
          <w:highlight w:val="none"/>
          <w:u w:val="none"/>
          <w:lang w:val="en-US" w:eastAsia="zh-CN"/>
        </w:rPr>
        <w:t>企业</w:t>
      </w:r>
      <w:r>
        <w:rPr>
          <w:rFonts w:hint="eastAsia" w:cs="宋体"/>
          <w:color w:val="auto"/>
          <w:sz w:val="24"/>
          <w:highlight w:val="none"/>
          <w:u w:val="none"/>
          <w:lang w:val="en-US" w:eastAsia="zh-CN"/>
        </w:rPr>
        <w:t>；标项二专门面向中小企业</w:t>
      </w:r>
      <w:r>
        <w:rPr>
          <w:rFonts w:hint="eastAsia" w:cs="宋体"/>
          <w:color w:val="auto"/>
          <w:sz w:val="24"/>
          <w:highlight w:val="none"/>
          <w:u w:val="none"/>
          <w:lang w:val="en-US" w:eastAsia="zh-CN"/>
        </w:rPr>
        <w:t>。</w:t>
      </w:r>
    </w:p>
    <w:p w14:paraId="7F71A8DE">
      <w:pPr>
        <w:pageBreakBefore w:val="0"/>
        <w:widowControl w:val="0"/>
        <w:kinsoku/>
        <w:overflowPunct/>
        <w:topLinePunct w:val="0"/>
        <w:autoSpaceDE/>
        <w:autoSpaceDN/>
        <w:bidi w:val="0"/>
        <w:adjustRightInd/>
        <w:snapToGrid/>
        <w:spacing w:line="360" w:lineRule="auto"/>
        <w:ind w:firstLine="480" w:firstLineChars="200"/>
        <w:textAlignment w:val="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3.本项目的特定资格要求：</w:t>
      </w:r>
      <w:r>
        <w:rPr>
          <w:rFonts w:hint="eastAsia" w:cs="宋体"/>
          <w:color w:val="auto"/>
          <w:sz w:val="24"/>
          <w:highlight w:val="none"/>
          <w:lang w:val="en-US" w:eastAsia="zh-CN"/>
        </w:rPr>
        <w:t>/</w:t>
      </w:r>
    </w:p>
    <w:p w14:paraId="02525138">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35" w:name="_Toc155185862"/>
      <w:bookmarkStart w:id="36" w:name="_Toc109900250"/>
      <w:bookmarkStart w:id="37" w:name="_Toc140132747"/>
      <w:bookmarkStart w:id="38" w:name="_Toc5330"/>
      <w:bookmarkStart w:id="39" w:name="_Toc109899412"/>
      <w:bookmarkStart w:id="40" w:name="_Toc109899831"/>
      <w:bookmarkStart w:id="41" w:name="_Toc163492814"/>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kern w:val="2"/>
          <w:sz w:val="24"/>
          <w:szCs w:val="24"/>
          <w:highlight w:val="none"/>
          <w:lang w:val="hr-HR" w:eastAsia="zh-CN" w:bidi="ar-SA"/>
        </w:rPr>
        <w:t>获取招标文件</w:t>
      </w:r>
      <w:bookmarkEnd w:id="30"/>
      <w:bookmarkEnd w:id="31"/>
      <w:bookmarkEnd w:id="32"/>
      <w:bookmarkEnd w:id="33"/>
      <w:bookmarkEnd w:id="34"/>
      <w:bookmarkEnd w:id="35"/>
      <w:bookmarkEnd w:id="36"/>
      <w:bookmarkEnd w:id="37"/>
      <w:bookmarkEnd w:id="38"/>
      <w:bookmarkEnd w:id="39"/>
      <w:bookmarkEnd w:id="40"/>
      <w:bookmarkEnd w:id="41"/>
      <w:r>
        <w:rPr>
          <w:rFonts w:hint="eastAsia" w:ascii="宋体" w:hAnsi="宋体" w:eastAsia="宋体" w:cs="宋体"/>
          <w:b/>
          <w:bCs/>
          <w:color w:val="auto"/>
          <w:kern w:val="2"/>
          <w:sz w:val="24"/>
          <w:szCs w:val="24"/>
          <w:highlight w:val="none"/>
          <w:lang w:val="hr-HR" w:eastAsia="zh-CN" w:bidi="ar-SA"/>
        </w:rPr>
        <w:t xml:space="preserve"> </w:t>
      </w:r>
    </w:p>
    <w:p w14:paraId="3F85B782">
      <w:pPr>
        <w:pStyle w:val="39"/>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bookmarkStart w:id="42" w:name="_Hlk130457234"/>
      <w:bookmarkStart w:id="43" w:name="_Hlk130457327"/>
      <w:bookmarkStart w:id="44" w:name="_Toc28359092"/>
      <w:bookmarkStart w:id="45" w:name="_Toc28359015"/>
      <w:bookmarkStart w:id="46" w:name="_Hlk130457261"/>
      <w:bookmarkStart w:id="47" w:name="_Toc35393632"/>
      <w:bookmarkStart w:id="48" w:name="_Toc35393801"/>
      <w:r>
        <w:rPr>
          <w:rFonts w:hint="eastAsia" w:ascii="宋体" w:hAnsi="宋体" w:eastAsia="宋体" w:cs="宋体"/>
          <w:color w:val="auto"/>
          <w:sz w:val="24"/>
          <w:highlight w:val="none"/>
          <w:lang w:val="hr-HR"/>
        </w:rPr>
        <w:t>1.时间：</w:t>
      </w:r>
      <w:r>
        <w:rPr>
          <w:rFonts w:hint="eastAsia" w:cs="宋体"/>
          <w:i w:val="0"/>
          <w:iCs w:val="0"/>
          <w:color w:val="auto"/>
          <w:sz w:val="24"/>
          <w:szCs w:val="24"/>
          <w:highlight w:val="cyan"/>
          <w:u w:val="single"/>
          <w:lang w:val="en-US" w:eastAsia="zh-CN"/>
        </w:rPr>
        <w:t>2026</w:t>
      </w:r>
      <w:r>
        <w:rPr>
          <w:rFonts w:hint="eastAsia" w:ascii="宋体" w:hAnsi="宋体" w:eastAsia="宋体" w:cs="宋体"/>
          <w:i w:val="0"/>
          <w:iCs w:val="0"/>
          <w:color w:val="auto"/>
          <w:sz w:val="24"/>
          <w:szCs w:val="24"/>
          <w:highlight w:val="cyan"/>
          <w:u w:val="single"/>
        </w:rPr>
        <w:t>年</w:t>
      </w:r>
      <w:r>
        <w:rPr>
          <w:rFonts w:hint="eastAsia" w:cs="宋体"/>
          <w:i w:val="0"/>
          <w:iCs w:val="0"/>
          <w:color w:val="auto"/>
          <w:sz w:val="24"/>
          <w:szCs w:val="24"/>
          <w:highlight w:val="cyan"/>
          <w:u w:val="single"/>
          <w:lang w:val="en-US" w:eastAsia="zh-CN"/>
        </w:rPr>
        <w:t>05</w:t>
      </w:r>
      <w:r>
        <w:rPr>
          <w:rFonts w:hint="eastAsia" w:ascii="宋体" w:hAnsi="宋体" w:eastAsia="宋体" w:cs="宋体"/>
          <w:i w:val="0"/>
          <w:iCs w:val="0"/>
          <w:color w:val="auto"/>
          <w:sz w:val="24"/>
          <w:szCs w:val="24"/>
          <w:highlight w:val="cyan"/>
          <w:u w:val="single"/>
        </w:rPr>
        <w:t>月</w:t>
      </w:r>
      <w:r>
        <w:rPr>
          <w:rFonts w:hint="eastAsia" w:cs="宋体"/>
          <w:i w:val="0"/>
          <w:iCs w:val="0"/>
          <w:color w:val="auto"/>
          <w:sz w:val="24"/>
          <w:szCs w:val="24"/>
          <w:highlight w:val="cyan"/>
          <w:u w:val="single"/>
          <w:lang w:val="en-US" w:eastAsia="zh-CN"/>
        </w:rPr>
        <w:t>08</w:t>
      </w:r>
      <w:r>
        <w:rPr>
          <w:rFonts w:hint="eastAsia" w:ascii="宋体" w:hAnsi="宋体" w:eastAsia="宋体" w:cs="宋体"/>
          <w:i w:val="0"/>
          <w:iCs w:val="0"/>
          <w:color w:val="auto"/>
          <w:sz w:val="24"/>
          <w:szCs w:val="24"/>
          <w:highlight w:val="cyan"/>
          <w:u w:val="single"/>
        </w:rPr>
        <w:t>日</w:t>
      </w:r>
      <w:r>
        <w:rPr>
          <w:rFonts w:hint="eastAsia" w:ascii="宋体" w:hAnsi="宋体" w:eastAsia="宋体" w:cs="宋体"/>
          <w:i w:val="0"/>
          <w:iCs w:val="0"/>
          <w:color w:val="auto"/>
          <w:sz w:val="24"/>
          <w:szCs w:val="24"/>
          <w:highlight w:val="cyan"/>
          <w:u w:val="none"/>
        </w:rPr>
        <w:t>至</w:t>
      </w:r>
      <w:r>
        <w:rPr>
          <w:rFonts w:hint="eastAsia" w:cs="宋体"/>
          <w:i w:val="0"/>
          <w:iCs w:val="0"/>
          <w:color w:val="auto"/>
          <w:sz w:val="24"/>
          <w:szCs w:val="24"/>
          <w:highlight w:val="cyan"/>
          <w:u w:val="single"/>
          <w:lang w:val="en-US" w:eastAsia="zh-CN"/>
        </w:rPr>
        <w:t>2026</w:t>
      </w:r>
      <w:r>
        <w:rPr>
          <w:rFonts w:hint="eastAsia" w:ascii="宋体" w:hAnsi="宋体" w:eastAsia="宋体" w:cs="宋体"/>
          <w:i w:val="0"/>
          <w:iCs w:val="0"/>
          <w:color w:val="auto"/>
          <w:sz w:val="24"/>
          <w:szCs w:val="24"/>
          <w:highlight w:val="cyan"/>
          <w:u w:val="single"/>
        </w:rPr>
        <w:t>年</w:t>
      </w:r>
      <w:r>
        <w:rPr>
          <w:rFonts w:hint="eastAsia" w:cs="宋体"/>
          <w:i w:val="0"/>
          <w:iCs w:val="0"/>
          <w:color w:val="auto"/>
          <w:sz w:val="24"/>
          <w:szCs w:val="24"/>
          <w:highlight w:val="cyan"/>
          <w:u w:val="single"/>
          <w:lang w:val="en-US" w:eastAsia="zh-CN"/>
        </w:rPr>
        <w:t>05</w:t>
      </w:r>
      <w:r>
        <w:rPr>
          <w:rFonts w:hint="eastAsia" w:ascii="宋体" w:hAnsi="宋体" w:eastAsia="宋体" w:cs="宋体"/>
          <w:i w:val="0"/>
          <w:iCs w:val="0"/>
          <w:color w:val="auto"/>
          <w:sz w:val="24"/>
          <w:szCs w:val="24"/>
          <w:highlight w:val="cyan"/>
          <w:u w:val="single"/>
        </w:rPr>
        <w:t>月</w:t>
      </w:r>
      <w:r>
        <w:rPr>
          <w:rFonts w:hint="eastAsia" w:cs="宋体"/>
          <w:i w:val="0"/>
          <w:iCs w:val="0"/>
          <w:color w:val="auto"/>
          <w:sz w:val="24"/>
          <w:szCs w:val="24"/>
          <w:highlight w:val="cyan"/>
          <w:u w:val="single"/>
          <w:lang w:val="en-US" w:eastAsia="zh-CN"/>
        </w:rPr>
        <w:t>14</w:t>
      </w:r>
      <w:r>
        <w:rPr>
          <w:rFonts w:hint="eastAsia" w:ascii="宋体" w:hAnsi="宋体" w:eastAsia="宋体" w:cs="宋体"/>
          <w:i w:val="0"/>
          <w:iCs w:val="0"/>
          <w:color w:val="auto"/>
          <w:sz w:val="24"/>
          <w:szCs w:val="24"/>
          <w:highlight w:val="cyan"/>
          <w:u w:val="single"/>
        </w:rPr>
        <w:t>日</w:t>
      </w:r>
      <w:r>
        <w:rPr>
          <w:rFonts w:hint="eastAsia" w:cs="宋体"/>
          <w:i w:val="0"/>
          <w:iCs w:val="0"/>
          <w:color w:val="auto"/>
          <w:sz w:val="24"/>
          <w:szCs w:val="24"/>
          <w:highlight w:val="none"/>
          <w:u w:val="single"/>
          <w:lang w:eastAsia="zh-CN"/>
        </w:rPr>
        <w:t>，</w:t>
      </w:r>
      <w:r>
        <w:rPr>
          <w:rFonts w:hint="eastAsia" w:ascii="宋体" w:hAnsi="宋体" w:eastAsia="宋体" w:cs="宋体"/>
          <w:b w:val="0"/>
          <w:bCs w:val="0"/>
          <w:color w:val="auto"/>
          <w:sz w:val="24"/>
          <w:highlight w:val="none"/>
        </w:rPr>
        <w:t>每天上午</w:t>
      </w:r>
      <w:r>
        <w:rPr>
          <w:rFonts w:hint="eastAsia" w:ascii="宋体" w:hAnsi="宋体" w:cs="宋体"/>
          <w:b w:val="0"/>
          <w:bCs w:val="0"/>
          <w:color w:val="auto"/>
          <w:sz w:val="24"/>
          <w:highlight w:val="none"/>
          <w:lang w:val="en-US" w:eastAsia="zh-CN"/>
        </w:rPr>
        <w:t>00:00</w:t>
      </w:r>
      <w:r>
        <w:rPr>
          <w:rFonts w:hint="eastAsia" w:ascii="宋体" w:hAnsi="宋体" w:eastAsia="宋体" w:cs="宋体"/>
          <w:b w:val="0"/>
          <w:bCs w:val="0"/>
          <w:color w:val="auto"/>
          <w:sz w:val="24"/>
          <w:highlight w:val="none"/>
        </w:rPr>
        <w:t xml:space="preserve">至 </w:t>
      </w:r>
      <w:r>
        <w:rPr>
          <w:rFonts w:hint="eastAsia" w:ascii="宋体" w:hAnsi="宋体" w:cs="宋体"/>
          <w:b w:val="0"/>
          <w:bCs w:val="0"/>
          <w:color w:val="auto"/>
          <w:sz w:val="24"/>
          <w:highlight w:val="none"/>
          <w:lang w:val="en-US" w:eastAsia="zh-CN"/>
        </w:rPr>
        <w:t>14:00</w:t>
      </w:r>
      <w:r>
        <w:rPr>
          <w:rFonts w:hint="eastAsia" w:ascii="宋体" w:hAnsi="宋体" w:eastAsia="宋体" w:cs="宋体"/>
          <w:b w:val="0"/>
          <w:bCs w:val="0"/>
          <w:color w:val="auto"/>
          <w:sz w:val="24"/>
          <w:highlight w:val="none"/>
        </w:rPr>
        <w:t>，下午</w:t>
      </w:r>
      <w:r>
        <w:rPr>
          <w:rFonts w:hint="eastAsia" w:ascii="宋体" w:hAnsi="宋体" w:cs="宋体"/>
          <w:b w:val="0"/>
          <w:bCs w:val="0"/>
          <w:color w:val="auto"/>
          <w:sz w:val="24"/>
          <w:highlight w:val="none"/>
          <w:lang w:val="en-US" w:eastAsia="zh-CN"/>
        </w:rPr>
        <w:t>14:00</w:t>
      </w:r>
      <w:r>
        <w:rPr>
          <w:rFonts w:hint="eastAsia" w:ascii="宋体" w:hAnsi="宋体" w:eastAsia="宋体" w:cs="宋体"/>
          <w:b w:val="0"/>
          <w:bCs w:val="0"/>
          <w:color w:val="auto"/>
          <w:sz w:val="24"/>
          <w:highlight w:val="none"/>
        </w:rPr>
        <w:t>至</w:t>
      </w:r>
      <w:r>
        <w:rPr>
          <w:rFonts w:hint="eastAsia" w:ascii="宋体" w:hAnsi="宋体" w:cs="宋体"/>
          <w:b w:val="0"/>
          <w:bCs w:val="0"/>
          <w:color w:val="auto"/>
          <w:sz w:val="24"/>
          <w:highlight w:val="none"/>
          <w:lang w:val="en-US" w:eastAsia="zh-CN"/>
        </w:rPr>
        <w:t>23:59</w:t>
      </w:r>
      <w:r>
        <w:rPr>
          <w:rFonts w:hint="eastAsia" w:ascii="宋体" w:hAnsi="宋体" w:eastAsia="宋体" w:cs="宋体"/>
          <w:b w:val="0"/>
          <w:bCs w:val="0"/>
          <w:color w:val="auto"/>
          <w:sz w:val="24"/>
          <w:highlight w:val="none"/>
        </w:rPr>
        <w:t>（北京时间，法定节假日除外）</w:t>
      </w:r>
      <w:r>
        <w:rPr>
          <w:rFonts w:hint="eastAsia" w:ascii="宋体" w:hAnsi="宋体" w:eastAsia="宋体" w:cs="宋体"/>
          <w:color w:val="auto"/>
          <w:sz w:val="24"/>
          <w:highlight w:val="none"/>
          <w:lang w:val="hr-HR"/>
        </w:rPr>
        <w:t>。</w:t>
      </w:r>
    </w:p>
    <w:bookmarkEnd w:id="42"/>
    <w:p w14:paraId="5FBBC733">
      <w:pPr>
        <w:pStyle w:val="39"/>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hr-HR"/>
        </w:rPr>
      </w:pPr>
      <w:r>
        <w:rPr>
          <w:rFonts w:hint="eastAsia" w:ascii="宋体" w:hAnsi="宋体" w:eastAsia="宋体" w:cs="宋体"/>
          <w:color w:val="auto"/>
          <w:sz w:val="24"/>
          <w:highlight w:val="none"/>
          <w:lang w:val="hr-HR"/>
        </w:rPr>
        <w:t>2.</w:t>
      </w:r>
      <w:r>
        <w:rPr>
          <w:rFonts w:hint="eastAsia" w:ascii="宋体" w:hAnsi="宋体" w:eastAsia="宋体" w:cs="宋体"/>
          <w:color w:val="auto"/>
          <w:sz w:val="24"/>
          <w:highlight w:val="none"/>
        </w:rPr>
        <w:t>地点</w:t>
      </w:r>
      <w:r>
        <w:rPr>
          <w:rFonts w:hint="eastAsia" w:ascii="宋体" w:hAnsi="宋体" w:eastAsia="宋体" w:cs="宋体"/>
          <w:color w:val="auto"/>
          <w:sz w:val="24"/>
          <w:highlight w:val="none"/>
          <w:lang w:val="hr-HR"/>
        </w:rPr>
        <w:t>：</w:t>
      </w:r>
      <w:bookmarkStart w:id="49" w:name="_Hlk89807779"/>
      <w:r>
        <w:rPr>
          <w:rFonts w:hint="eastAsia" w:ascii="宋体" w:hAnsi="宋体" w:eastAsia="宋体" w:cs="宋体"/>
          <w:color w:val="auto"/>
          <w:sz w:val="24"/>
          <w:highlight w:val="none"/>
          <w:lang w:val="hr-HR" w:eastAsia="zh-CN"/>
        </w:rPr>
        <w:t>新疆</w:t>
      </w:r>
      <w:r>
        <w:rPr>
          <w:rFonts w:hint="eastAsia" w:ascii="宋体" w:hAnsi="宋体" w:eastAsia="宋体" w:cs="宋体"/>
          <w:color w:val="auto"/>
          <w:sz w:val="24"/>
          <w:highlight w:val="none"/>
          <w:lang w:val="hr-HR"/>
        </w:rPr>
        <w:t>政府采购电子交易云平台（网址：</w:t>
      </w:r>
      <w:r>
        <w:rPr>
          <w:rFonts w:hint="eastAsia" w:ascii="宋体" w:hAnsi="宋体" w:eastAsia="宋体" w:cs="宋体"/>
          <w:color w:val="auto"/>
          <w:sz w:val="24"/>
          <w:highlight w:val="none"/>
          <w:lang w:val="hr-HR" w:eastAsia="zh-CN"/>
        </w:rPr>
        <w:t>http://www.ccgp-xinjiang.gov.cn/</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rPr>
        <w:t>。</w:t>
      </w:r>
      <w:bookmarkEnd w:id="49"/>
    </w:p>
    <w:p w14:paraId="59166418">
      <w:pPr>
        <w:pStyle w:val="39"/>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rPr>
      </w:pPr>
      <w:r>
        <w:rPr>
          <w:rFonts w:hint="eastAsia" w:ascii="宋体" w:hAnsi="宋体" w:eastAsia="宋体" w:cs="宋体"/>
          <w:color w:val="auto"/>
          <w:sz w:val="24"/>
          <w:highlight w:val="none"/>
          <w:lang w:val="hr-HR"/>
        </w:rPr>
        <w:t>3.</w:t>
      </w:r>
      <w:r>
        <w:rPr>
          <w:rFonts w:hint="eastAsia" w:ascii="宋体" w:hAnsi="宋体" w:eastAsia="宋体" w:cs="宋体"/>
          <w:color w:val="auto"/>
          <w:sz w:val="24"/>
          <w:highlight w:val="none"/>
        </w:rPr>
        <w:t>方式</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投标供应商登录政采云平台</w:t>
      </w:r>
      <w:r>
        <w:rPr>
          <w:rFonts w:hint="eastAsia" w:ascii="宋体" w:hAnsi="宋体" w:eastAsia="宋体" w:cs="宋体"/>
          <w:color w:val="auto"/>
          <w:sz w:val="24"/>
          <w:highlight w:val="none"/>
          <w:lang w:val="hr-HR"/>
        </w:rPr>
        <w:t>https</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lang w:val="hr-HR"/>
        </w:rPr>
        <w:t>//www.zcygov.cn/</w:t>
      </w:r>
      <w:r>
        <w:rPr>
          <w:rFonts w:hint="eastAsia" w:ascii="宋体" w:hAnsi="宋体" w:eastAsia="宋体" w:cs="宋体"/>
          <w:color w:val="auto"/>
          <w:sz w:val="24"/>
          <w:highlight w:val="none"/>
          <w:lang w:val="en-US"/>
        </w:rPr>
        <w:t>在线申请</w:t>
      </w:r>
      <w:r>
        <w:rPr>
          <w:rFonts w:hint="eastAsia" w:ascii="宋体" w:hAnsi="宋体" w:eastAsia="宋体" w:cs="宋体"/>
          <w:color w:val="auto"/>
          <w:sz w:val="24"/>
          <w:highlight w:val="none"/>
          <w:lang w:val="en-US" w:eastAsia="zh-CN"/>
        </w:rPr>
        <w:t>，免费</w:t>
      </w:r>
      <w:r>
        <w:rPr>
          <w:rFonts w:hint="eastAsia" w:ascii="宋体" w:hAnsi="宋体" w:eastAsia="宋体" w:cs="宋体"/>
          <w:color w:val="auto"/>
          <w:sz w:val="24"/>
          <w:highlight w:val="none"/>
          <w:lang w:val="en-US"/>
        </w:rPr>
        <w:t>获取</w:t>
      </w:r>
      <w:r>
        <w:rPr>
          <w:rFonts w:hint="eastAsia" w:ascii="宋体" w:hAnsi="宋体" w:eastAsia="宋体" w:cs="宋体"/>
          <w:color w:val="auto"/>
          <w:sz w:val="24"/>
          <w:highlight w:val="none"/>
          <w:lang w:val="en-US" w:eastAsia="zh-CN"/>
        </w:rPr>
        <w:t>电子</w:t>
      </w:r>
      <w:r>
        <w:rPr>
          <w:rFonts w:hint="eastAsia" w:ascii="宋体" w:hAnsi="宋体" w:eastAsia="宋体" w:cs="宋体"/>
          <w:color w:val="auto"/>
          <w:sz w:val="24"/>
          <w:highlight w:val="none"/>
          <w:lang w:val="en-US"/>
        </w:rPr>
        <w:t>采购文件</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进入</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项目采购</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应用</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在获取采购文件菜单中选择项目</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申请获取采购文件</w:t>
      </w:r>
      <w:r>
        <w:rPr>
          <w:rFonts w:hint="eastAsia" w:ascii="宋体" w:hAnsi="宋体" w:eastAsia="宋体" w:cs="宋体"/>
          <w:color w:val="auto"/>
          <w:sz w:val="24"/>
          <w:highlight w:val="none"/>
          <w:lang w:val="hr-HR"/>
        </w:rPr>
        <w:t>）</w:t>
      </w:r>
      <w:r>
        <w:rPr>
          <w:rFonts w:hint="eastAsia" w:ascii="宋体" w:hAnsi="宋体" w:eastAsia="宋体" w:cs="宋体"/>
          <w:color w:val="auto"/>
          <w:sz w:val="24"/>
          <w:highlight w:val="none"/>
          <w:lang w:val="en-US"/>
        </w:rPr>
        <w:t>。</w:t>
      </w:r>
    </w:p>
    <w:p w14:paraId="2B3376B6">
      <w:pPr>
        <w:pStyle w:val="39"/>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4.售价：0元。</w:t>
      </w:r>
    </w:p>
    <w:bookmarkEnd w:id="43"/>
    <w:bookmarkEnd w:id="44"/>
    <w:bookmarkEnd w:id="45"/>
    <w:bookmarkEnd w:id="46"/>
    <w:bookmarkEnd w:id="47"/>
    <w:bookmarkEnd w:id="48"/>
    <w:p w14:paraId="649FF0D6">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50" w:name="_Toc140132748"/>
      <w:bookmarkStart w:id="51" w:name="_Toc155185863"/>
      <w:bookmarkStart w:id="52" w:name="_Toc163492815"/>
      <w:bookmarkStart w:id="53" w:name="_Toc109899832"/>
      <w:bookmarkStart w:id="54" w:name="_Toc109900251"/>
      <w:bookmarkStart w:id="55" w:name="_Toc109899413"/>
      <w:bookmarkStart w:id="56" w:name="_Toc363"/>
      <w:r>
        <w:rPr>
          <w:rFonts w:hint="eastAsia" w:ascii="宋体" w:hAnsi="宋体" w:eastAsia="宋体" w:cs="宋体"/>
          <w:b/>
          <w:bCs/>
          <w:color w:val="auto"/>
          <w:kern w:val="2"/>
          <w:sz w:val="24"/>
          <w:szCs w:val="24"/>
          <w:highlight w:val="none"/>
          <w:lang w:val="en-US" w:eastAsia="zh-CN" w:bidi="ar-SA"/>
        </w:rPr>
        <w:t>四、</w:t>
      </w:r>
      <w:bookmarkEnd w:id="50"/>
      <w:bookmarkEnd w:id="51"/>
      <w:bookmarkEnd w:id="52"/>
      <w:bookmarkEnd w:id="53"/>
      <w:bookmarkEnd w:id="54"/>
      <w:bookmarkEnd w:id="55"/>
      <w:r>
        <w:rPr>
          <w:rFonts w:hint="eastAsia" w:ascii="宋体" w:hAnsi="宋体" w:eastAsia="宋体" w:cs="宋体"/>
          <w:b/>
          <w:bCs/>
          <w:color w:val="auto"/>
          <w:kern w:val="2"/>
          <w:sz w:val="24"/>
          <w:szCs w:val="24"/>
          <w:highlight w:val="none"/>
          <w:lang w:val="hr-HR" w:eastAsia="zh-CN" w:bidi="ar-SA"/>
        </w:rPr>
        <w:t>提交投标文件截止时间</w:t>
      </w:r>
      <w:r>
        <w:rPr>
          <w:rFonts w:hint="eastAsia" w:ascii="宋体" w:hAnsi="宋体" w:eastAsia="宋体" w:cs="宋体"/>
          <w:b/>
          <w:bCs/>
          <w:color w:val="auto"/>
          <w:kern w:val="2"/>
          <w:sz w:val="24"/>
          <w:szCs w:val="24"/>
          <w:highlight w:val="none"/>
          <w:lang w:val="en-US" w:eastAsia="zh-CN" w:bidi="ar-SA"/>
        </w:rPr>
        <w:t>/</w:t>
      </w:r>
      <w:r>
        <w:rPr>
          <w:rFonts w:hint="eastAsia" w:ascii="宋体" w:hAnsi="宋体" w:eastAsia="宋体" w:cs="宋体"/>
          <w:b/>
          <w:bCs/>
          <w:color w:val="auto"/>
          <w:kern w:val="2"/>
          <w:sz w:val="24"/>
          <w:szCs w:val="24"/>
          <w:highlight w:val="none"/>
          <w:lang w:val="hr-HR" w:eastAsia="zh-CN" w:bidi="ar-SA"/>
        </w:rPr>
        <w:t>开标时间、递交方式和</w:t>
      </w:r>
      <w:r>
        <w:rPr>
          <w:rFonts w:hint="eastAsia" w:ascii="宋体" w:hAnsi="宋体" w:eastAsia="宋体" w:cs="宋体"/>
          <w:b/>
          <w:bCs/>
          <w:color w:val="auto"/>
          <w:kern w:val="2"/>
          <w:sz w:val="24"/>
          <w:szCs w:val="24"/>
          <w:highlight w:val="none"/>
          <w:lang w:val="en-US" w:eastAsia="zh-CN" w:bidi="ar-SA"/>
        </w:rPr>
        <w:t>开标</w:t>
      </w:r>
      <w:r>
        <w:rPr>
          <w:rFonts w:hint="eastAsia" w:ascii="宋体" w:hAnsi="宋体" w:eastAsia="宋体" w:cs="宋体"/>
          <w:b/>
          <w:bCs/>
          <w:color w:val="auto"/>
          <w:kern w:val="2"/>
          <w:sz w:val="24"/>
          <w:szCs w:val="24"/>
          <w:highlight w:val="none"/>
          <w:lang w:val="hr-HR" w:eastAsia="zh-CN" w:bidi="ar-SA"/>
        </w:rPr>
        <w:t>地点</w:t>
      </w:r>
      <w:bookmarkEnd w:id="56"/>
      <w:bookmarkStart w:id="57" w:name="_Hlk130457395"/>
      <w:bookmarkStart w:id="58" w:name="_Toc28359017"/>
      <w:bookmarkStart w:id="59" w:name="_Toc35393634"/>
      <w:bookmarkStart w:id="60" w:name="_Toc28359094"/>
      <w:bookmarkStart w:id="61" w:name="_Toc44583633"/>
      <w:bookmarkStart w:id="62" w:name="_Toc35393803"/>
    </w:p>
    <w:p w14:paraId="0E7B1E09">
      <w:pPr>
        <w:pStyle w:val="3"/>
        <w:keepNext/>
        <w:keepLines/>
        <w:pageBreakBefore w:val="0"/>
        <w:widowControl w:val="0"/>
        <w:numPr>
          <w:ilvl w:val="0"/>
          <w:numId w:val="0"/>
        </w:numPr>
        <w:kinsoku/>
        <w:wordWrap/>
        <w:overflowPunct/>
        <w:topLinePunct w:val="0"/>
        <w:autoSpaceDE/>
        <w:autoSpaceDN/>
        <w:bidi w:val="0"/>
        <w:adjustRightInd/>
        <w:snapToGrid/>
        <w:spacing w:before="0" w:after="0" w:line="360" w:lineRule="auto"/>
        <w:ind w:firstLine="480" w:firstLineChars="200"/>
        <w:textAlignment w:val="auto"/>
        <w:rPr>
          <w:rFonts w:hint="eastAsia" w:ascii="宋体" w:hAnsi="宋体" w:eastAsia="宋体" w:cs="宋体"/>
          <w:b w:val="0"/>
          <w:bCs w:val="0"/>
          <w:color w:val="auto"/>
          <w:sz w:val="24"/>
          <w:highlight w:val="none"/>
        </w:rPr>
      </w:pPr>
      <w:bookmarkStart w:id="63" w:name="_Toc8573"/>
      <w:r>
        <w:rPr>
          <w:rFonts w:hint="eastAsia" w:ascii="宋体" w:hAnsi="宋体" w:eastAsia="宋体" w:cs="宋体"/>
          <w:b w:val="0"/>
          <w:bCs w:val="0"/>
          <w:color w:val="auto"/>
          <w:sz w:val="24"/>
          <w:highlight w:val="none"/>
        </w:rPr>
        <w:t>1.截止时间</w:t>
      </w:r>
      <w:r>
        <w:rPr>
          <w:rFonts w:hint="eastAsia" w:ascii="宋体" w:hAnsi="宋体" w:eastAsia="宋体" w:cs="宋体"/>
          <w:b w:val="0"/>
          <w:bCs w:val="0"/>
          <w:color w:val="auto"/>
          <w:sz w:val="24"/>
          <w:highlight w:val="none"/>
          <w:lang w:val="en-US"/>
        </w:rPr>
        <w:t>/</w:t>
      </w:r>
      <w:r>
        <w:rPr>
          <w:rFonts w:hint="eastAsia" w:ascii="宋体" w:hAnsi="宋体" w:eastAsia="宋体" w:cs="宋体"/>
          <w:b w:val="0"/>
          <w:bCs w:val="0"/>
          <w:color w:val="auto"/>
          <w:sz w:val="24"/>
          <w:highlight w:val="none"/>
        </w:rPr>
        <w:t>开标时间：</w:t>
      </w:r>
      <w:r>
        <w:rPr>
          <w:rFonts w:hint="eastAsia" w:ascii="宋体" w:hAnsi="宋体" w:eastAsia="宋体" w:cs="宋体"/>
          <w:b w:val="0"/>
          <w:bCs w:val="0"/>
          <w:color w:val="auto"/>
          <w:sz w:val="24"/>
          <w:highlight w:val="cyan"/>
          <w:u w:val="single"/>
          <w:lang w:val="en-US" w:eastAsia="zh-CN"/>
        </w:rPr>
        <w:t>202</w:t>
      </w:r>
      <w:r>
        <w:rPr>
          <w:rFonts w:hint="eastAsia" w:ascii="宋体" w:hAnsi="宋体" w:cs="宋体"/>
          <w:b w:val="0"/>
          <w:bCs w:val="0"/>
          <w:color w:val="auto"/>
          <w:sz w:val="24"/>
          <w:highlight w:val="cyan"/>
          <w:u w:val="single"/>
          <w:lang w:val="en-US" w:eastAsia="zh-CN"/>
        </w:rPr>
        <w:t>6</w:t>
      </w:r>
      <w:r>
        <w:rPr>
          <w:rFonts w:hint="eastAsia" w:ascii="宋体" w:hAnsi="宋体" w:eastAsia="宋体" w:cs="宋体"/>
          <w:b w:val="0"/>
          <w:bCs w:val="0"/>
          <w:color w:val="auto"/>
          <w:sz w:val="24"/>
          <w:highlight w:val="cyan"/>
          <w:u w:val="single"/>
        </w:rPr>
        <w:t>年</w:t>
      </w:r>
      <w:r>
        <w:rPr>
          <w:rFonts w:hint="eastAsia" w:ascii="宋体" w:hAnsi="宋体" w:cs="宋体"/>
          <w:b w:val="0"/>
          <w:bCs w:val="0"/>
          <w:color w:val="auto"/>
          <w:sz w:val="24"/>
          <w:highlight w:val="cyan"/>
          <w:u w:val="single"/>
          <w:lang w:val="en-US" w:eastAsia="zh-CN"/>
        </w:rPr>
        <w:t>06</w:t>
      </w:r>
      <w:r>
        <w:rPr>
          <w:rFonts w:hint="eastAsia" w:ascii="宋体" w:hAnsi="宋体" w:eastAsia="宋体" w:cs="宋体"/>
          <w:b w:val="0"/>
          <w:bCs w:val="0"/>
          <w:color w:val="auto"/>
          <w:sz w:val="24"/>
          <w:highlight w:val="cyan"/>
          <w:u w:val="single"/>
        </w:rPr>
        <w:t>月</w:t>
      </w:r>
      <w:r>
        <w:rPr>
          <w:rFonts w:hint="eastAsia" w:ascii="宋体" w:hAnsi="宋体" w:cs="宋体"/>
          <w:b w:val="0"/>
          <w:bCs w:val="0"/>
          <w:color w:val="auto"/>
          <w:sz w:val="24"/>
          <w:highlight w:val="cyan"/>
          <w:u w:val="single"/>
          <w:lang w:val="en-US" w:eastAsia="zh-CN"/>
        </w:rPr>
        <w:t>02</w:t>
      </w:r>
      <w:r>
        <w:rPr>
          <w:rFonts w:hint="eastAsia" w:ascii="宋体" w:hAnsi="宋体" w:eastAsia="宋体" w:cs="宋体"/>
          <w:b w:val="0"/>
          <w:bCs w:val="0"/>
          <w:color w:val="auto"/>
          <w:sz w:val="24"/>
          <w:highlight w:val="cyan"/>
          <w:u w:val="single"/>
        </w:rPr>
        <w:t>日</w:t>
      </w:r>
      <w:r>
        <w:rPr>
          <w:rFonts w:hint="eastAsia" w:ascii="宋体" w:hAnsi="宋体" w:eastAsia="宋体" w:cs="宋体"/>
          <w:b w:val="0"/>
          <w:bCs w:val="0"/>
          <w:color w:val="auto"/>
          <w:sz w:val="24"/>
          <w:highlight w:val="cyan"/>
          <w:u w:val="single"/>
          <w:lang w:val="en-US" w:eastAsia="zh-CN"/>
        </w:rPr>
        <w:t>11</w:t>
      </w:r>
      <w:r>
        <w:rPr>
          <w:rFonts w:hint="eastAsia" w:ascii="宋体" w:hAnsi="宋体" w:eastAsia="宋体" w:cs="宋体"/>
          <w:b w:val="0"/>
          <w:bCs w:val="0"/>
          <w:color w:val="auto"/>
          <w:sz w:val="24"/>
          <w:highlight w:val="cyan"/>
          <w:u w:val="single"/>
        </w:rPr>
        <w:t>时</w:t>
      </w:r>
      <w:r>
        <w:rPr>
          <w:rFonts w:hint="eastAsia" w:ascii="宋体" w:hAnsi="宋体" w:eastAsia="宋体" w:cs="宋体"/>
          <w:b w:val="0"/>
          <w:bCs w:val="0"/>
          <w:color w:val="auto"/>
          <w:sz w:val="24"/>
          <w:highlight w:val="cyan"/>
          <w:u w:val="single"/>
          <w:lang w:val="en-US" w:eastAsia="zh-CN"/>
        </w:rPr>
        <w:t>00</w:t>
      </w:r>
      <w:r>
        <w:rPr>
          <w:rFonts w:hint="eastAsia" w:ascii="宋体" w:hAnsi="宋体" w:eastAsia="宋体" w:cs="宋体"/>
          <w:b w:val="0"/>
          <w:bCs w:val="0"/>
          <w:color w:val="auto"/>
          <w:sz w:val="24"/>
          <w:highlight w:val="cyan"/>
          <w:u w:val="single"/>
        </w:rPr>
        <w:t>分</w:t>
      </w:r>
      <w:r>
        <w:rPr>
          <w:rFonts w:hint="eastAsia" w:ascii="宋体" w:hAnsi="宋体" w:eastAsia="宋体" w:cs="宋体"/>
          <w:b w:val="0"/>
          <w:bCs w:val="0"/>
          <w:color w:val="auto"/>
          <w:sz w:val="24"/>
          <w:highlight w:val="none"/>
          <w:u w:val="none"/>
          <w:lang w:val="hr-HR"/>
        </w:rPr>
        <w:t>（北京时间）</w:t>
      </w:r>
      <w:r>
        <w:rPr>
          <w:rFonts w:hint="eastAsia" w:ascii="宋体" w:hAnsi="宋体" w:eastAsia="宋体" w:cs="宋体"/>
          <w:b w:val="0"/>
          <w:bCs w:val="0"/>
          <w:color w:val="auto"/>
          <w:sz w:val="24"/>
          <w:highlight w:val="none"/>
        </w:rPr>
        <w:t>。</w:t>
      </w:r>
      <w:bookmarkEnd w:id="63"/>
    </w:p>
    <w:p w14:paraId="56CAEA2B">
      <w:pPr>
        <w:pStyle w:val="39"/>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2.递交方式：</w:t>
      </w:r>
      <w:bookmarkStart w:id="64" w:name="_Hlk89807823"/>
      <w:r>
        <w:rPr>
          <w:rFonts w:hint="eastAsia" w:ascii="宋体" w:hAnsi="宋体" w:eastAsia="宋体" w:cs="宋体"/>
          <w:color w:val="auto"/>
          <w:sz w:val="24"/>
          <w:highlight w:val="none"/>
        </w:rPr>
        <w:t>在</w:t>
      </w:r>
      <w:r>
        <w:rPr>
          <w:rFonts w:hint="eastAsia" w:ascii="宋体" w:hAnsi="宋体" w:eastAsia="宋体" w:cs="宋体"/>
          <w:color w:val="auto"/>
          <w:sz w:val="24"/>
          <w:highlight w:val="none"/>
          <w:lang w:val="en-US" w:eastAsia="zh-CN"/>
        </w:rPr>
        <w:t>新疆</w:t>
      </w:r>
      <w:r>
        <w:rPr>
          <w:rFonts w:hint="eastAsia" w:ascii="宋体" w:hAnsi="宋体" w:eastAsia="宋体" w:cs="宋体"/>
          <w:color w:val="auto"/>
          <w:sz w:val="24"/>
          <w:highlight w:val="none"/>
        </w:rPr>
        <w:t>政府采购电子交易云平台（网址：</w:t>
      </w:r>
      <w:r>
        <w:rPr>
          <w:rFonts w:hint="eastAsia" w:ascii="宋体" w:hAnsi="宋体" w:eastAsia="宋体" w:cs="宋体"/>
          <w:color w:val="auto"/>
          <w:sz w:val="24"/>
          <w:highlight w:val="none"/>
          <w:lang w:val="en-US" w:eastAsia="zh-CN"/>
        </w:rPr>
        <w:t>http://www.ccgp-xinjiang.gov.cn/</w:t>
      </w:r>
      <w:r>
        <w:rPr>
          <w:rFonts w:hint="eastAsia" w:ascii="宋体" w:hAnsi="宋体" w:eastAsia="宋体" w:cs="宋体"/>
          <w:color w:val="auto"/>
          <w:sz w:val="24"/>
          <w:highlight w:val="none"/>
        </w:rPr>
        <w:t>）进入“项目采购”应用，在投标文件上传菜单中选择项目进行上传。</w:t>
      </w:r>
      <w:bookmarkEnd w:id="64"/>
    </w:p>
    <w:p w14:paraId="1B61193E">
      <w:pPr>
        <w:pStyle w:val="39"/>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3.开标</w:t>
      </w:r>
      <w:r>
        <w:rPr>
          <w:rFonts w:hint="eastAsia" w:ascii="宋体" w:hAnsi="宋体" w:eastAsia="宋体" w:cs="宋体"/>
          <w:color w:val="auto"/>
          <w:sz w:val="24"/>
          <w:highlight w:val="none"/>
          <w:lang w:val="en-US"/>
        </w:rPr>
        <w:t>地点</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rPr>
        <w:t>投标</w:t>
      </w:r>
      <w:r>
        <w:rPr>
          <w:rFonts w:hint="eastAsia" w:ascii="宋体" w:hAnsi="宋体" w:eastAsia="宋体" w:cs="宋体"/>
          <w:color w:val="auto"/>
          <w:sz w:val="24"/>
          <w:highlight w:val="none"/>
          <w:lang w:val="en-US" w:eastAsia="zh-CN"/>
        </w:rPr>
        <w:t>人</w:t>
      </w:r>
      <w:r>
        <w:rPr>
          <w:rFonts w:hint="eastAsia" w:ascii="宋体" w:hAnsi="宋体" w:eastAsia="宋体" w:cs="宋体"/>
          <w:color w:val="auto"/>
          <w:sz w:val="24"/>
          <w:highlight w:val="none"/>
          <w:lang w:val="en-US"/>
        </w:rPr>
        <w:t>登录政采云平台https</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rPr>
        <w:t>//www.zcygov.cn/，进入项目采购-开</w:t>
      </w:r>
      <w:r>
        <w:rPr>
          <w:rFonts w:hint="eastAsia" w:ascii="宋体" w:hAnsi="宋体" w:eastAsia="宋体" w:cs="宋体"/>
          <w:color w:val="auto"/>
          <w:sz w:val="24"/>
          <w:highlight w:val="none"/>
          <w:lang w:val="en-US" w:eastAsia="zh-CN"/>
        </w:rPr>
        <w:t>标</w:t>
      </w:r>
      <w:r>
        <w:rPr>
          <w:rFonts w:hint="eastAsia" w:ascii="宋体" w:hAnsi="宋体" w:eastAsia="宋体" w:cs="宋体"/>
          <w:color w:val="auto"/>
          <w:sz w:val="24"/>
          <w:highlight w:val="none"/>
          <w:lang w:val="en-US"/>
        </w:rPr>
        <w:t>评标-右边选择对应项目点击“进入项目”进入开标大厅</w:t>
      </w:r>
      <w:r>
        <w:rPr>
          <w:rFonts w:hint="eastAsia" w:ascii="宋体" w:hAnsi="宋体" w:eastAsia="宋体" w:cs="宋体"/>
          <w:color w:val="auto"/>
          <w:sz w:val="24"/>
          <w:highlight w:val="none"/>
        </w:rPr>
        <w:t>。</w:t>
      </w:r>
    </w:p>
    <w:bookmarkEnd w:id="57"/>
    <w:p w14:paraId="5B963DAF">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65" w:name="_Toc163492816"/>
      <w:bookmarkStart w:id="66" w:name="_Toc140132749"/>
      <w:bookmarkStart w:id="67" w:name="_Toc24676"/>
      <w:bookmarkStart w:id="68" w:name="_Toc109899414"/>
      <w:bookmarkStart w:id="69" w:name="_Toc155185864"/>
      <w:bookmarkStart w:id="70" w:name="_Toc109899833"/>
      <w:bookmarkStart w:id="71" w:name="_Toc109900252"/>
      <w:r>
        <w:rPr>
          <w:rFonts w:hint="eastAsia" w:ascii="宋体" w:hAnsi="宋体" w:eastAsia="宋体" w:cs="宋体"/>
          <w:b/>
          <w:bCs/>
          <w:color w:val="auto"/>
          <w:kern w:val="2"/>
          <w:sz w:val="24"/>
          <w:szCs w:val="24"/>
          <w:highlight w:val="none"/>
          <w:lang w:val="en-US" w:eastAsia="zh-CN" w:bidi="ar-SA"/>
        </w:rPr>
        <w:t>五、</w:t>
      </w:r>
      <w:r>
        <w:rPr>
          <w:rFonts w:hint="eastAsia" w:ascii="宋体" w:hAnsi="宋体" w:eastAsia="宋体" w:cs="宋体"/>
          <w:b/>
          <w:bCs/>
          <w:color w:val="auto"/>
          <w:kern w:val="2"/>
          <w:sz w:val="24"/>
          <w:szCs w:val="24"/>
          <w:highlight w:val="none"/>
          <w:lang w:val="hr-HR" w:eastAsia="zh-CN" w:bidi="ar-SA"/>
        </w:rPr>
        <w:t>公告期限</w:t>
      </w:r>
      <w:bookmarkEnd w:id="58"/>
      <w:bookmarkEnd w:id="59"/>
      <w:bookmarkEnd w:id="60"/>
      <w:bookmarkEnd w:id="61"/>
      <w:bookmarkEnd w:id="62"/>
      <w:bookmarkEnd w:id="65"/>
      <w:bookmarkEnd w:id="66"/>
      <w:bookmarkEnd w:id="67"/>
      <w:bookmarkEnd w:id="68"/>
      <w:bookmarkEnd w:id="69"/>
      <w:bookmarkEnd w:id="70"/>
      <w:bookmarkEnd w:id="71"/>
    </w:p>
    <w:p w14:paraId="52D00074">
      <w:pPr>
        <w:pStyle w:val="39"/>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自招标公告发布之日起5个工作日。</w:t>
      </w:r>
    </w:p>
    <w:p w14:paraId="62D9036A">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72" w:name="_Toc155185865"/>
      <w:bookmarkStart w:id="73" w:name="_Toc5198"/>
      <w:bookmarkStart w:id="74" w:name="_Toc35393635"/>
      <w:bookmarkStart w:id="75" w:name="_Toc140132750"/>
      <w:bookmarkStart w:id="76" w:name="_Toc109900253"/>
      <w:bookmarkStart w:id="77" w:name="_Toc109899834"/>
      <w:bookmarkStart w:id="78" w:name="_Toc163492817"/>
      <w:bookmarkStart w:id="79" w:name="_Toc44583634"/>
      <w:bookmarkStart w:id="80" w:name="_Toc35393804"/>
      <w:bookmarkStart w:id="81" w:name="_Toc109899415"/>
      <w:r>
        <w:rPr>
          <w:rFonts w:hint="eastAsia" w:ascii="宋体" w:hAnsi="宋体" w:eastAsia="宋体" w:cs="宋体"/>
          <w:b/>
          <w:bCs/>
          <w:color w:val="auto"/>
          <w:kern w:val="2"/>
          <w:sz w:val="24"/>
          <w:szCs w:val="24"/>
          <w:highlight w:val="none"/>
          <w:lang w:val="en-US" w:eastAsia="zh-CN" w:bidi="ar-SA"/>
        </w:rPr>
        <w:t>六、</w:t>
      </w:r>
      <w:r>
        <w:rPr>
          <w:rFonts w:hint="eastAsia" w:ascii="宋体" w:hAnsi="宋体" w:eastAsia="宋体" w:cs="宋体"/>
          <w:b/>
          <w:bCs/>
          <w:color w:val="auto"/>
          <w:kern w:val="2"/>
          <w:sz w:val="24"/>
          <w:szCs w:val="24"/>
          <w:highlight w:val="none"/>
          <w:lang w:val="hr-HR" w:eastAsia="zh-CN" w:bidi="ar-SA"/>
        </w:rPr>
        <w:t>其他补充事宜</w:t>
      </w:r>
      <w:bookmarkEnd w:id="72"/>
      <w:bookmarkEnd w:id="73"/>
      <w:bookmarkEnd w:id="74"/>
      <w:bookmarkEnd w:id="75"/>
      <w:bookmarkEnd w:id="76"/>
      <w:bookmarkEnd w:id="77"/>
      <w:bookmarkEnd w:id="78"/>
      <w:bookmarkEnd w:id="79"/>
      <w:bookmarkEnd w:id="80"/>
      <w:bookmarkEnd w:id="81"/>
    </w:p>
    <w:p w14:paraId="0C107969">
      <w:pPr>
        <w:pStyle w:val="39"/>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1、本项目实行网上投标，采用电子投标文件；</w:t>
      </w:r>
    </w:p>
    <w:p w14:paraId="6A441BF9">
      <w:pPr>
        <w:pStyle w:val="39"/>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各供应商应在开标前确保成为正式注册入库供应商，并完成CA数字证书(符合国密标准)申领。因未注册入库、未办理CA数字证书等原因造成无法投标或投标失败等后果由供应商自行承担。如需咨询，请联系新疆-安信CA服务热线0991-7810912；翔晟CA服务热线025-66085508；新疆CA服务热线4000921999。</w:t>
      </w:r>
    </w:p>
    <w:p w14:paraId="6A3241B4">
      <w:pPr>
        <w:pStyle w:val="39"/>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3、供应商将政采云电子交易客户端下载、安装完成后，可通过账号密码或CA登录客户端进行投标文件的制作。在使用政采云投标客户端时，建议使用WIN7及以上操作系统。</w:t>
      </w:r>
    </w:p>
    <w:p w14:paraId="09A326F5">
      <w:pPr>
        <w:pStyle w:val="39"/>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4、其他事项： </w:t>
      </w:r>
    </w:p>
    <w:p w14:paraId="597406D7">
      <w:pPr>
        <w:pStyle w:val="39"/>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（1）本项目实行电子招投标，供应商须登录政采云平台申请获取采购文件，并需要使用CA锁，登录政采云电子投标客户端制作投标文件，若供应商参与投标,自行承担与投标有关的一切费用。</w:t>
      </w:r>
    </w:p>
    <w:p w14:paraId="18485FAB">
      <w:pPr>
        <w:pStyle w:val="39"/>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（2）各供应商应在开标前确保是新疆维吾尔自治区政府采购网正式注册入库的供应商，并完成CA数字证书申领。因未注册入库、未办理CA数字证书等原因造成无法投标或投标失败等后果的由供应商自行承担。</w:t>
      </w:r>
    </w:p>
    <w:p w14:paraId="301829F0">
      <w:pPr>
        <w:pStyle w:val="39"/>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（3）供应商可前往新疆政府采购网（http://www.ccgp-xinjiang.gov.cn/）下载专区，下载政采云电子投标客户端，安装完成后，可通过账号密码或CA登录客户端进行投标文件制作。</w:t>
      </w:r>
    </w:p>
    <w:p w14:paraId="1AD9FC47">
      <w:pPr>
        <w:pStyle w:val="39"/>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（4）供应商在开标时须携带制作加密电子投标文件所使用的CA锁，电脑须提前配置好浏览器，以便开标时在线解密。</w:t>
      </w:r>
    </w:p>
    <w:p w14:paraId="231DCFE3">
      <w:pPr>
        <w:pStyle w:val="39"/>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（5）投标供应商应当在投标截止时间前，将生成的“电子加密投标文件”上传递交至“政府采购云平台”，投标截止时间以后上传递交的投标文件将被“政府采购云平台”拒收</w:t>
      </w:r>
      <w:r>
        <w:rPr>
          <w:rFonts w:hint="eastAsia" w:cs="宋体"/>
          <w:color w:val="auto"/>
          <w:sz w:val="24"/>
          <w:highlight w:val="none"/>
          <w:lang w:val="en-US" w:eastAsia="zh-CN"/>
        </w:rPr>
        <w:t>。</w:t>
      </w:r>
    </w:p>
    <w:p w14:paraId="3D6BD589">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82" w:name="_Toc28359095"/>
      <w:bookmarkStart w:id="83" w:name="_Toc44583635"/>
      <w:bookmarkStart w:id="84" w:name="_Toc28359018"/>
      <w:bookmarkStart w:id="85" w:name="_Toc35393805"/>
      <w:bookmarkStart w:id="86" w:name="_Toc109900254"/>
      <w:bookmarkStart w:id="87" w:name="_Toc109899835"/>
      <w:bookmarkStart w:id="88" w:name="_Toc163492818"/>
      <w:bookmarkStart w:id="89" w:name="_Toc155185866"/>
      <w:bookmarkStart w:id="90" w:name="_Toc35393636"/>
      <w:bookmarkStart w:id="91" w:name="_Toc109899416"/>
      <w:bookmarkStart w:id="92" w:name="_Toc140132751"/>
      <w:bookmarkStart w:id="93" w:name="_Toc31968"/>
      <w:r>
        <w:rPr>
          <w:rFonts w:hint="eastAsia" w:ascii="宋体" w:hAnsi="宋体" w:eastAsia="宋体" w:cs="宋体"/>
          <w:b/>
          <w:bCs/>
          <w:color w:val="auto"/>
          <w:kern w:val="2"/>
          <w:sz w:val="24"/>
          <w:szCs w:val="24"/>
          <w:highlight w:val="none"/>
          <w:lang w:val="en-US" w:eastAsia="zh-CN" w:bidi="ar-SA"/>
        </w:rPr>
        <w:t>七、</w:t>
      </w:r>
      <w:bookmarkEnd w:id="82"/>
      <w:bookmarkEnd w:id="83"/>
      <w:bookmarkEnd w:id="84"/>
      <w:bookmarkEnd w:id="85"/>
      <w:bookmarkEnd w:id="86"/>
      <w:bookmarkEnd w:id="87"/>
      <w:bookmarkEnd w:id="88"/>
      <w:bookmarkEnd w:id="89"/>
      <w:bookmarkEnd w:id="90"/>
      <w:bookmarkEnd w:id="91"/>
      <w:bookmarkEnd w:id="92"/>
      <w:r>
        <w:rPr>
          <w:rFonts w:hint="eastAsia" w:ascii="宋体" w:hAnsi="宋体" w:eastAsia="宋体" w:cs="宋体"/>
          <w:b/>
          <w:bCs/>
          <w:color w:val="auto"/>
          <w:kern w:val="2"/>
          <w:sz w:val="24"/>
          <w:szCs w:val="24"/>
          <w:highlight w:val="none"/>
          <w:lang w:val="hr-HR" w:eastAsia="zh-CN" w:bidi="ar-SA"/>
        </w:rPr>
        <w:t>对本次</w:t>
      </w:r>
      <w:r>
        <w:rPr>
          <w:rFonts w:hint="eastAsia" w:ascii="宋体" w:hAnsi="宋体" w:eastAsia="宋体" w:cs="宋体"/>
          <w:b/>
          <w:bCs/>
          <w:color w:val="auto"/>
          <w:kern w:val="2"/>
          <w:sz w:val="24"/>
          <w:szCs w:val="24"/>
          <w:highlight w:val="none"/>
          <w:lang w:val="en-US" w:eastAsia="zh-CN" w:bidi="ar-SA"/>
        </w:rPr>
        <w:t>招标</w:t>
      </w:r>
      <w:r>
        <w:rPr>
          <w:rFonts w:hint="eastAsia" w:ascii="宋体" w:hAnsi="宋体" w:eastAsia="宋体" w:cs="宋体"/>
          <w:b/>
          <w:bCs/>
          <w:color w:val="auto"/>
          <w:kern w:val="2"/>
          <w:sz w:val="24"/>
          <w:szCs w:val="24"/>
          <w:highlight w:val="none"/>
          <w:lang w:val="hr-HR" w:eastAsia="zh-CN" w:bidi="ar-SA"/>
        </w:rPr>
        <w:t>提出询问，请按以下方式联系</w:t>
      </w:r>
      <w:bookmarkEnd w:id="93"/>
    </w:p>
    <w:p w14:paraId="419786C7">
      <w:pPr>
        <w:pStyle w:val="39"/>
        <w:keepNext w:val="0"/>
        <w:keepLines w:val="0"/>
        <w:pageBreakBefore w:val="0"/>
        <w:widowControl w:val="0"/>
        <w:kinsoku/>
        <w:wordWrap w:val="0"/>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color w:val="auto"/>
          <w:sz w:val="24"/>
          <w:highlight w:val="none"/>
        </w:rPr>
      </w:pPr>
      <w:bookmarkStart w:id="94" w:name="_Toc35393806"/>
      <w:bookmarkStart w:id="95" w:name="_Toc28359019"/>
      <w:bookmarkStart w:id="96" w:name="_Toc28359096"/>
      <w:bookmarkStart w:id="97" w:name="_Toc35393637"/>
      <w:r>
        <w:rPr>
          <w:rFonts w:hint="eastAsia" w:ascii="宋体" w:hAnsi="宋体" w:eastAsia="宋体" w:cs="宋体"/>
          <w:color w:val="auto"/>
          <w:sz w:val="24"/>
          <w:highlight w:val="none"/>
        </w:rPr>
        <w:t>1.采购人信息</w:t>
      </w:r>
      <w:bookmarkEnd w:id="94"/>
      <w:bookmarkEnd w:id="95"/>
      <w:bookmarkEnd w:id="96"/>
      <w:bookmarkEnd w:id="97"/>
    </w:p>
    <w:p w14:paraId="150525BC">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rPr>
        <w:t>名称：乌鲁木齐市公安局（本级）</w:t>
      </w:r>
      <w:r>
        <w:rPr>
          <w:rFonts w:hint="eastAsia" w:ascii="宋体" w:hAnsi="宋体" w:eastAsia="宋体" w:cs="宋体"/>
          <w:color w:val="auto"/>
          <w:sz w:val="24"/>
          <w:highlight w:val="none"/>
          <w:u w:val="none"/>
          <w:lang w:val="en-US" w:eastAsia="zh-CN"/>
        </w:rPr>
        <w:t xml:space="preserve"> </w:t>
      </w:r>
    </w:p>
    <w:p w14:paraId="1EE2BAF6">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地址：乌鲁木齐市南湖东路29</w:t>
      </w:r>
      <w:r>
        <w:rPr>
          <w:rFonts w:hint="eastAsia" w:ascii="宋体" w:hAnsi="宋体" w:eastAsia="宋体" w:cs="宋体"/>
          <w:color w:val="auto"/>
          <w:sz w:val="24"/>
          <w:highlight w:val="none"/>
          <w:u w:val="none"/>
          <w:lang w:val="en-US" w:eastAsia="zh-CN"/>
        </w:rPr>
        <w:t>号</w:t>
      </w:r>
      <w:r>
        <w:rPr>
          <w:rFonts w:hint="eastAsia" w:ascii="宋体" w:hAnsi="宋体" w:eastAsia="宋体" w:cs="宋体"/>
          <w:color w:val="auto"/>
          <w:sz w:val="24"/>
          <w:highlight w:val="none"/>
          <w:u w:val="none"/>
        </w:rPr>
        <w:t xml:space="preserve"> </w:t>
      </w:r>
    </w:p>
    <w:p w14:paraId="5B19DC36">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联系方式：</w:t>
      </w:r>
      <w:bookmarkStart w:id="98" w:name="_Hlk46775675"/>
      <w:r>
        <w:rPr>
          <w:rFonts w:hint="eastAsia" w:cs="宋体"/>
          <w:color w:val="auto"/>
          <w:sz w:val="24"/>
          <w:highlight w:val="none"/>
          <w:u w:val="none"/>
          <w:lang w:eastAsia="zh-CN"/>
        </w:rPr>
        <w:t>刘先生、19009910770</w:t>
      </w:r>
      <w:r>
        <w:rPr>
          <w:rFonts w:hint="eastAsia" w:ascii="宋体" w:hAnsi="宋体" w:eastAsia="宋体" w:cs="宋体"/>
          <w:color w:val="auto"/>
          <w:sz w:val="24"/>
          <w:highlight w:val="none"/>
          <w:u w:val="none"/>
        </w:rPr>
        <w:t xml:space="preserve"> </w:t>
      </w:r>
    </w:p>
    <w:bookmarkEnd w:id="98"/>
    <w:p w14:paraId="23172AB9">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2.采购代理机构信息</w:t>
      </w:r>
    </w:p>
    <w:p w14:paraId="6049BA2A">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u w:val="none"/>
          <w:lang w:val="en-US" w:eastAsia="zh-CN"/>
        </w:rPr>
      </w:pPr>
      <w:bookmarkStart w:id="99" w:name="_Toc35393808"/>
      <w:bookmarkStart w:id="100" w:name="_Toc28359021"/>
      <w:bookmarkStart w:id="101" w:name="_Toc28359098"/>
      <w:bookmarkStart w:id="102" w:name="_Toc35393639"/>
      <w:r>
        <w:rPr>
          <w:rFonts w:hint="eastAsia" w:ascii="宋体" w:hAnsi="宋体" w:eastAsia="宋体" w:cs="宋体"/>
          <w:color w:val="auto"/>
          <w:sz w:val="24"/>
          <w:highlight w:val="none"/>
          <w:u w:val="none"/>
          <w:lang w:val="en-US" w:eastAsia="zh-CN"/>
        </w:rPr>
        <w:t xml:space="preserve">名称：新疆星圣源工程项目管理有限公司 </w:t>
      </w:r>
    </w:p>
    <w:p w14:paraId="6693CD22">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 xml:space="preserve">地址：新疆乌鲁木齐市沙依巴克区奇台路658号德汇万达E2写字楼1703-02室 </w:t>
      </w:r>
    </w:p>
    <w:p w14:paraId="3753432A">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 xml:space="preserve">联系方式：0991-5803779 </w:t>
      </w:r>
    </w:p>
    <w:p w14:paraId="667C355D">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3</w:t>
      </w:r>
      <w:r>
        <w:rPr>
          <w:rFonts w:hint="eastAsia" w:ascii="宋体" w:hAnsi="宋体" w:eastAsia="宋体" w:cs="宋体"/>
          <w:color w:val="auto"/>
          <w:sz w:val="24"/>
          <w:highlight w:val="none"/>
          <w:u w:val="none"/>
        </w:rPr>
        <w:t>.</w:t>
      </w:r>
      <w:r>
        <w:rPr>
          <w:rFonts w:hint="eastAsia" w:ascii="宋体" w:hAnsi="宋体" w:eastAsia="宋体" w:cs="宋体"/>
          <w:color w:val="auto"/>
          <w:sz w:val="24"/>
          <w:highlight w:val="none"/>
          <w:u w:val="none"/>
          <w:lang w:val="en-US" w:eastAsia="zh-CN"/>
        </w:rPr>
        <w:t>项目联系方式</w:t>
      </w:r>
    </w:p>
    <w:bookmarkEnd w:id="99"/>
    <w:bookmarkEnd w:id="100"/>
    <w:bookmarkEnd w:id="101"/>
    <w:bookmarkEnd w:id="102"/>
    <w:p w14:paraId="026522AA">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u w:val="none"/>
          <w:lang w:val="en-US" w:eastAsia="zh-CN"/>
        </w:rPr>
      </w:pPr>
      <w:r>
        <w:rPr>
          <w:rFonts w:hint="eastAsia" w:ascii="宋体" w:hAnsi="宋体" w:eastAsia="宋体" w:cs="宋体"/>
          <w:color w:val="auto"/>
          <w:sz w:val="24"/>
          <w:highlight w:val="none"/>
          <w:u w:val="none"/>
          <w:lang w:val="en-US" w:eastAsia="zh-CN"/>
        </w:rPr>
        <w:t>项目</w:t>
      </w:r>
      <w:r>
        <w:rPr>
          <w:rFonts w:hint="eastAsia" w:ascii="宋体" w:hAnsi="宋体" w:eastAsia="宋体" w:cs="宋体"/>
          <w:color w:val="auto"/>
          <w:sz w:val="24"/>
          <w:highlight w:val="none"/>
          <w:u w:val="none"/>
        </w:rPr>
        <w:t>联系人：</w:t>
      </w:r>
      <w:r>
        <w:rPr>
          <w:rFonts w:hint="eastAsia" w:cs="宋体"/>
          <w:color w:val="auto"/>
          <w:sz w:val="24"/>
          <w:highlight w:val="none"/>
          <w:u w:val="none"/>
          <w:lang w:eastAsia="zh-CN"/>
        </w:rPr>
        <w:t>郄云龙、杨霞</w:t>
      </w:r>
      <w:r>
        <w:rPr>
          <w:rFonts w:hint="eastAsia" w:ascii="宋体" w:hAnsi="宋体" w:eastAsia="宋体" w:cs="宋体"/>
          <w:color w:val="auto"/>
          <w:sz w:val="24"/>
          <w:highlight w:val="none"/>
          <w:u w:val="none"/>
          <w:lang w:val="en-US" w:eastAsia="zh-CN"/>
        </w:rPr>
        <w:t xml:space="preserve">                 </w:t>
      </w:r>
    </w:p>
    <w:p w14:paraId="76BC64B1">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u w:val="none"/>
          <w:lang w:val="en-US" w:eastAsia="zh-CN"/>
        </w:rPr>
        <w:t xml:space="preserve">电话：0991-5803779 </w:t>
      </w:r>
    </w:p>
    <w:p w14:paraId="78F26B3F">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bookmarkStart w:id="103" w:name="_Toc163492819"/>
      <w:bookmarkStart w:id="104" w:name="_Toc29609"/>
      <w:bookmarkStart w:id="105" w:name="_Toc155185867"/>
    </w:p>
    <w:p w14:paraId="4B6936DF">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r>
        <w:rPr>
          <w:rFonts w:hint="eastAsia" w:ascii="宋体" w:hAnsi="宋体" w:eastAsia="宋体" w:cs="宋体"/>
          <w:b/>
          <w:bCs/>
          <w:color w:val="auto"/>
          <w:kern w:val="44"/>
          <w:sz w:val="36"/>
          <w:szCs w:val="36"/>
          <w:highlight w:val="none"/>
          <w:lang w:val="en-US" w:eastAsia="zh-CN" w:bidi="ar-SA"/>
        </w:rPr>
        <w:t>第二章 投标人须知</w:t>
      </w:r>
      <w:bookmarkEnd w:id="103"/>
      <w:bookmarkEnd w:id="104"/>
      <w:bookmarkEnd w:id="105"/>
    </w:p>
    <w:bookmarkEnd w:id="3"/>
    <w:p w14:paraId="3ADB8432">
      <w:pPr>
        <w:pStyle w:val="3"/>
        <w:keepNext/>
        <w:keepLines/>
        <w:pageBreakBefore w:val="0"/>
        <w:widowControl w:val="0"/>
        <w:numPr>
          <w:ilvl w:val="0"/>
          <w:numId w:val="0"/>
        </w:numPr>
        <w:kinsoku/>
        <w:wordWrap/>
        <w:overflowPunct/>
        <w:topLinePunct w:val="0"/>
        <w:autoSpaceDE/>
        <w:autoSpaceDN/>
        <w:bidi w:val="0"/>
        <w:adjustRightInd/>
        <w:snapToGrid/>
        <w:spacing w:before="80" w:after="8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106" w:name="_Toc1412"/>
      <w:bookmarkStart w:id="107" w:name="_Toc163492820"/>
      <w:bookmarkStart w:id="108" w:name="_Toc155185868"/>
      <w:r>
        <w:rPr>
          <w:rFonts w:hint="eastAsia" w:eastAsia="宋体" w:asciiTheme="majorHAnsi" w:hAnsiTheme="majorHAnsi" w:cstheme="majorBidi"/>
          <w:b/>
          <w:bCs/>
          <w:color w:val="auto"/>
          <w:kern w:val="2"/>
          <w:sz w:val="28"/>
          <w:szCs w:val="28"/>
          <w:highlight w:val="none"/>
          <w:lang w:val="en-US" w:eastAsia="zh-CN" w:bidi="ar-SA"/>
        </w:rPr>
        <w:t>一、投标人须知前附表</w:t>
      </w:r>
      <w:bookmarkEnd w:id="106"/>
      <w:bookmarkEnd w:id="107"/>
      <w:bookmarkEnd w:id="108"/>
    </w:p>
    <w:p w14:paraId="54849A5B">
      <w:pPr>
        <w:pStyle w:val="39"/>
        <w:rPr>
          <w:rFonts w:hint="default" w:eastAsia="宋体"/>
          <w:color w:val="auto"/>
          <w:sz w:val="24"/>
          <w:szCs w:val="24"/>
          <w:highlight w:val="none"/>
          <w:lang w:val="en-US" w:eastAsia="zh-CN"/>
        </w:rPr>
      </w:pPr>
      <w:r>
        <w:rPr>
          <w:rFonts w:hint="eastAsia"/>
          <w:color w:val="auto"/>
          <w:sz w:val="24"/>
          <w:szCs w:val="24"/>
          <w:highlight w:val="none"/>
        </w:rPr>
        <w:t>投标人应仔细阅读本招标文件的第二章“投标人须知”，下面所列资料是对“投标人须知”的具体补充和说明</w:t>
      </w:r>
      <w:r>
        <w:rPr>
          <w:rFonts w:hint="eastAsia"/>
          <w:color w:val="auto"/>
          <w:sz w:val="24"/>
          <w:szCs w:val="24"/>
          <w:highlight w:val="none"/>
          <w:lang w:eastAsia="zh-CN"/>
        </w:rPr>
        <w:t>，</w:t>
      </w:r>
      <w:r>
        <w:rPr>
          <w:rFonts w:hint="eastAsia"/>
          <w:color w:val="auto"/>
          <w:sz w:val="24"/>
          <w:szCs w:val="24"/>
          <w:highlight w:val="none"/>
        </w:rPr>
        <w:t>如有矛盾，应以本表为准。</w:t>
      </w:r>
      <w:r>
        <w:rPr>
          <w:rFonts w:hint="eastAsia"/>
          <w:color w:val="auto"/>
          <w:sz w:val="24"/>
          <w:szCs w:val="24"/>
          <w:highlight w:val="none"/>
          <w:lang w:val="en-US" w:eastAsia="zh-CN"/>
        </w:rPr>
        <w:t>标记“</w:t>
      </w:r>
      <w:r>
        <w:rPr>
          <w:rFonts w:hint="eastAsia" w:ascii="宋体" w:hAnsi="宋体" w:eastAsia="宋体"/>
          <w:color w:val="auto"/>
          <w:sz w:val="24"/>
          <w:szCs w:val="24"/>
          <w:highlight w:val="none"/>
          <w:lang w:val="en-US" w:eastAsia="zh-CN"/>
        </w:rPr>
        <w:t>☑”的选项意为适用于本项目，标记“□”的选项意为不适用于本项目。</w:t>
      </w:r>
    </w:p>
    <w:tbl>
      <w:tblPr>
        <w:tblStyle w:val="30"/>
        <w:tblW w:w="9408" w:type="dxa"/>
        <w:tblInd w:w="-35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108" w:type="dxa"/>
          <w:bottom w:w="57" w:type="dxa"/>
          <w:right w:w="108" w:type="dxa"/>
        </w:tblCellMar>
      </w:tblPr>
      <w:tblGrid>
        <w:gridCol w:w="970"/>
        <w:gridCol w:w="1738"/>
        <w:gridCol w:w="6700"/>
      </w:tblGrid>
      <w:tr w14:paraId="00B1B0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73" w:hRule="atLeast"/>
          <w:tblHeader/>
        </w:trPr>
        <w:tc>
          <w:tcPr>
            <w:tcW w:w="97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2D9EB75">
            <w:pPr>
              <w:pStyle w:val="51"/>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条款号</w:t>
            </w:r>
          </w:p>
        </w:tc>
        <w:tc>
          <w:tcPr>
            <w:tcW w:w="173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13325B9">
            <w:pPr>
              <w:pStyle w:val="51"/>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条款名称</w:t>
            </w:r>
          </w:p>
        </w:tc>
        <w:tc>
          <w:tcPr>
            <w:tcW w:w="670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2982925C">
            <w:pPr>
              <w:pStyle w:val="51"/>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内  容</w:t>
            </w:r>
          </w:p>
        </w:tc>
      </w:tr>
      <w:tr w14:paraId="193461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0AA87453">
            <w:pPr>
              <w:pStyle w:val="51"/>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2.5</w:t>
            </w:r>
          </w:p>
        </w:tc>
        <w:tc>
          <w:tcPr>
            <w:tcW w:w="1738" w:type="dxa"/>
            <w:vAlign w:val="center"/>
          </w:tcPr>
          <w:p w14:paraId="36EFF713">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核心产品</w:t>
            </w:r>
          </w:p>
        </w:tc>
        <w:tc>
          <w:tcPr>
            <w:tcW w:w="6700" w:type="dxa"/>
            <w:vAlign w:val="center"/>
          </w:tcPr>
          <w:p w14:paraId="4875EC47">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w:t>
            </w:r>
            <w:r>
              <w:rPr>
                <w:rFonts w:hint="eastAsia" w:cs="宋体"/>
                <w:color w:val="auto"/>
                <w:sz w:val="24"/>
                <w:szCs w:val="24"/>
                <w:highlight w:val="none"/>
                <w:lang w:val="en-US" w:eastAsia="zh-CN"/>
              </w:rPr>
              <w:t>标项</w:t>
            </w:r>
            <w:r>
              <w:rPr>
                <w:rFonts w:hint="eastAsia" w:cs="宋体"/>
                <w:color w:val="auto"/>
                <w:sz w:val="24"/>
                <w:szCs w:val="24"/>
                <w:highlight w:val="none"/>
                <w:u w:val="single"/>
                <w:lang w:val="en-US" w:eastAsia="zh-CN"/>
              </w:rPr>
              <w:t xml:space="preserve"> / </w:t>
            </w:r>
            <w:r>
              <w:rPr>
                <w:rFonts w:hint="eastAsia" w:ascii="宋体" w:hAnsi="宋体" w:eastAsia="宋体" w:cs="宋体"/>
                <w:color w:val="auto"/>
                <w:sz w:val="24"/>
                <w:szCs w:val="24"/>
                <w:highlight w:val="none"/>
                <w:lang w:val="en-US" w:eastAsia="zh-CN"/>
              </w:rPr>
              <w:t xml:space="preserve">不适用。 </w:t>
            </w:r>
          </w:p>
          <w:p w14:paraId="6F36C151">
            <w:pPr>
              <w:pStyle w:val="51"/>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本项目</w:t>
            </w:r>
            <w:r>
              <w:rPr>
                <w:rFonts w:hint="eastAsia" w:cs="宋体"/>
                <w:color w:val="auto"/>
                <w:sz w:val="24"/>
                <w:szCs w:val="24"/>
                <w:highlight w:val="none"/>
                <w:lang w:val="en-US" w:eastAsia="zh-CN"/>
              </w:rPr>
              <w:t>标项</w:t>
            </w:r>
            <w:r>
              <w:rPr>
                <w:rFonts w:hint="eastAsia" w:cs="宋体"/>
                <w:color w:val="auto"/>
                <w:sz w:val="24"/>
                <w:szCs w:val="24"/>
                <w:highlight w:val="none"/>
                <w:u w:val="single"/>
                <w:lang w:val="en-US" w:eastAsia="zh-CN"/>
              </w:rPr>
              <w:t xml:space="preserve"> / </w:t>
            </w:r>
            <w:r>
              <w:rPr>
                <w:rFonts w:hint="eastAsia" w:ascii="宋体" w:hAnsi="宋体" w:eastAsia="宋体" w:cs="宋体"/>
                <w:color w:val="auto"/>
                <w:sz w:val="24"/>
                <w:szCs w:val="24"/>
                <w:highlight w:val="none"/>
                <w:lang w:val="en-US" w:eastAsia="zh-CN"/>
              </w:rPr>
              <w:t xml:space="preserve">为单一产品采购项目。 </w:t>
            </w:r>
          </w:p>
          <w:p w14:paraId="2EF36F06">
            <w:pPr>
              <w:pStyle w:val="51"/>
              <w:rPr>
                <w:rFonts w:hint="eastAsia" w:ascii="宋体" w:hAnsi="宋体" w:eastAsia="宋体" w:cs="宋体"/>
                <w:color w:val="auto"/>
                <w:sz w:val="24"/>
                <w:szCs w:val="24"/>
                <w:highlight w:val="yellow"/>
                <w:lang w:val="en-US" w:eastAsia="zh-CN"/>
              </w:rPr>
            </w:pP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本项目</w:t>
            </w:r>
            <w:r>
              <w:rPr>
                <w:rFonts w:hint="eastAsia" w:cs="宋体"/>
                <w:color w:val="auto"/>
                <w:sz w:val="24"/>
                <w:szCs w:val="24"/>
                <w:highlight w:val="none"/>
                <w:lang w:val="en-US" w:eastAsia="zh-CN"/>
              </w:rPr>
              <w:t>标项</w:t>
            </w:r>
            <w:r>
              <w:rPr>
                <w:rFonts w:hint="eastAsia" w:cs="宋体"/>
                <w:color w:val="auto"/>
                <w:sz w:val="24"/>
                <w:szCs w:val="24"/>
                <w:highlight w:val="none"/>
                <w:u w:val="single"/>
                <w:lang w:val="en-US" w:eastAsia="zh-CN"/>
              </w:rPr>
              <w:t xml:space="preserve"> 一、二 </w:t>
            </w:r>
            <w:r>
              <w:rPr>
                <w:rFonts w:hint="eastAsia" w:ascii="宋体" w:hAnsi="宋体" w:eastAsia="宋体" w:cs="宋体"/>
                <w:color w:val="auto"/>
                <w:sz w:val="24"/>
                <w:szCs w:val="24"/>
                <w:highlight w:val="none"/>
                <w:lang w:val="en-US" w:eastAsia="zh-CN"/>
              </w:rPr>
              <w:t>为非单一产品采购项目，其中</w:t>
            </w:r>
          </w:p>
          <w:p w14:paraId="699AC58F">
            <w:pPr>
              <w:pStyle w:val="51"/>
              <w:rPr>
                <w:rFonts w:hint="eastAsia" w:cs="宋体"/>
                <w:color w:val="auto"/>
                <w:sz w:val="24"/>
                <w:szCs w:val="24"/>
                <w:highlight w:val="none"/>
                <w:u w:val="single"/>
                <w:lang w:val="en-US" w:eastAsia="zh-CN"/>
              </w:rPr>
            </w:pPr>
            <w:r>
              <w:rPr>
                <w:rFonts w:hint="eastAsia" w:cs="宋体"/>
                <w:color w:val="auto"/>
                <w:sz w:val="24"/>
                <w:szCs w:val="24"/>
                <w:highlight w:val="none"/>
                <w:lang w:val="en-US" w:eastAsia="zh-CN"/>
              </w:rPr>
              <w:t>标项一的</w:t>
            </w:r>
            <w:r>
              <w:rPr>
                <w:rFonts w:hint="eastAsia" w:ascii="宋体" w:hAnsi="宋体" w:eastAsia="宋体" w:cs="宋体"/>
                <w:color w:val="auto"/>
                <w:sz w:val="24"/>
                <w:szCs w:val="24"/>
                <w:highlight w:val="none"/>
                <w:lang w:val="en-US" w:eastAsia="zh-CN"/>
              </w:rPr>
              <w:t>核心产品为：</w:t>
            </w:r>
            <w:r>
              <w:rPr>
                <w:rFonts w:hint="eastAsia" w:cs="宋体"/>
                <w:color w:val="auto"/>
                <w:sz w:val="24"/>
                <w:szCs w:val="24"/>
                <w:highlight w:val="none"/>
                <w:u w:val="single"/>
                <w:lang w:val="en-US" w:eastAsia="zh-CN"/>
              </w:rPr>
              <w:t xml:space="preserve"> 全防护防弹衣（软质双防）；</w:t>
            </w:r>
          </w:p>
          <w:p w14:paraId="4EB28D6D">
            <w:pPr>
              <w:pStyle w:val="51"/>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标项二的</w:t>
            </w:r>
            <w:r>
              <w:rPr>
                <w:rFonts w:hint="eastAsia" w:ascii="宋体" w:hAnsi="宋体" w:eastAsia="宋体" w:cs="宋体"/>
                <w:color w:val="auto"/>
                <w:sz w:val="24"/>
                <w:szCs w:val="24"/>
                <w:highlight w:val="none"/>
                <w:lang w:val="en-US" w:eastAsia="zh-CN"/>
              </w:rPr>
              <w:t>核心产品为：</w:t>
            </w:r>
            <w:r>
              <w:rPr>
                <w:rFonts w:hint="eastAsia" w:cs="宋体"/>
                <w:color w:val="auto"/>
                <w:sz w:val="24"/>
                <w:szCs w:val="24"/>
                <w:highlight w:val="none"/>
                <w:u w:val="single"/>
                <w:lang w:val="en-US" w:eastAsia="zh-CN"/>
              </w:rPr>
              <w:t xml:space="preserve"> 防爆盾牌。</w:t>
            </w:r>
          </w:p>
        </w:tc>
      </w:tr>
      <w:tr w14:paraId="648619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85" w:hRule="atLeast"/>
        </w:trPr>
        <w:tc>
          <w:tcPr>
            <w:tcW w:w="970" w:type="dxa"/>
            <w:shd w:val="clear" w:color="auto" w:fill="auto"/>
            <w:vAlign w:val="center"/>
          </w:tcPr>
          <w:p w14:paraId="6F133FD6">
            <w:pPr>
              <w:pStyle w:val="51"/>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2.6</w:t>
            </w:r>
          </w:p>
        </w:tc>
        <w:tc>
          <w:tcPr>
            <w:tcW w:w="1738" w:type="dxa"/>
            <w:shd w:val="clear" w:color="auto" w:fill="auto"/>
            <w:vAlign w:val="center"/>
          </w:tcPr>
          <w:p w14:paraId="18ED882E">
            <w:pPr>
              <w:keepNext w:val="0"/>
              <w:keepLines w:val="0"/>
              <w:widowControl/>
              <w:suppressLineNumbers w:val="0"/>
              <w:spacing w:line="240" w:lineRule="auto"/>
              <w:jc w:val="left"/>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
              </w:rPr>
              <w:t>科研仪器设备</w:t>
            </w:r>
          </w:p>
        </w:tc>
        <w:tc>
          <w:tcPr>
            <w:tcW w:w="6700" w:type="dxa"/>
            <w:shd w:val="clear" w:color="auto" w:fill="auto"/>
            <w:vAlign w:val="center"/>
          </w:tcPr>
          <w:p w14:paraId="4742C90D">
            <w:pPr>
              <w:keepNext w:val="0"/>
              <w:keepLines w:val="0"/>
              <w:widowControl/>
              <w:suppressLineNumbers w:val="0"/>
              <w:spacing w:line="24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是否属于科研仪器设备采购项目： </w:t>
            </w:r>
          </w:p>
          <w:p w14:paraId="1F5298BB">
            <w:pPr>
              <w:keepNext w:val="0"/>
              <w:keepLines w:val="0"/>
              <w:widowControl/>
              <w:suppressLineNumbers w:val="0"/>
              <w:spacing w:line="240" w:lineRule="auto"/>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kern w:val="0"/>
                <w:sz w:val="24"/>
                <w:szCs w:val="24"/>
                <w:highlight w:val="none"/>
                <w:lang w:val="en-US" w:eastAsia="zh-CN" w:bidi="ar"/>
              </w:rPr>
              <w:t xml:space="preserve">是 </w:t>
            </w:r>
          </w:p>
          <w:p w14:paraId="06C4DF94">
            <w:pPr>
              <w:keepNext w:val="0"/>
              <w:keepLines w:val="0"/>
              <w:widowControl/>
              <w:suppressLineNumbers w:val="0"/>
              <w:spacing w:line="240" w:lineRule="auto"/>
              <w:jc w:val="left"/>
              <w:rPr>
                <w:rFonts w:hint="eastAsia" w:ascii="宋体" w:hAnsi="宋体" w:eastAsia="宋体" w:cs="宋体"/>
                <w:color w:val="auto"/>
                <w:kern w:val="0"/>
                <w:sz w:val="24"/>
                <w:szCs w:val="24"/>
                <w:highlight w:val="none"/>
                <w:lang w:val="en-US" w:eastAsia="zh-CN" w:bidi="ar"/>
              </w:rPr>
            </w:pPr>
            <w:r>
              <w:rPr>
                <w:rFonts w:hint="eastAsia" w:cs="宋体"/>
                <w:color w:val="auto"/>
                <w:sz w:val="24"/>
                <w:szCs w:val="24"/>
                <w:highlight w:val="none"/>
                <w:lang w:val="en-US" w:eastAsia="zh-CN"/>
              </w:rPr>
              <w:t>☑</w:t>
            </w:r>
            <w:r>
              <w:rPr>
                <w:rFonts w:hint="eastAsia" w:ascii="宋体" w:hAnsi="宋体" w:eastAsia="宋体" w:cs="宋体"/>
                <w:color w:val="auto"/>
                <w:kern w:val="0"/>
                <w:sz w:val="24"/>
                <w:szCs w:val="24"/>
                <w:highlight w:val="none"/>
                <w:lang w:val="en-US" w:eastAsia="zh-CN" w:bidi="ar"/>
              </w:rPr>
              <w:t>否</w:t>
            </w:r>
          </w:p>
        </w:tc>
      </w:tr>
      <w:tr w14:paraId="0DFC12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68" w:hRule="atLeast"/>
        </w:trPr>
        <w:tc>
          <w:tcPr>
            <w:tcW w:w="970" w:type="dxa"/>
            <w:vAlign w:val="center"/>
          </w:tcPr>
          <w:p w14:paraId="5438C770">
            <w:pPr>
              <w:pStyle w:val="5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9.1</w:t>
            </w:r>
          </w:p>
        </w:tc>
        <w:tc>
          <w:tcPr>
            <w:tcW w:w="1738" w:type="dxa"/>
            <w:vAlign w:val="center"/>
          </w:tcPr>
          <w:p w14:paraId="23EE6C23">
            <w:pPr>
              <w:pStyle w:val="51"/>
              <w:rPr>
                <w:rFonts w:hint="eastAsia" w:ascii="宋体" w:hAnsi="宋体" w:eastAsia="宋体" w:cs="宋体"/>
                <w:color w:val="auto"/>
                <w:sz w:val="24"/>
                <w:szCs w:val="24"/>
                <w:highlight w:val="none"/>
              </w:rPr>
            </w:pPr>
            <w:bookmarkStart w:id="109" w:name="_Hlk143529175"/>
            <w:r>
              <w:rPr>
                <w:rFonts w:hint="eastAsia" w:ascii="宋体" w:hAnsi="宋体" w:eastAsia="宋体" w:cs="宋体"/>
                <w:color w:val="auto"/>
                <w:sz w:val="24"/>
                <w:szCs w:val="24"/>
                <w:highlight w:val="none"/>
              </w:rPr>
              <w:t>现场考察</w:t>
            </w:r>
            <w:bookmarkEnd w:id="109"/>
          </w:p>
        </w:tc>
        <w:tc>
          <w:tcPr>
            <w:tcW w:w="6700" w:type="dxa"/>
            <w:vAlign w:val="center"/>
          </w:tcPr>
          <w:p w14:paraId="348474C8">
            <w:pPr>
              <w:pStyle w:val="51"/>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不组织，投标人自行前往</w:t>
            </w:r>
            <w:r>
              <w:rPr>
                <w:rFonts w:hint="eastAsia" w:ascii="宋体" w:hAnsi="宋体" w:eastAsia="宋体" w:cs="宋体"/>
                <w:color w:val="auto"/>
                <w:sz w:val="24"/>
                <w:szCs w:val="24"/>
                <w:highlight w:val="none"/>
                <w:lang w:eastAsia="zh-CN"/>
              </w:rPr>
              <w:t>。</w:t>
            </w:r>
          </w:p>
          <w:p w14:paraId="44B71B28">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组织</w:t>
            </w:r>
          </w:p>
          <w:p w14:paraId="34231DF0">
            <w:pPr>
              <w:pStyle w:val="51"/>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202</w:t>
            </w:r>
            <w:r>
              <w:rPr>
                <w:rFonts w:hint="eastAsia" w:cs="宋体"/>
                <w:color w:val="auto"/>
                <w:sz w:val="24"/>
                <w:szCs w:val="24"/>
                <w:highlight w:val="none"/>
                <w:u w:val="single"/>
                <w:lang w:val="en-US" w:eastAsia="zh-CN"/>
              </w:rPr>
              <w:t>6</w:t>
            </w:r>
            <w:r>
              <w:rPr>
                <w:rFonts w:hint="eastAsia" w:ascii="宋体" w:hAnsi="宋体" w:eastAsia="宋体" w:cs="宋体"/>
                <w:color w:val="auto"/>
                <w:sz w:val="24"/>
                <w:szCs w:val="24"/>
                <w:highlight w:val="none"/>
                <w:u w:val="single"/>
                <w:lang w:val="en-US" w:eastAsia="zh-CN"/>
              </w:rPr>
              <w:t>年**月**日至202</w:t>
            </w:r>
            <w:r>
              <w:rPr>
                <w:rFonts w:hint="eastAsia" w:cs="宋体"/>
                <w:color w:val="auto"/>
                <w:sz w:val="24"/>
                <w:szCs w:val="24"/>
                <w:highlight w:val="none"/>
                <w:u w:val="single"/>
                <w:lang w:val="en-US" w:eastAsia="zh-CN"/>
              </w:rPr>
              <w:t>6</w:t>
            </w:r>
            <w:r>
              <w:rPr>
                <w:rFonts w:hint="eastAsia" w:ascii="宋体" w:hAnsi="宋体" w:eastAsia="宋体" w:cs="宋体"/>
                <w:color w:val="auto"/>
                <w:sz w:val="24"/>
                <w:szCs w:val="24"/>
                <w:highlight w:val="none"/>
                <w:u w:val="single"/>
                <w:lang w:val="en-US" w:eastAsia="zh-CN"/>
              </w:rPr>
              <w:t>年**月**日</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33CB4D8B">
            <w:pPr>
              <w:pStyle w:val="51"/>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239E2E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35" w:hRule="atLeast"/>
        </w:trPr>
        <w:tc>
          <w:tcPr>
            <w:tcW w:w="970" w:type="dxa"/>
            <w:vAlign w:val="center"/>
          </w:tcPr>
          <w:p w14:paraId="4615E42A">
            <w:pPr>
              <w:pStyle w:val="51"/>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9.5</w:t>
            </w:r>
          </w:p>
        </w:tc>
        <w:tc>
          <w:tcPr>
            <w:tcW w:w="1738" w:type="dxa"/>
            <w:vAlign w:val="center"/>
          </w:tcPr>
          <w:p w14:paraId="4ECF5FD9">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答疑会</w:t>
            </w:r>
          </w:p>
        </w:tc>
        <w:tc>
          <w:tcPr>
            <w:tcW w:w="6700" w:type="dxa"/>
            <w:vAlign w:val="center"/>
          </w:tcPr>
          <w:p w14:paraId="583B7500">
            <w:pPr>
              <w:pStyle w:val="51"/>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不组织</w:t>
            </w:r>
          </w:p>
          <w:p w14:paraId="5A61EC11">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组织</w:t>
            </w:r>
          </w:p>
          <w:p w14:paraId="26B83A67">
            <w:pPr>
              <w:pStyle w:val="51"/>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62AA7C8D">
            <w:pPr>
              <w:pStyle w:val="51"/>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tc>
      </w:tr>
      <w:tr w14:paraId="49DB57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1BD1176A">
            <w:pPr>
              <w:pStyle w:val="51"/>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w:t>
            </w:r>
          </w:p>
        </w:tc>
        <w:tc>
          <w:tcPr>
            <w:tcW w:w="1738" w:type="dxa"/>
            <w:vAlign w:val="center"/>
          </w:tcPr>
          <w:p w14:paraId="018475E3">
            <w:pPr>
              <w:pStyle w:val="5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询问</w:t>
            </w:r>
          </w:p>
        </w:tc>
        <w:tc>
          <w:tcPr>
            <w:tcW w:w="6700" w:type="dxa"/>
            <w:vAlign w:val="center"/>
          </w:tcPr>
          <w:p w14:paraId="1DD6470E">
            <w:pPr>
              <w:pStyle w:val="51"/>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1.</w:t>
            </w:r>
            <w:r>
              <w:rPr>
                <w:rFonts w:hint="eastAsia" w:ascii="宋体" w:hAnsi="宋体" w:eastAsia="宋体" w:cs="宋体"/>
                <w:i w:val="0"/>
                <w:iCs w:val="0"/>
                <w:color w:val="auto"/>
                <w:sz w:val="24"/>
                <w:szCs w:val="24"/>
                <w:highlight w:val="none"/>
              </w:rPr>
              <w:t>方式：</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电话询问或书面形式</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160FFEE6">
            <w:pPr>
              <w:pStyle w:val="51"/>
              <w:rPr>
                <w:rFonts w:hint="default" w:ascii="宋体" w:hAnsi="宋体" w:eastAsia="宋体" w:cs="宋体"/>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w:t>
            </w:r>
            <w:r>
              <w:rPr>
                <w:rFonts w:hint="eastAsia" w:cs="宋体"/>
                <w:i w:val="0"/>
                <w:iCs w:val="0"/>
                <w:color w:val="auto"/>
                <w:sz w:val="24"/>
                <w:szCs w:val="24"/>
                <w:highlight w:val="none"/>
                <w:lang w:val="en-US" w:eastAsia="zh-CN"/>
              </w:rPr>
              <w:t>联系电话</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u w:val="single"/>
                <w:lang w:val="en-US" w:eastAsia="zh-CN"/>
              </w:rPr>
              <w:t xml:space="preserve"> </w:t>
            </w:r>
            <w:r>
              <w:rPr>
                <w:rFonts w:hint="eastAsia" w:cs="宋体"/>
                <w:i w:val="0"/>
                <w:iCs w:val="0"/>
                <w:color w:val="auto"/>
                <w:sz w:val="24"/>
                <w:szCs w:val="24"/>
                <w:highlight w:val="none"/>
                <w:u w:val="single"/>
                <w:lang w:val="en-US" w:eastAsia="zh-CN"/>
              </w:rPr>
              <w:t>0991-5803779</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u w:val="none"/>
                <w:lang w:val="en-US" w:eastAsia="zh-CN"/>
              </w:rPr>
              <w:t>。</w:t>
            </w:r>
          </w:p>
        </w:tc>
      </w:tr>
      <w:tr w14:paraId="789541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1E8E3F00">
            <w:pPr>
              <w:pStyle w:val="5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w:t>
            </w:r>
          </w:p>
        </w:tc>
        <w:tc>
          <w:tcPr>
            <w:tcW w:w="1738" w:type="dxa"/>
            <w:vAlign w:val="center"/>
          </w:tcPr>
          <w:p w14:paraId="62BB4875">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投标有效期</w:t>
            </w:r>
          </w:p>
        </w:tc>
        <w:tc>
          <w:tcPr>
            <w:tcW w:w="6700" w:type="dxa"/>
            <w:vAlign w:val="center"/>
          </w:tcPr>
          <w:p w14:paraId="6ACAAB04">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投标截止</w:t>
            </w:r>
            <w:r>
              <w:rPr>
                <w:rFonts w:hint="eastAsia" w:ascii="宋体" w:hAnsi="宋体" w:eastAsia="宋体" w:cs="宋体"/>
                <w:color w:val="auto"/>
                <w:sz w:val="24"/>
                <w:szCs w:val="24"/>
                <w:highlight w:val="none"/>
                <w:lang w:val="en-US" w:eastAsia="zh-CN"/>
              </w:rPr>
              <w:t>时间</w:t>
            </w:r>
            <w:r>
              <w:rPr>
                <w:rFonts w:hint="eastAsia" w:ascii="宋体" w:hAnsi="宋体" w:eastAsia="宋体" w:cs="宋体"/>
                <w:color w:val="auto"/>
                <w:sz w:val="24"/>
                <w:szCs w:val="24"/>
                <w:highlight w:val="none"/>
              </w:rPr>
              <w:t>后</w:t>
            </w:r>
            <w:r>
              <w:rPr>
                <w:rFonts w:hint="eastAsia" w:ascii="宋体" w:hAnsi="宋体" w:eastAsia="宋体" w:cs="宋体"/>
                <w:color w:val="auto"/>
                <w:sz w:val="24"/>
                <w:szCs w:val="24"/>
                <w:highlight w:val="none"/>
                <w:u w:val="single"/>
              </w:rPr>
              <w:t>90</w:t>
            </w:r>
            <w:r>
              <w:rPr>
                <w:rFonts w:hint="eastAsia" w:ascii="宋体" w:hAnsi="宋体" w:eastAsia="宋体" w:cs="宋体"/>
                <w:color w:val="auto"/>
                <w:sz w:val="24"/>
                <w:szCs w:val="24"/>
                <w:highlight w:val="none"/>
              </w:rPr>
              <w:t>日历日。</w:t>
            </w:r>
          </w:p>
        </w:tc>
      </w:tr>
      <w:tr w14:paraId="07E28C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674" w:hRule="atLeast"/>
        </w:trPr>
        <w:tc>
          <w:tcPr>
            <w:tcW w:w="970" w:type="dxa"/>
            <w:vAlign w:val="center"/>
          </w:tcPr>
          <w:p w14:paraId="1645F3CD">
            <w:pPr>
              <w:pStyle w:val="51"/>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17.1</w:t>
            </w:r>
          </w:p>
        </w:tc>
        <w:tc>
          <w:tcPr>
            <w:tcW w:w="1738" w:type="dxa"/>
            <w:vAlign w:val="center"/>
          </w:tcPr>
          <w:p w14:paraId="5AA54DAD">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投标保证金</w:t>
            </w:r>
          </w:p>
        </w:tc>
        <w:tc>
          <w:tcPr>
            <w:tcW w:w="6700" w:type="dxa"/>
            <w:vAlign w:val="center"/>
          </w:tcPr>
          <w:p w14:paraId="0398142A">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金额：</w:t>
            </w:r>
          </w:p>
          <w:p w14:paraId="3C02B6C7">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免收</w:t>
            </w:r>
          </w:p>
          <w:p w14:paraId="24BE2A88">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预算金额</w:t>
            </w:r>
            <w:r>
              <w:rPr>
                <w:rFonts w:hint="eastAsia" w:ascii="宋体" w:hAnsi="宋体" w:eastAsia="宋体" w:cs="宋体"/>
                <w:color w:val="auto"/>
                <w:sz w:val="24"/>
                <w:szCs w:val="24"/>
                <w:highlight w:val="none"/>
              </w:rPr>
              <w:t>的</w:t>
            </w:r>
            <w:r>
              <w:rPr>
                <w:rFonts w:hint="eastAsia" w:ascii="宋体" w:hAnsi="宋体" w:cs="宋体"/>
                <w:color w:val="auto"/>
                <w:sz w:val="24"/>
                <w:szCs w:val="24"/>
                <w:highlight w:val="none"/>
                <w:u w:val="single"/>
                <w:lang w:val="en-US" w:eastAsia="zh-CN"/>
              </w:rPr>
              <w:t xml:space="preserve"> 1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w:t>
            </w:r>
          </w:p>
          <w:p w14:paraId="2C4218EC">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cs="宋体"/>
                <w:i w:val="0"/>
                <w:iCs w:val="0"/>
                <w:color w:val="auto"/>
                <w:sz w:val="24"/>
                <w:szCs w:val="24"/>
                <w:highlight w:val="none"/>
                <w:lang w:eastAsia="zh-CN"/>
              </w:rPr>
            </w:pPr>
            <w:r>
              <w:rPr>
                <w:rFonts w:hint="eastAsia" w:ascii="宋体" w:hAnsi="宋体" w:cs="宋体"/>
                <w:color w:val="auto"/>
                <w:sz w:val="24"/>
                <w:szCs w:val="24"/>
                <w:highlight w:val="none"/>
                <w:lang w:eastAsia="zh-CN"/>
              </w:rPr>
              <w:t>（标项一：</w:t>
            </w:r>
            <w:r>
              <w:rPr>
                <w:rFonts w:hint="eastAsia" w:ascii="宋体" w:hAnsi="宋体" w:cs="宋体"/>
                <w:color w:val="auto"/>
                <w:sz w:val="24"/>
                <w:szCs w:val="24"/>
                <w:highlight w:val="none"/>
                <w:lang w:val="en-US" w:eastAsia="zh-CN"/>
              </w:rPr>
              <w:t>18000元</w:t>
            </w:r>
            <w:r>
              <w:rPr>
                <w:rFonts w:hint="eastAsia" w:ascii="宋体" w:hAnsi="宋体" w:cs="宋体"/>
                <w:i w:val="0"/>
                <w:iCs w:val="0"/>
                <w:color w:val="auto"/>
                <w:sz w:val="24"/>
                <w:szCs w:val="24"/>
                <w:highlight w:val="none"/>
                <w:lang w:eastAsia="zh-CN"/>
              </w:rPr>
              <w:t>（</w:t>
            </w:r>
            <w:r>
              <w:rPr>
                <w:rFonts w:hint="eastAsia" w:ascii="宋体" w:hAnsi="宋体" w:cs="宋体"/>
                <w:i w:val="0"/>
                <w:iCs w:val="0"/>
                <w:color w:val="auto"/>
                <w:sz w:val="24"/>
                <w:szCs w:val="24"/>
                <w:highlight w:val="none"/>
                <w:lang w:val="en-US" w:eastAsia="zh-CN"/>
              </w:rPr>
              <w:t>大写：壹万捌仟元整</w:t>
            </w:r>
            <w:r>
              <w:rPr>
                <w:rFonts w:hint="eastAsia" w:ascii="宋体" w:hAnsi="宋体" w:cs="宋体"/>
                <w:i w:val="0"/>
                <w:iCs w:val="0"/>
                <w:color w:val="auto"/>
                <w:sz w:val="24"/>
                <w:szCs w:val="24"/>
                <w:highlight w:val="none"/>
                <w:lang w:eastAsia="zh-CN"/>
              </w:rPr>
              <w:t>）</w:t>
            </w:r>
          </w:p>
          <w:p w14:paraId="06531B27">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cs="宋体"/>
                <w:i w:val="0"/>
                <w:iCs w:val="0"/>
                <w:color w:val="auto"/>
                <w:sz w:val="24"/>
                <w:szCs w:val="24"/>
                <w:highlight w:val="none"/>
                <w:lang w:eastAsia="zh-CN"/>
              </w:rPr>
            </w:pPr>
            <w:r>
              <w:rPr>
                <w:rFonts w:hint="eastAsia" w:ascii="宋体" w:hAnsi="宋体" w:cs="宋体"/>
                <w:color w:val="auto"/>
                <w:sz w:val="24"/>
                <w:szCs w:val="24"/>
                <w:highlight w:val="none"/>
                <w:lang w:eastAsia="zh-CN"/>
              </w:rPr>
              <w:t>（标项二：</w:t>
            </w:r>
            <w:r>
              <w:rPr>
                <w:rFonts w:hint="eastAsia" w:ascii="宋体" w:hAnsi="宋体" w:cs="宋体"/>
                <w:color w:val="auto"/>
                <w:sz w:val="24"/>
                <w:szCs w:val="24"/>
                <w:highlight w:val="none"/>
                <w:lang w:val="en-US" w:eastAsia="zh-CN"/>
              </w:rPr>
              <w:t>17000元</w:t>
            </w:r>
            <w:r>
              <w:rPr>
                <w:rFonts w:hint="eastAsia" w:ascii="宋体" w:hAnsi="宋体" w:cs="宋体"/>
                <w:i w:val="0"/>
                <w:iCs w:val="0"/>
                <w:color w:val="auto"/>
                <w:sz w:val="24"/>
                <w:szCs w:val="24"/>
                <w:highlight w:val="none"/>
                <w:lang w:eastAsia="zh-CN"/>
              </w:rPr>
              <w:t>（</w:t>
            </w:r>
            <w:r>
              <w:rPr>
                <w:rFonts w:hint="eastAsia" w:ascii="宋体" w:hAnsi="宋体" w:cs="宋体"/>
                <w:i w:val="0"/>
                <w:iCs w:val="0"/>
                <w:color w:val="auto"/>
                <w:sz w:val="24"/>
                <w:szCs w:val="24"/>
                <w:highlight w:val="none"/>
                <w:lang w:val="en-US" w:eastAsia="zh-CN"/>
              </w:rPr>
              <w:t>大写：壹万柒仟元整</w:t>
            </w:r>
            <w:r>
              <w:rPr>
                <w:rFonts w:hint="eastAsia" w:ascii="宋体" w:hAnsi="宋体" w:cs="宋体"/>
                <w:i w:val="0"/>
                <w:iCs w:val="0"/>
                <w:color w:val="auto"/>
                <w:sz w:val="24"/>
                <w:szCs w:val="24"/>
                <w:highlight w:val="none"/>
                <w:lang w:eastAsia="zh-CN"/>
              </w:rPr>
              <w:t>）</w:t>
            </w:r>
          </w:p>
          <w:p w14:paraId="301D037E">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定额收取：人民币</w:t>
            </w:r>
            <w:r>
              <w:rPr>
                <w:rFonts w:hint="eastAsia" w:ascii="宋体" w:hAnsi="宋体" w:cs="宋体"/>
                <w:color w:val="auto"/>
                <w:sz w:val="24"/>
                <w:szCs w:val="24"/>
                <w:highlight w:val="none"/>
                <w:u w:val="single"/>
                <w:lang w:val="en-US" w:eastAsia="zh-CN"/>
              </w:rPr>
              <w:t xml:space="preserve"> / </w:t>
            </w:r>
            <w:r>
              <w:rPr>
                <w:rFonts w:hint="eastAsia" w:ascii="宋体" w:hAnsi="宋体" w:eastAsia="宋体" w:cs="宋体"/>
                <w:color w:val="auto"/>
                <w:sz w:val="24"/>
                <w:szCs w:val="24"/>
                <w:highlight w:val="none"/>
              </w:rPr>
              <w:t>元</w:t>
            </w:r>
          </w:p>
          <w:p w14:paraId="76912940">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支付方式：</w:t>
            </w:r>
            <w:r>
              <w:rPr>
                <w:rFonts w:hint="eastAsia" w:ascii="宋体" w:hAnsi="宋体" w:eastAsia="宋体" w:cs="宋体"/>
                <w:color w:val="auto"/>
                <w:sz w:val="24"/>
                <w:szCs w:val="24"/>
                <w:highlight w:val="none"/>
                <w:lang w:val="en-US" w:eastAsia="zh-CN"/>
              </w:rPr>
              <w:t>投标人可自主选择以支票、汇票、本票、电汇、转账、网银、保函等非现金形式缴纳或提交保证金。</w:t>
            </w:r>
          </w:p>
          <w:p w14:paraId="436A3588">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收取单位：</w:t>
            </w:r>
            <w:r>
              <w:rPr>
                <w:rFonts w:hint="eastAsia" w:ascii="宋体" w:hAnsi="宋体" w:eastAsia="宋体" w:cs="宋体"/>
                <w:i w:val="0"/>
                <w:iCs w:val="0"/>
                <w:color w:val="auto"/>
                <w:sz w:val="24"/>
                <w:szCs w:val="24"/>
                <w:highlight w:val="none"/>
                <w:lang w:val="en-US" w:eastAsia="zh-CN"/>
              </w:rPr>
              <w:t>新疆星圣源工程项目管理有限公司</w:t>
            </w:r>
            <w:r>
              <w:rPr>
                <w:rFonts w:hint="eastAsia" w:ascii="宋体" w:hAnsi="宋体" w:eastAsia="宋体" w:cs="宋体"/>
                <w:color w:val="auto"/>
                <w:sz w:val="24"/>
                <w:szCs w:val="24"/>
                <w:highlight w:val="none"/>
              </w:rPr>
              <w:t xml:space="preserve">                            </w:t>
            </w:r>
          </w:p>
          <w:p w14:paraId="233EADB3">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4.收取账号：</w:t>
            </w:r>
            <w:r>
              <w:rPr>
                <w:rFonts w:hint="eastAsia" w:ascii="宋体" w:hAnsi="宋体" w:eastAsia="宋体" w:cs="宋体"/>
                <w:i w:val="0"/>
                <w:iCs w:val="0"/>
                <w:color w:val="auto"/>
                <w:sz w:val="24"/>
                <w:szCs w:val="24"/>
                <w:highlight w:val="none"/>
                <w:lang w:val="en-US" w:eastAsia="zh-CN"/>
              </w:rPr>
              <w:t>0000020080110031013587</w:t>
            </w:r>
            <w:r>
              <w:rPr>
                <w:rFonts w:hint="eastAsia" w:ascii="宋体" w:hAnsi="宋体" w:eastAsia="宋体" w:cs="宋体"/>
                <w:color w:val="auto"/>
                <w:sz w:val="24"/>
                <w:szCs w:val="24"/>
                <w:highlight w:val="none"/>
              </w:rPr>
              <w:t xml:space="preserve">              </w:t>
            </w:r>
          </w:p>
          <w:p w14:paraId="643CDAB9">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5.开户行：乌鲁木齐银行黄河支行</w:t>
            </w:r>
          </w:p>
          <w:p w14:paraId="43829F2A">
            <w:pPr>
              <w:pStyle w:val="55"/>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40" w:lineRule="exact"/>
              <w:textAlignment w:val="auto"/>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r>
              <w:rPr>
                <w:rFonts w:hint="eastAsia" w:ascii="宋体" w:hAnsi="宋体" w:eastAsia="宋体" w:cs="宋体"/>
                <w:i w:val="0"/>
                <w:iCs w:val="0"/>
                <w:color w:val="auto"/>
                <w:sz w:val="24"/>
                <w:szCs w:val="24"/>
                <w:highlight w:val="none"/>
                <w:lang w:val="en-US" w:eastAsia="zh-CN"/>
              </w:rPr>
              <w:t>行号：313881000490</w:t>
            </w:r>
          </w:p>
          <w:p w14:paraId="4B3EA50D">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7.</w:t>
            </w:r>
            <w:r>
              <w:rPr>
                <w:rFonts w:hint="eastAsia" w:ascii="宋体" w:hAnsi="宋体" w:eastAsia="宋体" w:cs="宋体"/>
                <w:color w:val="auto"/>
                <w:sz w:val="24"/>
                <w:szCs w:val="24"/>
                <w:highlight w:val="none"/>
              </w:rPr>
              <w:t>退还时间：</w:t>
            </w:r>
            <w:r>
              <w:rPr>
                <w:rFonts w:hint="eastAsia" w:ascii="宋体" w:hAnsi="宋体" w:eastAsia="宋体" w:cs="宋体"/>
                <w:color w:val="auto"/>
                <w:sz w:val="24"/>
                <w:szCs w:val="24"/>
                <w:highlight w:val="none"/>
                <w:lang w:val="en-US" w:eastAsia="zh-CN"/>
              </w:rPr>
              <w:t>未</w:t>
            </w:r>
            <w:r>
              <w:rPr>
                <w:rFonts w:hint="eastAsia" w:ascii="宋体" w:hAnsi="宋体" w:cs="宋体"/>
                <w:color w:val="auto"/>
                <w:sz w:val="24"/>
                <w:szCs w:val="24"/>
                <w:highlight w:val="none"/>
                <w:lang w:val="en-US" w:eastAsia="zh-CN"/>
              </w:rPr>
              <w:t>中标投标人</w:t>
            </w:r>
            <w:r>
              <w:rPr>
                <w:rFonts w:hint="eastAsia" w:ascii="宋体" w:hAnsi="宋体" w:eastAsia="宋体" w:cs="宋体"/>
                <w:color w:val="auto"/>
                <w:sz w:val="24"/>
                <w:szCs w:val="24"/>
                <w:highlight w:val="none"/>
                <w:lang w:val="en-US" w:eastAsia="zh-CN"/>
              </w:rPr>
              <w:t>的</w:t>
            </w:r>
            <w:r>
              <w:rPr>
                <w:rFonts w:hint="eastAsia" w:ascii="宋体" w:hAnsi="宋体" w:cs="宋体"/>
                <w:color w:val="auto"/>
                <w:sz w:val="24"/>
                <w:szCs w:val="24"/>
                <w:highlight w:val="none"/>
                <w:lang w:val="en-US" w:eastAsia="zh-CN"/>
              </w:rPr>
              <w:t>投标</w:t>
            </w:r>
            <w:r>
              <w:rPr>
                <w:rFonts w:hint="eastAsia" w:ascii="宋体" w:hAnsi="宋体" w:eastAsia="宋体" w:cs="宋体"/>
                <w:color w:val="auto"/>
                <w:sz w:val="24"/>
                <w:szCs w:val="24"/>
                <w:highlight w:val="none"/>
                <w:lang w:val="en-US" w:eastAsia="zh-CN"/>
              </w:rPr>
              <w:t>保证金应当自</w:t>
            </w:r>
            <w:r>
              <w:rPr>
                <w:rFonts w:hint="eastAsia" w:ascii="宋体" w:hAnsi="宋体" w:cs="宋体"/>
                <w:color w:val="auto"/>
                <w:sz w:val="24"/>
                <w:szCs w:val="24"/>
                <w:highlight w:val="none"/>
                <w:lang w:val="en-US" w:eastAsia="zh-CN"/>
              </w:rPr>
              <w:t>中标</w:t>
            </w:r>
            <w:r>
              <w:rPr>
                <w:rFonts w:hint="eastAsia" w:ascii="宋体" w:hAnsi="宋体" w:eastAsia="宋体" w:cs="宋体"/>
                <w:color w:val="auto"/>
                <w:sz w:val="24"/>
                <w:szCs w:val="24"/>
                <w:highlight w:val="none"/>
                <w:lang w:val="en-US" w:eastAsia="zh-CN"/>
              </w:rPr>
              <w:t>通知书发出之日起5个工作日内退还（需要未</w:t>
            </w:r>
            <w:r>
              <w:rPr>
                <w:rFonts w:hint="eastAsia" w:ascii="宋体" w:hAnsi="宋体" w:cs="宋体"/>
                <w:color w:val="auto"/>
                <w:sz w:val="24"/>
                <w:szCs w:val="24"/>
                <w:highlight w:val="none"/>
                <w:lang w:val="en-US" w:eastAsia="zh-CN"/>
              </w:rPr>
              <w:t>中标投标人</w:t>
            </w:r>
            <w:r>
              <w:rPr>
                <w:rFonts w:hint="eastAsia" w:ascii="宋体" w:hAnsi="宋体" w:eastAsia="宋体" w:cs="宋体"/>
                <w:color w:val="auto"/>
                <w:sz w:val="24"/>
                <w:szCs w:val="24"/>
                <w:highlight w:val="none"/>
                <w:lang w:val="en-US" w:eastAsia="zh-CN"/>
              </w:rPr>
              <w:t>将保证金缴纳凭证发送至邮箱</w:t>
            </w:r>
            <w:r>
              <w:rPr>
                <w:rFonts w:hint="eastAsia" w:ascii="宋体" w:hAnsi="宋体" w:cs="宋体"/>
                <w:color w:val="auto"/>
                <w:sz w:val="24"/>
                <w:szCs w:val="24"/>
                <w:highlight w:val="none"/>
                <w:lang w:val="en-US" w:eastAsia="zh-CN"/>
              </w:rPr>
              <w:t>1617593161@qq.com</w:t>
            </w:r>
            <w:r>
              <w:rPr>
                <w:rFonts w:hint="eastAsia" w:ascii="宋体" w:hAnsi="宋体" w:eastAsia="宋体" w:cs="宋体"/>
                <w:color w:val="auto"/>
                <w:sz w:val="24"/>
                <w:szCs w:val="24"/>
                <w:highlight w:val="none"/>
                <w:lang w:val="en-US" w:eastAsia="zh-CN"/>
              </w:rPr>
              <w:t>），</w:t>
            </w:r>
            <w:r>
              <w:rPr>
                <w:rFonts w:hint="eastAsia" w:ascii="宋体" w:hAnsi="宋体" w:cs="宋体"/>
                <w:color w:val="auto"/>
                <w:sz w:val="24"/>
                <w:szCs w:val="24"/>
                <w:highlight w:val="none"/>
                <w:lang w:val="en-US" w:eastAsia="zh-CN"/>
              </w:rPr>
              <w:t>中标投标人</w:t>
            </w:r>
            <w:r>
              <w:rPr>
                <w:rFonts w:hint="eastAsia" w:ascii="宋体" w:hAnsi="宋体" w:eastAsia="宋体" w:cs="宋体"/>
                <w:color w:val="auto"/>
                <w:sz w:val="24"/>
                <w:szCs w:val="24"/>
                <w:highlight w:val="none"/>
                <w:lang w:val="en-US" w:eastAsia="zh-CN"/>
              </w:rPr>
              <w:t>的</w:t>
            </w:r>
            <w:r>
              <w:rPr>
                <w:rFonts w:hint="eastAsia" w:ascii="宋体" w:hAnsi="宋体" w:cs="宋体"/>
                <w:color w:val="auto"/>
                <w:sz w:val="24"/>
                <w:szCs w:val="24"/>
                <w:highlight w:val="none"/>
                <w:lang w:val="en-US" w:eastAsia="zh-CN"/>
              </w:rPr>
              <w:t>投标</w:t>
            </w:r>
            <w:r>
              <w:rPr>
                <w:rFonts w:hint="eastAsia" w:ascii="宋体" w:hAnsi="宋体" w:eastAsia="宋体" w:cs="宋体"/>
                <w:color w:val="auto"/>
                <w:sz w:val="24"/>
                <w:szCs w:val="24"/>
                <w:highlight w:val="none"/>
                <w:lang w:val="en-US" w:eastAsia="zh-CN"/>
              </w:rPr>
              <w:t>保证金自采购合同签订之日起5个工作日内退还（需要</w:t>
            </w:r>
            <w:r>
              <w:rPr>
                <w:rFonts w:hint="eastAsia" w:ascii="宋体" w:hAnsi="宋体" w:cs="宋体"/>
                <w:color w:val="auto"/>
                <w:sz w:val="24"/>
                <w:szCs w:val="24"/>
                <w:highlight w:val="none"/>
                <w:lang w:val="en-US" w:eastAsia="zh-CN"/>
              </w:rPr>
              <w:t>中标投标人</w:t>
            </w:r>
            <w:r>
              <w:rPr>
                <w:rFonts w:hint="eastAsia" w:ascii="宋体" w:hAnsi="宋体" w:eastAsia="宋体" w:cs="宋体"/>
                <w:color w:val="auto"/>
                <w:sz w:val="24"/>
                <w:szCs w:val="24"/>
                <w:highlight w:val="none"/>
                <w:lang w:val="en-US" w:eastAsia="zh-CN"/>
              </w:rPr>
              <w:t>将保证金缴纳凭证及采购合同扫描件发送至邮箱1617593161@qq.com）。</w:t>
            </w:r>
            <w:r>
              <w:rPr>
                <w:rFonts w:hint="eastAsia" w:ascii="宋体" w:hAnsi="宋体" w:eastAsia="宋体" w:cs="宋体"/>
                <w:color w:val="auto"/>
                <w:sz w:val="24"/>
                <w:szCs w:val="24"/>
                <w:highlight w:val="none"/>
              </w:rPr>
              <w:t xml:space="preserve">              </w:t>
            </w:r>
          </w:p>
          <w:p w14:paraId="79CB27DA">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注意事项：</w:t>
            </w:r>
          </w:p>
          <w:p w14:paraId="4945E308">
            <w:pPr>
              <w:pStyle w:val="55"/>
              <w:spacing w:line="340" w:lineRule="exact"/>
              <w:ind w:firstLine="240" w:firstLineChars="100"/>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以上各类机构出具的以担保函、保证保险承担责任的方式均须满足无条件见索即付条件。</w:t>
            </w:r>
            <w:r>
              <w:rPr>
                <w:rFonts w:hint="eastAsia" w:ascii="宋体" w:hAnsi="宋体" w:eastAsia="宋体" w:cs="宋体"/>
                <w:b/>
                <w:bCs/>
                <w:i w:val="0"/>
                <w:iCs w:val="0"/>
                <w:color w:val="auto"/>
                <w:sz w:val="24"/>
                <w:szCs w:val="24"/>
                <w:highlight w:val="none"/>
                <w:lang w:val="en-US" w:eastAsia="zh-CN"/>
              </w:rPr>
              <w:t>若提供保函，请在</w:t>
            </w:r>
            <w:r>
              <w:rPr>
                <w:rFonts w:hint="eastAsia" w:ascii="宋体" w:hAnsi="宋体" w:eastAsia="宋体" w:cs="宋体"/>
                <w:b/>
                <w:bCs/>
                <w:color w:val="auto"/>
                <w:kern w:val="2"/>
                <w:sz w:val="24"/>
                <w:szCs w:val="24"/>
                <w:highlight w:val="none"/>
                <w:lang w:val="hr-HR" w:eastAsia="zh-CN" w:bidi="ar-SA"/>
              </w:rPr>
              <w:t>提交投标文件截止时间前</w:t>
            </w:r>
            <w:r>
              <w:rPr>
                <w:rFonts w:hint="eastAsia" w:ascii="宋体" w:hAnsi="宋体" w:cs="宋体"/>
                <w:b/>
                <w:bCs/>
                <w:i w:val="0"/>
                <w:iCs w:val="0"/>
                <w:color w:val="auto"/>
                <w:sz w:val="24"/>
                <w:szCs w:val="24"/>
                <w:highlight w:val="none"/>
                <w:lang w:val="en-US" w:eastAsia="zh-CN"/>
              </w:rPr>
              <w:t>将保函扫描件</w:t>
            </w:r>
            <w:r>
              <w:rPr>
                <w:rFonts w:hint="eastAsia" w:ascii="宋体" w:hAnsi="宋体" w:eastAsia="宋体" w:cs="宋体"/>
                <w:b/>
                <w:bCs/>
                <w:i w:val="0"/>
                <w:iCs w:val="0"/>
                <w:color w:val="auto"/>
                <w:sz w:val="24"/>
                <w:szCs w:val="24"/>
                <w:highlight w:val="none"/>
                <w:lang w:val="en-US" w:eastAsia="zh-CN"/>
              </w:rPr>
              <w:t>发送至邮箱：1617593161@qq.com</w:t>
            </w:r>
          </w:p>
          <w:p w14:paraId="5D39F87C">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以担保函、保证保险形式缴纳</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rPr>
              <w:t>保证金的，受益人和收取单位须为采购人。</w:t>
            </w:r>
          </w:p>
          <w:p w14:paraId="2AE9F4AA">
            <w:pPr>
              <w:pStyle w:val="55"/>
              <w:spacing w:line="340" w:lineRule="exact"/>
              <w:ind w:firstLine="240" w:firstLineChars="100"/>
              <w:rPr>
                <w:rFonts w:hint="eastAsia" w:ascii="宋体" w:hAnsi="宋体" w:eastAsia="宋体" w:cs="宋体"/>
                <w:i w:val="0"/>
                <w:iCs w:val="0"/>
                <w:color w:val="auto"/>
                <w:sz w:val="24"/>
                <w:szCs w:val="24"/>
                <w:highlight w:val="none"/>
                <w:u w:val="none"/>
                <w:lang w:val="en-US" w:eastAsia="zh-CN"/>
              </w:rPr>
            </w:pPr>
            <w:r>
              <w:rPr>
                <w:rFonts w:hint="eastAsia" w:ascii="宋体" w:hAnsi="宋体" w:cs="宋体"/>
                <w:i w:val="0"/>
                <w:iCs w:val="0"/>
                <w:color w:val="auto"/>
                <w:sz w:val="24"/>
                <w:szCs w:val="24"/>
                <w:highlight w:val="none"/>
                <w:u w:val="none"/>
                <w:lang w:val="en-US" w:eastAsia="zh-CN"/>
              </w:rPr>
              <w:t>3.</w:t>
            </w:r>
            <w:r>
              <w:rPr>
                <w:rFonts w:hint="eastAsia" w:ascii="宋体" w:hAnsi="宋体" w:eastAsia="宋体" w:cs="宋体"/>
                <w:i w:val="0"/>
                <w:iCs w:val="0"/>
                <w:color w:val="auto"/>
                <w:sz w:val="24"/>
                <w:szCs w:val="24"/>
                <w:highlight w:val="none"/>
                <w:u w:val="none"/>
                <w:lang w:val="en-US" w:eastAsia="zh-CN"/>
              </w:rPr>
              <w:t>汇款单上必需备注项目编号、</w:t>
            </w:r>
            <w:r>
              <w:rPr>
                <w:rFonts w:hint="eastAsia" w:ascii="宋体" w:hAnsi="宋体" w:cs="宋体"/>
                <w:i w:val="0"/>
                <w:iCs w:val="0"/>
                <w:color w:val="auto"/>
                <w:sz w:val="24"/>
                <w:szCs w:val="24"/>
                <w:highlight w:val="none"/>
                <w:u w:val="none"/>
                <w:lang w:val="en-US" w:eastAsia="zh-CN"/>
              </w:rPr>
              <w:t>标项</w:t>
            </w:r>
            <w:r>
              <w:rPr>
                <w:rFonts w:hint="eastAsia" w:ascii="宋体" w:hAnsi="宋体" w:eastAsia="宋体" w:cs="宋体"/>
                <w:i w:val="0"/>
                <w:iCs w:val="0"/>
                <w:color w:val="auto"/>
                <w:sz w:val="24"/>
                <w:szCs w:val="24"/>
                <w:highlight w:val="none"/>
                <w:u w:val="none"/>
                <w:lang w:val="en-US" w:eastAsia="zh-CN"/>
              </w:rPr>
              <w:t>号（若有）、联系方式。</w:t>
            </w:r>
            <w:r>
              <w:rPr>
                <w:rFonts w:hint="eastAsia" w:ascii="宋体" w:hAnsi="宋体" w:cs="宋体"/>
                <w:i w:val="0"/>
                <w:iCs w:val="0"/>
                <w:color w:val="auto"/>
                <w:sz w:val="24"/>
                <w:szCs w:val="24"/>
                <w:highlight w:val="none"/>
                <w:u w:val="none"/>
                <w:lang w:val="en-US" w:eastAsia="zh-CN"/>
              </w:rPr>
              <w:t>投标</w:t>
            </w:r>
            <w:r>
              <w:rPr>
                <w:rFonts w:hint="eastAsia" w:ascii="宋体" w:hAnsi="宋体" w:eastAsia="宋体" w:cs="宋体"/>
                <w:i w:val="0"/>
                <w:iCs w:val="0"/>
                <w:color w:val="auto"/>
                <w:sz w:val="24"/>
                <w:szCs w:val="24"/>
                <w:highlight w:val="none"/>
                <w:u w:val="none"/>
                <w:lang w:val="en-US" w:eastAsia="zh-CN"/>
              </w:rPr>
              <w:t xml:space="preserve">保证金于截止日之前确认到账，若投标人未按照上述规定缴纳保证金,投标文件将被拒绝评审。 </w:t>
            </w:r>
          </w:p>
          <w:p w14:paraId="18A98BB9">
            <w:pPr>
              <w:pStyle w:val="55"/>
              <w:spacing w:line="340" w:lineRule="exact"/>
              <w:ind w:firstLine="241" w:firstLineChars="100"/>
              <w:rPr>
                <w:rFonts w:hint="eastAsia" w:ascii="宋体" w:hAnsi="宋体" w:eastAsia="宋体" w:cs="宋体"/>
                <w:b/>
                <w:bCs/>
                <w:i w:val="0"/>
                <w:iCs w:val="0"/>
                <w:color w:val="auto"/>
                <w:sz w:val="24"/>
                <w:szCs w:val="24"/>
                <w:highlight w:val="none"/>
                <w:u w:val="none"/>
                <w:lang w:val="en-US" w:eastAsia="zh-CN"/>
              </w:rPr>
            </w:pPr>
            <w:r>
              <w:rPr>
                <w:rFonts w:hint="eastAsia" w:ascii="宋体" w:hAnsi="宋体" w:eastAsia="宋体" w:cs="宋体"/>
                <w:b/>
                <w:bCs/>
                <w:i w:val="0"/>
                <w:iCs w:val="0"/>
                <w:color w:val="auto"/>
                <w:sz w:val="24"/>
                <w:szCs w:val="24"/>
                <w:highlight w:val="none"/>
                <w:u w:val="none"/>
                <w:lang w:val="en-US" w:eastAsia="zh-CN"/>
              </w:rPr>
              <w:t>例：</w:t>
            </w:r>
            <w:r>
              <w:rPr>
                <w:rFonts w:hint="eastAsia" w:ascii="宋体" w:hAnsi="宋体" w:cs="宋体"/>
                <w:b/>
                <w:bCs/>
                <w:i w:val="0"/>
                <w:iCs w:val="0"/>
                <w:color w:val="auto"/>
                <w:sz w:val="24"/>
                <w:szCs w:val="24"/>
                <w:highlight w:val="none"/>
                <w:u w:val="none"/>
                <w:lang w:val="en-US" w:eastAsia="zh-CN"/>
              </w:rPr>
              <w:t>XSY-2026-Z-106标项*</w:t>
            </w:r>
            <w:r>
              <w:rPr>
                <w:rFonts w:hint="eastAsia" w:ascii="宋体" w:hAnsi="宋体" w:eastAsia="宋体" w:cs="宋体"/>
                <w:b/>
                <w:bCs/>
                <w:i w:val="0"/>
                <w:iCs w:val="0"/>
                <w:color w:val="auto"/>
                <w:sz w:val="24"/>
                <w:szCs w:val="24"/>
                <w:highlight w:val="none"/>
                <w:u w:val="none"/>
                <w:lang w:val="en-US" w:eastAsia="zh-CN"/>
              </w:rPr>
              <w:t>保证金+联系方式</w:t>
            </w:r>
          </w:p>
          <w:p w14:paraId="7AE8DB6D">
            <w:pPr>
              <w:pStyle w:val="55"/>
              <w:spacing w:line="340" w:lineRule="exact"/>
              <w:ind w:firstLine="240" w:firstLineChars="100"/>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财务办公室：新疆乌鲁木齐市沙依巴克区奇台路658号德汇万达E2写字楼1703-02室</w:t>
            </w:r>
          </w:p>
          <w:p w14:paraId="79AADC18">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240" w:firstLineChars="1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i w:val="0"/>
                <w:iCs w:val="0"/>
                <w:color w:val="auto"/>
                <w:sz w:val="24"/>
                <w:szCs w:val="24"/>
                <w:highlight w:val="none"/>
                <w:u w:val="none"/>
                <w:lang w:val="en-US" w:eastAsia="zh-CN"/>
              </w:rPr>
              <w:t>财务联系电话：0991-5803779</w:t>
            </w:r>
          </w:p>
        </w:tc>
      </w:tr>
      <w:tr w14:paraId="509193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603" w:hRule="atLeast"/>
        </w:trPr>
        <w:tc>
          <w:tcPr>
            <w:tcW w:w="970" w:type="dxa"/>
            <w:vAlign w:val="center"/>
          </w:tcPr>
          <w:p w14:paraId="4D6CD013">
            <w:pPr>
              <w:pStyle w:val="5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p>
        </w:tc>
        <w:tc>
          <w:tcPr>
            <w:tcW w:w="1738" w:type="dxa"/>
            <w:vAlign w:val="center"/>
          </w:tcPr>
          <w:p w14:paraId="57F8C9D2">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实物样品</w:t>
            </w:r>
          </w:p>
        </w:tc>
        <w:tc>
          <w:tcPr>
            <w:tcW w:w="6700" w:type="dxa"/>
            <w:vAlign w:val="center"/>
          </w:tcPr>
          <w:p w14:paraId="5AC7925A">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投标样品递交： </w:t>
            </w:r>
          </w:p>
          <w:p w14:paraId="2FE1713C">
            <w:pPr>
              <w:pStyle w:val="51"/>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 xml:space="preserve">不需要 </w:t>
            </w:r>
          </w:p>
          <w:p w14:paraId="71213E1E">
            <w:pPr>
              <w:pStyle w:val="51"/>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 xml:space="preserve">需要，具体要求如下： </w:t>
            </w:r>
          </w:p>
          <w:p w14:paraId="7F5826B1">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1.因仅凭书面方式不能准确描述采购需求，需要投标人提供样品进行主观判断以确认是否满足采购需求。</w:t>
            </w:r>
          </w:p>
          <w:p w14:paraId="5BA3344F">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2.（1）样品递交时间和地点：</w:t>
            </w: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w:t>
            </w:r>
          </w:p>
          <w:p w14:paraId="136622CF">
            <w:pPr>
              <w:pStyle w:val="51"/>
              <w:ind w:firstLine="240" w:firstLineChars="1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（2）样品递交截止时间：</w:t>
            </w: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w:t>
            </w:r>
          </w:p>
          <w:p w14:paraId="00E41FCF">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3.样品制作的标准和要求：</w:t>
            </w: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w:t>
            </w:r>
          </w:p>
          <w:p w14:paraId="4D5AEA95">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4.是否需要随样品提交相关检测报告：</w:t>
            </w: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w:t>
            </w:r>
          </w:p>
          <w:p w14:paraId="25279160">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5.样品的评审方法以及评审标准：</w:t>
            </w: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w:t>
            </w:r>
          </w:p>
          <w:p w14:paraId="28F90A60">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6.样品的密封及包装：</w:t>
            </w: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w:t>
            </w:r>
          </w:p>
        </w:tc>
      </w:tr>
      <w:tr w14:paraId="307830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11" w:hRule="atLeast"/>
        </w:trPr>
        <w:tc>
          <w:tcPr>
            <w:tcW w:w="970" w:type="dxa"/>
            <w:vAlign w:val="center"/>
          </w:tcPr>
          <w:p w14:paraId="604EC22F">
            <w:pPr>
              <w:pStyle w:val="5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w:t>
            </w:r>
          </w:p>
        </w:tc>
        <w:tc>
          <w:tcPr>
            <w:tcW w:w="1738" w:type="dxa"/>
            <w:vAlign w:val="center"/>
          </w:tcPr>
          <w:p w14:paraId="2EB01A2C">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演示</w:t>
            </w:r>
          </w:p>
        </w:tc>
        <w:tc>
          <w:tcPr>
            <w:tcW w:w="6700" w:type="dxa"/>
            <w:vAlign w:val="center"/>
          </w:tcPr>
          <w:p w14:paraId="512252C3">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sym w:font="Wingdings" w:char="00FE"/>
            </w:r>
            <w:r>
              <w:rPr>
                <w:rFonts w:hint="eastAsia" w:ascii="宋体" w:hAnsi="宋体" w:eastAsia="宋体" w:cs="宋体"/>
                <w:color w:val="auto"/>
                <w:sz w:val="24"/>
                <w:szCs w:val="24"/>
                <w:highlight w:val="none"/>
              </w:rPr>
              <w:t>不进行</w:t>
            </w:r>
          </w:p>
          <w:p w14:paraId="278A739B">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进行，远程线上演示/现场演示</w:t>
            </w:r>
          </w:p>
          <w:p w14:paraId="3CCEC7FE">
            <w:pPr>
              <w:pStyle w:val="51"/>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1.演示时间不得超过</w:t>
            </w:r>
            <w:r>
              <w:rPr>
                <w:rFonts w:hint="eastAsia" w:cs="宋体"/>
                <w:color w:val="auto"/>
                <w:sz w:val="24"/>
                <w:szCs w:val="24"/>
                <w:highlight w:val="none"/>
                <w:u w:val="single"/>
                <w:lang w:val="en-US" w:eastAsia="zh-CN"/>
              </w:rPr>
              <w:t xml:space="preserve"> / </w:t>
            </w:r>
            <w:r>
              <w:rPr>
                <w:rFonts w:hint="eastAsia" w:ascii="宋体" w:hAnsi="宋体" w:eastAsia="宋体" w:cs="宋体"/>
                <w:color w:val="auto"/>
                <w:sz w:val="24"/>
                <w:szCs w:val="24"/>
                <w:highlight w:val="none"/>
              </w:rPr>
              <w:t>分钟；</w:t>
            </w:r>
          </w:p>
          <w:p w14:paraId="157C690C">
            <w:pPr>
              <w:pStyle w:val="51"/>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2.进行远程线上演示的，投标人应提前自行准备好演示的软硬配置环境和网络环境，做好演示的各项准备工作。因投标人自身原因无法演示或者演示效果不理想的，导致的后果由投标人自行承担；</w:t>
            </w:r>
          </w:p>
          <w:p w14:paraId="4F6AAB97">
            <w:pPr>
              <w:pStyle w:val="51"/>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3.进行现场演示的，演示人员不得超过</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rPr>
              <w:t>人，演示现场提供</w:t>
            </w:r>
            <w:r>
              <w:rPr>
                <w:rFonts w:hint="eastAsia"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w:t>
            </w:r>
          </w:p>
        </w:tc>
      </w:tr>
      <w:tr w14:paraId="33DD73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93" w:hRule="atLeast"/>
        </w:trPr>
        <w:tc>
          <w:tcPr>
            <w:tcW w:w="970" w:type="dxa"/>
            <w:vAlign w:val="center"/>
          </w:tcPr>
          <w:p w14:paraId="3DA964A6">
            <w:pPr>
              <w:pStyle w:val="5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w:t>
            </w:r>
          </w:p>
        </w:tc>
        <w:tc>
          <w:tcPr>
            <w:tcW w:w="1738" w:type="dxa"/>
            <w:vAlign w:val="center"/>
          </w:tcPr>
          <w:p w14:paraId="031055BF">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解密投标文件的时限</w:t>
            </w:r>
          </w:p>
        </w:tc>
        <w:tc>
          <w:tcPr>
            <w:tcW w:w="6700" w:type="dxa"/>
            <w:vAlign w:val="center"/>
          </w:tcPr>
          <w:p w14:paraId="52F7C96F">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不见面开标默认解密时长：</w:t>
            </w:r>
            <w:r>
              <w:rPr>
                <w:rFonts w:hint="eastAsia" w:cs="宋体"/>
                <w:color w:val="auto"/>
                <w:sz w:val="24"/>
                <w:szCs w:val="24"/>
                <w:highlight w:val="none"/>
                <w:u w:val="single"/>
                <w:lang w:val="en-US" w:eastAsia="zh-CN"/>
              </w:rPr>
              <w:t xml:space="preserve"> 30 </w:t>
            </w:r>
            <w:r>
              <w:rPr>
                <w:rFonts w:hint="eastAsia" w:ascii="宋体" w:hAnsi="宋体" w:eastAsia="宋体" w:cs="宋体"/>
                <w:color w:val="auto"/>
                <w:sz w:val="24"/>
                <w:szCs w:val="24"/>
                <w:highlight w:val="none"/>
                <w:lang w:val="en-US" w:eastAsia="zh-CN"/>
              </w:rPr>
              <w:t>分钟。</w:t>
            </w:r>
            <w:r>
              <w:rPr>
                <w:rFonts w:hint="eastAsia" w:ascii="宋体" w:hAnsi="宋体" w:eastAsia="宋体" w:cs="宋体"/>
                <w:color w:val="auto"/>
                <w:sz w:val="24"/>
                <w:szCs w:val="24"/>
                <w:highlight w:val="none"/>
              </w:rPr>
              <w:t xml:space="preserve"> </w:t>
            </w:r>
          </w:p>
          <w:p w14:paraId="57D78FE0">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除因交易平台发生故障导致投标文件无法按时解密外，投标文件未按时解密的，视为未按规定提交投标文件。</w:t>
            </w:r>
          </w:p>
        </w:tc>
      </w:tr>
      <w:tr w14:paraId="4F4C69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77" w:hRule="atLeast"/>
        </w:trPr>
        <w:tc>
          <w:tcPr>
            <w:tcW w:w="970" w:type="dxa"/>
            <w:vAlign w:val="center"/>
          </w:tcPr>
          <w:p w14:paraId="00AB4DF1">
            <w:pPr>
              <w:pStyle w:val="51"/>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29.1</w:t>
            </w:r>
          </w:p>
        </w:tc>
        <w:tc>
          <w:tcPr>
            <w:tcW w:w="1738" w:type="dxa"/>
            <w:vAlign w:val="center"/>
          </w:tcPr>
          <w:p w14:paraId="5900A88E">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评标方法</w:t>
            </w:r>
          </w:p>
        </w:tc>
        <w:tc>
          <w:tcPr>
            <w:tcW w:w="6700" w:type="dxa"/>
            <w:vAlign w:val="center"/>
          </w:tcPr>
          <w:p w14:paraId="06EE9173">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lang w:val="en-US" w:eastAsia="zh-CN"/>
              </w:rPr>
              <w:t>综合评分法</w:t>
            </w:r>
          </w:p>
          <w:p w14:paraId="30D96F79">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lang w:val="en-US" w:eastAsia="zh-CN"/>
              </w:rPr>
              <w:t>最低评标价法</w:t>
            </w:r>
          </w:p>
        </w:tc>
      </w:tr>
      <w:tr w14:paraId="76697C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5" w:hRule="atLeast"/>
        </w:trPr>
        <w:tc>
          <w:tcPr>
            <w:tcW w:w="970" w:type="dxa"/>
            <w:vAlign w:val="center"/>
          </w:tcPr>
          <w:p w14:paraId="2975D9F8">
            <w:pPr>
              <w:pStyle w:val="51"/>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p>
        </w:tc>
        <w:tc>
          <w:tcPr>
            <w:tcW w:w="1738" w:type="dxa"/>
            <w:vAlign w:val="center"/>
          </w:tcPr>
          <w:p w14:paraId="3C043A56">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推荐中标候选人</w:t>
            </w:r>
          </w:p>
        </w:tc>
        <w:tc>
          <w:tcPr>
            <w:tcW w:w="6700" w:type="dxa"/>
            <w:vAlign w:val="center"/>
          </w:tcPr>
          <w:p w14:paraId="55526B9B">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中标候选人数量</w:t>
            </w:r>
            <w:r>
              <w:rPr>
                <w:rFonts w:hint="eastAsia" w:cs="宋体"/>
                <w:color w:val="auto"/>
                <w:sz w:val="24"/>
                <w:szCs w:val="24"/>
                <w:highlight w:val="none"/>
                <w:u w:val="single"/>
                <w:lang w:val="en-US" w:eastAsia="zh-CN"/>
              </w:rPr>
              <w:t xml:space="preserve"> 3 </w:t>
            </w:r>
            <w:r>
              <w:rPr>
                <w:rFonts w:hint="eastAsia" w:ascii="宋体" w:hAnsi="宋体" w:eastAsia="宋体" w:cs="宋体"/>
                <w:color w:val="auto"/>
                <w:sz w:val="24"/>
                <w:szCs w:val="24"/>
                <w:highlight w:val="none"/>
              </w:rPr>
              <w:t>家</w:t>
            </w:r>
          </w:p>
        </w:tc>
      </w:tr>
      <w:tr w14:paraId="2983F1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13" w:hRule="atLeast"/>
        </w:trPr>
        <w:tc>
          <w:tcPr>
            <w:tcW w:w="970" w:type="dxa"/>
            <w:vAlign w:val="center"/>
          </w:tcPr>
          <w:p w14:paraId="41FCD320">
            <w:pPr>
              <w:pStyle w:val="5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.1</w:t>
            </w:r>
          </w:p>
        </w:tc>
        <w:tc>
          <w:tcPr>
            <w:tcW w:w="1738" w:type="dxa"/>
            <w:vAlign w:val="center"/>
          </w:tcPr>
          <w:p w14:paraId="6CBF5B1B">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确定中标人</w:t>
            </w:r>
          </w:p>
        </w:tc>
        <w:tc>
          <w:tcPr>
            <w:tcW w:w="6700" w:type="dxa"/>
            <w:vAlign w:val="center"/>
          </w:tcPr>
          <w:p w14:paraId="63DE3358">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采购人按评审报告中推荐的中标候选人排序确定中标人。</w:t>
            </w:r>
          </w:p>
          <w:p w14:paraId="298F0104">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采购人委托评标委员会直接确定中标人。</w:t>
            </w:r>
          </w:p>
        </w:tc>
      </w:tr>
      <w:tr w14:paraId="3BEB40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26" w:hRule="atLeast"/>
        </w:trPr>
        <w:tc>
          <w:tcPr>
            <w:tcW w:w="970" w:type="dxa"/>
            <w:vAlign w:val="center"/>
          </w:tcPr>
          <w:p w14:paraId="0356FEEA">
            <w:pPr>
              <w:pStyle w:val="51"/>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30.2</w:t>
            </w:r>
          </w:p>
          <w:p w14:paraId="74E65AA5">
            <w:pPr>
              <w:pStyle w:val="51"/>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30.3</w:t>
            </w:r>
          </w:p>
        </w:tc>
        <w:tc>
          <w:tcPr>
            <w:tcW w:w="1738" w:type="dxa"/>
            <w:vAlign w:val="center"/>
          </w:tcPr>
          <w:p w14:paraId="44789371">
            <w:pPr>
              <w:pStyle w:val="51"/>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4"/>
                <w:highlight w:val="none"/>
                <w:lang w:val="en-US" w:eastAsia="zh-CN" w:bidi="ar"/>
              </w:rPr>
              <w:t>提供相同品牌产品的不同投标人确定中标候选人的规定</w:t>
            </w:r>
          </w:p>
        </w:tc>
        <w:tc>
          <w:tcPr>
            <w:tcW w:w="6700" w:type="dxa"/>
            <w:vAlign w:val="center"/>
          </w:tcPr>
          <w:p w14:paraId="3BF3743F">
            <w:pPr>
              <w:pStyle w:val="51"/>
              <w:ind w:firstLine="480" w:firstLineChars="200"/>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kern w:val="0"/>
                <w:sz w:val="24"/>
                <w:szCs w:val="24"/>
                <w:highlight w:val="none"/>
                <w:lang w:val="en-US" w:eastAsia="zh-CN" w:bidi="ar"/>
              </w:rPr>
              <w:t>综合评分法的采购项目，提供相同品牌产品且通过资格审查、符合性审查的不同投标人参加同一合同项下投标的，按一家投标人计算，评审后得分相同的，按照</w:t>
            </w:r>
            <w:r>
              <w:rPr>
                <w:rFonts w:hint="eastAsia" w:ascii="宋体" w:hAnsi="宋体" w:eastAsia="宋体" w:cs="宋体"/>
                <w:color w:val="auto"/>
                <w:kern w:val="0"/>
                <w:sz w:val="24"/>
                <w:szCs w:val="24"/>
                <w:highlight w:val="none"/>
                <w:u w:val="single"/>
                <w:lang w:val="en-US" w:eastAsia="zh-CN" w:bidi="ar"/>
              </w:rPr>
              <w:t xml:space="preserve"> 商务技术得分最高 </w:t>
            </w:r>
            <w:r>
              <w:rPr>
                <w:rFonts w:hint="eastAsia" w:ascii="宋体" w:hAnsi="宋体" w:eastAsia="宋体" w:cs="宋体"/>
                <w:color w:val="auto"/>
                <w:kern w:val="0"/>
                <w:sz w:val="24"/>
                <w:szCs w:val="24"/>
                <w:highlight w:val="none"/>
                <w:lang w:val="en-US" w:eastAsia="zh-CN" w:bidi="ar"/>
              </w:rPr>
              <w:t>方式确定一个投标人获得中标人推荐资格，其他同品牌投标人不作为中标候选人。</w:t>
            </w:r>
          </w:p>
          <w:p w14:paraId="39C0ABF1">
            <w:pPr>
              <w:pStyle w:val="51"/>
              <w:ind w:firstLine="480" w:firstLineChars="200"/>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kern w:val="0"/>
                <w:sz w:val="24"/>
                <w:szCs w:val="24"/>
                <w:highlight w:val="none"/>
                <w:lang w:val="en-US" w:eastAsia="zh-CN" w:bidi="ar"/>
              </w:rPr>
              <w:t>最低评标价法的采购项目，提供相同品牌产品的不同投标人参加同一合同项下投标的，以其中通过资格审查、符合性审查且报价最低的参加评标；报价相同的，按照</w:t>
            </w:r>
            <w:r>
              <w:rPr>
                <w:rFonts w:hint="eastAsia" w:cs="宋体"/>
                <w:color w:val="auto"/>
                <w:kern w:val="0"/>
                <w:sz w:val="24"/>
                <w:szCs w:val="24"/>
                <w:highlight w:val="none"/>
                <w:u w:val="single"/>
                <w:lang w:val="en-US" w:eastAsia="zh-CN" w:bidi="ar"/>
              </w:rPr>
              <w:t xml:space="preserve"> / </w:t>
            </w:r>
            <w:r>
              <w:rPr>
                <w:rFonts w:hint="eastAsia" w:ascii="宋体" w:hAnsi="宋体" w:eastAsia="宋体" w:cs="宋体"/>
                <w:color w:val="auto"/>
                <w:kern w:val="0"/>
                <w:sz w:val="24"/>
                <w:szCs w:val="24"/>
                <w:highlight w:val="none"/>
                <w:lang w:val="en-US" w:eastAsia="zh-CN" w:bidi="ar"/>
              </w:rPr>
              <w:t>方式确定一个参加评标的投标人，其他投标无效。</w:t>
            </w:r>
          </w:p>
        </w:tc>
      </w:tr>
      <w:tr w14:paraId="288E41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641" w:hRule="atLeast"/>
        </w:trPr>
        <w:tc>
          <w:tcPr>
            <w:tcW w:w="970" w:type="dxa"/>
            <w:vAlign w:val="center"/>
          </w:tcPr>
          <w:p w14:paraId="6682B5D7">
            <w:pPr>
              <w:pStyle w:val="5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w:t>
            </w:r>
          </w:p>
        </w:tc>
        <w:tc>
          <w:tcPr>
            <w:tcW w:w="1738" w:type="dxa"/>
            <w:vAlign w:val="center"/>
          </w:tcPr>
          <w:p w14:paraId="114BA29D">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履约保证金</w:t>
            </w:r>
          </w:p>
        </w:tc>
        <w:tc>
          <w:tcPr>
            <w:tcW w:w="6700" w:type="dxa"/>
            <w:vAlign w:val="center"/>
          </w:tcPr>
          <w:p w14:paraId="4804F612">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金额：</w:t>
            </w:r>
          </w:p>
          <w:p w14:paraId="66F02966">
            <w:pPr>
              <w:pStyle w:val="51"/>
              <w:ind w:firstLine="480" w:firstLineChars="200"/>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免收</w:t>
            </w:r>
          </w:p>
          <w:p w14:paraId="352DC0DF">
            <w:pPr>
              <w:pStyle w:val="51"/>
              <w:ind w:firstLine="480" w:firstLineChars="200"/>
              <w:rPr>
                <w:rFonts w:hint="eastAsia" w:ascii="宋体" w:hAnsi="宋体" w:eastAsia="宋体" w:cs="宋体"/>
                <w:color w:val="auto"/>
                <w:sz w:val="24"/>
                <w:szCs w:val="24"/>
                <w:highlight w:val="none"/>
              </w:rPr>
            </w:pP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合同价的</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10</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w:t>
            </w:r>
          </w:p>
          <w:p w14:paraId="17D4CD8D">
            <w:pPr>
              <w:pStyle w:val="51"/>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□定额收取：人民币</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w:t>
            </w:r>
          </w:p>
          <w:p w14:paraId="540BD37B">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支付方式：</w:t>
            </w:r>
          </w:p>
          <w:p w14:paraId="43260C1D">
            <w:pPr>
              <w:pStyle w:val="55"/>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投标人可自主选择以支票、汇票、本票、电汇、转账、网银、保函等非现金形式缴纳或提交保证金。</w:t>
            </w:r>
          </w:p>
          <w:p w14:paraId="1EA4BE30">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3.</w:t>
            </w:r>
            <w:r>
              <w:rPr>
                <w:rFonts w:hint="eastAsia" w:ascii="宋体" w:hAnsi="宋体" w:eastAsia="宋体" w:cs="宋体"/>
                <w:color w:val="auto"/>
                <w:sz w:val="24"/>
                <w:szCs w:val="24"/>
                <w:highlight w:val="none"/>
              </w:rPr>
              <w:t xml:space="preserve">收取单位：乌鲁木齐市公安局                            </w:t>
            </w:r>
          </w:p>
          <w:p w14:paraId="77A673FB">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4.收取账号：</w:t>
            </w:r>
            <w:r>
              <w:rPr>
                <w:rFonts w:hint="eastAsia" w:cs="宋体"/>
                <w:color w:val="auto"/>
                <w:szCs w:val="24"/>
                <w:highlight w:val="none"/>
              </w:rPr>
              <w:t>65001619700052501233</w:t>
            </w:r>
            <w:r>
              <w:rPr>
                <w:rFonts w:hint="eastAsia" w:ascii="宋体" w:hAnsi="宋体" w:eastAsia="宋体" w:cs="宋体"/>
                <w:color w:val="auto"/>
                <w:sz w:val="24"/>
                <w:szCs w:val="24"/>
                <w:highlight w:val="none"/>
              </w:rPr>
              <w:t xml:space="preserve"> </w:t>
            </w:r>
          </w:p>
          <w:p w14:paraId="290841D8">
            <w:pPr>
              <w:pStyle w:val="51"/>
              <w:ind w:firstLine="480" w:firstLineChars="200"/>
              <w:rPr>
                <w:rFonts w:hint="eastAsia" w:ascii="宋体" w:hAnsi="宋体" w:eastAsia="宋体" w:cs="宋体"/>
                <w:color w:val="auto"/>
                <w:sz w:val="24"/>
                <w:szCs w:val="24"/>
                <w:highlight w:val="none"/>
              </w:rPr>
            </w:pPr>
            <w:r>
              <w:rPr>
                <w:rFonts w:hint="eastAsia" w:cs="宋体"/>
                <w:color w:val="auto"/>
                <w:szCs w:val="24"/>
                <w:highlight w:val="none"/>
              </w:rPr>
              <w:t>开户银行：建行乌鲁木齐市南湖南路支行</w:t>
            </w:r>
            <w:r>
              <w:rPr>
                <w:rFonts w:hint="eastAsia" w:ascii="宋体" w:hAnsi="宋体" w:eastAsia="宋体" w:cs="宋体"/>
                <w:color w:val="auto"/>
                <w:sz w:val="24"/>
                <w:szCs w:val="24"/>
                <w:highlight w:val="none"/>
              </w:rPr>
              <w:t xml:space="preserve">             </w:t>
            </w:r>
          </w:p>
          <w:p w14:paraId="1486C27B">
            <w:pPr>
              <w:pStyle w:val="51"/>
              <w:rPr>
                <w:rFonts w:cs="宋体"/>
                <w:color w:val="auto"/>
                <w:szCs w:val="24"/>
                <w:highlight w:val="none"/>
              </w:rPr>
            </w:pPr>
            <w:r>
              <w:rPr>
                <w:rFonts w:hint="eastAsia" w:ascii="宋体" w:hAnsi="宋体" w:eastAsia="宋体" w:cs="宋体"/>
                <w:color w:val="auto"/>
                <w:sz w:val="24"/>
                <w:szCs w:val="24"/>
                <w:highlight w:val="none"/>
                <w:lang w:val="en-US" w:eastAsia="zh-CN"/>
              </w:rPr>
              <w:t xml:space="preserve"> 5.</w:t>
            </w:r>
            <w:r>
              <w:rPr>
                <w:rFonts w:hint="eastAsia" w:ascii="宋体" w:hAnsi="宋体" w:eastAsia="宋体" w:cs="宋体"/>
                <w:color w:val="auto"/>
                <w:sz w:val="24"/>
                <w:szCs w:val="24"/>
                <w:highlight w:val="none"/>
              </w:rPr>
              <w:t>退还时间：</w:t>
            </w:r>
            <w:r>
              <w:rPr>
                <w:rFonts w:hint="eastAsia" w:cs="宋体"/>
                <w:color w:val="auto"/>
                <w:szCs w:val="24"/>
                <w:highlight w:val="none"/>
              </w:rPr>
              <w:t>合同履行完毕，</w:t>
            </w:r>
            <w:r>
              <w:rPr>
                <w:rFonts w:cs="宋体"/>
                <w:color w:val="auto"/>
                <w:szCs w:val="24"/>
                <w:highlight w:val="none"/>
              </w:rPr>
              <w:t>验收合格后30个工作日</w:t>
            </w:r>
            <w:r>
              <w:rPr>
                <w:rFonts w:hint="eastAsia" w:cs="宋体"/>
                <w:color w:val="auto"/>
                <w:szCs w:val="24"/>
                <w:highlight w:val="none"/>
              </w:rPr>
              <w:t xml:space="preserve">内退还。              </w:t>
            </w:r>
          </w:p>
          <w:p w14:paraId="3028A112">
            <w:pPr>
              <w:pStyle w:val="51"/>
              <w:rPr>
                <w:rFonts w:hint="eastAsia" w:ascii="宋体" w:hAnsi="宋体" w:eastAsia="宋体" w:cs="宋体"/>
                <w:color w:val="auto"/>
                <w:sz w:val="24"/>
                <w:szCs w:val="24"/>
                <w:highlight w:val="none"/>
              </w:rPr>
            </w:pPr>
            <w:r>
              <w:rPr>
                <w:rFonts w:hint="eastAsia" w:cs="宋体"/>
                <w:b/>
                <w:color w:val="auto"/>
                <w:szCs w:val="24"/>
                <w:highlight w:val="none"/>
              </w:rPr>
              <w:t>备注：履约保证金的支付最终以和甲方单位签订合同为准。</w:t>
            </w:r>
            <w:r>
              <w:rPr>
                <w:rFonts w:hint="eastAsia" w:ascii="宋体" w:hAnsi="宋体" w:eastAsia="宋体" w:cs="宋体"/>
                <w:color w:val="auto"/>
                <w:sz w:val="24"/>
                <w:szCs w:val="24"/>
                <w:highlight w:val="none"/>
              </w:rPr>
              <w:t xml:space="preserve">              </w:t>
            </w:r>
          </w:p>
          <w:p w14:paraId="201AAA21">
            <w:pPr>
              <w:pStyle w:val="51"/>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注意事项：</w:t>
            </w:r>
          </w:p>
          <w:p w14:paraId="39543BF5">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以上各类机构出具的以担保函、保证保险承担责任的方式均须满足无条件见索即付条件。</w:t>
            </w:r>
          </w:p>
          <w:p w14:paraId="4DF3002C">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以担保函、保证保险形式缴纳履约保证金的，受益人和收取单位须为采购人。</w:t>
            </w:r>
          </w:p>
        </w:tc>
      </w:tr>
      <w:tr w14:paraId="04FF00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923" w:hRule="atLeast"/>
        </w:trPr>
        <w:tc>
          <w:tcPr>
            <w:tcW w:w="970" w:type="dxa"/>
            <w:vAlign w:val="center"/>
          </w:tcPr>
          <w:p w14:paraId="15A8632E">
            <w:pPr>
              <w:pStyle w:val="51"/>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34.5</w:t>
            </w:r>
          </w:p>
        </w:tc>
        <w:tc>
          <w:tcPr>
            <w:tcW w:w="1738" w:type="dxa"/>
            <w:vAlign w:val="center"/>
          </w:tcPr>
          <w:p w14:paraId="54806119">
            <w:pPr>
              <w:pStyle w:val="5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中标后分包</w:t>
            </w:r>
          </w:p>
        </w:tc>
        <w:tc>
          <w:tcPr>
            <w:tcW w:w="6700" w:type="dxa"/>
            <w:vAlign w:val="center"/>
          </w:tcPr>
          <w:p w14:paraId="65A8F26F">
            <w:pPr>
              <w:pStyle w:val="5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本项目的非主体、非关键性工作是否允许分包： </w:t>
            </w:r>
          </w:p>
          <w:p w14:paraId="35A77955">
            <w:pPr>
              <w:pStyle w:val="51"/>
              <w:ind w:firstLine="480" w:firstLineChars="200"/>
              <w:rPr>
                <w:rFonts w:hint="eastAsia" w:ascii="宋体" w:hAnsi="宋体"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w:t>
            </w:r>
            <w:r>
              <w:rPr>
                <w:rFonts w:hint="eastAsia" w:ascii="宋体" w:hAnsi="宋体" w:eastAsia="宋体" w:cs="宋体"/>
                <w:color w:val="auto"/>
                <w:kern w:val="2"/>
                <w:sz w:val="24"/>
                <w:szCs w:val="24"/>
                <w:highlight w:val="none"/>
                <w:lang w:val="en-US" w:eastAsia="zh-CN" w:bidi="ar-SA"/>
              </w:rPr>
              <w:t xml:space="preserve">不允许 </w:t>
            </w:r>
          </w:p>
          <w:p w14:paraId="7318AF06">
            <w:pPr>
              <w:pStyle w:val="51"/>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□允许，具体要求： </w:t>
            </w:r>
          </w:p>
          <w:p w14:paraId="3CAEB96E">
            <w:pPr>
              <w:pStyle w:val="5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     1.可以分包履行的具体内容：</w:t>
            </w:r>
            <w:r>
              <w:rPr>
                <w:rFonts w:hint="eastAsia" w:cs="宋体"/>
                <w:color w:val="auto"/>
                <w:kern w:val="2"/>
                <w:sz w:val="24"/>
                <w:szCs w:val="24"/>
                <w:highlight w:val="none"/>
                <w:u w:val="single"/>
                <w:lang w:val="en-US" w:eastAsia="zh-CN" w:bidi="ar-SA"/>
              </w:rPr>
              <w:t xml:space="preserve"> / </w:t>
            </w:r>
            <w:r>
              <w:rPr>
                <w:rFonts w:hint="eastAsia" w:ascii="宋体" w:hAnsi="宋体" w:eastAsia="宋体" w:cs="宋体"/>
                <w:color w:val="auto"/>
                <w:kern w:val="2"/>
                <w:sz w:val="24"/>
                <w:szCs w:val="24"/>
                <w:highlight w:val="none"/>
                <w:lang w:val="en-US" w:eastAsia="zh-CN" w:bidi="ar-SA"/>
              </w:rPr>
              <w:t xml:space="preserve">； </w:t>
            </w:r>
          </w:p>
          <w:p w14:paraId="78E261E1">
            <w:pPr>
              <w:pStyle w:val="5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     2.允许分包的金额或者比例：</w:t>
            </w:r>
            <w:r>
              <w:rPr>
                <w:rFonts w:hint="eastAsia" w:cs="宋体"/>
                <w:color w:val="auto"/>
                <w:kern w:val="2"/>
                <w:sz w:val="24"/>
                <w:szCs w:val="24"/>
                <w:highlight w:val="none"/>
                <w:u w:val="single"/>
                <w:lang w:val="en-US" w:eastAsia="zh-CN" w:bidi="ar-SA"/>
              </w:rPr>
              <w:t xml:space="preserve"> / </w:t>
            </w:r>
            <w:r>
              <w:rPr>
                <w:rFonts w:hint="eastAsia" w:ascii="宋体" w:hAnsi="宋体" w:eastAsia="宋体" w:cs="宋体"/>
                <w:color w:val="auto"/>
                <w:kern w:val="2"/>
                <w:sz w:val="24"/>
                <w:szCs w:val="24"/>
                <w:highlight w:val="none"/>
                <w:lang w:val="en-US" w:eastAsia="zh-CN" w:bidi="ar-SA"/>
              </w:rPr>
              <w:t xml:space="preserve">； </w:t>
            </w:r>
          </w:p>
          <w:p w14:paraId="3C44DA84">
            <w:pPr>
              <w:pStyle w:val="5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     3.其他要求：</w:t>
            </w:r>
            <w:r>
              <w:rPr>
                <w:rFonts w:hint="eastAsia" w:cs="宋体"/>
                <w:color w:val="auto"/>
                <w:kern w:val="2"/>
                <w:sz w:val="24"/>
                <w:szCs w:val="24"/>
                <w:highlight w:val="none"/>
                <w:u w:val="single"/>
                <w:lang w:val="en-US" w:eastAsia="zh-CN" w:bidi="ar-SA"/>
              </w:rPr>
              <w:t xml:space="preserve"> / </w:t>
            </w:r>
            <w:r>
              <w:rPr>
                <w:rFonts w:hint="eastAsia" w:ascii="宋体" w:hAnsi="宋体" w:eastAsia="宋体" w:cs="宋体"/>
                <w:color w:val="auto"/>
                <w:kern w:val="2"/>
                <w:sz w:val="24"/>
                <w:szCs w:val="24"/>
                <w:highlight w:val="none"/>
                <w:lang w:val="en-US" w:eastAsia="zh-CN" w:bidi="ar-SA"/>
              </w:rPr>
              <w:t xml:space="preserve">。 </w:t>
            </w:r>
          </w:p>
        </w:tc>
      </w:tr>
      <w:tr w14:paraId="3E672D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53EA69C6">
            <w:pPr>
              <w:pStyle w:val="51"/>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35.1</w:t>
            </w:r>
          </w:p>
        </w:tc>
        <w:tc>
          <w:tcPr>
            <w:tcW w:w="1738" w:type="dxa"/>
            <w:vAlign w:val="center"/>
          </w:tcPr>
          <w:p w14:paraId="3D0A6950">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质疑</w:t>
            </w:r>
          </w:p>
        </w:tc>
        <w:tc>
          <w:tcPr>
            <w:tcW w:w="6700" w:type="dxa"/>
            <w:vAlign w:val="center"/>
          </w:tcPr>
          <w:p w14:paraId="538000E9">
            <w:pPr>
              <w:pStyle w:val="59"/>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i w:val="0"/>
                <w:iCs w:val="0"/>
                <w:color w:val="auto"/>
                <w:kern w:val="2"/>
                <w:sz w:val="24"/>
                <w:szCs w:val="24"/>
                <w:highlight w:val="none"/>
                <w:lang w:val="zh-CN" w:eastAsia="zh-CN" w:bidi="ar-SA"/>
              </w:rPr>
            </w:pPr>
            <w:r>
              <w:rPr>
                <w:rFonts w:hint="eastAsia" w:ascii="宋体" w:hAnsi="宋体" w:eastAsia="宋体" w:cs="宋体"/>
                <w:i w:val="0"/>
                <w:iCs w:val="0"/>
                <w:color w:val="auto"/>
                <w:kern w:val="2"/>
                <w:sz w:val="24"/>
                <w:szCs w:val="24"/>
                <w:highlight w:val="none"/>
                <w:lang w:val="zh-CN" w:eastAsia="zh-CN" w:bidi="ar-SA"/>
              </w:rPr>
              <w:t>递交方式：</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书面形式</w:t>
            </w:r>
            <w:r>
              <w:rPr>
                <w:rFonts w:hint="eastAsia" w:ascii="宋体" w:hAnsi="宋体" w:eastAsia="宋体" w:cs="宋体"/>
                <w:i w:val="0"/>
                <w:iCs w:val="0"/>
                <w:color w:val="auto"/>
                <w:sz w:val="24"/>
                <w:szCs w:val="24"/>
                <w:highlight w:val="none"/>
                <w:u w:val="single"/>
              </w:rPr>
              <w:t xml:space="preserve"> </w:t>
            </w:r>
            <w:r>
              <w:rPr>
                <w:rFonts w:hint="eastAsia" w:ascii="宋体" w:hAnsi="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kern w:val="2"/>
                <w:sz w:val="24"/>
                <w:szCs w:val="24"/>
                <w:highlight w:val="none"/>
                <w:lang w:val="zh-CN" w:eastAsia="zh-CN" w:bidi="ar-SA"/>
              </w:rPr>
              <w:t xml:space="preserve">              </w:t>
            </w:r>
          </w:p>
          <w:p w14:paraId="2D769CFC">
            <w:pPr>
              <w:pStyle w:val="59"/>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i w:val="0"/>
                <w:iCs w:val="0"/>
                <w:color w:val="auto"/>
                <w:kern w:val="2"/>
                <w:sz w:val="24"/>
                <w:szCs w:val="24"/>
                <w:highlight w:val="none"/>
                <w:lang w:val="zh-CN" w:eastAsia="zh-CN" w:bidi="ar-SA"/>
              </w:rPr>
            </w:pPr>
            <w:r>
              <w:rPr>
                <w:rFonts w:hint="eastAsia" w:ascii="宋体" w:hAnsi="宋体" w:eastAsia="宋体" w:cs="宋体"/>
                <w:i w:val="0"/>
                <w:iCs w:val="0"/>
                <w:color w:val="auto"/>
                <w:kern w:val="2"/>
                <w:sz w:val="24"/>
                <w:szCs w:val="24"/>
                <w:highlight w:val="none"/>
                <w:lang w:val="zh-CN" w:eastAsia="zh-CN" w:bidi="ar-SA"/>
              </w:rPr>
              <w:t>接收部门：</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新疆星圣源工程项目管理有限公司</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kern w:val="2"/>
                <w:sz w:val="24"/>
                <w:szCs w:val="24"/>
                <w:highlight w:val="none"/>
                <w:lang w:val="zh-CN" w:eastAsia="zh-CN" w:bidi="ar-SA"/>
              </w:rPr>
              <w:t xml:space="preserve">              </w:t>
            </w:r>
          </w:p>
          <w:p w14:paraId="4D332B8E">
            <w:pPr>
              <w:pStyle w:val="59"/>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i w:val="0"/>
                <w:iCs w:val="0"/>
                <w:color w:val="auto"/>
                <w:kern w:val="2"/>
                <w:sz w:val="24"/>
                <w:szCs w:val="24"/>
                <w:highlight w:val="none"/>
                <w:lang w:val="zh-CN" w:eastAsia="zh-CN" w:bidi="ar-SA"/>
              </w:rPr>
            </w:pPr>
            <w:r>
              <w:rPr>
                <w:rFonts w:hint="eastAsia" w:ascii="宋体" w:hAnsi="宋体" w:eastAsia="宋体" w:cs="宋体"/>
                <w:i w:val="0"/>
                <w:iCs w:val="0"/>
                <w:color w:val="auto"/>
                <w:kern w:val="2"/>
                <w:sz w:val="24"/>
                <w:szCs w:val="24"/>
                <w:highlight w:val="none"/>
                <w:lang w:val="zh-CN" w:eastAsia="zh-CN" w:bidi="ar-SA"/>
              </w:rPr>
              <w:t>联系电话：</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0991-5803779</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kern w:val="2"/>
                <w:sz w:val="24"/>
                <w:szCs w:val="24"/>
                <w:highlight w:val="none"/>
                <w:lang w:val="zh-CN" w:eastAsia="zh-CN" w:bidi="ar-SA"/>
              </w:rPr>
              <w:t xml:space="preserve">              </w:t>
            </w:r>
          </w:p>
          <w:p w14:paraId="5E9C4429">
            <w:pPr>
              <w:pStyle w:val="59"/>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i w:val="0"/>
                <w:iCs w:val="0"/>
                <w:color w:val="auto"/>
                <w:kern w:val="2"/>
                <w:sz w:val="24"/>
                <w:szCs w:val="24"/>
                <w:highlight w:val="none"/>
                <w:lang w:val="zh-CN" w:eastAsia="zh-CN" w:bidi="ar-SA"/>
              </w:rPr>
              <w:t>通讯地址：</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新疆乌鲁木齐市沙依巴克区奇台路658号德汇万达E2写字楼1703-02室</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kern w:val="2"/>
                <w:sz w:val="24"/>
                <w:szCs w:val="24"/>
                <w:highlight w:val="none"/>
                <w:lang w:val="zh-CN" w:eastAsia="zh-CN" w:bidi="ar-SA"/>
              </w:rPr>
              <w:t xml:space="preserve"> </w:t>
            </w:r>
            <w:r>
              <w:rPr>
                <w:rFonts w:hint="eastAsia" w:ascii="宋体" w:hAnsi="宋体" w:eastAsia="宋体" w:cs="宋体"/>
                <w:color w:val="auto"/>
                <w:kern w:val="2"/>
                <w:sz w:val="24"/>
                <w:szCs w:val="24"/>
                <w:highlight w:val="none"/>
                <w:lang w:val="zh-CN" w:eastAsia="zh-CN" w:bidi="ar-SA"/>
              </w:rPr>
              <w:t xml:space="preserve">           </w:t>
            </w:r>
          </w:p>
        </w:tc>
      </w:tr>
      <w:tr w14:paraId="5C96C7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04" w:hRule="atLeast"/>
        </w:trPr>
        <w:tc>
          <w:tcPr>
            <w:tcW w:w="970" w:type="dxa"/>
            <w:vAlign w:val="center"/>
          </w:tcPr>
          <w:p w14:paraId="3E1BFD4B">
            <w:pPr>
              <w:pStyle w:val="5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.1</w:t>
            </w:r>
          </w:p>
        </w:tc>
        <w:tc>
          <w:tcPr>
            <w:tcW w:w="1738" w:type="dxa"/>
            <w:vAlign w:val="center"/>
          </w:tcPr>
          <w:p w14:paraId="4784B357">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采购代理服务费</w:t>
            </w:r>
          </w:p>
        </w:tc>
        <w:tc>
          <w:tcPr>
            <w:tcW w:w="6700" w:type="dxa"/>
            <w:vAlign w:val="center"/>
          </w:tcPr>
          <w:p w14:paraId="3D42FAA3">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收</w:t>
            </w:r>
            <w:r>
              <w:rPr>
                <w:rFonts w:hint="eastAsia" w:ascii="宋体" w:hAnsi="宋体" w:eastAsia="宋体" w:cs="宋体"/>
                <w:color w:val="auto"/>
                <w:sz w:val="24"/>
                <w:szCs w:val="24"/>
                <w:highlight w:val="none"/>
              </w:rPr>
              <w:t>费</w:t>
            </w:r>
            <w:r>
              <w:rPr>
                <w:rFonts w:hint="eastAsia" w:ascii="宋体" w:hAnsi="宋体" w:eastAsia="宋体" w:cs="宋体"/>
                <w:color w:val="auto"/>
                <w:sz w:val="24"/>
                <w:szCs w:val="24"/>
                <w:highlight w:val="none"/>
                <w:lang w:val="en-US" w:eastAsia="zh-CN"/>
              </w:rPr>
              <w:t>对象</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rPr>
              <w:t xml:space="preserve">采购人支付 </w:t>
            </w: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 xml:space="preserve">中标人支付 </w:t>
            </w:r>
          </w:p>
          <w:p w14:paraId="467BD79E">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收费</w:t>
            </w:r>
            <w:r>
              <w:rPr>
                <w:rFonts w:hint="eastAsia" w:ascii="宋体" w:hAnsi="宋体" w:eastAsia="宋体" w:cs="宋体"/>
                <w:color w:val="auto"/>
                <w:sz w:val="24"/>
                <w:szCs w:val="24"/>
                <w:highlight w:val="none"/>
              </w:rPr>
              <w:t>标准：</w:t>
            </w:r>
            <w:r>
              <w:rPr>
                <w:rFonts w:hint="eastAsia" w:ascii="宋体" w:hAnsi="宋体" w:eastAsia="宋体" w:cs="宋体"/>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参照原国家发展计划委员会文件（计价格[2002]1980号文）和（发改办价格[2003]857号文件），所规定标准计算由中标人向招标代理机构支付。</w:t>
            </w:r>
            <w:r>
              <w:rPr>
                <w:rFonts w:hint="eastAsia" w:ascii="宋体" w:hAnsi="宋体" w:eastAsia="宋体" w:cs="宋体"/>
                <w:color w:val="auto"/>
                <w:sz w:val="24"/>
                <w:szCs w:val="24"/>
                <w:highlight w:val="none"/>
                <w:u w:val="single"/>
              </w:rPr>
              <w:t xml:space="preserve"> </w:t>
            </w:r>
          </w:p>
          <w:p w14:paraId="7584B780">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收取</w:t>
            </w: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在领取中标通知书前由中标供应商向采购代理机构一次性付清</w:t>
            </w:r>
            <w:r>
              <w:rPr>
                <w:rFonts w:hint="eastAsia" w:cs="宋体"/>
                <w:i w:val="0"/>
                <w:iCs w:val="0"/>
                <w:color w:val="auto"/>
                <w:sz w:val="24"/>
                <w:szCs w:val="24"/>
                <w:highlight w:val="none"/>
                <w:u w:val="single"/>
                <w:lang w:val="en-US" w:eastAsia="zh-CN"/>
              </w:rPr>
              <w:t>。</w:t>
            </w:r>
            <w:r>
              <w:rPr>
                <w:rFonts w:hint="eastAsia" w:ascii="宋体" w:hAnsi="宋体" w:eastAsia="宋体" w:cs="宋体"/>
                <w:color w:val="auto"/>
                <w:sz w:val="24"/>
                <w:szCs w:val="24"/>
                <w:highlight w:val="none"/>
                <w:u w:val="single"/>
              </w:rPr>
              <w:t xml:space="preserve"> </w:t>
            </w:r>
          </w:p>
          <w:p w14:paraId="2E83CEE4">
            <w:pPr>
              <w:pStyle w:val="51"/>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收取</w:t>
            </w:r>
            <w:r>
              <w:rPr>
                <w:rFonts w:hint="eastAsia" w:ascii="宋体" w:hAnsi="宋体" w:eastAsia="宋体" w:cs="宋体"/>
                <w:color w:val="auto"/>
                <w:sz w:val="24"/>
                <w:szCs w:val="24"/>
                <w:highlight w:val="none"/>
              </w:rPr>
              <w:t>方式：</w:t>
            </w:r>
            <w:r>
              <w:rPr>
                <w:rFonts w:hint="eastAsia" w:ascii="宋体" w:hAnsi="宋体" w:eastAsia="宋体" w:cs="宋体"/>
                <w:color w:val="auto"/>
                <w:sz w:val="24"/>
                <w:szCs w:val="24"/>
                <w:highlight w:val="none"/>
                <w:u w:val="single"/>
              </w:rPr>
              <w:t xml:space="preserve"> </w:t>
            </w:r>
            <w:r>
              <w:rPr>
                <w:rFonts w:hint="eastAsia" w:cs="宋体"/>
                <w:i w:val="0"/>
                <w:iCs w:val="0"/>
                <w:color w:val="auto"/>
                <w:sz w:val="24"/>
                <w:szCs w:val="24"/>
                <w:highlight w:val="none"/>
                <w:u w:val="single"/>
                <w:lang w:val="en-US" w:eastAsia="zh-CN"/>
              </w:rPr>
              <w:t>公对公打款</w:t>
            </w:r>
            <w:r>
              <w:rPr>
                <w:rFonts w:hint="eastAsia" w:ascii="宋体" w:hAnsi="宋体" w:eastAsia="宋体" w:cs="宋体"/>
                <w:color w:val="auto"/>
                <w:sz w:val="24"/>
                <w:szCs w:val="24"/>
                <w:highlight w:val="none"/>
                <w:u w:val="single"/>
              </w:rPr>
              <w:t xml:space="preserve"> </w:t>
            </w:r>
          </w:p>
          <w:p w14:paraId="478C2E8E">
            <w:pPr>
              <w:pStyle w:val="51"/>
              <w:rPr>
                <w:rFonts w:hint="eastAsia" w:cs="宋体"/>
                <w:color w:val="auto"/>
                <w:sz w:val="24"/>
                <w:szCs w:val="24"/>
                <w:highlight w:val="none"/>
                <w:u w:val="none"/>
                <w:lang w:val="en-US" w:eastAsia="zh-CN"/>
              </w:rPr>
            </w:pPr>
            <w:r>
              <w:rPr>
                <w:rFonts w:hint="eastAsia" w:cs="宋体"/>
                <w:color w:val="auto"/>
                <w:sz w:val="24"/>
                <w:szCs w:val="24"/>
                <w:highlight w:val="none"/>
                <w:u w:val="none"/>
                <w:lang w:val="en-US" w:eastAsia="zh-CN"/>
              </w:rPr>
              <w:t>5.代理服务费不予退还的情形：</w:t>
            </w:r>
          </w:p>
          <w:p w14:paraId="5AF23383">
            <w:pPr>
              <w:pStyle w:val="51"/>
              <w:rPr>
                <w:rFonts w:hint="eastAsia" w:cs="宋体"/>
                <w:color w:val="auto"/>
                <w:sz w:val="24"/>
                <w:szCs w:val="24"/>
                <w:highlight w:val="none"/>
                <w:u w:val="none"/>
                <w:lang w:val="en-US" w:eastAsia="zh-CN"/>
              </w:rPr>
            </w:pPr>
            <w:r>
              <w:rPr>
                <w:rFonts w:hint="eastAsia" w:cs="宋体"/>
                <w:color w:val="auto"/>
                <w:sz w:val="24"/>
                <w:szCs w:val="24"/>
                <w:highlight w:val="none"/>
                <w:u w:val="none"/>
                <w:lang w:val="en-US" w:eastAsia="zh-CN"/>
              </w:rPr>
              <w:t>（1）中标后无正当理由弃标：中标通知书发出后，中标人明确表示放弃中标项目，属于严重违约。此时招标代理机构已完成招标、评标、确定中标人等核心工作，依据合同约定和行业惯例，已收取的代理服务费不予退还。</w:t>
            </w:r>
          </w:p>
          <w:p w14:paraId="24C32849">
            <w:pPr>
              <w:pStyle w:val="51"/>
              <w:rPr>
                <w:rFonts w:hint="eastAsia" w:cs="宋体"/>
                <w:color w:val="auto"/>
                <w:sz w:val="24"/>
                <w:szCs w:val="24"/>
                <w:highlight w:val="none"/>
                <w:u w:val="none"/>
                <w:lang w:val="en-US" w:eastAsia="zh-CN"/>
              </w:rPr>
            </w:pPr>
            <w:r>
              <w:rPr>
                <w:rFonts w:hint="eastAsia" w:cs="宋体"/>
                <w:color w:val="auto"/>
                <w:sz w:val="24"/>
                <w:szCs w:val="24"/>
                <w:highlight w:val="none"/>
                <w:u w:val="none"/>
                <w:lang w:val="en-US" w:eastAsia="zh-CN"/>
              </w:rPr>
              <w:t>（2）违反中标相关合同义务：中标人未按招标文件要求按时与招标人签订合同，或签订合同时提出附加不合理条件，又或是不按规定提交履约保证金等，均属于违约行为。这种情况下，招标代理服务费会因中标人的违约行为不予退还，同时中标人还可能面临其他处罚。</w:t>
            </w:r>
          </w:p>
          <w:p w14:paraId="02178643">
            <w:pPr>
              <w:pStyle w:val="51"/>
              <w:rPr>
                <w:rFonts w:hint="default" w:cs="宋体"/>
                <w:color w:val="auto"/>
                <w:sz w:val="24"/>
                <w:szCs w:val="24"/>
                <w:highlight w:val="none"/>
                <w:u w:val="none"/>
                <w:lang w:val="en-US" w:eastAsia="zh-CN"/>
              </w:rPr>
            </w:pPr>
            <w:r>
              <w:rPr>
                <w:rFonts w:hint="eastAsia" w:cs="宋体"/>
                <w:color w:val="auto"/>
                <w:sz w:val="24"/>
                <w:szCs w:val="24"/>
                <w:highlight w:val="none"/>
                <w:u w:val="none"/>
                <w:lang w:val="en-US" w:eastAsia="zh-CN"/>
              </w:rPr>
              <w:t>（3）投标过程存在违法违规行为：若中标人通过弄虚作假、串通投标、借用资质等违法手段谋取中标，即便后续中标资格被取消，其已缴纳的代理服务费也不予退还。因为该违法违规行为是中标人自身过错导致，且代理机构已完成既定招标流程。</w:t>
            </w:r>
          </w:p>
        </w:tc>
      </w:tr>
      <w:tr w14:paraId="67BAFF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70" w:hRule="atLeast"/>
        </w:trPr>
        <w:tc>
          <w:tcPr>
            <w:tcW w:w="970" w:type="dxa"/>
            <w:vAlign w:val="center"/>
          </w:tcPr>
          <w:p w14:paraId="2862D019">
            <w:pPr>
              <w:pStyle w:val="5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w:t>
            </w:r>
          </w:p>
        </w:tc>
        <w:tc>
          <w:tcPr>
            <w:tcW w:w="1738" w:type="dxa"/>
            <w:vAlign w:val="center"/>
          </w:tcPr>
          <w:p w14:paraId="02B5B60D">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是否接受进口产品</w:t>
            </w:r>
          </w:p>
        </w:tc>
        <w:tc>
          <w:tcPr>
            <w:tcW w:w="6700" w:type="dxa"/>
            <w:vAlign w:val="center"/>
          </w:tcPr>
          <w:p w14:paraId="39C2F2E0">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rPr>
              <w:t>不接受</w:t>
            </w:r>
          </w:p>
          <w:p w14:paraId="486B6427">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sym w:font="Wingdings" w:char="00A8"/>
            </w:r>
            <w:r>
              <w:rPr>
                <w:rFonts w:hint="eastAsia" w:ascii="宋体" w:hAnsi="宋体" w:eastAsia="宋体" w:cs="宋体"/>
                <w:color w:val="auto"/>
                <w:sz w:val="24"/>
                <w:szCs w:val="24"/>
                <w:highlight w:val="none"/>
                <w:lang w:val="zh-CN"/>
              </w:rPr>
              <w:t>接受</w:t>
            </w:r>
          </w:p>
        </w:tc>
      </w:tr>
      <w:tr w14:paraId="3FFAEC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829" w:hRule="atLeast"/>
        </w:trPr>
        <w:tc>
          <w:tcPr>
            <w:tcW w:w="970" w:type="dxa"/>
            <w:vAlign w:val="center"/>
          </w:tcPr>
          <w:p w14:paraId="092054D8">
            <w:pPr>
              <w:pStyle w:val="51"/>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41.5</w:t>
            </w:r>
          </w:p>
        </w:tc>
        <w:tc>
          <w:tcPr>
            <w:tcW w:w="1738" w:type="dxa"/>
            <w:vAlign w:val="center"/>
          </w:tcPr>
          <w:p w14:paraId="7CB13F0F">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对本国产品的支持政策的相关要求</w:t>
            </w:r>
          </w:p>
        </w:tc>
        <w:tc>
          <w:tcPr>
            <w:tcW w:w="6700" w:type="dxa"/>
            <w:vAlign w:val="center"/>
          </w:tcPr>
          <w:p w14:paraId="0B5C66F2">
            <w:pPr>
              <w:pStyle w:val="71"/>
              <w:widowControl w:val="0"/>
              <w:spacing w:before="0" w:beforeAutospacing="0" w:after="0" w:afterAutospacing="0" w:line="240" w:lineRule="auto"/>
              <w:jc w:val="both"/>
              <w:rPr>
                <w:rFonts w:hint="eastAsia" w:ascii="宋体" w:hAnsi="宋体" w:eastAsia="宋体" w:cs="宋体"/>
                <w:b w:val="0"/>
                <w:color w:val="auto"/>
                <w:sz w:val="24"/>
                <w:szCs w:val="24"/>
                <w:highlight w:val="none"/>
                <w:lang w:val="en-US" w:eastAsia="zh-CN"/>
              </w:rPr>
            </w:pPr>
            <w:r>
              <w:rPr>
                <w:rFonts w:hint="eastAsia" w:ascii="宋体" w:hAnsi="宋体" w:eastAsia="宋体" w:cs="宋体"/>
                <w:b w:val="0"/>
                <w:color w:val="auto"/>
                <w:sz w:val="24"/>
                <w:szCs w:val="24"/>
                <w:highlight w:val="none"/>
                <w:lang w:val="en-US" w:eastAsia="zh-CN"/>
              </w:rPr>
              <w:t xml:space="preserve">（1）政府采购活动中既有本国产品又有非本国产品参与竞争的，依法对本国产品给予价格评审优惠，对本国产品的报价给予20%的价格扣除，用扣除后的价格参与评审。 </w:t>
            </w:r>
          </w:p>
          <w:p w14:paraId="73294DF7">
            <w:pPr>
              <w:pStyle w:val="71"/>
              <w:widowControl w:val="0"/>
              <w:spacing w:before="0" w:beforeAutospacing="0" w:after="0" w:afterAutospacing="0" w:line="240" w:lineRule="auto"/>
              <w:jc w:val="both"/>
              <w:rPr>
                <w:rFonts w:hint="eastAsia" w:ascii="宋体" w:hAnsi="宋体" w:eastAsia="宋体" w:cs="宋体"/>
                <w:b w:val="0"/>
                <w:color w:val="auto"/>
                <w:sz w:val="24"/>
                <w:szCs w:val="24"/>
                <w:highlight w:val="none"/>
                <w:lang w:val="en-US" w:eastAsia="zh-CN"/>
              </w:rPr>
            </w:pPr>
            <w:r>
              <w:rPr>
                <w:rFonts w:hint="eastAsia" w:ascii="宋体" w:hAnsi="宋体" w:eastAsia="宋体" w:cs="宋体"/>
                <w:b w:val="0"/>
                <w:color w:val="auto"/>
                <w:sz w:val="24"/>
                <w:szCs w:val="24"/>
                <w:highlight w:val="none"/>
                <w:lang w:val="en-US" w:eastAsia="zh-CN"/>
              </w:rPr>
              <w:t>（2）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w:t>
            </w:r>
            <w:r>
              <w:rPr>
                <w:rFonts w:hint="eastAsia" w:cs="宋体"/>
                <w:b w:val="0"/>
                <w:color w:val="auto"/>
                <w:sz w:val="24"/>
                <w:szCs w:val="24"/>
                <w:highlight w:val="none"/>
                <w:lang w:val="en-US" w:eastAsia="zh-CN"/>
              </w:rPr>
              <w:t>，</w:t>
            </w:r>
            <w:r>
              <w:rPr>
                <w:rFonts w:hint="eastAsia" w:ascii="宋体" w:hAnsi="宋体" w:eastAsia="宋体" w:cs="宋体"/>
                <w:b w:val="0"/>
                <w:color w:val="auto"/>
                <w:sz w:val="24"/>
                <w:szCs w:val="24"/>
                <w:highlight w:val="none"/>
                <w:lang w:val="en-US" w:eastAsia="zh-CN"/>
              </w:rPr>
              <w:t>即对该供应商提供的全部产品的总报价给予20%的价格扣除，用扣除后的价格参与评审。</w:t>
            </w:r>
          </w:p>
          <w:p w14:paraId="476590D1">
            <w:pPr>
              <w:pStyle w:val="71"/>
              <w:widowControl w:val="0"/>
              <w:spacing w:before="0" w:beforeAutospacing="0" w:after="0" w:afterAutospacing="0" w:line="240" w:lineRule="auto"/>
              <w:jc w:val="both"/>
              <w:rPr>
                <w:rFonts w:hint="default" w:ascii="宋体" w:hAnsi="宋体" w:eastAsia="宋体" w:cs="宋体"/>
                <w:b w:val="0"/>
                <w:color w:val="auto"/>
                <w:sz w:val="24"/>
                <w:szCs w:val="24"/>
                <w:highlight w:val="none"/>
                <w:lang w:val="en-US" w:eastAsia="zh-CN"/>
              </w:rPr>
            </w:pPr>
            <w:r>
              <w:rPr>
                <w:rFonts w:hint="eastAsia" w:cs="宋体"/>
                <w:b w:val="0"/>
                <w:color w:val="auto"/>
                <w:sz w:val="24"/>
                <w:szCs w:val="24"/>
                <w:highlight w:val="none"/>
                <w:lang w:val="en-US" w:eastAsia="zh-CN"/>
              </w:rPr>
              <w:t>（3）供应商按照文件要求提供《关于符合本国产品标准的声明函》的享受上述价格扣除；未提供《关于符合本国产品标准的声明函》的，不享受本国产品价格优惠与政策支持。</w:t>
            </w:r>
          </w:p>
        </w:tc>
      </w:tr>
      <w:tr w14:paraId="02EB936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829" w:hRule="atLeast"/>
        </w:trPr>
        <w:tc>
          <w:tcPr>
            <w:tcW w:w="970" w:type="dxa"/>
            <w:vAlign w:val="center"/>
          </w:tcPr>
          <w:p w14:paraId="708F6889">
            <w:pPr>
              <w:pStyle w:val="5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2</w:t>
            </w:r>
          </w:p>
        </w:tc>
        <w:tc>
          <w:tcPr>
            <w:tcW w:w="1738" w:type="dxa"/>
            <w:vAlign w:val="center"/>
          </w:tcPr>
          <w:p w14:paraId="522895A8">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支持中小企业政策</w:t>
            </w:r>
            <w:r>
              <w:rPr>
                <w:rStyle w:val="33"/>
                <w:rFonts w:hint="eastAsia" w:ascii="宋体" w:hAnsi="宋体" w:eastAsia="宋体" w:cs="宋体"/>
                <w:b w:val="0"/>
                <w:color w:val="auto"/>
                <w:sz w:val="24"/>
                <w:szCs w:val="24"/>
                <w:highlight w:val="none"/>
                <w:lang w:val="en-US" w:eastAsia="zh-CN"/>
              </w:rPr>
              <w:t>（非专门面向中小企业采购项目适用）</w:t>
            </w:r>
          </w:p>
        </w:tc>
        <w:tc>
          <w:tcPr>
            <w:tcW w:w="6700" w:type="dxa"/>
            <w:vAlign w:val="center"/>
          </w:tcPr>
          <w:p w14:paraId="16CBB461">
            <w:pPr>
              <w:pStyle w:val="71"/>
              <w:widowControl w:val="0"/>
              <w:spacing w:before="0" w:beforeAutospacing="0" w:after="0" w:afterAutospacing="0" w:line="240" w:lineRule="auto"/>
              <w:jc w:val="both"/>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1</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小型和微型企业价格扣除：</w:t>
            </w:r>
            <w:r>
              <w:rPr>
                <w:rFonts w:hint="eastAsia" w:ascii="宋体" w:hAnsi="宋体" w:eastAsia="宋体" w:cs="宋体"/>
                <w:b w:val="0"/>
                <w:i w:val="0"/>
                <w:iCs w:val="0"/>
                <w:color w:val="auto"/>
                <w:sz w:val="24"/>
                <w:szCs w:val="24"/>
                <w:highlight w:val="none"/>
                <w:u w:val="single"/>
                <w:lang w:val="en-US" w:eastAsia="zh-CN"/>
              </w:rPr>
              <w:t xml:space="preserve"> </w:t>
            </w:r>
            <w:r>
              <w:rPr>
                <w:rFonts w:hint="eastAsia" w:cs="宋体"/>
                <w:b w:val="0"/>
                <w:i w:val="0"/>
                <w:iCs w:val="0"/>
                <w:color w:val="auto"/>
                <w:sz w:val="24"/>
                <w:szCs w:val="24"/>
                <w:highlight w:val="none"/>
                <w:u w:val="single"/>
                <w:lang w:val="en-US" w:eastAsia="zh-CN"/>
              </w:rPr>
              <w:t>无</w:t>
            </w:r>
            <w:r>
              <w:rPr>
                <w:rFonts w:hint="eastAsia" w:ascii="宋体" w:hAnsi="宋体" w:eastAsia="宋体" w:cs="宋体"/>
                <w:b w:val="0"/>
                <w:i w:val="0"/>
                <w:iCs w:val="0"/>
                <w:color w:val="auto"/>
                <w:sz w:val="24"/>
                <w:szCs w:val="24"/>
                <w:highlight w:val="none"/>
                <w:u w:val="single"/>
                <w:lang w:val="en-US" w:eastAsia="zh-CN"/>
              </w:rPr>
              <w:t xml:space="preserve"> </w:t>
            </w:r>
            <w:r>
              <w:rPr>
                <w:rFonts w:hint="eastAsia" w:ascii="宋体" w:hAnsi="宋体" w:eastAsia="宋体" w:cs="宋体"/>
                <w:b w:val="0"/>
                <w:color w:val="auto"/>
                <w:sz w:val="24"/>
                <w:szCs w:val="24"/>
                <w:highlight w:val="none"/>
              </w:rPr>
              <w:t>。</w:t>
            </w:r>
          </w:p>
          <w:p w14:paraId="29651C27">
            <w:pPr>
              <w:pStyle w:val="71"/>
              <w:widowControl w:val="0"/>
              <w:spacing w:before="0" w:beforeAutospacing="0" w:after="0" w:afterAutospacing="0" w:line="240" w:lineRule="auto"/>
              <w:jc w:val="both"/>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2</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监狱企业价格扣除：</w:t>
            </w:r>
            <w:r>
              <w:rPr>
                <w:rFonts w:hint="eastAsia" w:ascii="宋体" w:hAnsi="宋体" w:eastAsia="宋体" w:cs="宋体"/>
                <w:b w:val="0"/>
                <w:color w:val="auto"/>
                <w:sz w:val="24"/>
                <w:szCs w:val="24"/>
                <w:highlight w:val="none"/>
                <w:u w:val="none"/>
              </w:rPr>
              <w:t>同小型和微型企业</w:t>
            </w:r>
            <w:r>
              <w:rPr>
                <w:rFonts w:hint="eastAsia" w:ascii="宋体" w:hAnsi="宋体" w:eastAsia="宋体" w:cs="宋体"/>
                <w:b w:val="0"/>
                <w:color w:val="auto"/>
                <w:sz w:val="24"/>
                <w:szCs w:val="24"/>
                <w:highlight w:val="none"/>
              </w:rPr>
              <w:t>。</w:t>
            </w:r>
          </w:p>
          <w:p w14:paraId="7CF986E8">
            <w:pPr>
              <w:pStyle w:val="71"/>
              <w:widowControl w:val="0"/>
              <w:spacing w:before="0" w:beforeAutospacing="0" w:after="0" w:afterAutospacing="0" w:line="240" w:lineRule="auto"/>
              <w:jc w:val="both"/>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3</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残疾人福利性单位价格扣除：</w:t>
            </w:r>
            <w:r>
              <w:rPr>
                <w:rFonts w:hint="eastAsia" w:ascii="宋体" w:hAnsi="宋体" w:eastAsia="宋体" w:cs="宋体"/>
                <w:b w:val="0"/>
                <w:color w:val="auto"/>
                <w:sz w:val="24"/>
                <w:szCs w:val="24"/>
                <w:highlight w:val="none"/>
                <w:u w:val="none"/>
              </w:rPr>
              <w:t>同小型和微型企业</w:t>
            </w:r>
            <w:r>
              <w:rPr>
                <w:rFonts w:hint="eastAsia" w:ascii="宋体" w:hAnsi="宋体" w:eastAsia="宋体" w:cs="宋体"/>
                <w:b w:val="0"/>
                <w:color w:val="auto"/>
                <w:sz w:val="24"/>
                <w:szCs w:val="24"/>
                <w:highlight w:val="none"/>
              </w:rPr>
              <w:t>。</w:t>
            </w:r>
          </w:p>
          <w:p w14:paraId="2ABB516D">
            <w:pPr>
              <w:pStyle w:val="71"/>
              <w:widowControl w:val="0"/>
              <w:spacing w:before="0" w:beforeAutospacing="0" w:after="0" w:afterAutospacing="0" w:line="240" w:lineRule="auto"/>
              <w:jc w:val="both"/>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4</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符合条件的联合体价格扣除：</w:t>
            </w:r>
            <w:r>
              <w:rPr>
                <w:rFonts w:hint="eastAsia" w:ascii="宋体" w:hAnsi="宋体" w:eastAsia="宋体" w:cs="宋体"/>
                <w:b w:val="0"/>
                <w:i w:val="0"/>
                <w:iCs w:val="0"/>
                <w:color w:val="auto"/>
                <w:sz w:val="24"/>
                <w:szCs w:val="24"/>
                <w:highlight w:val="none"/>
                <w:u w:val="single"/>
                <w:lang w:val="en-US" w:eastAsia="zh-CN"/>
              </w:rPr>
              <w:t xml:space="preserve"> </w:t>
            </w:r>
            <w:r>
              <w:rPr>
                <w:rFonts w:hint="eastAsia" w:cs="宋体"/>
                <w:b w:val="0"/>
                <w:i w:val="0"/>
                <w:iCs w:val="0"/>
                <w:color w:val="auto"/>
                <w:sz w:val="24"/>
                <w:szCs w:val="24"/>
                <w:highlight w:val="none"/>
                <w:u w:val="single"/>
                <w:lang w:val="en-US" w:eastAsia="zh-CN"/>
              </w:rPr>
              <w:t>无</w:t>
            </w:r>
            <w:r>
              <w:rPr>
                <w:rFonts w:hint="eastAsia" w:ascii="宋体" w:hAnsi="宋体" w:eastAsia="宋体" w:cs="宋体"/>
                <w:b w:val="0"/>
                <w:i w:val="0"/>
                <w:iCs w:val="0"/>
                <w:color w:val="auto"/>
                <w:sz w:val="24"/>
                <w:szCs w:val="24"/>
                <w:highlight w:val="none"/>
                <w:u w:val="single"/>
                <w:lang w:val="en-US" w:eastAsia="zh-CN"/>
              </w:rPr>
              <w:t xml:space="preserve"> </w:t>
            </w:r>
            <w:r>
              <w:rPr>
                <w:rFonts w:hint="eastAsia" w:ascii="宋体" w:hAnsi="宋体" w:eastAsia="宋体" w:cs="宋体"/>
                <w:b w:val="0"/>
                <w:color w:val="auto"/>
                <w:sz w:val="24"/>
                <w:szCs w:val="24"/>
                <w:highlight w:val="none"/>
              </w:rPr>
              <w:t>。</w:t>
            </w:r>
          </w:p>
          <w:p w14:paraId="3363D1A8">
            <w:pPr>
              <w:pStyle w:val="71"/>
              <w:widowControl w:val="0"/>
              <w:spacing w:before="0" w:beforeAutospacing="0" w:after="0" w:afterAutospacing="0" w:line="240" w:lineRule="auto"/>
              <w:jc w:val="both"/>
              <w:rPr>
                <w:rFonts w:hint="eastAsia" w:ascii="宋体" w:hAnsi="宋体" w:eastAsia="宋体" w:cs="宋体"/>
                <w:b w:val="0"/>
                <w:bCs/>
                <w:color w:val="auto"/>
                <w:kern w:val="0"/>
                <w:sz w:val="24"/>
                <w:szCs w:val="24"/>
                <w:highlight w:val="none"/>
                <w:lang w:val="en-US" w:eastAsia="zh-CN" w:bidi="ar-SA"/>
              </w:rPr>
            </w:pPr>
            <w:r>
              <w:rPr>
                <w:rFonts w:hint="eastAsia" w:ascii="宋体" w:hAnsi="宋体" w:eastAsia="宋体" w:cs="宋体"/>
                <w:b w:val="0"/>
                <w:color w:val="auto"/>
                <w:sz w:val="24"/>
                <w:szCs w:val="24"/>
                <w:highlight w:val="none"/>
                <w:lang w:val="en-US" w:eastAsia="zh-CN"/>
              </w:rPr>
              <w:t xml:space="preserve"> </w:t>
            </w:r>
            <w:r>
              <w:rPr>
                <w:rFonts w:hint="eastAsia" w:ascii="宋体" w:hAnsi="宋体" w:eastAsia="宋体" w:cs="宋体"/>
                <w:b w:val="0"/>
                <w:color w:val="auto"/>
                <w:sz w:val="24"/>
                <w:szCs w:val="24"/>
                <w:highlight w:val="none"/>
              </w:rPr>
              <w:t>5</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符合条件的向小微企业分包的大中型企业价格扣除：</w:t>
            </w:r>
            <w:r>
              <w:rPr>
                <w:rFonts w:hint="eastAsia" w:ascii="宋体" w:hAnsi="宋体" w:eastAsia="宋体" w:cs="宋体"/>
                <w:b w:val="0"/>
                <w:i w:val="0"/>
                <w:iCs w:val="0"/>
                <w:color w:val="auto"/>
                <w:sz w:val="24"/>
                <w:szCs w:val="24"/>
                <w:highlight w:val="none"/>
                <w:u w:val="single"/>
                <w:lang w:val="en-US" w:eastAsia="zh-CN"/>
              </w:rPr>
              <w:t xml:space="preserve"> </w:t>
            </w:r>
            <w:r>
              <w:rPr>
                <w:rFonts w:hint="eastAsia" w:cs="宋体"/>
                <w:b w:val="0"/>
                <w:i w:val="0"/>
                <w:iCs w:val="0"/>
                <w:color w:val="auto"/>
                <w:sz w:val="24"/>
                <w:szCs w:val="24"/>
                <w:highlight w:val="none"/>
                <w:u w:val="single"/>
                <w:lang w:val="en-US" w:eastAsia="zh-CN"/>
              </w:rPr>
              <w:t>无</w:t>
            </w:r>
            <w:r>
              <w:rPr>
                <w:rFonts w:hint="eastAsia" w:ascii="宋体" w:hAnsi="宋体" w:eastAsia="宋体" w:cs="宋体"/>
                <w:b w:val="0"/>
                <w:i w:val="0"/>
                <w:iCs w:val="0"/>
                <w:color w:val="auto"/>
                <w:sz w:val="24"/>
                <w:szCs w:val="24"/>
                <w:highlight w:val="none"/>
                <w:u w:val="single"/>
                <w:lang w:val="en-US" w:eastAsia="zh-CN"/>
              </w:rPr>
              <w:t xml:space="preserve"> </w:t>
            </w:r>
            <w:r>
              <w:rPr>
                <w:rFonts w:hint="eastAsia" w:ascii="宋体" w:hAnsi="宋体" w:eastAsia="宋体" w:cs="宋体"/>
                <w:b w:val="0"/>
                <w:color w:val="auto"/>
                <w:sz w:val="24"/>
                <w:szCs w:val="24"/>
                <w:highlight w:val="none"/>
              </w:rPr>
              <w:t>。</w:t>
            </w:r>
            <w:r>
              <w:rPr>
                <w:rFonts w:hint="eastAsia" w:ascii="宋体" w:hAnsi="宋体" w:eastAsia="宋体" w:cs="宋体"/>
                <w:b w:val="0"/>
                <w:i w:val="0"/>
                <w:iCs/>
                <w:color w:val="auto"/>
                <w:sz w:val="24"/>
                <w:szCs w:val="24"/>
                <w:highlight w:val="none"/>
              </w:rPr>
              <w:t>（允许大中型企业向小微企业分包的项目适用）</w:t>
            </w:r>
          </w:p>
        </w:tc>
      </w:tr>
      <w:tr w14:paraId="27E855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333" w:hRule="atLeast"/>
        </w:trPr>
        <w:tc>
          <w:tcPr>
            <w:tcW w:w="970" w:type="dxa"/>
            <w:vAlign w:val="center"/>
          </w:tcPr>
          <w:p w14:paraId="6861885E">
            <w:pPr>
              <w:pStyle w:val="51"/>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42.5</w:t>
            </w:r>
          </w:p>
        </w:tc>
        <w:tc>
          <w:tcPr>
            <w:tcW w:w="1738" w:type="dxa"/>
            <w:vAlign w:val="center"/>
          </w:tcPr>
          <w:p w14:paraId="3CA80613">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标的所属行业</w:t>
            </w:r>
          </w:p>
          <w:p w14:paraId="09FDBE59">
            <w:pPr>
              <w:pStyle w:val="51"/>
              <w:rPr>
                <w:rFonts w:hint="eastAsia" w:ascii="宋体" w:hAnsi="宋体" w:eastAsia="宋体" w:cs="宋体"/>
                <w:color w:val="auto"/>
                <w:sz w:val="24"/>
                <w:szCs w:val="24"/>
                <w:highlight w:val="none"/>
                <w:lang w:val="en-US" w:eastAsia="zh-CN"/>
              </w:rPr>
            </w:pPr>
            <w:r>
              <w:rPr>
                <w:rStyle w:val="33"/>
                <w:rFonts w:hint="eastAsia" w:ascii="宋体" w:hAnsi="宋体" w:eastAsia="宋体" w:cs="宋体"/>
                <w:b w:val="0"/>
                <w:color w:val="auto"/>
                <w:sz w:val="24"/>
                <w:szCs w:val="24"/>
                <w:highlight w:val="none"/>
                <w:lang w:val="en-US" w:eastAsia="zh-CN"/>
              </w:rPr>
              <w:t>参照后附</w:t>
            </w:r>
            <w:r>
              <w:rPr>
                <w:rStyle w:val="33"/>
                <w:rFonts w:hint="eastAsia" w:ascii="宋体" w:hAnsi="宋体" w:eastAsia="宋体" w:cs="宋体"/>
                <w:b w:val="0"/>
                <w:color w:val="auto"/>
                <w:sz w:val="24"/>
                <w:szCs w:val="24"/>
                <w:highlight w:val="none"/>
                <w:lang w:eastAsia="zh-CN"/>
              </w:rPr>
              <w:t>《</w:t>
            </w:r>
            <w:r>
              <w:rPr>
                <w:rStyle w:val="33"/>
                <w:rFonts w:hint="eastAsia" w:ascii="宋体" w:hAnsi="宋体" w:eastAsia="宋体" w:cs="宋体"/>
                <w:b w:val="0"/>
                <w:color w:val="auto"/>
                <w:sz w:val="24"/>
                <w:szCs w:val="24"/>
                <w:highlight w:val="none"/>
              </w:rPr>
              <w:t>工信部联企业〔2011〕300号</w:t>
            </w:r>
            <w:r>
              <w:rPr>
                <w:rStyle w:val="33"/>
                <w:rFonts w:hint="eastAsia" w:ascii="宋体" w:hAnsi="宋体" w:eastAsia="宋体" w:cs="宋体"/>
                <w:b w:val="0"/>
                <w:color w:val="auto"/>
                <w:sz w:val="24"/>
                <w:szCs w:val="24"/>
                <w:highlight w:val="none"/>
                <w:lang w:eastAsia="zh-CN"/>
              </w:rPr>
              <w:t>》</w:t>
            </w:r>
          </w:p>
        </w:tc>
        <w:tc>
          <w:tcPr>
            <w:tcW w:w="6700" w:type="dxa"/>
            <w:vAlign w:val="center"/>
          </w:tcPr>
          <w:p w14:paraId="0A9EB41C">
            <w:pPr>
              <w:keepNext w:val="0"/>
              <w:keepLines w:val="0"/>
              <w:widowControl/>
              <w:suppressLineNumbers w:val="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本项目采购标的对应的中小企业划分标准所属行业</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工业</w:t>
            </w:r>
          </w:p>
        </w:tc>
      </w:tr>
      <w:tr w14:paraId="199F92E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25" w:hRule="atLeast"/>
        </w:trPr>
        <w:tc>
          <w:tcPr>
            <w:tcW w:w="970" w:type="dxa"/>
            <w:shd w:val="clear" w:color="auto" w:fill="auto"/>
            <w:vAlign w:val="center"/>
          </w:tcPr>
          <w:p w14:paraId="29CF1260">
            <w:pPr>
              <w:pStyle w:val="51"/>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43.5</w:t>
            </w:r>
          </w:p>
        </w:tc>
        <w:tc>
          <w:tcPr>
            <w:tcW w:w="1738" w:type="dxa"/>
            <w:shd w:val="clear" w:color="auto" w:fill="auto"/>
            <w:vAlign w:val="center"/>
          </w:tcPr>
          <w:p w14:paraId="722F6CDD">
            <w:pPr>
              <w:pStyle w:val="5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优先采购创新节能环保产品</w:t>
            </w:r>
          </w:p>
        </w:tc>
        <w:tc>
          <w:tcPr>
            <w:tcW w:w="6700" w:type="dxa"/>
            <w:shd w:val="clear" w:color="auto" w:fill="auto"/>
            <w:vAlign w:val="center"/>
          </w:tcPr>
          <w:p w14:paraId="505E85A9">
            <w:pPr>
              <w:pStyle w:val="51"/>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所投产品纳入创新产品应用示范推荐目录内企业、所投产品获得节能产品或环境标志产品认证证书的</w:t>
            </w:r>
            <w:r>
              <w:rPr>
                <w:rFonts w:hint="eastAsia" w:cs="宋体"/>
                <w:color w:val="auto"/>
                <w:sz w:val="24"/>
                <w:szCs w:val="24"/>
                <w:highlight w:val="none"/>
                <w:lang w:val="en-US" w:eastAsia="zh-CN"/>
              </w:rPr>
              <w:t>供应商</w:t>
            </w:r>
            <w:r>
              <w:rPr>
                <w:rFonts w:hint="eastAsia" w:ascii="宋体" w:hAnsi="宋体" w:eastAsia="宋体" w:cs="宋体"/>
                <w:color w:val="auto"/>
                <w:sz w:val="24"/>
                <w:szCs w:val="24"/>
                <w:highlight w:val="none"/>
              </w:rPr>
              <w:t>给予</w:t>
            </w:r>
            <w:r>
              <w:rPr>
                <w:rFonts w:hint="eastAsia" w:cs="宋体"/>
                <w:color w:val="auto"/>
                <w:sz w:val="24"/>
                <w:szCs w:val="24"/>
                <w:highlight w:val="none"/>
                <w:u w:val="single"/>
                <w:lang w:val="en-US" w:eastAsia="zh-CN"/>
              </w:rPr>
              <w:t xml:space="preserve"> / </w:t>
            </w:r>
            <w:r>
              <w:rPr>
                <w:rFonts w:hint="eastAsia" w:cs="宋体"/>
                <w:color w:val="auto"/>
                <w:sz w:val="24"/>
                <w:szCs w:val="24"/>
                <w:highlight w:val="none"/>
                <w:lang w:val="en-US" w:eastAsia="zh-CN"/>
              </w:rPr>
              <w:t>评审优惠</w:t>
            </w:r>
            <w:r>
              <w:rPr>
                <w:rFonts w:hint="eastAsia" w:ascii="宋体" w:hAnsi="宋体" w:eastAsia="宋体" w:cs="宋体"/>
                <w:color w:val="auto"/>
                <w:sz w:val="24"/>
                <w:szCs w:val="24"/>
                <w:highlight w:val="none"/>
              </w:rPr>
              <w:t>。</w:t>
            </w:r>
          </w:p>
        </w:tc>
      </w:tr>
      <w:tr w14:paraId="32D02F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379" w:hRule="atLeast"/>
        </w:trPr>
        <w:tc>
          <w:tcPr>
            <w:tcW w:w="970" w:type="dxa"/>
            <w:tcBorders>
              <w:right w:val="single" w:color="auto" w:sz="4" w:space="0"/>
            </w:tcBorders>
            <w:vAlign w:val="center"/>
          </w:tcPr>
          <w:p w14:paraId="27AB5ECA">
            <w:pPr>
              <w:pStyle w:val="51"/>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.1</w:t>
            </w:r>
          </w:p>
        </w:tc>
        <w:tc>
          <w:tcPr>
            <w:tcW w:w="1738" w:type="dxa"/>
            <w:tcBorders>
              <w:left w:val="single" w:color="auto" w:sz="4" w:space="0"/>
              <w:right w:val="single" w:color="auto" w:sz="4" w:space="0"/>
            </w:tcBorders>
            <w:vAlign w:val="center"/>
          </w:tcPr>
          <w:p w14:paraId="0073500D">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w:t>
            </w:r>
          </w:p>
          <w:p w14:paraId="33E02E3B">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合同融资政策</w:t>
            </w:r>
          </w:p>
        </w:tc>
        <w:tc>
          <w:tcPr>
            <w:tcW w:w="6700" w:type="dxa"/>
            <w:tcBorders>
              <w:left w:val="single" w:color="auto" w:sz="4" w:space="0"/>
            </w:tcBorders>
            <w:vAlign w:val="center"/>
          </w:tcPr>
          <w:p w14:paraId="5CF27EFA">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1.</w:t>
            </w:r>
            <w:r>
              <w:rPr>
                <w:rFonts w:hint="eastAsia" w:ascii="宋体" w:hAnsi="宋体" w:eastAsia="宋体" w:cs="宋体"/>
                <w:color w:val="auto"/>
                <w:sz w:val="24"/>
                <w:szCs w:val="24"/>
                <w:highlight w:val="none"/>
              </w:rPr>
              <w:t>有融资需求的中标人在获得政府采购中标通知书后，即可向开展“政采贷”业务的金融机构提出申请，金融机构依据政府采购中标通知书和政府采购合同，为中小微企业提供融资服务。</w:t>
            </w:r>
          </w:p>
          <w:p w14:paraId="5538E351">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渠道和方式：</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u w:val="single"/>
              </w:rPr>
              <w:t>根据项目情况自行补充</w:t>
            </w:r>
            <w:r>
              <w:rPr>
                <w:rFonts w:hint="eastAsia" w:ascii="宋体" w:hAnsi="宋体" w:eastAsia="宋体" w:cs="宋体"/>
                <w:color w:val="auto"/>
                <w:sz w:val="24"/>
                <w:szCs w:val="24"/>
                <w:highlight w:val="none"/>
                <w:u w:val="single"/>
                <w:lang w:eastAsia="zh-CN"/>
              </w:rPr>
              <w:t>】</w:t>
            </w:r>
            <w:r>
              <w:rPr>
                <w:rFonts w:hint="eastAsia" w:ascii="宋体" w:hAnsi="宋体" w:eastAsia="宋体" w:cs="宋体"/>
                <w:color w:val="auto"/>
                <w:sz w:val="24"/>
                <w:szCs w:val="24"/>
                <w:highlight w:val="none"/>
              </w:rPr>
              <w:t>。</w:t>
            </w:r>
          </w:p>
          <w:p w14:paraId="438F502A">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2.</w:t>
            </w:r>
            <w:r>
              <w:rPr>
                <w:rFonts w:hint="eastAsia" w:ascii="宋体" w:hAnsi="宋体" w:eastAsia="宋体" w:cs="宋体"/>
                <w:color w:val="auto"/>
                <w:sz w:val="24"/>
                <w:szCs w:val="24"/>
                <w:highlight w:val="none"/>
                <w:lang w:eastAsia="zh-CN"/>
              </w:rPr>
              <w:t>“政采贷”融资指引：在取得政府采购中标通知书后，可访问“</w:t>
            </w:r>
            <w:r>
              <w:rPr>
                <w:rFonts w:hint="eastAsia" w:cs="宋体"/>
                <w:color w:val="auto"/>
                <w:sz w:val="24"/>
                <w:szCs w:val="24"/>
                <w:highlight w:val="none"/>
                <w:lang w:val="en-US" w:eastAsia="zh-CN"/>
              </w:rPr>
              <w:t>新疆</w:t>
            </w:r>
            <w:r>
              <w:rPr>
                <w:rFonts w:hint="eastAsia" w:ascii="宋体" w:hAnsi="宋体" w:eastAsia="宋体" w:cs="宋体"/>
                <w:color w:val="auto"/>
                <w:sz w:val="24"/>
                <w:szCs w:val="24"/>
                <w:highlight w:val="none"/>
                <w:lang w:eastAsia="zh-CN"/>
              </w:rPr>
              <w:t>政采贷</w:t>
            </w:r>
            <w:r>
              <w:rPr>
                <w:rFonts w:hint="eastAsia" w:ascii="宋体" w:hAnsi="宋体" w:eastAsia="宋体" w:cs="宋体"/>
                <w:color w:val="auto"/>
                <w:sz w:val="24"/>
                <w:szCs w:val="24"/>
                <w:highlight w:val="none"/>
                <w:lang w:val="en-US" w:eastAsia="zh-CN"/>
              </w:rPr>
              <w:t>融资服务平台”</w:t>
            </w:r>
            <w:r>
              <w:rPr>
                <w:rFonts w:hint="eastAsia" w:ascii="宋体" w:hAnsi="宋体" w:eastAsia="宋体" w:cs="宋体"/>
                <w:color w:val="auto"/>
                <w:sz w:val="24"/>
                <w:szCs w:val="24"/>
                <w:highlight w:val="none"/>
                <w:lang w:eastAsia="zh-CN"/>
              </w:rPr>
              <w:t>，查看和联系第三方平台或者金融机构，商洽融资事项，确定融资意向。中标人签署政府采购中标合同后，登录“</w:t>
            </w:r>
            <w:r>
              <w:rPr>
                <w:rFonts w:hint="eastAsia" w:cs="宋体"/>
                <w:color w:val="auto"/>
                <w:sz w:val="24"/>
                <w:szCs w:val="24"/>
                <w:highlight w:val="none"/>
                <w:lang w:val="en-US" w:eastAsia="zh-CN"/>
              </w:rPr>
              <w:t>新疆</w:t>
            </w:r>
            <w:r>
              <w:rPr>
                <w:rFonts w:hint="eastAsia" w:ascii="宋体" w:hAnsi="宋体" w:eastAsia="宋体" w:cs="宋体"/>
                <w:color w:val="auto"/>
                <w:sz w:val="24"/>
                <w:szCs w:val="24"/>
                <w:highlight w:val="none"/>
                <w:lang w:eastAsia="zh-CN"/>
              </w:rPr>
              <w:t>政采贷</w:t>
            </w:r>
            <w:r>
              <w:rPr>
                <w:rFonts w:hint="eastAsia" w:ascii="宋体" w:hAnsi="宋体" w:eastAsia="宋体" w:cs="宋体"/>
                <w:color w:val="auto"/>
                <w:sz w:val="24"/>
                <w:szCs w:val="24"/>
                <w:highlight w:val="none"/>
                <w:lang w:val="en-US" w:eastAsia="zh-CN"/>
              </w:rPr>
              <w:t>融资服务平台”</w:t>
            </w:r>
            <w:r>
              <w:rPr>
                <w:rFonts w:hint="eastAsia" w:ascii="宋体" w:hAnsi="宋体" w:eastAsia="宋体" w:cs="宋体"/>
                <w:color w:val="auto"/>
                <w:sz w:val="24"/>
                <w:szCs w:val="24"/>
                <w:highlight w:val="none"/>
                <w:lang w:eastAsia="zh-CN"/>
              </w:rPr>
              <w:t>，选择意向产品进行申请，并填写相关信息，“</w:t>
            </w:r>
            <w:r>
              <w:rPr>
                <w:rFonts w:hint="eastAsia" w:cs="宋体"/>
                <w:color w:val="auto"/>
                <w:sz w:val="24"/>
                <w:szCs w:val="24"/>
                <w:highlight w:val="none"/>
                <w:lang w:val="en-US" w:eastAsia="zh-CN"/>
              </w:rPr>
              <w:t>新疆</w:t>
            </w:r>
            <w:r>
              <w:rPr>
                <w:rFonts w:hint="eastAsia" w:ascii="宋体" w:hAnsi="宋体" w:eastAsia="宋体" w:cs="宋体"/>
                <w:color w:val="auto"/>
                <w:sz w:val="24"/>
                <w:szCs w:val="24"/>
                <w:highlight w:val="none"/>
                <w:lang w:eastAsia="zh-CN"/>
              </w:rPr>
              <w:t>政采贷</w:t>
            </w:r>
            <w:r>
              <w:rPr>
                <w:rFonts w:hint="eastAsia" w:ascii="宋体" w:hAnsi="宋体" w:eastAsia="宋体" w:cs="宋体"/>
                <w:color w:val="auto"/>
                <w:sz w:val="24"/>
                <w:szCs w:val="24"/>
                <w:highlight w:val="none"/>
                <w:lang w:val="en-US" w:eastAsia="zh-CN"/>
              </w:rPr>
              <w:t>融资服务平台”</w:t>
            </w:r>
            <w:r>
              <w:rPr>
                <w:rFonts w:hint="eastAsia" w:ascii="宋体" w:hAnsi="宋体" w:eastAsia="宋体" w:cs="宋体"/>
                <w:color w:val="auto"/>
                <w:sz w:val="24"/>
                <w:szCs w:val="24"/>
                <w:highlight w:val="none"/>
                <w:lang w:eastAsia="zh-CN"/>
              </w:rPr>
              <w:t>将中标人融资申请信息推送第三方平台、意向金融机构。</w:t>
            </w:r>
          </w:p>
        </w:tc>
      </w:tr>
      <w:tr w14:paraId="4CC43F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800" w:hRule="atLeast"/>
        </w:trPr>
        <w:tc>
          <w:tcPr>
            <w:tcW w:w="970" w:type="dxa"/>
            <w:tcBorders>
              <w:right w:val="single" w:color="auto" w:sz="4" w:space="0"/>
            </w:tcBorders>
            <w:vAlign w:val="center"/>
          </w:tcPr>
          <w:p w14:paraId="1D1F7EA2">
            <w:pPr>
              <w:pStyle w:val="51"/>
              <w:jc w:val="center"/>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48.1</w:t>
            </w:r>
          </w:p>
        </w:tc>
        <w:tc>
          <w:tcPr>
            <w:tcW w:w="1738" w:type="dxa"/>
            <w:tcBorders>
              <w:left w:val="single" w:color="auto" w:sz="4" w:space="0"/>
              <w:right w:val="single" w:color="auto" w:sz="4" w:space="0"/>
            </w:tcBorders>
            <w:vAlign w:val="center"/>
          </w:tcPr>
          <w:p w14:paraId="1C079FDF">
            <w:pPr>
              <w:pStyle w:val="51"/>
              <w:rPr>
                <w:rFonts w:hint="eastAsia" w:ascii="宋体" w:hAnsi="宋体" w:eastAsia="宋体" w:cs="宋体"/>
                <w:color w:val="auto"/>
                <w:sz w:val="24"/>
                <w:szCs w:val="24"/>
                <w:highlight w:val="none"/>
                <w:lang w:eastAsia="zh-CN"/>
              </w:rPr>
            </w:pPr>
            <w:r>
              <w:rPr>
                <w:rFonts w:hint="eastAsia" w:cs="宋体"/>
                <w:color w:val="auto"/>
                <w:sz w:val="24"/>
                <w:szCs w:val="24"/>
                <w:highlight w:val="none"/>
                <w:lang w:eastAsia="zh-CN"/>
              </w:rPr>
              <w:t>需要补充的其他内容</w:t>
            </w:r>
          </w:p>
        </w:tc>
        <w:tc>
          <w:tcPr>
            <w:tcW w:w="6700" w:type="dxa"/>
            <w:tcBorders>
              <w:left w:val="single" w:color="auto" w:sz="4" w:space="0"/>
            </w:tcBorders>
            <w:vAlign w:val="center"/>
          </w:tcPr>
          <w:p w14:paraId="3BC430D1">
            <w:pPr>
              <w:pStyle w:val="51"/>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本项目各标项兼投不兼中。投标人如同时参与两个标项投标，应按标项分别制作投标文件。各潜在投标人可对上述两个标项同时投标，但同一投标人仅能在其中一个标项被确定为第一中标候选人。按照开标顺序，先开标项一、后开标项二；已被推荐为前一标项第一中标候选人的，不再参与后一标项中标候选人推荐。</w:t>
            </w:r>
          </w:p>
        </w:tc>
      </w:tr>
      <w:tr w14:paraId="0502FC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408" w:type="dxa"/>
            <w:gridSpan w:val="3"/>
            <w:vAlign w:val="center"/>
          </w:tcPr>
          <w:p w14:paraId="0CE2279C">
            <w:pPr>
              <w:pStyle w:val="5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备注</w:t>
            </w:r>
            <w:r>
              <w:rPr>
                <w:rFonts w:hint="eastAsia" w:cs="宋体"/>
                <w:color w:val="auto"/>
                <w:sz w:val="24"/>
                <w:szCs w:val="24"/>
                <w:highlight w:val="none"/>
                <w:lang w:val="en-US" w:eastAsia="zh-CN"/>
              </w:rPr>
              <w:t>：</w:t>
            </w:r>
          </w:p>
          <w:p w14:paraId="1D60767C">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除本招标文件另有规定外，招标文件中出现的类似于“近三年”或“前三年”、“近五年”或“前五年”均指递交投标文件</w:t>
            </w:r>
            <w:r>
              <w:rPr>
                <w:rFonts w:hint="eastAsia" w:ascii="宋体" w:hAnsi="宋体" w:eastAsia="宋体" w:cs="宋体"/>
                <w:color w:val="auto"/>
                <w:sz w:val="24"/>
                <w:szCs w:val="24"/>
                <w:highlight w:val="none"/>
                <w:lang w:val="en-US" w:eastAsia="zh-CN"/>
              </w:rPr>
              <w:t>截止</w:t>
            </w:r>
            <w:r>
              <w:rPr>
                <w:rFonts w:hint="eastAsia" w:ascii="宋体" w:hAnsi="宋体" w:eastAsia="宋体" w:cs="宋体"/>
                <w:color w:val="auto"/>
                <w:sz w:val="24"/>
                <w:szCs w:val="24"/>
                <w:highlight w:val="none"/>
              </w:rPr>
              <w:t>时间</w:t>
            </w:r>
            <w:r>
              <w:rPr>
                <w:rFonts w:hint="eastAsia" w:ascii="宋体" w:hAnsi="宋体" w:eastAsia="宋体" w:cs="宋体"/>
                <w:color w:val="auto"/>
                <w:sz w:val="24"/>
                <w:szCs w:val="24"/>
                <w:highlight w:val="none"/>
                <w:lang w:val="en-US" w:eastAsia="zh-CN"/>
              </w:rPr>
              <w:t>之</w:t>
            </w:r>
            <w:r>
              <w:rPr>
                <w:rFonts w:hint="eastAsia" w:ascii="宋体" w:hAnsi="宋体" w:eastAsia="宋体" w:cs="宋体"/>
                <w:color w:val="auto"/>
                <w:sz w:val="24"/>
                <w:szCs w:val="24"/>
                <w:highlight w:val="none"/>
              </w:rPr>
              <w:t>前三年或前五年，以此类推。如：递交投标文件时间为  年  月  日，则“近三年”是指  年  月  日至  年  月  日。</w:t>
            </w:r>
          </w:p>
          <w:p w14:paraId="0D281967">
            <w:pPr>
              <w:pStyle w:val="5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本招标文件所称的“以上”、“以下”、“内”、“以内”，包括本数；所称的“不足”，不包括本数。</w:t>
            </w:r>
          </w:p>
        </w:tc>
      </w:tr>
    </w:tbl>
    <w:p w14:paraId="220B13DA">
      <w:pPr>
        <w:rPr>
          <w:color w:val="auto"/>
          <w:highlight w:val="none"/>
        </w:rPr>
      </w:pPr>
      <w:r>
        <w:rPr>
          <w:color w:val="auto"/>
          <w:highlight w:val="none"/>
        </w:rPr>
        <w:br w:type="page"/>
      </w:r>
    </w:p>
    <w:p w14:paraId="7C73067E">
      <w:pPr>
        <w:pStyle w:val="3"/>
        <w:keepNext/>
        <w:keepLines/>
        <w:pageBreakBefore w:val="0"/>
        <w:widowControl w:val="0"/>
        <w:numPr>
          <w:ilvl w:val="0"/>
          <w:numId w:val="0"/>
        </w:numPr>
        <w:kinsoku/>
        <w:wordWrap/>
        <w:overflowPunct/>
        <w:topLinePunct w:val="0"/>
        <w:autoSpaceDE/>
        <w:autoSpaceDN/>
        <w:bidi w:val="0"/>
        <w:adjustRightInd/>
        <w:snapToGrid/>
        <w:spacing w:before="80" w:after="8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110" w:name="_Toc155185869"/>
      <w:bookmarkStart w:id="111" w:name="_Toc5698"/>
      <w:bookmarkStart w:id="112" w:name="_Toc163492821"/>
      <w:r>
        <w:rPr>
          <w:rFonts w:hint="eastAsia" w:eastAsia="宋体" w:asciiTheme="majorHAnsi" w:hAnsiTheme="majorHAnsi" w:cstheme="majorBidi"/>
          <w:b/>
          <w:bCs/>
          <w:color w:val="auto"/>
          <w:kern w:val="2"/>
          <w:sz w:val="28"/>
          <w:szCs w:val="28"/>
          <w:highlight w:val="none"/>
          <w:lang w:val="en-US" w:eastAsia="zh-CN" w:bidi="ar-SA"/>
        </w:rPr>
        <w:t>二、投标人须知</w:t>
      </w:r>
      <w:bookmarkEnd w:id="110"/>
      <w:bookmarkEnd w:id="111"/>
      <w:bookmarkEnd w:id="112"/>
    </w:p>
    <w:p w14:paraId="58BD6D0F">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bookmarkStart w:id="113" w:name="_Toc155185870"/>
      <w:bookmarkStart w:id="114" w:name="_Toc163492822"/>
      <w:r>
        <w:rPr>
          <w:rFonts w:hint="eastAsia" w:ascii="宋体" w:hAnsi="宋体" w:eastAsia="宋体" w:cs="宋体"/>
          <w:b/>
          <w:bCs/>
          <w:color w:val="auto"/>
          <w:kern w:val="2"/>
          <w:sz w:val="24"/>
          <w:szCs w:val="32"/>
          <w:highlight w:val="none"/>
          <w:lang w:val="en-US" w:eastAsia="zh-CN" w:bidi="ar-SA"/>
        </w:rPr>
        <w:t>（一）总则</w:t>
      </w:r>
      <w:bookmarkEnd w:id="113"/>
      <w:bookmarkEnd w:id="114"/>
    </w:p>
    <w:p w14:paraId="201ECB9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15" w:name="_Toc31233"/>
      <w:bookmarkStart w:id="116" w:name="_Toc155095689"/>
      <w:bookmarkStart w:id="117" w:name="_Toc109899631"/>
      <w:bookmarkStart w:id="118" w:name="_Toc109897532"/>
      <w:bookmarkStart w:id="119" w:name="_Toc109900050"/>
      <w:bookmarkStart w:id="120" w:name="_Toc163492823"/>
      <w:bookmarkStart w:id="121" w:name="_Toc109900469"/>
      <w:r>
        <w:rPr>
          <w:rFonts w:hint="eastAsia" w:ascii="宋体" w:hAnsi="宋体" w:eastAsia="宋体" w:cs="宋体"/>
          <w:b/>
          <w:bCs/>
          <w:color w:val="auto"/>
          <w:kern w:val="2"/>
          <w:sz w:val="24"/>
          <w:szCs w:val="28"/>
          <w:highlight w:val="none"/>
          <w:lang w:val="en-US" w:eastAsia="zh-CN" w:bidi="ar-SA"/>
        </w:rPr>
        <w:t>1.适用范围</w:t>
      </w:r>
      <w:bookmarkEnd w:id="115"/>
      <w:bookmarkEnd w:id="116"/>
      <w:bookmarkEnd w:id="117"/>
      <w:bookmarkEnd w:id="118"/>
      <w:bookmarkEnd w:id="119"/>
      <w:bookmarkEnd w:id="120"/>
      <w:bookmarkEnd w:id="121"/>
    </w:p>
    <w:p w14:paraId="06249C16">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highlight w:val="none"/>
        </w:rPr>
      </w:pPr>
      <w:r>
        <w:rPr>
          <w:rFonts w:hint="eastAsia" w:ascii="宋体" w:hAnsi="宋体" w:eastAsia="宋体" w:cs="宋体"/>
          <w:snapToGrid w:val="0"/>
          <w:color w:val="auto"/>
          <w:sz w:val="24"/>
          <w:highlight w:val="none"/>
        </w:rPr>
        <w:t>1.1本招标文件仅适用于本项目的采购活动。</w:t>
      </w:r>
    </w:p>
    <w:p w14:paraId="3EA4C7E0">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22" w:name="_Toc163492824"/>
      <w:r>
        <w:rPr>
          <w:rFonts w:hint="eastAsia" w:ascii="宋体" w:hAnsi="宋体" w:eastAsia="宋体" w:cs="宋体"/>
          <w:b/>
          <w:bCs/>
          <w:color w:val="auto"/>
          <w:kern w:val="2"/>
          <w:sz w:val="24"/>
          <w:szCs w:val="28"/>
          <w:highlight w:val="none"/>
          <w:lang w:val="en-US" w:eastAsia="zh-CN" w:bidi="ar-SA"/>
        </w:rPr>
        <w:t>2.基本定义</w:t>
      </w:r>
      <w:bookmarkEnd w:id="122"/>
    </w:p>
    <w:p w14:paraId="1288527C">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2.1根据《中华人民共和国政府采购法》及其实施条例等有关法律、法规和规章的规定，制定本招标文件。</w:t>
      </w:r>
    </w:p>
    <w:p w14:paraId="31384F74">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eastAsia="宋体"/>
          <w:color w:val="auto"/>
          <w:sz w:val="24"/>
          <w:highlight w:val="none"/>
        </w:rPr>
      </w:pPr>
      <w:r>
        <w:rPr>
          <w:rFonts w:hint="eastAsia" w:eastAsia="宋体"/>
          <w:color w:val="auto"/>
          <w:sz w:val="24"/>
          <w:highlight w:val="none"/>
        </w:rPr>
        <w:t>2.2采购人：</w:t>
      </w:r>
      <w:r>
        <w:rPr>
          <w:rFonts w:hint="eastAsia" w:ascii="宋体" w:hAnsi="宋体" w:eastAsia="宋体" w:cs="宋体"/>
          <w:color w:val="auto"/>
          <w:kern w:val="0"/>
          <w:sz w:val="24"/>
          <w:szCs w:val="24"/>
          <w:highlight w:val="none"/>
          <w:lang w:val="en-US" w:eastAsia="zh-CN" w:bidi="ar"/>
        </w:rPr>
        <w:t>指依法进行政府采购的国家机关、事业单位、团体组织</w:t>
      </w:r>
      <w:r>
        <w:rPr>
          <w:rFonts w:hint="eastAsia" w:eastAsia="宋体"/>
          <w:color w:val="auto"/>
          <w:sz w:val="24"/>
          <w:highlight w:val="none"/>
        </w:rPr>
        <w:t>。</w:t>
      </w:r>
    </w:p>
    <w:p w14:paraId="3BE97676">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eastAsia="宋体"/>
          <w:color w:val="auto"/>
          <w:sz w:val="24"/>
          <w:highlight w:val="none"/>
        </w:rPr>
      </w:pPr>
      <w:r>
        <w:rPr>
          <w:rFonts w:hint="eastAsia" w:eastAsia="宋体"/>
          <w:color w:val="auto"/>
          <w:sz w:val="24"/>
          <w:highlight w:val="none"/>
        </w:rPr>
        <w:t>2.3采购代理机构：</w:t>
      </w:r>
      <w:r>
        <w:rPr>
          <w:rFonts w:hint="eastAsia" w:ascii="宋体" w:hAnsi="宋体" w:eastAsia="宋体" w:cs="宋体"/>
          <w:color w:val="auto"/>
          <w:kern w:val="0"/>
          <w:sz w:val="24"/>
          <w:szCs w:val="24"/>
          <w:highlight w:val="none"/>
          <w:lang w:val="en-US" w:eastAsia="zh-CN" w:bidi="ar"/>
        </w:rPr>
        <w:t>指依法进行政府采购的国家机关、事业单位、团体组织</w:t>
      </w:r>
      <w:r>
        <w:rPr>
          <w:rFonts w:hint="eastAsia" w:eastAsia="宋体"/>
          <w:color w:val="auto"/>
          <w:sz w:val="24"/>
          <w:highlight w:val="none"/>
          <w:lang w:val="en-US" w:eastAsia="zh-CN"/>
        </w:rPr>
        <w:t>委托的采购代理机构</w:t>
      </w:r>
      <w:r>
        <w:rPr>
          <w:rFonts w:hint="eastAsia" w:eastAsia="宋体"/>
          <w:color w:val="auto"/>
          <w:sz w:val="24"/>
          <w:highlight w:val="none"/>
        </w:rPr>
        <w:t>。</w:t>
      </w:r>
    </w:p>
    <w:p w14:paraId="2FBBE92F">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2.4政府采购监督管理部门：各级人民政府财政部门是负责政府采购监督管理的部门，依法履行对政府采购活动的监督管理职责。各级人民政府其他有关部门依法履行与政府采购活动有关的监督管理职责。</w:t>
      </w:r>
    </w:p>
    <w:p w14:paraId="364C8D44">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2.5 核心产品见</w:t>
      </w:r>
      <w:r>
        <w:rPr>
          <w:rFonts w:hint="eastAsia" w:eastAsia="宋体"/>
          <w:color w:val="auto"/>
          <w:sz w:val="24"/>
          <w:highlight w:val="none"/>
        </w:rPr>
        <w:t>“投标人须知前附表”</w:t>
      </w:r>
      <w:r>
        <w:rPr>
          <w:rFonts w:hint="eastAsia" w:eastAsia="宋体"/>
          <w:color w:val="auto"/>
          <w:sz w:val="24"/>
          <w:highlight w:val="none"/>
          <w:lang w:val="en-US" w:eastAsia="zh-CN"/>
        </w:rPr>
        <w:t>。</w:t>
      </w:r>
    </w:p>
    <w:p w14:paraId="28B3C53C">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2.6是否属于</w:t>
      </w:r>
      <w:r>
        <w:rPr>
          <w:rFonts w:ascii="FZShuSong-Z01" w:hAnsi="FZShuSong-Z01" w:eastAsia="宋体" w:cs="FZShuSong-Z01"/>
          <w:color w:val="auto"/>
          <w:kern w:val="0"/>
          <w:sz w:val="24"/>
          <w:szCs w:val="24"/>
          <w:highlight w:val="none"/>
          <w:lang w:val="en-US" w:eastAsia="zh-CN" w:bidi="ar"/>
        </w:rPr>
        <w:t>科研仪器设备</w:t>
      </w:r>
      <w:r>
        <w:rPr>
          <w:rFonts w:hint="eastAsia" w:ascii="FZShuSong-Z01" w:hAnsi="FZShuSong-Z01" w:eastAsia="宋体" w:cs="FZShuSong-Z01"/>
          <w:color w:val="auto"/>
          <w:kern w:val="0"/>
          <w:sz w:val="24"/>
          <w:szCs w:val="24"/>
          <w:highlight w:val="none"/>
          <w:lang w:val="en-US" w:eastAsia="zh-CN" w:bidi="ar"/>
        </w:rPr>
        <w:t>采购</w:t>
      </w:r>
      <w:r>
        <w:rPr>
          <w:rFonts w:hint="eastAsia" w:eastAsia="宋体"/>
          <w:color w:val="auto"/>
          <w:sz w:val="24"/>
          <w:highlight w:val="none"/>
          <w:lang w:val="en-US" w:eastAsia="zh-CN"/>
        </w:rPr>
        <w:t>见</w:t>
      </w:r>
      <w:r>
        <w:rPr>
          <w:rFonts w:hint="eastAsia" w:eastAsia="宋体"/>
          <w:color w:val="auto"/>
          <w:sz w:val="24"/>
          <w:highlight w:val="none"/>
        </w:rPr>
        <w:t>“</w:t>
      </w:r>
      <w:r>
        <w:rPr>
          <w:rFonts w:hint="eastAsia" w:eastAsia="宋体"/>
          <w:color w:val="auto"/>
          <w:sz w:val="24"/>
          <w:highlight w:val="none"/>
          <w:lang w:val="en-US" w:eastAsia="zh-CN"/>
        </w:rPr>
        <w:t>投标人</w:t>
      </w:r>
      <w:r>
        <w:rPr>
          <w:rFonts w:hint="eastAsia" w:eastAsia="宋体"/>
          <w:color w:val="auto"/>
          <w:sz w:val="24"/>
          <w:highlight w:val="none"/>
        </w:rPr>
        <w:t>须知前附表”</w:t>
      </w:r>
      <w:r>
        <w:rPr>
          <w:rFonts w:hint="eastAsia" w:eastAsia="宋体"/>
          <w:color w:val="auto"/>
          <w:sz w:val="24"/>
          <w:highlight w:val="none"/>
          <w:lang w:val="en-US" w:eastAsia="zh-CN"/>
        </w:rPr>
        <w:t>。</w:t>
      </w:r>
    </w:p>
    <w:p w14:paraId="6516F9CF">
      <w:pPr>
        <w:ind w:firstLine="480" w:firstLineChars="200"/>
        <w:rPr>
          <w:rFonts w:eastAsia="宋体"/>
          <w:color w:val="auto"/>
          <w:sz w:val="24"/>
          <w:highlight w:val="none"/>
        </w:rPr>
      </w:pPr>
      <w:r>
        <w:rPr>
          <w:rFonts w:hint="eastAsia" w:eastAsia="宋体"/>
          <w:iCs/>
          <w:color w:val="auto"/>
          <w:sz w:val="24"/>
          <w:highlight w:val="none"/>
          <w:shd w:val="clear" w:color="auto" w:fill="FFFFFF" w:themeFill="background1"/>
        </w:rPr>
        <w:t>2.</w:t>
      </w:r>
      <w:r>
        <w:rPr>
          <w:rFonts w:hint="eastAsia" w:eastAsia="宋体"/>
          <w:iCs/>
          <w:color w:val="auto"/>
          <w:sz w:val="24"/>
          <w:highlight w:val="none"/>
          <w:shd w:val="clear" w:color="auto" w:fill="FFFFFF" w:themeFill="background1"/>
          <w:lang w:val="en-US" w:eastAsia="zh-CN"/>
        </w:rPr>
        <w:t>7</w:t>
      </w:r>
      <w:r>
        <w:rPr>
          <w:rFonts w:hint="eastAsia" w:eastAsia="宋体"/>
          <w:iCs/>
          <w:color w:val="auto"/>
          <w:sz w:val="24"/>
          <w:highlight w:val="none"/>
          <w:shd w:val="clear" w:color="auto" w:fill="FFFFFF" w:themeFill="background1"/>
        </w:rPr>
        <w:t>投标人（也称“供应商”、“申请人”）：指向采购人提供货物、工程或者服务的法人、其他组织或者自然人。</w:t>
      </w:r>
      <w:r>
        <w:rPr>
          <w:rFonts w:hint="eastAsia" w:eastAsia="宋体"/>
          <w:color w:val="auto"/>
          <w:sz w:val="24"/>
          <w:highlight w:val="none"/>
        </w:rPr>
        <w:t>分支机构不得参加政府采购活动，但银行、保险、石油石化、电力、电信等</w:t>
      </w:r>
      <w:r>
        <w:rPr>
          <w:rFonts w:hint="eastAsia" w:eastAsia="宋体"/>
          <w:color w:val="auto"/>
          <w:sz w:val="24"/>
          <w:highlight w:val="none"/>
          <w:lang w:val="en-US" w:eastAsia="zh-CN"/>
        </w:rPr>
        <w:t>有</w:t>
      </w:r>
      <w:r>
        <w:rPr>
          <w:rFonts w:hint="eastAsia" w:eastAsia="宋体"/>
          <w:color w:val="auto"/>
          <w:sz w:val="24"/>
          <w:highlight w:val="none"/>
        </w:rPr>
        <w:t>行业特殊</w:t>
      </w:r>
      <w:r>
        <w:rPr>
          <w:rFonts w:hint="eastAsia" w:eastAsia="宋体"/>
          <w:color w:val="auto"/>
          <w:sz w:val="24"/>
          <w:highlight w:val="none"/>
          <w:lang w:val="en-US" w:eastAsia="zh-CN"/>
        </w:rPr>
        <w:t>情况的</w:t>
      </w:r>
      <w:r>
        <w:rPr>
          <w:rFonts w:hint="eastAsia" w:eastAsia="宋体"/>
          <w:color w:val="auto"/>
          <w:sz w:val="24"/>
          <w:highlight w:val="none"/>
        </w:rPr>
        <w:t>除外。</w:t>
      </w:r>
      <w:r>
        <w:rPr>
          <w:rFonts w:eastAsia="宋体"/>
          <w:color w:val="auto"/>
          <w:sz w:val="24"/>
          <w:highlight w:val="none"/>
        </w:rPr>
        <w:t>本项目的投标人须满足以下条件：</w:t>
      </w:r>
    </w:p>
    <w:p w14:paraId="7FCD7238">
      <w:pPr>
        <w:ind w:firstLine="480" w:firstLineChars="200"/>
        <w:rPr>
          <w:rFonts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7</w:t>
      </w:r>
      <w:r>
        <w:rPr>
          <w:rFonts w:eastAsia="宋体"/>
          <w:color w:val="auto"/>
          <w:sz w:val="24"/>
          <w:highlight w:val="none"/>
        </w:rPr>
        <w:t>.</w:t>
      </w:r>
      <w:r>
        <w:rPr>
          <w:rFonts w:hint="eastAsia" w:eastAsia="宋体"/>
          <w:color w:val="auto"/>
          <w:sz w:val="24"/>
          <w:highlight w:val="none"/>
        </w:rPr>
        <w:t>1</w:t>
      </w:r>
      <w:r>
        <w:rPr>
          <w:rFonts w:eastAsia="宋体"/>
          <w:color w:val="auto"/>
          <w:sz w:val="24"/>
          <w:highlight w:val="none"/>
        </w:rPr>
        <w:t>具备《中华人民共和国政府采购法》第二十二条规定的</w:t>
      </w:r>
      <w:r>
        <w:rPr>
          <w:rFonts w:hint="eastAsia" w:eastAsia="宋体"/>
          <w:color w:val="auto"/>
          <w:sz w:val="24"/>
          <w:highlight w:val="none"/>
        </w:rPr>
        <w:t>条件</w:t>
      </w:r>
      <w:r>
        <w:rPr>
          <w:rFonts w:eastAsia="宋体"/>
          <w:color w:val="auto"/>
          <w:sz w:val="24"/>
          <w:highlight w:val="none"/>
        </w:rPr>
        <w:t>，遵守本项目采购人本级和上级财政部门政府采购的有关规定。</w:t>
      </w:r>
    </w:p>
    <w:p w14:paraId="26AC1E5C">
      <w:pPr>
        <w:ind w:firstLine="480" w:firstLineChars="200"/>
        <w:rPr>
          <w:rFonts w:hint="eastAsia"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.2以招标公告中发布的方式依法获得了本项目的招标文件。</w:t>
      </w:r>
    </w:p>
    <w:p w14:paraId="06FDB4F6">
      <w:pPr>
        <w:ind w:firstLine="480" w:firstLineChars="200"/>
        <w:rPr>
          <w:rFonts w:hint="eastAsia" w:eastAsia="宋体"/>
          <w:color w:val="auto"/>
          <w:sz w:val="24"/>
          <w:highlight w:val="none"/>
          <w:lang w:val="en-US" w:eastAsia="zh-CN"/>
        </w:rPr>
      </w:pPr>
      <w:r>
        <w:rPr>
          <w:rFonts w:hint="eastAsia" w:eastAsia="宋体"/>
          <w:color w:val="auto"/>
          <w:sz w:val="24"/>
          <w:highlight w:val="none"/>
          <w:lang w:val="en-US" w:eastAsia="zh-CN"/>
        </w:rPr>
        <w:t>2.7.3符合本招标文件规定并参加投标的供应商。</w:t>
      </w:r>
    </w:p>
    <w:p w14:paraId="2CF36503">
      <w:pPr>
        <w:spacing w:line="360" w:lineRule="auto"/>
        <w:ind w:firstLine="480" w:firstLineChars="200"/>
        <w:rPr>
          <w:rFonts w:hint="default" w:eastAsia="宋体"/>
          <w:color w:val="auto"/>
          <w:sz w:val="24"/>
          <w:highlight w:val="none"/>
          <w:lang w:val="en-US" w:eastAsia="zh-CN"/>
        </w:rPr>
      </w:pPr>
      <w:r>
        <w:rPr>
          <w:rFonts w:hint="eastAsia" w:eastAsia="宋体"/>
          <w:color w:val="auto"/>
          <w:sz w:val="24"/>
          <w:highlight w:val="none"/>
          <w:lang w:val="en-US" w:eastAsia="zh-CN"/>
        </w:rPr>
        <w:t>2.8</w:t>
      </w:r>
      <w:r>
        <w:rPr>
          <w:rFonts w:hint="eastAsia" w:eastAsia="宋体"/>
          <w:iCs/>
          <w:color w:val="auto"/>
          <w:sz w:val="24"/>
          <w:highlight w:val="none"/>
          <w:shd w:val="clear" w:color="auto" w:fill="FFFFFF" w:themeFill="background1"/>
        </w:rPr>
        <w:t>潜在投标人、潜在供应商</w:t>
      </w:r>
      <w:r>
        <w:rPr>
          <w:rFonts w:hint="eastAsia" w:eastAsia="宋体"/>
          <w:iCs/>
          <w:color w:val="auto"/>
          <w:sz w:val="24"/>
          <w:highlight w:val="none"/>
          <w:shd w:val="clear" w:color="auto" w:fill="FFFFFF" w:themeFill="background1"/>
          <w:lang w:eastAsia="zh-CN"/>
        </w:rPr>
        <w:t>：</w:t>
      </w:r>
      <w:r>
        <w:rPr>
          <w:rFonts w:hint="eastAsia" w:eastAsia="宋体"/>
          <w:iCs/>
          <w:color w:val="auto"/>
          <w:sz w:val="24"/>
          <w:highlight w:val="none"/>
          <w:shd w:val="clear" w:color="auto" w:fill="FFFFFF" w:themeFill="background1"/>
          <w:lang w:val="en-US" w:eastAsia="zh-CN"/>
        </w:rPr>
        <w:t>指</w:t>
      </w:r>
      <w:r>
        <w:rPr>
          <w:rFonts w:hint="eastAsia" w:eastAsia="宋体"/>
          <w:color w:val="auto"/>
          <w:sz w:val="24"/>
          <w:highlight w:val="none"/>
          <w:lang w:val="en-US" w:eastAsia="zh-CN"/>
        </w:rPr>
        <w:t>符合本招标文件规定的供应商。</w:t>
      </w:r>
    </w:p>
    <w:p w14:paraId="132EA5C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23" w:name="_Toc163492825"/>
      <w:bookmarkStart w:id="124" w:name="_Toc140132758"/>
      <w:r>
        <w:rPr>
          <w:rFonts w:hint="eastAsia" w:ascii="宋体" w:hAnsi="宋体" w:eastAsia="宋体" w:cs="宋体"/>
          <w:b/>
          <w:bCs/>
          <w:color w:val="auto"/>
          <w:kern w:val="2"/>
          <w:sz w:val="24"/>
          <w:szCs w:val="28"/>
          <w:highlight w:val="none"/>
          <w:lang w:val="en-US" w:eastAsia="zh-CN" w:bidi="ar-SA"/>
        </w:rPr>
        <w:t>3.资金来源</w:t>
      </w:r>
      <w:bookmarkEnd w:id="123"/>
      <w:bookmarkEnd w:id="124"/>
    </w:p>
    <w:p w14:paraId="4F112C90">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3.1资金来源：</w:t>
      </w:r>
      <w:r>
        <w:rPr>
          <w:rFonts w:hint="eastAsia" w:eastAsia="宋体"/>
          <w:color w:val="auto"/>
          <w:sz w:val="24"/>
          <w:highlight w:val="none"/>
          <w:lang w:val="en-US" w:eastAsia="zh-CN"/>
        </w:rPr>
        <w:t>为财政性资金即</w:t>
      </w:r>
      <w:r>
        <w:rPr>
          <w:rFonts w:hint="eastAsia" w:eastAsia="宋体"/>
          <w:color w:val="auto"/>
          <w:sz w:val="24"/>
          <w:highlight w:val="none"/>
        </w:rPr>
        <w:t>纳入预算管理的资金</w:t>
      </w:r>
      <w:r>
        <w:rPr>
          <w:rFonts w:hint="eastAsia" w:eastAsia="宋体"/>
          <w:color w:val="auto"/>
          <w:sz w:val="24"/>
          <w:highlight w:val="none"/>
          <w:lang w:eastAsia="zh-CN"/>
        </w:rPr>
        <w:t>。</w:t>
      </w:r>
      <w:r>
        <w:rPr>
          <w:rFonts w:hint="eastAsia" w:eastAsia="宋体"/>
          <w:color w:val="auto"/>
          <w:sz w:val="24"/>
          <w:highlight w:val="none"/>
        </w:rPr>
        <w:t>以财政性资金作为还款来源的借贷资金，视同财政性资金。财政性资金与非财政性资金无法分割采购的，统一适用《中华人民共和国政府采购法》及其实施条例。</w:t>
      </w:r>
    </w:p>
    <w:p w14:paraId="57CB1A65">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25" w:name="_Toc140132760"/>
      <w:bookmarkStart w:id="126" w:name="_Toc163492826"/>
      <w:r>
        <w:rPr>
          <w:rFonts w:hint="eastAsia" w:ascii="宋体" w:hAnsi="宋体" w:eastAsia="宋体" w:cs="宋体"/>
          <w:b/>
          <w:bCs/>
          <w:color w:val="auto"/>
          <w:kern w:val="2"/>
          <w:sz w:val="24"/>
          <w:szCs w:val="28"/>
          <w:highlight w:val="none"/>
          <w:lang w:val="en-US" w:eastAsia="zh-CN" w:bidi="ar-SA"/>
        </w:rPr>
        <w:t>4.投标人资格要求</w:t>
      </w:r>
      <w:bookmarkEnd w:id="125"/>
      <w:bookmarkEnd w:id="126"/>
    </w:p>
    <w:p w14:paraId="4786570E">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4.1投标人资格要求：见“</w:t>
      </w:r>
      <w:r>
        <w:rPr>
          <w:rFonts w:hint="eastAsia" w:eastAsia="宋体"/>
          <w:color w:val="auto"/>
          <w:sz w:val="24"/>
          <w:highlight w:val="none"/>
          <w:lang w:val="en-US" w:eastAsia="zh-CN"/>
        </w:rPr>
        <w:t>第一章 招标公告</w:t>
      </w:r>
      <w:r>
        <w:rPr>
          <w:rFonts w:hint="eastAsia" w:eastAsia="宋体"/>
          <w:color w:val="auto"/>
          <w:sz w:val="24"/>
          <w:highlight w:val="none"/>
        </w:rPr>
        <w:t>”；</w:t>
      </w:r>
    </w:p>
    <w:p w14:paraId="1BA08941">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en-US" w:eastAsia="zh-CN"/>
        </w:rPr>
        <w:t>4</w:t>
      </w:r>
      <w:r>
        <w:rPr>
          <w:rFonts w:hint="eastAsia" w:eastAsia="宋体"/>
          <w:color w:val="auto"/>
          <w:sz w:val="24"/>
          <w:highlight w:val="none"/>
          <w:lang w:val="zh-CN" w:eastAsia="zh-CN"/>
        </w:rPr>
        <w:t>.</w:t>
      </w:r>
      <w:r>
        <w:rPr>
          <w:rFonts w:hint="eastAsia" w:eastAsia="宋体"/>
          <w:color w:val="auto"/>
          <w:sz w:val="24"/>
          <w:highlight w:val="none"/>
          <w:lang w:val="en-US" w:eastAsia="zh-CN"/>
        </w:rPr>
        <w:t>2</w:t>
      </w:r>
      <w:r>
        <w:rPr>
          <w:rFonts w:hint="eastAsia" w:eastAsia="宋体"/>
          <w:color w:val="auto"/>
          <w:sz w:val="24"/>
          <w:highlight w:val="none"/>
          <w:lang w:val="zh-CN" w:eastAsia="zh-CN"/>
        </w:rPr>
        <w:t>“</w:t>
      </w:r>
      <w:r>
        <w:rPr>
          <w:rFonts w:hint="eastAsia" w:eastAsia="宋体"/>
          <w:color w:val="auto"/>
          <w:sz w:val="24"/>
          <w:highlight w:val="none"/>
          <w:lang w:val="en-US" w:eastAsia="zh-CN"/>
        </w:rPr>
        <w:t>第一章 招标公告</w:t>
      </w:r>
      <w:r>
        <w:rPr>
          <w:rFonts w:hint="eastAsia" w:eastAsia="宋体"/>
          <w:color w:val="auto"/>
          <w:sz w:val="24"/>
          <w:highlight w:val="none"/>
          <w:lang w:val="zh-CN" w:eastAsia="zh-CN"/>
        </w:rPr>
        <w:t>”规定接受联合体投标的，还应遵守以下规定：</w:t>
      </w:r>
    </w:p>
    <w:p w14:paraId="68151C14">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eastAsia="宋体"/>
          <w:color w:val="auto"/>
          <w:sz w:val="24"/>
          <w:highlight w:val="none"/>
          <w:lang w:val="en-US" w:eastAsia="zh-CN"/>
        </w:rPr>
        <w:t>4</w:t>
      </w:r>
      <w:r>
        <w:rPr>
          <w:rFonts w:hint="eastAsia" w:eastAsia="宋体"/>
          <w:color w:val="auto"/>
          <w:sz w:val="24"/>
          <w:highlight w:val="none"/>
          <w:lang w:val="zh-CN" w:eastAsia="zh-CN"/>
        </w:rPr>
        <w:t>.</w:t>
      </w:r>
      <w:r>
        <w:rPr>
          <w:rFonts w:hint="eastAsia" w:eastAsia="宋体"/>
          <w:color w:val="auto"/>
          <w:sz w:val="24"/>
          <w:highlight w:val="none"/>
          <w:lang w:val="en-US" w:eastAsia="zh-CN"/>
        </w:rPr>
        <w:t>2.</w:t>
      </w:r>
      <w:r>
        <w:rPr>
          <w:rFonts w:hint="eastAsia" w:eastAsia="宋体"/>
          <w:color w:val="auto"/>
          <w:sz w:val="24"/>
          <w:highlight w:val="none"/>
          <w:lang w:val="zh-CN" w:eastAsia="zh-CN"/>
        </w:rPr>
        <w:t>1两个以上的自然人、法人或者其他组织可以组成一个联合体，以一个</w:t>
      </w:r>
      <w:r>
        <w:rPr>
          <w:rFonts w:hint="eastAsia" w:eastAsia="宋体"/>
          <w:color w:val="auto"/>
          <w:sz w:val="24"/>
          <w:highlight w:val="none"/>
          <w:lang w:val="en-US" w:eastAsia="zh-CN"/>
        </w:rPr>
        <w:t>投标人</w:t>
      </w:r>
      <w:r>
        <w:rPr>
          <w:rFonts w:hint="eastAsia" w:eastAsia="宋体"/>
          <w:color w:val="auto"/>
          <w:sz w:val="24"/>
          <w:highlight w:val="none"/>
          <w:lang w:val="zh-CN" w:eastAsia="zh-CN"/>
        </w:rPr>
        <w:t>的身份共同参加政府采购。</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以联合体形式进行政府采购的，参加联合体的供应商均应当具备《</w:t>
      </w:r>
      <w:r>
        <w:rPr>
          <w:rFonts w:hint="eastAsia" w:eastAsia="宋体"/>
          <w:color w:val="auto"/>
          <w:sz w:val="24"/>
          <w:highlight w:val="none"/>
        </w:rPr>
        <w:t>中华人民共和国政府采购法</w:t>
      </w:r>
      <w:r>
        <w:rPr>
          <w:rFonts w:hint="eastAsia" w:ascii="宋体" w:hAnsi="宋体" w:eastAsia="宋体" w:cstheme="minorBidi"/>
          <w:iCs/>
          <w:color w:val="auto"/>
          <w:kern w:val="2"/>
          <w:sz w:val="24"/>
          <w:szCs w:val="22"/>
          <w:highlight w:val="none"/>
          <w:shd w:val="clear" w:color="auto" w:fill="FFFFFF" w:themeFill="background1"/>
          <w:lang w:val="zh-CN" w:eastAsia="zh-CN" w:bidi="ar-SA"/>
        </w:rPr>
        <w:t>》第二十二条规定的条件。</w:t>
      </w:r>
    </w:p>
    <w:p w14:paraId="607184EF">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2.</w:t>
      </w:r>
      <w:r>
        <w:rPr>
          <w:rFonts w:hint="eastAsia" w:eastAsia="宋体" w:cstheme="minorBidi"/>
          <w:iCs/>
          <w:color w:val="auto"/>
          <w:kern w:val="2"/>
          <w:sz w:val="24"/>
          <w:szCs w:val="22"/>
          <w:highlight w:val="none"/>
          <w:shd w:val="clear" w:color="auto" w:fill="FFFFFF" w:themeFill="background1"/>
          <w:lang w:val="en-US" w:eastAsia="zh-CN" w:bidi="ar-SA"/>
        </w:rPr>
        <w:t>2</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联合体各方应按招标文件提供的格式签订联合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协议</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书</w:t>
      </w:r>
      <w:r>
        <w:rPr>
          <w:rFonts w:hint="eastAsia" w:ascii="宋体" w:hAnsi="宋体" w:eastAsia="宋体" w:cstheme="minorBidi"/>
          <w:iCs/>
          <w:color w:val="auto"/>
          <w:kern w:val="2"/>
          <w:sz w:val="24"/>
          <w:szCs w:val="22"/>
          <w:highlight w:val="none"/>
          <w:shd w:val="clear" w:color="auto" w:fill="FFFFFF" w:themeFill="background1"/>
          <w:lang w:val="zh-CN" w:eastAsia="zh-CN" w:bidi="ar-SA"/>
        </w:rPr>
        <w:t>，明确约定联合体各方承担的工作和相应的责任，并将联合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协议</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书</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作为投标文件的一部分提交，该协议书对联合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体所有成员</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均具有法律约束力。</w:t>
      </w:r>
    </w:p>
    <w:p w14:paraId="171C802B">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4.2.</w:t>
      </w:r>
      <w:r>
        <w:rPr>
          <w:rFonts w:hint="eastAsia" w:eastAsia="宋体" w:cstheme="minorBidi"/>
          <w:iCs/>
          <w:color w:val="auto"/>
          <w:kern w:val="2"/>
          <w:sz w:val="24"/>
          <w:szCs w:val="22"/>
          <w:highlight w:val="none"/>
          <w:shd w:val="clear" w:color="auto" w:fill="FFFFFF" w:themeFill="background1"/>
          <w:lang w:val="en-US" w:eastAsia="zh-CN" w:bidi="ar-SA"/>
        </w:rPr>
        <w:t>3</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联合体中有同类资质的供应商按照联合体分工承担相同工作的，应当按照资质等级较低的供应商确定资质等级。</w:t>
      </w:r>
    </w:p>
    <w:p w14:paraId="1EDFF6F5">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4.2</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r>
        <w:rPr>
          <w:rFonts w:hint="eastAsia" w:eastAsia="宋体" w:cstheme="minorBidi"/>
          <w:iCs/>
          <w:color w:val="auto"/>
          <w:kern w:val="2"/>
          <w:sz w:val="24"/>
          <w:szCs w:val="22"/>
          <w:highlight w:val="none"/>
          <w:shd w:val="clear" w:color="auto" w:fill="FFFFFF" w:themeFill="background1"/>
          <w:lang w:val="en-US" w:eastAsia="zh-CN" w:bidi="ar-SA"/>
        </w:rPr>
        <w:t>4</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以联合体形式参加政府采购活动的，联合体各方不得再单独参加或者与其他供应商另外组成联合体参加</w:t>
      </w:r>
      <w:r>
        <w:rPr>
          <w:rFonts w:hint="eastAsia" w:ascii="宋体" w:hAnsi="宋体" w:eastAsia="宋体" w:cstheme="minorBidi"/>
          <w:iCs/>
          <w:color w:val="auto"/>
          <w:kern w:val="2"/>
          <w:sz w:val="24"/>
          <w:szCs w:val="22"/>
          <w:highlight w:val="none"/>
          <w:shd w:val="clear" w:color="auto" w:fill="FFFFFF" w:themeFill="background1"/>
          <w:lang w:val="en-US" w:eastAsia="zh-CN" w:bidi="ar-SA"/>
        </w:rPr>
        <w:t>同一合同项下的</w:t>
      </w:r>
      <w:r>
        <w:rPr>
          <w:rFonts w:hint="eastAsia" w:ascii="宋体" w:hAnsi="宋体" w:eastAsia="宋体" w:cstheme="minorBidi"/>
          <w:iCs/>
          <w:color w:val="auto"/>
          <w:kern w:val="2"/>
          <w:sz w:val="24"/>
          <w:szCs w:val="22"/>
          <w:highlight w:val="none"/>
          <w:shd w:val="clear" w:color="auto" w:fill="FFFFFF" w:themeFill="background1"/>
          <w:lang w:val="zh-CN" w:eastAsia="zh-CN" w:bidi="ar-SA"/>
        </w:rPr>
        <w:t>投标，否则相关投标将被认定为</w:t>
      </w:r>
      <w:r>
        <w:rPr>
          <w:rFonts w:hint="eastAsia" w:ascii="宋体" w:hAnsi="宋体" w:eastAsia="宋体" w:cstheme="minorBidi"/>
          <w:b/>
          <w:bCs/>
          <w:iCs/>
          <w:color w:val="auto"/>
          <w:kern w:val="2"/>
          <w:sz w:val="24"/>
          <w:szCs w:val="22"/>
          <w:highlight w:val="none"/>
          <w:shd w:val="clear" w:color="auto" w:fill="FFFFFF" w:themeFill="background1"/>
          <w:lang w:val="zh-CN" w:eastAsia="zh-CN" w:bidi="ar-SA"/>
        </w:rPr>
        <w:t>投标无效</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p>
    <w:p w14:paraId="0D9BC59E">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4.2</w:t>
      </w:r>
      <w:r>
        <w:rPr>
          <w:rFonts w:hint="eastAsia" w:ascii="宋体" w:hAnsi="宋体" w:eastAsia="宋体" w:cstheme="minorBidi"/>
          <w:iCs/>
          <w:color w:val="auto"/>
          <w:kern w:val="2"/>
          <w:sz w:val="24"/>
          <w:szCs w:val="22"/>
          <w:highlight w:val="none"/>
          <w:shd w:val="clear" w:color="auto" w:fill="FFFFFF" w:themeFill="background1"/>
          <w:lang w:val="zh-CN" w:eastAsia="zh-CN" w:bidi="ar-SA"/>
        </w:rPr>
        <w:t>.5大中型企业、其他自然人、法人或者非法人组织与小型、微型企业组成联合体共同参加投标</w:t>
      </w:r>
      <w:r>
        <w:rPr>
          <w:rFonts w:hint="eastAsia" w:ascii="宋体" w:hAnsi="宋体"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协议</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书</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中应写明小型、微型企业的合同金额占到联合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投标</w:t>
      </w:r>
      <w:r>
        <w:rPr>
          <w:rFonts w:hint="eastAsia" w:ascii="宋体" w:hAnsi="宋体" w:eastAsia="宋体" w:cstheme="minorBidi"/>
          <w:iCs/>
          <w:color w:val="auto"/>
          <w:kern w:val="2"/>
          <w:sz w:val="24"/>
          <w:szCs w:val="22"/>
          <w:highlight w:val="none"/>
          <w:shd w:val="clear" w:color="auto" w:fill="FFFFFF" w:themeFill="background1"/>
          <w:lang w:val="en-US" w:eastAsia="zh-CN" w:bidi="ar-SA"/>
        </w:rPr>
        <w:t>合同</w:t>
      </w:r>
      <w:r>
        <w:rPr>
          <w:rFonts w:hint="eastAsia" w:ascii="宋体" w:hAnsi="宋体" w:eastAsia="宋体" w:cstheme="minorBidi"/>
          <w:iCs/>
          <w:color w:val="auto"/>
          <w:kern w:val="2"/>
          <w:sz w:val="24"/>
          <w:szCs w:val="22"/>
          <w:highlight w:val="none"/>
          <w:shd w:val="clear" w:color="auto" w:fill="FFFFFF" w:themeFill="background1"/>
          <w:lang w:val="zh-CN" w:eastAsia="zh-CN" w:bidi="ar-SA"/>
        </w:rPr>
        <w:t>总金额的比例。</w:t>
      </w:r>
    </w:p>
    <w:p w14:paraId="6F9465F7">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zh-CN" w:eastAsia="zh-CN" w:bidi="ar-SA"/>
        </w:rPr>
        <w:t>4.2</w:t>
      </w:r>
      <w:r>
        <w:rPr>
          <w:rFonts w:hint="eastAsia"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eastAsia="宋体" w:cstheme="minorBidi"/>
          <w:iCs/>
          <w:color w:val="auto"/>
          <w:kern w:val="2"/>
          <w:sz w:val="24"/>
          <w:szCs w:val="22"/>
          <w:highlight w:val="none"/>
          <w:shd w:val="clear" w:color="auto" w:fill="FFFFFF" w:themeFill="background1"/>
          <w:lang w:val="en-US" w:eastAsia="zh-CN" w:bidi="ar-SA"/>
        </w:rPr>
        <w:t>6</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联合体中标</w:t>
      </w:r>
      <w:r>
        <w:rPr>
          <w:rFonts w:hint="eastAsia"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采购</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合同应由</w:t>
      </w:r>
      <w:r>
        <w:rPr>
          <w:rFonts w:hint="eastAsia" w:ascii="宋体" w:hAnsi="宋体" w:eastAsia="宋体" w:cstheme="minorBidi"/>
          <w:iCs/>
          <w:color w:val="auto"/>
          <w:kern w:val="2"/>
          <w:sz w:val="24"/>
          <w:szCs w:val="22"/>
          <w:highlight w:val="none"/>
          <w:shd w:val="clear" w:color="auto" w:fill="FFFFFF" w:themeFill="background1"/>
          <w:lang w:val="en-US" w:eastAsia="zh-CN" w:bidi="ar-SA"/>
        </w:rPr>
        <w:t>联合体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各成员的合法授权代表签字</w:t>
      </w:r>
      <w:r>
        <w:rPr>
          <w:rFonts w:hint="eastAsia" w:eastAsia="宋体" w:cstheme="minorBidi"/>
          <w:iCs/>
          <w:color w:val="auto"/>
          <w:kern w:val="2"/>
          <w:sz w:val="24"/>
          <w:szCs w:val="22"/>
          <w:highlight w:val="none"/>
          <w:shd w:val="clear" w:color="auto" w:fill="FFFFFF" w:themeFill="background1"/>
          <w:lang w:val="en-US" w:eastAsia="zh-CN" w:bidi="ar-SA"/>
        </w:rPr>
        <w:t>及</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加盖</w:t>
      </w:r>
      <w:r>
        <w:rPr>
          <w:rFonts w:hint="eastAsia" w:ascii="宋体" w:hAnsi="宋体" w:eastAsia="宋体" w:cstheme="minorBidi"/>
          <w:iCs/>
          <w:color w:val="auto"/>
          <w:kern w:val="2"/>
          <w:sz w:val="24"/>
          <w:szCs w:val="22"/>
          <w:highlight w:val="none"/>
          <w:shd w:val="clear" w:color="auto" w:fill="FFFFFF" w:themeFill="background1"/>
          <w:lang w:val="en-US" w:eastAsia="zh-CN" w:bidi="ar-SA"/>
        </w:rPr>
        <w:t>联合体</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各成员公章，</w:t>
      </w:r>
      <w:r>
        <w:rPr>
          <w:rFonts w:hint="eastAsia" w:eastAsia="宋体" w:cstheme="minorBidi"/>
          <w:iCs/>
          <w:color w:val="auto"/>
          <w:kern w:val="2"/>
          <w:sz w:val="24"/>
          <w:szCs w:val="22"/>
          <w:highlight w:val="none"/>
          <w:shd w:val="clear" w:color="auto" w:fill="FFFFFF" w:themeFill="background1"/>
          <w:lang w:val="en-US" w:eastAsia="zh-CN" w:bidi="ar-SA"/>
        </w:rPr>
        <w:t>并</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对联合体成员作为整体和他们各自作为独立体均具有法律约束力，但若该签字或公章不齐全或缺乏，该联合体的牵头人的签署或类似的意思表示人具有代表该联合体的签署或意思表示的法律效力，并且据此各成员为履行合同应向采购人与采购代理机构承担连带责任。</w:t>
      </w:r>
    </w:p>
    <w:p w14:paraId="17051ED0">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zh-CN" w:eastAsia="zh-CN" w:bidi="ar-SA"/>
        </w:rPr>
        <w:t>4.2</w:t>
      </w:r>
      <w:r>
        <w:rPr>
          <w:rFonts w:hint="eastAsia"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eastAsia="宋体" w:cstheme="minorBidi"/>
          <w:iCs/>
          <w:color w:val="auto"/>
          <w:kern w:val="2"/>
          <w:sz w:val="24"/>
          <w:szCs w:val="22"/>
          <w:highlight w:val="none"/>
          <w:shd w:val="clear" w:color="auto" w:fill="FFFFFF" w:themeFill="background1"/>
          <w:lang w:val="en-US" w:eastAsia="zh-CN" w:bidi="ar-SA"/>
        </w:rPr>
        <w:t>7</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联合体或其成员不得将其在合同项下的权利或义务全部或部分转让给第三人，有关分包事项须事先取得采购</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人</w:t>
      </w:r>
      <w:r>
        <w:rPr>
          <w:rFonts w:hint="eastAsia" w:ascii="宋体" w:hAnsi="宋体" w:eastAsia="宋体" w:cstheme="minorBidi"/>
          <w:iCs/>
          <w:color w:val="auto"/>
          <w:kern w:val="2"/>
          <w:sz w:val="24"/>
          <w:szCs w:val="22"/>
          <w:highlight w:val="none"/>
          <w:shd w:val="clear" w:color="auto" w:fill="FFFFFF" w:themeFill="background1"/>
          <w:lang w:val="zh-CN" w:eastAsia="zh-CN" w:bidi="ar-SA"/>
        </w:rPr>
        <w:t>书面同意并且须遵守相关法律、法规、本次招标的全部相关规定。</w:t>
      </w:r>
    </w:p>
    <w:p w14:paraId="74DFE2BF">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FFFFFF" w:themeFill="background1"/>
          <w:lang w:val="zh-CN"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4.2</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r>
        <w:rPr>
          <w:rFonts w:hint="eastAsia" w:eastAsia="宋体" w:cstheme="minorBidi"/>
          <w:iCs/>
          <w:color w:val="auto"/>
          <w:kern w:val="2"/>
          <w:sz w:val="24"/>
          <w:szCs w:val="22"/>
          <w:highlight w:val="none"/>
          <w:shd w:val="clear" w:color="auto" w:fill="FFFFFF" w:themeFill="background1"/>
          <w:lang w:val="en-US" w:eastAsia="zh-CN" w:bidi="ar-SA"/>
        </w:rPr>
        <w:t>8</w:t>
      </w:r>
      <w:r>
        <w:rPr>
          <w:rFonts w:hint="eastAsia" w:ascii="宋体" w:hAnsi="宋体" w:eastAsia="宋体" w:cstheme="minorBidi"/>
          <w:iCs/>
          <w:color w:val="auto"/>
          <w:kern w:val="2"/>
          <w:sz w:val="24"/>
          <w:szCs w:val="22"/>
          <w:highlight w:val="none"/>
          <w:shd w:val="clear" w:color="auto" w:fill="FFFFFF" w:themeFill="background1"/>
          <w:lang w:val="zh-CN" w:eastAsia="zh-CN" w:bidi="ar-SA"/>
        </w:rPr>
        <w:t>对联合体投标的其他资格要求见</w:t>
      </w:r>
      <w:r>
        <w:rPr>
          <w:rFonts w:hint="eastAsia" w:eastAsia="宋体"/>
          <w:color w:val="auto"/>
          <w:sz w:val="24"/>
          <w:highlight w:val="none"/>
        </w:rPr>
        <w:t>“</w:t>
      </w:r>
      <w:r>
        <w:rPr>
          <w:rFonts w:hint="eastAsia" w:eastAsia="宋体"/>
          <w:color w:val="auto"/>
          <w:sz w:val="24"/>
          <w:highlight w:val="none"/>
          <w:lang w:val="en-US" w:eastAsia="zh-CN"/>
        </w:rPr>
        <w:t>第一章 招标公告</w:t>
      </w:r>
      <w:r>
        <w:rPr>
          <w:rFonts w:hint="eastAsia" w:eastAsia="宋体"/>
          <w:color w:val="auto"/>
          <w:sz w:val="24"/>
          <w:highlight w:val="none"/>
        </w:rPr>
        <w:t>”</w:t>
      </w:r>
      <w:r>
        <w:rPr>
          <w:rFonts w:hint="eastAsia" w:eastAsia="宋体"/>
          <w:color w:val="auto"/>
          <w:sz w:val="24"/>
          <w:highlight w:val="none"/>
          <w:lang w:val="en-US" w:eastAsia="zh-CN"/>
        </w:rPr>
        <w:t>中的“二、</w:t>
      </w:r>
      <w:r>
        <w:rPr>
          <w:rFonts w:hint="eastAsia" w:ascii="宋体" w:hAnsi="宋体" w:eastAsia="宋体" w:cstheme="minorBidi"/>
          <w:iCs/>
          <w:color w:val="auto"/>
          <w:kern w:val="2"/>
          <w:sz w:val="24"/>
          <w:szCs w:val="22"/>
          <w:highlight w:val="none"/>
          <w:shd w:val="clear" w:color="auto" w:fill="FFFFFF" w:themeFill="background1"/>
          <w:lang w:val="en-US" w:eastAsia="zh-CN" w:bidi="ar-SA"/>
        </w:rPr>
        <w:t>申请人的</w:t>
      </w:r>
      <w:r>
        <w:rPr>
          <w:rFonts w:hint="eastAsia" w:ascii="宋体" w:hAnsi="宋体" w:eastAsia="宋体" w:cstheme="minorBidi"/>
          <w:iCs/>
          <w:color w:val="auto"/>
          <w:kern w:val="2"/>
          <w:sz w:val="24"/>
          <w:szCs w:val="22"/>
          <w:highlight w:val="none"/>
          <w:shd w:val="clear" w:color="auto" w:fill="FFFFFF" w:themeFill="background1"/>
          <w:lang w:val="zh-CN" w:eastAsia="zh-CN" w:bidi="ar-SA"/>
        </w:rPr>
        <w:t>资格</w:t>
      </w:r>
      <w:r>
        <w:rPr>
          <w:rFonts w:hint="eastAsia" w:ascii="宋体" w:hAnsi="宋体" w:eastAsia="宋体" w:cstheme="minorBidi"/>
          <w:iCs/>
          <w:color w:val="auto"/>
          <w:kern w:val="2"/>
          <w:sz w:val="24"/>
          <w:szCs w:val="22"/>
          <w:highlight w:val="none"/>
          <w:shd w:val="clear" w:color="auto" w:fill="FFFFFF" w:themeFill="background1"/>
          <w:lang w:val="en-US" w:eastAsia="zh-CN" w:bidi="ar-SA"/>
        </w:rPr>
        <w:t>要求</w:t>
      </w:r>
      <w:r>
        <w:rPr>
          <w:rFonts w:hint="eastAsia"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zh-CN" w:eastAsia="zh-CN" w:bidi="ar-SA"/>
        </w:rPr>
        <w:t>。</w:t>
      </w:r>
    </w:p>
    <w:p w14:paraId="06104617">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27" w:name="_Toc163492827"/>
      <w:r>
        <w:rPr>
          <w:rFonts w:hint="eastAsia" w:ascii="宋体" w:hAnsi="宋体" w:eastAsia="宋体" w:cs="宋体"/>
          <w:b/>
          <w:bCs/>
          <w:color w:val="auto"/>
          <w:kern w:val="2"/>
          <w:sz w:val="24"/>
          <w:szCs w:val="28"/>
          <w:highlight w:val="none"/>
          <w:lang w:val="en-US" w:eastAsia="zh-CN" w:bidi="ar-SA"/>
        </w:rPr>
        <w:t>5.费用承担</w:t>
      </w:r>
      <w:bookmarkEnd w:id="127"/>
    </w:p>
    <w:p w14:paraId="267CCF0E">
      <w:pPr>
        <w:pStyle w:val="39"/>
        <w:keepNext w:val="0"/>
        <w:keepLines w:val="0"/>
        <w:pageBreakBefore w:val="0"/>
        <w:widowControl w:val="0"/>
        <w:kinsoku/>
        <w:overflowPunct/>
        <w:topLinePunct w:val="0"/>
        <w:autoSpaceDE/>
        <w:autoSpaceDN/>
        <w:bidi w:val="0"/>
        <w:adjustRightInd/>
        <w:snapToGrid/>
        <w:textAlignment w:val="auto"/>
        <w:rPr>
          <w:rFonts w:hint="eastAsia" w:eastAsia="宋体"/>
          <w:color w:val="auto"/>
          <w:sz w:val="24"/>
          <w:highlight w:val="none"/>
        </w:rPr>
      </w:pPr>
      <w:r>
        <w:rPr>
          <w:rFonts w:hint="eastAsia" w:eastAsia="宋体"/>
          <w:color w:val="auto"/>
          <w:sz w:val="24"/>
          <w:highlight w:val="none"/>
        </w:rPr>
        <w:t>5.1</w:t>
      </w:r>
      <w:r>
        <w:rPr>
          <w:rFonts w:hint="eastAsia" w:eastAsia="宋体"/>
          <w:color w:val="auto"/>
          <w:sz w:val="24"/>
          <w:highlight w:val="none"/>
          <w:lang w:val="en-US" w:eastAsia="zh-CN"/>
        </w:rPr>
        <w:t>不论投标的结果如何，投标人应承担所有与准备和参加投标有关的费用。</w:t>
      </w:r>
    </w:p>
    <w:p w14:paraId="3EF59858">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28" w:name="_Toc140132761"/>
      <w:bookmarkStart w:id="129" w:name="_Toc163492828"/>
      <w:r>
        <w:rPr>
          <w:rFonts w:hint="eastAsia" w:ascii="宋体" w:hAnsi="宋体" w:eastAsia="宋体" w:cs="宋体"/>
          <w:b/>
          <w:bCs/>
          <w:color w:val="auto"/>
          <w:kern w:val="2"/>
          <w:sz w:val="24"/>
          <w:szCs w:val="28"/>
          <w:highlight w:val="none"/>
          <w:lang w:val="en-US" w:eastAsia="zh-CN" w:bidi="ar-SA"/>
        </w:rPr>
        <w:t>6.保密</w:t>
      </w:r>
      <w:bookmarkEnd w:id="128"/>
      <w:bookmarkEnd w:id="129"/>
    </w:p>
    <w:p w14:paraId="00999779">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6.1</w:t>
      </w:r>
      <w:r>
        <w:rPr>
          <w:rFonts w:hint="eastAsia" w:eastAsia="宋体"/>
          <w:color w:val="auto"/>
          <w:sz w:val="24"/>
          <w:highlight w:val="none"/>
          <w:lang w:val="en-US" w:eastAsia="zh-CN"/>
        </w:rPr>
        <w:t xml:space="preserve"> </w:t>
      </w:r>
      <w:r>
        <w:rPr>
          <w:rFonts w:hint="eastAsia" w:eastAsia="宋体"/>
          <w:color w:val="auto"/>
          <w:sz w:val="24"/>
          <w:highlight w:val="none"/>
        </w:rPr>
        <w:t>参与招标投标活动的各方应对招标文件和投标文件中的商业和技术等秘密保密，否则应承担相应的法律责任。</w:t>
      </w:r>
    </w:p>
    <w:p w14:paraId="759530C5">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lang w:val="en-US" w:eastAsia="zh-CN"/>
        </w:rPr>
        <w:t>6</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2 </w:t>
      </w:r>
      <w:r>
        <w:rPr>
          <w:rFonts w:hint="eastAsia" w:ascii="宋体" w:hAnsi="宋体" w:eastAsia="宋体" w:cs="宋体"/>
          <w:color w:val="auto"/>
          <w:kern w:val="2"/>
          <w:sz w:val="24"/>
          <w:szCs w:val="22"/>
          <w:highlight w:val="none"/>
        </w:rPr>
        <w:t>投标人自领取招标文件之日起，须承担本招标项目保密义务，不得将因本次招标获得的信息向第三人外传。由采购人向投标人提供的图纸、详细资料、样品、模型、模件和所有其它资料，被视为保密资料，仅被用于它所规定的用途。除非得到采购人的同意，不能向任何第三方透露。开标结束后，应采购人要求，投标人应归还所有从采购人处获得的保密资料。</w:t>
      </w:r>
    </w:p>
    <w:p w14:paraId="70D4212A">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lang w:val="en-US" w:eastAsia="zh-CN"/>
        </w:rPr>
        <w:t>6</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3 </w:t>
      </w:r>
      <w:r>
        <w:rPr>
          <w:rFonts w:hint="eastAsia" w:ascii="宋体" w:hAnsi="宋体" w:eastAsia="宋体" w:cs="宋体"/>
          <w:color w:val="auto"/>
          <w:kern w:val="2"/>
          <w:sz w:val="24"/>
          <w:szCs w:val="22"/>
          <w:highlight w:val="none"/>
        </w:rPr>
        <w:t>采购代理机构有权将投标人提供的所有资料向有关政府部门或评审</w:t>
      </w:r>
      <w:r>
        <w:rPr>
          <w:rFonts w:hint="eastAsia" w:ascii="宋体" w:hAnsi="宋体" w:eastAsia="宋体" w:cs="宋体"/>
          <w:color w:val="auto"/>
          <w:kern w:val="2"/>
          <w:sz w:val="24"/>
          <w:szCs w:val="22"/>
          <w:highlight w:val="none"/>
          <w:lang w:val="en-US" w:eastAsia="zh-CN"/>
        </w:rPr>
        <w:t>投标文件</w:t>
      </w:r>
      <w:r>
        <w:rPr>
          <w:rFonts w:hint="eastAsia" w:ascii="宋体" w:hAnsi="宋体" w:eastAsia="宋体" w:cs="宋体"/>
          <w:color w:val="auto"/>
          <w:kern w:val="2"/>
          <w:sz w:val="24"/>
          <w:szCs w:val="22"/>
          <w:highlight w:val="none"/>
        </w:rPr>
        <w:t>的有关人员披露。</w:t>
      </w:r>
    </w:p>
    <w:p w14:paraId="08BB6BAC">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6</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4 各级人民政府财政部门对政府采购活动进行监督检查，有权查阅、复制有关文件、资料，相关单位和人员应当予以配合。</w:t>
      </w:r>
    </w:p>
    <w:p w14:paraId="0B3F3971">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30" w:name="_Toc163492829"/>
      <w:bookmarkStart w:id="131" w:name="_Toc140132762"/>
      <w:r>
        <w:rPr>
          <w:rFonts w:hint="eastAsia" w:ascii="宋体" w:hAnsi="宋体" w:eastAsia="宋体" w:cs="宋体"/>
          <w:b/>
          <w:bCs/>
          <w:color w:val="auto"/>
          <w:kern w:val="2"/>
          <w:sz w:val="24"/>
          <w:szCs w:val="28"/>
          <w:highlight w:val="none"/>
          <w:lang w:val="en-US" w:eastAsia="zh-CN" w:bidi="ar-SA"/>
        </w:rPr>
        <w:t>7.语言文字</w:t>
      </w:r>
      <w:bookmarkEnd w:id="130"/>
      <w:bookmarkEnd w:id="131"/>
    </w:p>
    <w:p w14:paraId="123C889F">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7.1招标投标</w:t>
      </w:r>
      <w:r>
        <w:rPr>
          <w:rFonts w:hint="eastAsia" w:eastAsia="宋体"/>
          <w:color w:val="auto"/>
          <w:sz w:val="24"/>
          <w:highlight w:val="none"/>
          <w:lang w:val="en-US" w:eastAsia="zh-CN"/>
        </w:rPr>
        <w:t>过程</w:t>
      </w:r>
      <w:r>
        <w:rPr>
          <w:rFonts w:hint="eastAsia" w:eastAsia="宋体"/>
          <w:color w:val="auto"/>
          <w:sz w:val="24"/>
          <w:highlight w:val="none"/>
        </w:rPr>
        <w:t>文件使用的语言文字为中文。专用术语使用外文的，应附有中文注释。</w:t>
      </w:r>
      <w:r>
        <w:rPr>
          <w:rFonts w:hint="eastAsia" w:eastAsia="宋体"/>
          <w:color w:val="auto"/>
          <w:sz w:val="24"/>
          <w:highlight w:val="none"/>
          <w:lang w:val="en-US" w:eastAsia="zh-CN"/>
        </w:rPr>
        <w:t>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00529BCA">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32" w:name="_Toc140132763"/>
      <w:bookmarkStart w:id="133" w:name="_Toc163492830"/>
      <w:r>
        <w:rPr>
          <w:rFonts w:hint="eastAsia" w:ascii="宋体" w:hAnsi="宋体" w:eastAsia="宋体" w:cs="宋体"/>
          <w:b/>
          <w:bCs/>
          <w:color w:val="auto"/>
          <w:kern w:val="2"/>
          <w:sz w:val="24"/>
          <w:szCs w:val="28"/>
          <w:highlight w:val="none"/>
          <w:lang w:val="en-US" w:eastAsia="zh-CN" w:bidi="ar-SA"/>
        </w:rPr>
        <w:t>8.计量单位</w:t>
      </w:r>
      <w:bookmarkEnd w:id="132"/>
      <w:bookmarkEnd w:id="133"/>
    </w:p>
    <w:p w14:paraId="2C106A39">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8.1所有计量均采用中华人民共和国法定计量单位。</w:t>
      </w:r>
    </w:p>
    <w:p w14:paraId="062A2A20">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34" w:name="_Toc140132764"/>
      <w:bookmarkStart w:id="135" w:name="_Toc163492831"/>
      <w:r>
        <w:rPr>
          <w:rFonts w:hint="eastAsia" w:ascii="宋体" w:hAnsi="宋体" w:eastAsia="宋体" w:cs="宋体"/>
          <w:b/>
          <w:bCs/>
          <w:color w:val="auto"/>
          <w:kern w:val="2"/>
          <w:sz w:val="24"/>
          <w:szCs w:val="28"/>
          <w:highlight w:val="none"/>
          <w:lang w:val="en-US" w:eastAsia="zh-CN" w:bidi="ar-SA"/>
        </w:rPr>
        <w:t>9.现场考察和答疑会</w:t>
      </w:r>
      <w:bookmarkEnd w:id="134"/>
      <w:bookmarkEnd w:id="135"/>
    </w:p>
    <w:p w14:paraId="56BAC48B">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bookmarkStart w:id="136" w:name="_Hlk143529198"/>
      <w:r>
        <w:rPr>
          <w:rFonts w:hint="eastAsia" w:eastAsia="宋体"/>
          <w:color w:val="auto"/>
          <w:sz w:val="24"/>
          <w:highlight w:val="none"/>
        </w:rPr>
        <w:t xml:space="preserve">9.1 “投标人须知前附表”规定组织现场考察的，采购代理机构按“投标人须知前附表”规定的时间、地点组织投标人项目现场考察。 </w:t>
      </w:r>
    </w:p>
    <w:p w14:paraId="07D8E8A7">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9.2 投标人现场考察发生的费用自理。</w:t>
      </w:r>
    </w:p>
    <w:p w14:paraId="3ADC0212">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9.3 在现场考察中，因投标人自身原因发生的人员伤亡和财产损失，由投标人自行负责。</w:t>
      </w:r>
    </w:p>
    <w:p w14:paraId="7DAF6CB6">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9.4 采购人在现场考察中介绍的项目场地和相关的周边环境情况，仅供投标人在编制投标文件时参考，采购人和采购代理机构不对投标人据此作出的判断和决策负责。</w:t>
      </w:r>
    </w:p>
    <w:p w14:paraId="30D89983">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9.5 “投标人须知前附表”规定召开答疑会的，采购代理机构按“投标人须知前附表”规定的时间和地点召开答疑会，澄清投标人提出的问题。</w:t>
      </w:r>
    </w:p>
    <w:p w14:paraId="562B4ED4">
      <w:pPr>
        <w:pStyle w:val="39"/>
        <w:keepNext w:val="0"/>
        <w:keepLines w:val="0"/>
        <w:pageBreakBefore w:val="0"/>
        <w:widowControl w:val="0"/>
        <w:kinsoku/>
        <w:overflowPunct/>
        <w:topLinePunct w:val="0"/>
        <w:autoSpaceDE/>
        <w:autoSpaceDN/>
        <w:bidi w:val="0"/>
        <w:adjustRightInd/>
        <w:textAlignment w:val="auto"/>
        <w:rPr>
          <w:rFonts w:hint="default" w:eastAsia="宋体"/>
          <w:color w:val="auto"/>
          <w:sz w:val="24"/>
          <w:highlight w:val="none"/>
          <w:lang w:val="en-US" w:eastAsia="zh-CN"/>
        </w:rPr>
      </w:pPr>
      <w:r>
        <w:rPr>
          <w:rFonts w:hint="eastAsia" w:eastAsia="宋体"/>
          <w:color w:val="auto"/>
          <w:sz w:val="24"/>
          <w:highlight w:val="none"/>
          <w:lang w:val="en-US" w:eastAsia="zh-CN"/>
        </w:rPr>
        <w:t>9.6 由于未参加现场考察或未参加标前答疑会而导致对项目实际情况不了解，影响投标文件编制、投标报价准确性、综合因素响应不全面等问题的，由投标人自行承担不利评审后果。</w:t>
      </w:r>
    </w:p>
    <w:bookmarkEnd w:id="136"/>
    <w:p w14:paraId="0255C10B">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137" w:name="_Toc163492833"/>
      <w:bookmarkStart w:id="138" w:name="_Toc155185858"/>
      <w:bookmarkStart w:id="139" w:name="_Toc155185871"/>
      <w:r>
        <w:rPr>
          <w:rFonts w:hint="eastAsia" w:ascii="宋体" w:hAnsi="宋体" w:eastAsia="宋体" w:cs="宋体"/>
          <w:b/>
          <w:bCs/>
          <w:color w:val="auto"/>
          <w:kern w:val="2"/>
          <w:sz w:val="24"/>
          <w:szCs w:val="28"/>
          <w:highlight w:val="none"/>
          <w:lang w:val="en-US" w:eastAsia="zh-CN" w:bidi="ar-SA"/>
        </w:rPr>
        <w:t>10.电子投标说明</w:t>
      </w:r>
      <w:bookmarkEnd w:id="137"/>
      <w:bookmarkEnd w:id="138"/>
      <w:r>
        <w:rPr>
          <w:rFonts w:hint="eastAsia" w:ascii="宋体" w:hAnsi="宋体" w:eastAsia="宋体" w:cs="宋体"/>
          <w:b/>
          <w:bCs/>
          <w:color w:val="auto"/>
          <w:kern w:val="2"/>
          <w:sz w:val="24"/>
          <w:szCs w:val="28"/>
          <w:highlight w:val="none"/>
          <w:lang w:val="en-US" w:eastAsia="zh-CN" w:bidi="ar-SA"/>
        </w:rPr>
        <w:t xml:space="preserve">   </w:t>
      </w:r>
    </w:p>
    <w:p w14:paraId="0AC112CA">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 xml:space="preserve">.1 </w:t>
      </w:r>
      <w:r>
        <w:rPr>
          <w:rFonts w:hint="eastAsia" w:ascii="宋体" w:hAnsi="宋体" w:eastAsia="宋体"/>
          <w:color w:val="auto"/>
          <w:sz w:val="24"/>
          <w:highlight w:val="none"/>
        </w:rPr>
        <w:t>本次采购采用电子交易方式，电子交易平台为</w:t>
      </w:r>
      <w:r>
        <w:rPr>
          <w:rFonts w:hint="eastAsia"/>
          <w:color w:val="auto"/>
          <w:sz w:val="24"/>
          <w:highlight w:val="none"/>
          <w:lang w:val="en-US" w:eastAsia="zh-CN"/>
        </w:rPr>
        <w:t>新疆</w:t>
      </w:r>
      <w:r>
        <w:rPr>
          <w:rFonts w:hint="eastAsia" w:ascii="宋体" w:hAnsi="宋体" w:eastAsia="宋体"/>
          <w:color w:val="auto"/>
          <w:sz w:val="24"/>
          <w:highlight w:val="none"/>
        </w:rPr>
        <w:t>政府采购</w:t>
      </w:r>
      <w:r>
        <w:rPr>
          <w:rFonts w:hint="eastAsia" w:ascii="宋体" w:hAnsi="宋体" w:eastAsia="宋体"/>
          <w:color w:val="auto"/>
          <w:sz w:val="24"/>
          <w:highlight w:val="none"/>
          <w:lang w:val="en-US"/>
        </w:rPr>
        <w:t>电子交易云</w:t>
      </w:r>
      <w:r>
        <w:rPr>
          <w:rFonts w:hint="eastAsia" w:ascii="宋体" w:hAnsi="宋体" w:eastAsia="宋体"/>
          <w:color w:val="auto"/>
          <w:sz w:val="24"/>
          <w:highlight w:val="none"/>
        </w:rPr>
        <w:t>平台</w:t>
      </w:r>
      <w:r>
        <w:rPr>
          <w:rFonts w:hint="eastAsia" w:ascii="宋体" w:hAnsi="宋体" w:eastAsia="宋体"/>
          <w:color w:val="auto"/>
          <w:sz w:val="24"/>
          <w:highlight w:val="none"/>
          <w:lang w:val="hr-HR"/>
        </w:rPr>
        <w:t>（</w:t>
      </w:r>
      <w:r>
        <w:rPr>
          <w:rFonts w:hint="eastAsia" w:ascii="宋体" w:hAnsi="宋体" w:eastAsia="宋体"/>
          <w:color w:val="auto"/>
          <w:sz w:val="24"/>
          <w:highlight w:val="none"/>
        </w:rPr>
        <w:t>网址</w:t>
      </w:r>
      <w:r>
        <w:rPr>
          <w:rFonts w:hint="eastAsia" w:ascii="宋体" w:hAnsi="宋体" w:eastAsia="宋体"/>
          <w:color w:val="auto"/>
          <w:sz w:val="24"/>
          <w:highlight w:val="none"/>
          <w:lang w:val="hr-HR"/>
        </w:rPr>
        <w:t>：</w:t>
      </w:r>
      <w:r>
        <w:rPr>
          <w:rFonts w:hint="eastAsia" w:ascii="宋体" w:hAnsi="宋体" w:eastAsia="宋体"/>
          <w:color w:val="auto"/>
          <w:sz w:val="24"/>
          <w:highlight w:val="none"/>
          <w:lang w:val="hr-HR" w:eastAsia="zh-CN"/>
        </w:rPr>
        <w:t>http://www.ccgp-xinjiang.gov.cn/</w:t>
      </w:r>
      <w:r>
        <w:rPr>
          <w:rFonts w:hint="eastAsia" w:ascii="宋体" w:hAnsi="宋体" w:eastAsia="宋体"/>
          <w:color w:val="auto"/>
          <w:sz w:val="24"/>
          <w:highlight w:val="none"/>
          <w:lang w:val="hr-HR"/>
        </w:rPr>
        <w:t>）</w:t>
      </w:r>
      <w:r>
        <w:rPr>
          <w:rFonts w:hint="eastAsia" w:ascii="宋体" w:hAnsi="宋体" w:eastAsia="宋体"/>
          <w:color w:val="auto"/>
          <w:sz w:val="24"/>
          <w:highlight w:val="none"/>
        </w:rPr>
        <w:t>。投标人参与本项目电子交易活动前，应</w:t>
      </w:r>
      <w:r>
        <w:rPr>
          <w:rFonts w:hint="eastAsia" w:eastAsia="宋体"/>
          <w:color w:val="auto"/>
          <w:sz w:val="24"/>
          <w:highlight w:val="none"/>
          <w:lang w:val="en-US" w:eastAsia="zh-CN"/>
        </w:rPr>
        <w:t>在</w:t>
      </w:r>
      <w:r>
        <w:rPr>
          <w:rFonts w:hint="eastAsia" w:ascii="宋体" w:hAnsi="宋体" w:eastAsia="宋体"/>
          <w:color w:val="auto"/>
          <w:sz w:val="24"/>
          <w:highlight w:val="none"/>
        </w:rPr>
        <w:t>政</w:t>
      </w:r>
      <w:r>
        <w:rPr>
          <w:rFonts w:hint="eastAsia" w:eastAsia="宋体"/>
          <w:color w:val="auto"/>
          <w:sz w:val="24"/>
          <w:highlight w:val="none"/>
          <w:lang w:val="en-US" w:eastAsia="zh-CN"/>
        </w:rPr>
        <w:t>采</w:t>
      </w:r>
      <w:r>
        <w:rPr>
          <w:rFonts w:hint="eastAsia" w:ascii="宋体" w:hAnsi="宋体" w:eastAsia="宋体"/>
          <w:color w:val="auto"/>
          <w:sz w:val="24"/>
          <w:highlight w:val="none"/>
          <w:lang w:val="en-US"/>
        </w:rPr>
        <w:t>云</w:t>
      </w:r>
      <w:r>
        <w:rPr>
          <w:rFonts w:hint="eastAsia" w:ascii="宋体" w:hAnsi="宋体" w:eastAsia="宋体"/>
          <w:color w:val="auto"/>
          <w:sz w:val="24"/>
          <w:highlight w:val="none"/>
        </w:rPr>
        <w:t>平台</w:t>
      </w:r>
      <w:r>
        <w:rPr>
          <w:rFonts w:hint="eastAsia" w:eastAsia="宋体"/>
          <w:color w:val="auto"/>
          <w:sz w:val="24"/>
          <w:highlight w:val="none"/>
          <w:lang w:val="en-US" w:eastAsia="zh-CN"/>
        </w:rPr>
        <w:t>上</w:t>
      </w:r>
      <w:r>
        <w:rPr>
          <w:rFonts w:hint="eastAsia" w:ascii="宋体" w:hAnsi="宋体" w:eastAsia="宋体"/>
          <w:color w:val="auto"/>
          <w:sz w:val="24"/>
          <w:highlight w:val="none"/>
        </w:rPr>
        <w:t>注册</w:t>
      </w:r>
      <w:r>
        <w:rPr>
          <w:rFonts w:hint="eastAsia" w:eastAsia="宋体"/>
          <w:color w:val="auto"/>
          <w:sz w:val="24"/>
          <w:highlight w:val="none"/>
          <w:lang w:val="en-US" w:eastAsia="zh-CN"/>
        </w:rPr>
        <w:t>供应商账号</w:t>
      </w:r>
      <w:r>
        <w:rPr>
          <w:rFonts w:hint="eastAsia" w:ascii="宋体" w:hAnsi="宋体" w:eastAsia="宋体"/>
          <w:color w:val="auto"/>
          <w:sz w:val="24"/>
          <w:highlight w:val="none"/>
        </w:rPr>
        <w:t>。编制电子</w:t>
      </w:r>
      <w:r>
        <w:rPr>
          <w:rFonts w:hint="eastAsia" w:ascii="宋体" w:hAnsi="宋体" w:eastAsia="宋体"/>
          <w:color w:val="auto"/>
          <w:sz w:val="24"/>
          <w:highlight w:val="none"/>
          <w:lang w:val="en-US" w:eastAsia="zh-CN"/>
        </w:rPr>
        <w:t>投标</w:t>
      </w:r>
      <w:r>
        <w:rPr>
          <w:rFonts w:hint="eastAsia" w:ascii="宋体" w:hAnsi="宋体" w:eastAsia="宋体"/>
          <w:color w:val="auto"/>
          <w:sz w:val="24"/>
          <w:highlight w:val="none"/>
        </w:rPr>
        <w:t>文件前还需</w:t>
      </w:r>
      <w:r>
        <w:rPr>
          <w:rFonts w:hint="eastAsia" w:ascii="宋体" w:hAnsi="宋体" w:eastAsia="宋体"/>
          <w:color w:val="auto"/>
          <w:sz w:val="24"/>
          <w:highlight w:val="none"/>
          <w:lang w:val="en-US" w:eastAsia="zh-CN"/>
        </w:rPr>
        <w:t>申领CA证书并绑定帐号。投标人应充分考虑完成平台注册、申领CA证书等所需的时间。</w:t>
      </w:r>
      <w:r>
        <w:rPr>
          <w:rFonts w:hint="eastAsia" w:ascii="宋体" w:hAnsi="宋体" w:eastAsia="宋体"/>
          <w:color w:val="auto"/>
          <w:sz w:val="24"/>
          <w:highlight w:val="none"/>
          <w:lang w:val="zh-CN" w:eastAsia="zh-CN"/>
        </w:rPr>
        <w:t>潜在投标人领取文件须提前完成注册、CA证书和电子签章申领和绑定、下载</w:t>
      </w:r>
      <w:r>
        <w:rPr>
          <w:rFonts w:hint="eastAsia"/>
          <w:color w:val="auto"/>
          <w:sz w:val="24"/>
          <w:highlight w:val="none"/>
          <w:lang w:val="zh-CN" w:eastAsia="zh-CN"/>
        </w:rPr>
        <w:t>“</w:t>
      </w:r>
      <w:r>
        <w:rPr>
          <w:rFonts w:hint="eastAsia" w:ascii="宋体" w:hAnsi="宋体" w:eastAsia="宋体"/>
          <w:color w:val="auto"/>
          <w:sz w:val="24"/>
          <w:highlight w:val="none"/>
          <w:lang w:val="zh-CN" w:eastAsia="zh-CN"/>
        </w:rPr>
        <w:t>投标客户端</w:t>
      </w:r>
      <w:r>
        <w:rPr>
          <w:rFonts w:hint="eastAsia"/>
          <w:color w:val="auto"/>
          <w:sz w:val="24"/>
          <w:highlight w:val="none"/>
          <w:lang w:val="zh-CN" w:eastAsia="zh-CN"/>
        </w:rPr>
        <w:t>”</w:t>
      </w:r>
      <w:r>
        <w:rPr>
          <w:rFonts w:hint="eastAsia" w:ascii="宋体" w:hAnsi="宋体" w:eastAsia="宋体"/>
          <w:color w:val="auto"/>
          <w:sz w:val="24"/>
          <w:highlight w:val="none"/>
          <w:lang w:val="zh-CN" w:eastAsia="zh-CN"/>
        </w:rPr>
        <w:t>。因未办理CA数字证书、CA证书故障、操作不当等原因造成无法投标或投标失败等后果由投标人自行承担。</w:t>
      </w:r>
      <w:r>
        <w:rPr>
          <w:rFonts w:hint="eastAsia" w:eastAsia="宋体"/>
          <w:color w:val="auto"/>
          <w:sz w:val="24"/>
          <w:highlight w:val="none"/>
          <w:lang w:val="en-US" w:eastAsia="zh-CN"/>
        </w:rPr>
        <w:t>投标人</w:t>
      </w:r>
      <w:r>
        <w:rPr>
          <w:rFonts w:hint="eastAsia" w:ascii="宋体" w:hAnsi="宋体" w:eastAsia="宋体"/>
          <w:color w:val="auto"/>
          <w:sz w:val="24"/>
          <w:highlight w:val="none"/>
          <w:lang w:val="zh-CN" w:eastAsia="zh-CN"/>
        </w:rPr>
        <w:t>登录</w:t>
      </w:r>
      <w:r>
        <w:rPr>
          <w:rFonts w:hint="eastAsia"/>
          <w:color w:val="auto"/>
          <w:sz w:val="24"/>
          <w:highlight w:val="none"/>
          <w:lang w:val="en-US" w:eastAsia="zh-CN"/>
        </w:rPr>
        <w:t>新疆</w:t>
      </w:r>
      <w:r>
        <w:rPr>
          <w:rFonts w:hint="eastAsia" w:ascii="宋体" w:hAnsi="宋体" w:eastAsia="宋体"/>
          <w:color w:val="auto"/>
          <w:sz w:val="24"/>
          <w:highlight w:val="none"/>
          <w:lang w:val="zh-CN" w:eastAsia="zh-CN"/>
        </w:rPr>
        <w:t>政府采购网“供应商注册”—“政府采购供应商入驻登记”—“立即登记”进行自助注册绑定。</w:t>
      </w:r>
    </w:p>
    <w:p w14:paraId="11113A8F">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2</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投标人将</w:t>
      </w:r>
      <w:r>
        <w:rPr>
          <w:rFonts w:hint="eastAsia"/>
          <w:color w:val="auto"/>
          <w:sz w:val="24"/>
          <w:highlight w:val="none"/>
          <w:lang w:val="en-US" w:eastAsia="zh-CN"/>
        </w:rPr>
        <w:t>新疆</w:t>
      </w:r>
      <w:r>
        <w:rPr>
          <w:rFonts w:hint="eastAsia" w:ascii="宋体" w:hAnsi="宋体" w:eastAsia="宋体"/>
          <w:color w:val="auto"/>
          <w:sz w:val="24"/>
          <w:highlight w:val="none"/>
        </w:rPr>
        <w:t>政府采购</w:t>
      </w:r>
      <w:r>
        <w:rPr>
          <w:rFonts w:hint="eastAsia" w:ascii="宋体" w:hAnsi="宋体" w:eastAsia="宋体"/>
          <w:color w:val="auto"/>
          <w:sz w:val="24"/>
          <w:highlight w:val="none"/>
          <w:lang w:val="en-US"/>
        </w:rPr>
        <w:t>电子交易云</w:t>
      </w:r>
      <w:r>
        <w:rPr>
          <w:rFonts w:hint="eastAsia" w:ascii="宋体" w:hAnsi="宋体" w:eastAsia="宋体"/>
          <w:color w:val="auto"/>
          <w:sz w:val="24"/>
          <w:highlight w:val="none"/>
        </w:rPr>
        <w:t>平台电子交易客户端下载、安装完成后，可通过账号密码或CA登录客户端进行</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制作。在使用政采云</w:t>
      </w:r>
      <w:r>
        <w:rPr>
          <w:rFonts w:hint="eastAsia"/>
          <w:color w:val="auto"/>
          <w:sz w:val="24"/>
          <w:highlight w:val="none"/>
          <w:lang w:eastAsia="zh-CN"/>
        </w:rPr>
        <w:t>“</w:t>
      </w:r>
      <w:r>
        <w:rPr>
          <w:rFonts w:hint="eastAsia" w:ascii="宋体" w:hAnsi="宋体" w:eastAsia="宋体"/>
          <w:color w:val="auto"/>
          <w:sz w:val="24"/>
          <w:highlight w:val="none"/>
        </w:rPr>
        <w:t>投标客户端</w:t>
      </w:r>
      <w:r>
        <w:rPr>
          <w:rFonts w:hint="eastAsia"/>
          <w:color w:val="auto"/>
          <w:sz w:val="24"/>
          <w:highlight w:val="none"/>
          <w:lang w:eastAsia="zh-CN"/>
        </w:rPr>
        <w:t>”</w:t>
      </w:r>
      <w:r>
        <w:rPr>
          <w:rFonts w:hint="eastAsia" w:ascii="宋体" w:hAnsi="宋体" w:eastAsia="宋体"/>
          <w:color w:val="auto"/>
          <w:sz w:val="24"/>
          <w:highlight w:val="none"/>
        </w:rPr>
        <w:t>时，建议使用WIN7及以上操作系统。</w:t>
      </w:r>
      <w:r>
        <w:rPr>
          <w:rFonts w:hint="eastAsia" w:eastAsia="宋体"/>
          <w:color w:val="auto"/>
          <w:sz w:val="24"/>
          <w:highlight w:val="none"/>
          <w:lang w:val="en-US" w:eastAsia="zh-CN"/>
        </w:rPr>
        <w:t>投标人</w:t>
      </w:r>
      <w:r>
        <w:rPr>
          <w:rFonts w:hint="eastAsia" w:ascii="宋体" w:hAnsi="宋体" w:eastAsia="宋体"/>
          <w:color w:val="auto"/>
          <w:sz w:val="24"/>
          <w:highlight w:val="none"/>
        </w:rPr>
        <w:t>登录</w:t>
      </w:r>
      <w:r>
        <w:rPr>
          <w:rFonts w:hint="eastAsia"/>
          <w:color w:val="auto"/>
          <w:sz w:val="24"/>
          <w:highlight w:val="none"/>
          <w:lang w:val="en-US" w:eastAsia="zh-CN"/>
        </w:rPr>
        <w:t>新疆</w:t>
      </w:r>
      <w:r>
        <w:rPr>
          <w:rFonts w:hint="eastAsia" w:ascii="宋体" w:hAnsi="宋体" w:eastAsia="宋体"/>
          <w:color w:val="auto"/>
          <w:sz w:val="24"/>
          <w:highlight w:val="none"/>
        </w:rPr>
        <w:t>政府采购网“下载专区”—“电子招投标客户端下载”下载相关客户端，如有问题可拨打政采云客户服务热线95763进行咨询。</w:t>
      </w:r>
    </w:p>
    <w:p w14:paraId="2E556BE4">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3</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加密的电子</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应在</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递交截止时间前通过政采云平台上传完成。逾期上传或者未上传指定地点的</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，不予受理。</w:t>
      </w:r>
    </w:p>
    <w:p w14:paraId="110AA1B2">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4</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投标人在开标前须提前配置好电脑</w:t>
      </w:r>
      <w:r>
        <w:rPr>
          <w:rFonts w:hint="eastAsia" w:eastAsia="宋体"/>
          <w:color w:val="auto"/>
          <w:sz w:val="24"/>
          <w:highlight w:val="none"/>
          <w:lang w:val="en-US" w:eastAsia="zh-CN"/>
        </w:rPr>
        <w:t>及</w:t>
      </w:r>
      <w:r>
        <w:rPr>
          <w:rFonts w:hint="eastAsia" w:ascii="宋体" w:hAnsi="宋体" w:eastAsia="宋体"/>
          <w:color w:val="auto"/>
          <w:sz w:val="24"/>
          <w:highlight w:val="none"/>
        </w:rPr>
        <w:t>浏览器，开标时请使用制作加密电子</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的CA锁进行解密及报价确认。本项目</w:t>
      </w:r>
      <w:r>
        <w:rPr>
          <w:rFonts w:hint="eastAsia" w:ascii="宋体" w:hAnsi="宋体" w:eastAsia="宋体"/>
          <w:color w:val="auto"/>
          <w:sz w:val="24"/>
          <w:highlight w:val="none"/>
          <w:lang w:eastAsia="zh-CN"/>
        </w:rPr>
        <w:t>投标文件</w:t>
      </w:r>
      <w:r>
        <w:rPr>
          <w:rFonts w:hint="eastAsia" w:ascii="宋体" w:hAnsi="宋体" w:eastAsia="宋体"/>
          <w:color w:val="auto"/>
          <w:sz w:val="24"/>
          <w:highlight w:val="none"/>
        </w:rPr>
        <w:t>解密时间</w:t>
      </w:r>
      <w:r>
        <w:rPr>
          <w:rFonts w:hint="eastAsia" w:eastAsia="宋体"/>
          <w:color w:val="auto"/>
          <w:sz w:val="24"/>
          <w:highlight w:val="none"/>
          <w:lang w:val="en-US" w:eastAsia="zh-CN"/>
        </w:rPr>
        <w:t>详见“投标人须知前附表”</w:t>
      </w:r>
      <w:r>
        <w:rPr>
          <w:rFonts w:hint="eastAsia" w:ascii="宋体" w:hAnsi="宋体" w:eastAsia="宋体"/>
          <w:color w:val="auto"/>
          <w:sz w:val="24"/>
          <w:highlight w:val="none"/>
        </w:rPr>
        <w:t>，如因自身原因导致无法正常解密，后果由投标人自行承担。</w:t>
      </w:r>
    </w:p>
    <w:p w14:paraId="255323AC">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rPr>
        <w:t>5</w:t>
      </w:r>
      <w:r>
        <w:rPr>
          <w:rFonts w:hint="eastAsia" w:ascii="宋体" w:hAnsi="宋体" w:eastAsia="宋体"/>
          <w:color w:val="auto"/>
          <w:sz w:val="24"/>
          <w:highlight w:val="none"/>
          <w:lang w:val="en-US" w:eastAsia="zh-CN"/>
        </w:rPr>
        <w:t xml:space="preserve"> </w:t>
      </w:r>
      <w:r>
        <w:rPr>
          <w:rFonts w:hint="eastAsia" w:ascii="宋体" w:hAnsi="宋体" w:eastAsia="宋体"/>
          <w:color w:val="auto"/>
          <w:sz w:val="24"/>
          <w:highlight w:val="none"/>
        </w:rPr>
        <w:t>如遇“</w:t>
      </w:r>
      <w:r>
        <w:rPr>
          <w:rFonts w:hint="eastAsia"/>
          <w:color w:val="auto"/>
          <w:sz w:val="24"/>
          <w:highlight w:val="none"/>
          <w:lang w:val="en-US" w:eastAsia="zh-CN"/>
        </w:rPr>
        <w:t>新疆</w:t>
      </w:r>
      <w:r>
        <w:rPr>
          <w:rFonts w:hint="eastAsia" w:ascii="宋体" w:hAnsi="宋体" w:eastAsia="宋体"/>
          <w:color w:val="auto"/>
          <w:sz w:val="24"/>
          <w:highlight w:val="none"/>
        </w:rPr>
        <w:t>政府采购</w:t>
      </w:r>
      <w:r>
        <w:rPr>
          <w:rFonts w:hint="eastAsia" w:ascii="宋体" w:hAnsi="宋体" w:eastAsia="宋体"/>
          <w:color w:val="auto"/>
          <w:sz w:val="24"/>
          <w:highlight w:val="none"/>
          <w:lang w:val="en-US"/>
        </w:rPr>
        <w:t>电子交易云</w:t>
      </w:r>
      <w:r>
        <w:rPr>
          <w:rFonts w:hint="eastAsia" w:ascii="宋体" w:hAnsi="宋体" w:eastAsia="宋体"/>
          <w:color w:val="auto"/>
          <w:sz w:val="24"/>
          <w:highlight w:val="none"/>
        </w:rPr>
        <w:t>平台</w:t>
      </w:r>
      <w:r>
        <w:rPr>
          <w:rFonts w:hint="eastAsia" w:ascii="宋体" w:hAnsi="宋体" w:eastAsia="宋体"/>
          <w:color w:val="auto"/>
          <w:sz w:val="24"/>
          <w:highlight w:val="none"/>
          <w:lang w:val="hr-HR"/>
        </w:rPr>
        <w:t>（</w:t>
      </w:r>
      <w:r>
        <w:rPr>
          <w:rFonts w:hint="eastAsia" w:ascii="宋体" w:hAnsi="宋体" w:eastAsia="宋体"/>
          <w:color w:val="auto"/>
          <w:sz w:val="24"/>
          <w:highlight w:val="none"/>
        </w:rPr>
        <w:t>网址</w:t>
      </w:r>
      <w:r>
        <w:rPr>
          <w:rFonts w:hint="eastAsia" w:ascii="宋体" w:hAnsi="宋体" w:eastAsia="宋体"/>
          <w:color w:val="auto"/>
          <w:sz w:val="24"/>
          <w:highlight w:val="none"/>
          <w:lang w:val="hr-HR"/>
        </w:rPr>
        <w:t>：</w:t>
      </w:r>
      <w:r>
        <w:rPr>
          <w:rFonts w:hint="eastAsia" w:ascii="宋体" w:hAnsi="宋体" w:eastAsia="宋体"/>
          <w:color w:val="auto"/>
          <w:sz w:val="24"/>
          <w:highlight w:val="none"/>
          <w:lang w:val="hr-HR" w:eastAsia="zh-CN"/>
        </w:rPr>
        <w:t>http://www.ccgp-xinjiang.gov.cn/</w:t>
      </w:r>
      <w:r>
        <w:rPr>
          <w:rFonts w:hint="eastAsia" w:ascii="宋体" w:hAnsi="宋体" w:eastAsia="宋体"/>
          <w:color w:val="auto"/>
          <w:sz w:val="24"/>
          <w:highlight w:val="none"/>
          <w:lang w:val="hr-HR"/>
        </w:rPr>
        <w:t>）</w:t>
      </w:r>
      <w:r>
        <w:rPr>
          <w:rFonts w:hint="eastAsia" w:ascii="宋体" w:hAnsi="宋体" w:eastAsia="宋体"/>
          <w:color w:val="auto"/>
          <w:sz w:val="24"/>
          <w:highlight w:val="none"/>
        </w:rPr>
        <w:t>”电子交易规则调整，以最新要求为准。</w:t>
      </w:r>
    </w:p>
    <w:p w14:paraId="271FAD5B">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.6 电子交易系统咨询：投标人应当充分考虑到电子投标可能会发生的各种问题和风险，特别是投标文件签署、提交等问题，</w:t>
      </w:r>
      <w:r>
        <w:rPr>
          <w:rFonts w:hint="eastAsia" w:eastAsia="宋体"/>
          <w:color w:val="auto"/>
          <w:sz w:val="24"/>
          <w:highlight w:val="none"/>
          <w:lang w:val="en-US" w:eastAsia="zh-CN"/>
        </w:rPr>
        <w:t>可</w:t>
      </w:r>
      <w:r>
        <w:rPr>
          <w:rFonts w:hint="eastAsia" w:ascii="宋体" w:hAnsi="宋体" w:eastAsia="宋体"/>
          <w:color w:val="auto"/>
          <w:sz w:val="24"/>
          <w:highlight w:val="none"/>
          <w:lang w:val="en-US" w:eastAsia="zh-CN"/>
        </w:rPr>
        <w:t>按照“</w:t>
      </w:r>
      <w:r>
        <w:rPr>
          <w:rFonts w:hint="eastAsia" w:eastAsia="宋体"/>
          <w:color w:val="auto"/>
          <w:sz w:val="24"/>
          <w:highlight w:val="none"/>
          <w:lang w:val="en-US" w:eastAsia="zh-CN"/>
        </w:rPr>
        <w:t>第一章 招标公告</w:t>
      </w:r>
      <w:r>
        <w:rPr>
          <w:rFonts w:hint="eastAsia" w:ascii="宋体" w:hAnsi="宋体" w:eastAsia="宋体"/>
          <w:color w:val="auto"/>
          <w:sz w:val="24"/>
          <w:highlight w:val="none"/>
          <w:lang w:val="en-US" w:eastAsia="zh-CN"/>
        </w:rPr>
        <w:t>”的</w:t>
      </w:r>
      <w:r>
        <w:rPr>
          <w:rFonts w:hint="eastAsia" w:eastAsia="宋体"/>
          <w:color w:val="auto"/>
          <w:sz w:val="24"/>
          <w:highlight w:val="none"/>
          <w:lang w:val="en-US" w:eastAsia="zh-CN"/>
        </w:rPr>
        <w:t>联系方式咨询相关人员</w:t>
      </w:r>
      <w:r>
        <w:rPr>
          <w:rFonts w:hint="eastAsia" w:ascii="宋体" w:hAnsi="宋体" w:eastAsia="宋体"/>
          <w:color w:val="auto"/>
          <w:sz w:val="24"/>
          <w:highlight w:val="none"/>
          <w:lang w:val="en-US" w:eastAsia="zh-CN"/>
        </w:rPr>
        <w:t>。</w:t>
      </w:r>
    </w:p>
    <w:p w14:paraId="4EDFCA7A">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1</w:t>
      </w:r>
      <w:r>
        <w:rPr>
          <w:rFonts w:hint="eastAsia" w:eastAsia="宋体"/>
          <w:color w:val="auto"/>
          <w:sz w:val="24"/>
          <w:highlight w:val="none"/>
          <w:lang w:val="en-US" w:eastAsia="zh-CN"/>
        </w:rPr>
        <w:t>0</w:t>
      </w:r>
      <w:r>
        <w:rPr>
          <w:rFonts w:hint="eastAsia" w:ascii="宋体" w:hAnsi="宋体" w:eastAsia="宋体"/>
          <w:color w:val="auto"/>
          <w:sz w:val="24"/>
          <w:highlight w:val="none"/>
          <w:lang w:val="en-US" w:eastAsia="zh-CN"/>
        </w:rPr>
        <w:t>.7 由于本项目采用电子招标方式，潜在投标人的名单将在</w:t>
      </w:r>
      <w:r>
        <w:rPr>
          <w:rFonts w:hint="eastAsia" w:eastAsia="宋体"/>
          <w:color w:val="auto"/>
          <w:sz w:val="24"/>
          <w:highlight w:val="none"/>
          <w:lang w:val="en-US" w:eastAsia="zh-CN"/>
        </w:rPr>
        <w:t>提交</w:t>
      </w:r>
      <w:r>
        <w:rPr>
          <w:rFonts w:hint="eastAsia" w:ascii="宋体" w:hAnsi="宋体" w:eastAsia="宋体"/>
          <w:color w:val="auto"/>
          <w:sz w:val="24"/>
          <w:highlight w:val="none"/>
          <w:lang w:val="en-US" w:eastAsia="zh-CN"/>
        </w:rPr>
        <w:t>投标</w:t>
      </w:r>
      <w:r>
        <w:rPr>
          <w:rFonts w:hint="eastAsia" w:eastAsia="宋体"/>
          <w:color w:val="auto"/>
          <w:sz w:val="24"/>
          <w:highlight w:val="none"/>
          <w:lang w:val="en-US" w:eastAsia="zh-CN"/>
        </w:rPr>
        <w:t>文件</w:t>
      </w:r>
      <w:r>
        <w:rPr>
          <w:rFonts w:hint="eastAsia" w:ascii="宋体" w:hAnsi="宋体" w:eastAsia="宋体"/>
          <w:color w:val="auto"/>
          <w:sz w:val="24"/>
          <w:highlight w:val="none"/>
          <w:lang w:val="en-US" w:eastAsia="zh-CN"/>
        </w:rPr>
        <w:t>截止时间后才会解密。因此，采购人或采购代理机构无法通过传统的传真或邮件方式，将招标文件的澄清或修改内容逐一通知到每位已获取招标文件的潜在投标人。为确保信息的及时性和准确性，澄清或修改的内容将仅在政采云平台以更正公告的形式发布。潜在投标人需密切关注该网站，及时查看并下载相关更正公告。若因潜在投标人未能及时查看或下载相关更正公告，而导致的一切后果，将由潜在投标人自行承担。</w:t>
      </w:r>
    </w:p>
    <w:p w14:paraId="5C7599C8">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bookmarkStart w:id="140" w:name="_Toc163492834"/>
      <w:r>
        <w:rPr>
          <w:rFonts w:hint="eastAsia" w:ascii="宋体" w:hAnsi="宋体" w:eastAsia="宋体" w:cs="宋体"/>
          <w:b/>
          <w:bCs/>
          <w:color w:val="auto"/>
          <w:kern w:val="2"/>
          <w:sz w:val="24"/>
          <w:szCs w:val="32"/>
          <w:highlight w:val="none"/>
          <w:lang w:val="en-US" w:eastAsia="zh-CN" w:bidi="ar-SA"/>
        </w:rPr>
        <w:t>（二）招标文件</w:t>
      </w:r>
      <w:bookmarkEnd w:id="139"/>
      <w:bookmarkEnd w:id="140"/>
    </w:p>
    <w:p w14:paraId="187E2678">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41" w:name="_Toc163492835"/>
      <w:bookmarkStart w:id="142" w:name="_Toc140132768"/>
      <w:r>
        <w:rPr>
          <w:rFonts w:hint="eastAsia" w:ascii="宋体" w:hAnsi="宋体" w:eastAsia="宋体" w:cs="宋体"/>
          <w:b/>
          <w:bCs/>
          <w:color w:val="auto"/>
          <w:kern w:val="2"/>
          <w:sz w:val="24"/>
          <w:szCs w:val="28"/>
          <w:highlight w:val="none"/>
          <w:lang w:val="en-US" w:eastAsia="zh-CN" w:bidi="ar-SA"/>
        </w:rPr>
        <w:t>11.招标文件的组成</w:t>
      </w:r>
      <w:bookmarkEnd w:id="141"/>
      <w:bookmarkEnd w:id="142"/>
    </w:p>
    <w:p w14:paraId="562A55C7">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1</w:t>
      </w:r>
      <w:r>
        <w:rPr>
          <w:rFonts w:hint="eastAsia" w:eastAsia="宋体" w:cs="仿宋_GB2312"/>
          <w:color w:val="auto"/>
          <w:sz w:val="24"/>
          <w:szCs w:val="24"/>
          <w:highlight w:val="none"/>
        </w:rPr>
        <w:t>.1本招标文件包括下列文件及根据本章第9款、第</w:t>
      </w: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2</w:t>
      </w:r>
      <w:r>
        <w:rPr>
          <w:rFonts w:hint="eastAsia" w:eastAsia="宋体" w:cs="仿宋_GB2312"/>
          <w:color w:val="auto"/>
          <w:sz w:val="24"/>
          <w:szCs w:val="24"/>
          <w:highlight w:val="none"/>
        </w:rPr>
        <w:t>款对招标文件所作的澄清或者修改。</w:t>
      </w:r>
    </w:p>
    <w:p w14:paraId="47FDD290">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 xml:space="preserve">第一章 </w:t>
      </w:r>
      <w:r>
        <w:rPr>
          <w:rFonts w:hint="eastAsia" w:eastAsia="宋体"/>
          <w:color w:val="auto"/>
          <w:sz w:val="24"/>
          <w:highlight w:val="none"/>
          <w:lang w:val="en-US" w:eastAsia="zh-CN"/>
        </w:rPr>
        <w:t>招标公告</w:t>
      </w:r>
    </w:p>
    <w:p w14:paraId="6F204C97">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第二章 投标人须知</w:t>
      </w:r>
    </w:p>
    <w:p w14:paraId="75E5D706">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第三章 采购需求</w:t>
      </w:r>
    </w:p>
    <w:p w14:paraId="386FADD3">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第四章 资格审查</w:t>
      </w:r>
    </w:p>
    <w:p w14:paraId="479C36AA">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第五章 评标</w:t>
      </w:r>
      <w:r>
        <w:rPr>
          <w:rFonts w:hint="eastAsia" w:eastAsia="宋体" w:cs="仿宋_GB2312"/>
          <w:color w:val="auto"/>
          <w:sz w:val="24"/>
          <w:szCs w:val="24"/>
          <w:highlight w:val="none"/>
          <w:lang w:val="en-US" w:eastAsia="zh-CN"/>
        </w:rPr>
        <w:t>方</w:t>
      </w:r>
      <w:r>
        <w:rPr>
          <w:rFonts w:hint="eastAsia" w:eastAsia="宋体" w:cs="仿宋_GB2312"/>
          <w:color w:val="auto"/>
          <w:sz w:val="24"/>
          <w:szCs w:val="24"/>
          <w:highlight w:val="none"/>
        </w:rPr>
        <w:t>法及标准</w:t>
      </w:r>
    </w:p>
    <w:p w14:paraId="5A1CFD41">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第六章 合同草案</w:t>
      </w:r>
    </w:p>
    <w:p w14:paraId="6E97F2B7">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eastAsia="宋体" w:cs="仿宋_GB2312"/>
          <w:color w:val="auto"/>
          <w:sz w:val="24"/>
          <w:szCs w:val="24"/>
          <w:highlight w:val="none"/>
        </w:rPr>
        <w:t>第七章 投标文件的格式</w:t>
      </w:r>
    </w:p>
    <w:p w14:paraId="0EB15CC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43" w:name="_Toc140132769"/>
      <w:bookmarkStart w:id="144" w:name="_Toc163492836"/>
      <w:r>
        <w:rPr>
          <w:rFonts w:hint="eastAsia" w:ascii="宋体" w:hAnsi="宋体" w:eastAsia="宋体" w:cs="宋体"/>
          <w:b/>
          <w:bCs/>
          <w:color w:val="auto"/>
          <w:kern w:val="2"/>
          <w:sz w:val="24"/>
          <w:szCs w:val="28"/>
          <w:highlight w:val="none"/>
          <w:lang w:val="en-US" w:eastAsia="zh-CN" w:bidi="ar-SA"/>
        </w:rPr>
        <w:t>12.招标文件的询问、澄清或者修改</w:t>
      </w:r>
      <w:bookmarkEnd w:id="143"/>
      <w:bookmarkEnd w:id="144"/>
    </w:p>
    <w:p w14:paraId="1F1A2D35">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w:t>
      </w:r>
      <w:r>
        <w:rPr>
          <w:rFonts w:eastAsia="宋体" w:cs="仿宋_GB2312"/>
          <w:color w:val="auto"/>
          <w:sz w:val="24"/>
          <w:szCs w:val="24"/>
          <w:highlight w:val="none"/>
        </w:rPr>
        <w:t>.</w:t>
      </w:r>
      <w:r>
        <w:rPr>
          <w:rFonts w:hint="eastAsia" w:eastAsia="宋体" w:cs="仿宋_GB2312"/>
          <w:color w:val="auto"/>
          <w:sz w:val="24"/>
          <w:szCs w:val="24"/>
          <w:highlight w:val="none"/>
        </w:rPr>
        <w:t>1</w:t>
      </w:r>
      <w:r>
        <w:rPr>
          <w:rFonts w:eastAsia="宋体" w:cs="仿宋_GB2312"/>
          <w:color w:val="auto"/>
          <w:sz w:val="24"/>
          <w:szCs w:val="24"/>
          <w:highlight w:val="none"/>
        </w:rPr>
        <w:t>投标人如对招标文件内容有疑问，须在</w:t>
      </w:r>
      <w:r>
        <w:rPr>
          <w:rFonts w:hint="eastAsia" w:cs="仿宋_GB2312"/>
          <w:color w:val="auto"/>
          <w:sz w:val="24"/>
          <w:szCs w:val="24"/>
          <w:highlight w:val="none"/>
          <w:lang w:eastAsia="zh-CN"/>
        </w:rPr>
        <w:t>“</w:t>
      </w:r>
      <w:r>
        <w:rPr>
          <w:rFonts w:eastAsia="宋体" w:cs="仿宋_GB2312"/>
          <w:color w:val="auto"/>
          <w:sz w:val="24"/>
          <w:szCs w:val="24"/>
          <w:highlight w:val="none"/>
        </w:rPr>
        <w:t>投标人须知前附表</w:t>
      </w:r>
      <w:r>
        <w:rPr>
          <w:rFonts w:hint="eastAsia" w:cs="仿宋_GB2312"/>
          <w:color w:val="auto"/>
          <w:sz w:val="24"/>
          <w:szCs w:val="24"/>
          <w:highlight w:val="none"/>
          <w:lang w:eastAsia="zh-CN"/>
        </w:rPr>
        <w:t>”</w:t>
      </w:r>
      <w:r>
        <w:rPr>
          <w:rFonts w:eastAsia="宋体" w:cs="仿宋_GB2312"/>
          <w:color w:val="auto"/>
          <w:sz w:val="24"/>
          <w:szCs w:val="24"/>
          <w:highlight w:val="none"/>
        </w:rPr>
        <w:t>规定的</w:t>
      </w:r>
      <w:r>
        <w:rPr>
          <w:rFonts w:hint="eastAsia" w:eastAsia="宋体" w:cs="仿宋_GB2312"/>
          <w:color w:val="auto"/>
          <w:sz w:val="24"/>
          <w:szCs w:val="24"/>
          <w:highlight w:val="none"/>
        </w:rPr>
        <w:t>询问</w:t>
      </w:r>
      <w:r>
        <w:rPr>
          <w:rFonts w:hint="eastAsia" w:cs="仿宋_GB2312"/>
          <w:color w:val="auto"/>
          <w:sz w:val="24"/>
          <w:szCs w:val="24"/>
          <w:highlight w:val="none"/>
          <w:lang w:val="en-US" w:eastAsia="zh-CN"/>
        </w:rPr>
        <w:t>方式和</w:t>
      </w:r>
      <w:r>
        <w:rPr>
          <w:rFonts w:eastAsia="宋体" w:cs="仿宋_GB2312"/>
          <w:color w:val="auto"/>
          <w:sz w:val="24"/>
          <w:szCs w:val="24"/>
          <w:highlight w:val="none"/>
        </w:rPr>
        <w:t>时间提交给</w:t>
      </w:r>
      <w:r>
        <w:rPr>
          <w:rFonts w:hint="eastAsia" w:cs="仿宋_GB2312"/>
          <w:color w:val="auto"/>
          <w:sz w:val="24"/>
          <w:szCs w:val="24"/>
          <w:highlight w:val="none"/>
          <w:lang w:val="en-US" w:eastAsia="zh-CN"/>
        </w:rPr>
        <w:t>采购人或</w:t>
      </w:r>
      <w:r>
        <w:rPr>
          <w:rFonts w:eastAsia="宋体" w:cs="仿宋_GB2312"/>
          <w:color w:val="auto"/>
          <w:sz w:val="24"/>
          <w:szCs w:val="24"/>
          <w:highlight w:val="none"/>
        </w:rPr>
        <w:t>采购代理机构。</w:t>
      </w:r>
    </w:p>
    <w:p w14:paraId="739723DB">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w:t>
      </w:r>
      <w:r>
        <w:rPr>
          <w:rFonts w:eastAsia="宋体" w:cs="仿宋_GB2312"/>
          <w:color w:val="auto"/>
          <w:sz w:val="24"/>
          <w:szCs w:val="24"/>
          <w:highlight w:val="none"/>
        </w:rPr>
        <w:t>.</w:t>
      </w:r>
      <w:r>
        <w:rPr>
          <w:rFonts w:hint="eastAsia" w:eastAsia="宋体" w:cs="仿宋_GB2312"/>
          <w:color w:val="auto"/>
          <w:sz w:val="24"/>
          <w:szCs w:val="24"/>
          <w:highlight w:val="none"/>
        </w:rPr>
        <w:t>2采购人可主动地或在</w:t>
      </w:r>
      <w:r>
        <w:rPr>
          <w:rFonts w:hint="eastAsia" w:eastAsia="宋体" w:cs="仿宋_GB2312"/>
          <w:color w:val="auto"/>
          <w:sz w:val="24"/>
          <w:szCs w:val="24"/>
          <w:highlight w:val="none"/>
          <w:lang w:val="en-US" w:eastAsia="zh-CN"/>
        </w:rPr>
        <w:t>答复</w:t>
      </w:r>
      <w:r>
        <w:rPr>
          <w:rFonts w:hint="eastAsia" w:eastAsia="宋体" w:cs="仿宋_GB2312"/>
          <w:color w:val="auto"/>
          <w:sz w:val="24"/>
          <w:szCs w:val="24"/>
          <w:highlight w:val="none"/>
        </w:rPr>
        <w:t>投标人提出的</w:t>
      </w:r>
      <w:r>
        <w:rPr>
          <w:rFonts w:hint="eastAsia" w:eastAsia="宋体" w:cs="仿宋_GB2312"/>
          <w:color w:val="auto"/>
          <w:sz w:val="24"/>
          <w:szCs w:val="24"/>
          <w:highlight w:val="none"/>
          <w:lang w:val="en-US" w:eastAsia="zh-CN"/>
        </w:rPr>
        <w:t>询问</w:t>
      </w:r>
      <w:r>
        <w:rPr>
          <w:rFonts w:hint="eastAsia" w:eastAsia="宋体" w:cs="仿宋_GB2312"/>
          <w:color w:val="auto"/>
          <w:sz w:val="24"/>
          <w:szCs w:val="24"/>
          <w:highlight w:val="none"/>
        </w:rPr>
        <w:t>时对招标文件进行澄清与修改。</w:t>
      </w:r>
      <w:r>
        <w:rPr>
          <w:rFonts w:eastAsia="宋体" w:cs="仿宋_GB2312"/>
          <w:color w:val="auto"/>
          <w:sz w:val="24"/>
          <w:szCs w:val="24"/>
          <w:highlight w:val="none"/>
        </w:rPr>
        <w:t>采购代理机构将</w:t>
      </w:r>
      <w:r>
        <w:rPr>
          <w:rFonts w:hint="eastAsia" w:eastAsia="宋体" w:cs="仿宋_GB2312"/>
          <w:color w:val="auto"/>
          <w:sz w:val="24"/>
          <w:szCs w:val="24"/>
          <w:highlight w:val="none"/>
        </w:rPr>
        <w:t>在</w:t>
      </w:r>
      <w:r>
        <w:rPr>
          <w:rFonts w:hint="eastAsia"/>
          <w:color w:val="auto"/>
          <w:sz w:val="24"/>
          <w:highlight w:val="none"/>
          <w:lang w:val="en-US" w:eastAsia="zh-CN"/>
        </w:rPr>
        <w:t>新疆</w:t>
      </w:r>
      <w:r>
        <w:rPr>
          <w:rFonts w:hint="eastAsia" w:cs="仿宋_GB2312"/>
          <w:color w:val="auto"/>
          <w:sz w:val="24"/>
          <w:szCs w:val="24"/>
          <w:highlight w:val="none"/>
          <w:lang w:val="en-US" w:eastAsia="zh-CN"/>
        </w:rPr>
        <w:t>政府采购云平台</w:t>
      </w:r>
      <w:r>
        <w:rPr>
          <w:rFonts w:hint="eastAsia" w:eastAsia="宋体" w:cs="仿宋_GB2312"/>
          <w:color w:val="auto"/>
          <w:sz w:val="24"/>
          <w:szCs w:val="24"/>
          <w:highlight w:val="none"/>
        </w:rPr>
        <w:t>以发布更正公告的方式澄清或修改招标文件，更正公告的</w:t>
      </w:r>
      <w:r>
        <w:rPr>
          <w:rFonts w:eastAsia="宋体" w:cs="仿宋_GB2312"/>
          <w:color w:val="auto"/>
          <w:sz w:val="24"/>
          <w:szCs w:val="24"/>
          <w:highlight w:val="none"/>
        </w:rPr>
        <w:t>内容</w:t>
      </w:r>
      <w:r>
        <w:rPr>
          <w:rFonts w:hint="eastAsia" w:eastAsia="宋体" w:cs="仿宋_GB2312"/>
          <w:color w:val="auto"/>
          <w:sz w:val="24"/>
          <w:szCs w:val="24"/>
          <w:highlight w:val="none"/>
        </w:rPr>
        <w:t>作</w:t>
      </w:r>
      <w:r>
        <w:rPr>
          <w:rFonts w:eastAsia="宋体" w:cs="仿宋_GB2312"/>
          <w:color w:val="auto"/>
          <w:sz w:val="24"/>
          <w:szCs w:val="24"/>
          <w:highlight w:val="none"/>
        </w:rPr>
        <w:t>为招标文件</w:t>
      </w:r>
      <w:r>
        <w:rPr>
          <w:rFonts w:hint="eastAsia" w:eastAsia="宋体" w:cs="仿宋_GB2312"/>
          <w:color w:val="auto"/>
          <w:sz w:val="24"/>
          <w:szCs w:val="24"/>
          <w:highlight w:val="none"/>
        </w:rPr>
        <w:t>的</w:t>
      </w:r>
      <w:r>
        <w:rPr>
          <w:rFonts w:eastAsia="宋体" w:cs="仿宋_GB2312"/>
          <w:color w:val="auto"/>
          <w:sz w:val="24"/>
          <w:szCs w:val="24"/>
          <w:highlight w:val="none"/>
        </w:rPr>
        <w:t>组成部分，对投标人起约束作用</w:t>
      </w:r>
      <w:r>
        <w:rPr>
          <w:rFonts w:hint="eastAsia" w:eastAsia="宋体" w:cs="仿宋_GB2312"/>
          <w:color w:val="auto"/>
          <w:sz w:val="24"/>
          <w:szCs w:val="24"/>
          <w:highlight w:val="none"/>
        </w:rPr>
        <w:t>。投标人应主动上网查询。采购代理机构不承担投标人未及时关注相关信息引发的相关责任。</w:t>
      </w:r>
    </w:p>
    <w:p w14:paraId="6B8A1C20">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2</w:t>
      </w:r>
      <w:r>
        <w:rPr>
          <w:rFonts w:hint="eastAsia" w:eastAsia="宋体" w:cs="仿宋_GB2312"/>
          <w:color w:val="auto"/>
          <w:sz w:val="24"/>
          <w:szCs w:val="24"/>
          <w:highlight w:val="none"/>
        </w:rPr>
        <w:t>.3 招标文件的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63BD0EDF">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w:t>
      </w:r>
      <w:r>
        <w:rPr>
          <w:rFonts w:hint="eastAsia" w:eastAsia="宋体" w:cs="仿宋_GB2312"/>
          <w:color w:val="auto"/>
          <w:sz w:val="24"/>
          <w:szCs w:val="24"/>
          <w:highlight w:val="none"/>
        </w:rPr>
        <w:t>.</w:t>
      </w:r>
      <w:r>
        <w:rPr>
          <w:rFonts w:hint="eastAsia" w:cs="仿宋_GB2312"/>
          <w:color w:val="auto"/>
          <w:sz w:val="24"/>
          <w:szCs w:val="24"/>
          <w:highlight w:val="none"/>
          <w:lang w:val="en-US" w:eastAsia="zh-CN"/>
        </w:rPr>
        <w:t>4</w:t>
      </w:r>
      <w:r>
        <w:rPr>
          <w:rFonts w:hint="eastAsia" w:eastAsia="宋体" w:cs="仿宋_GB2312"/>
          <w:color w:val="auto"/>
          <w:sz w:val="24"/>
          <w:szCs w:val="24"/>
          <w:highlight w:val="none"/>
        </w:rPr>
        <w:t>任何人或任何组织向投标人提供的任何书面或口头资料，未经采购代理机构在网上发布或书面通知，均作无效处理，不得作为招标文件的组成部分。采购代理机构对投标人由此而做出的推论、理解和结论概不负责。</w:t>
      </w:r>
    </w:p>
    <w:p w14:paraId="3A414967">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12.5</w:t>
      </w:r>
      <w:r>
        <w:rPr>
          <w:rFonts w:eastAsia="宋体" w:cs="仿宋_GB2312"/>
          <w:color w:val="auto"/>
          <w:sz w:val="24"/>
          <w:szCs w:val="24"/>
          <w:highlight w:val="none"/>
        </w:rPr>
        <w:t>对于没有提出</w:t>
      </w:r>
      <w:r>
        <w:rPr>
          <w:rFonts w:hint="eastAsia" w:eastAsia="宋体" w:cs="仿宋_GB2312"/>
          <w:color w:val="auto"/>
          <w:sz w:val="24"/>
          <w:szCs w:val="24"/>
          <w:highlight w:val="none"/>
        </w:rPr>
        <w:t>疑问</w:t>
      </w:r>
      <w:r>
        <w:rPr>
          <w:rFonts w:eastAsia="宋体" w:cs="仿宋_GB2312"/>
          <w:color w:val="auto"/>
          <w:sz w:val="24"/>
          <w:szCs w:val="24"/>
          <w:highlight w:val="none"/>
        </w:rPr>
        <w:t>又参与了</w:t>
      </w:r>
      <w:r>
        <w:rPr>
          <w:rFonts w:hint="eastAsia" w:eastAsia="宋体" w:cs="仿宋_GB2312"/>
          <w:color w:val="auto"/>
          <w:sz w:val="24"/>
          <w:szCs w:val="24"/>
          <w:highlight w:val="none"/>
        </w:rPr>
        <w:t>本</w:t>
      </w:r>
      <w:r>
        <w:rPr>
          <w:rFonts w:eastAsia="宋体" w:cs="仿宋_GB2312"/>
          <w:color w:val="auto"/>
          <w:sz w:val="24"/>
          <w:szCs w:val="24"/>
          <w:highlight w:val="none"/>
        </w:rPr>
        <w:t>项目投标的</w:t>
      </w:r>
      <w:r>
        <w:rPr>
          <w:rFonts w:hint="eastAsia" w:eastAsia="宋体" w:cs="仿宋_GB2312"/>
          <w:color w:val="auto"/>
          <w:sz w:val="24"/>
          <w:szCs w:val="24"/>
          <w:highlight w:val="none"/>
        </w:rPr>
        <w:t>投标人</w:t>
      </w:r>
      <w:r>
        <w:rPr>
          <w:rFonts w:eastAsia="宋体" w:cs="仿宋_GB2312"/>
          <w:color w:val="auto"/>
          <w:sz w:val="24"/>
          <w:szCs w:val="24"/>
          <w:highlight w:val="none"/>
        </w:rPr>
        <w:t>将被视为完全认同</w:t>
      </w:r>
      <w:r>
        <w:rPr>
          <w:rFonts w:hint="eastAsia" w:eastAsia="宋体" w:cs="仿宋_GB2312"/>
          <w:color w:val="auto"/>
          <w:sz w:val="24"/>
          <w:szCs w:val="24"/>
          <w:highlight w:val="none"/>
        </w:rPr>
        <w:t>本</w:t>
      </w:r>
      <w:r>
        <w:rPr>
          <w:rFonts w:eastAsia="宋体" w:cs="仿宋_GB2312"/>
          <w:color w:val="auto"/>
          <w:sz w:val="24"/>
          <w:szCs w:val="24"/>
          <w:highlight w:val="none"/>
        </w:rPr>
        <w:t>招标文件（含</w:t>
      </w:r>
      <w:r>
        <w:rPr>
          <w:rFonts w:hint="eastAsia" w:eastAsia="宋体" w:cs="仿宋_GB2312"/>
          <w:color w:val="auto"/>
          <w:sz w:val="24"/>
          <w:szCs w:val="24"/>
          <w:highlight w:val="none"/>
        </w:rPr>
        <w:t>更正公告的</w:t>
      </w:r>
      <w:r>
        <w:rPr>
          <w:rFonts w:eastAsia="宋体" w:cs="仿宋_GB2312"/>
          <w:color w:val="auto"/>
          <w:sz w:val="24"/>
          <w:szCs w:val="24"/>
          <w:highlight w:val="none"/>
        </w:rPr>
        <w:t>内容）</w:t>
      </w:r>
      <w:r>
        <w:rPr>
          <w:rFonts w:hint="eastAsia" w:eastAsia="宋体" w:cs="仿宋_GB2312"/>
          <w:color w:val="auto"/>
          <w:sz w:val="24"/>
          <w:szCs w:val="24"/>
          <w:highlight w:val="none"/>
        </w:rPr>
        <w:t>。</w:t>
      </w:r>
    </w:p>
    <w:p w14:paraId="179DFC79">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1</w:t>
      </w:r>
      <w:r>
        <w:rPr>
          <w:rFonts w:hint="eastAsia" w:eastAsia="宋体"/>
          <w:color w:val="auto"/>
          <w:sz w:val="24"/>
          <w:highlight w:val="none"/>
          <w:lang w:val="en-US" w:eastAsia="zh-CN"/>
        </w:rPr>
        <w:t>2</w:t>
      </w:r>
      <w:r>
        <w:rPr>
          <w:rFonts w:eastAsia="宋体"/>
          <w:color w:val="auto"/>
          <w:sz w:val="24"/>
          <w:highlight w:val="none"/>
        </w:rPr>
        <w:t>.</w:t>
      </w:r>
      <w:r>
        <w:rPr>
          <w:rFonts w:hint="eastAsia"/>
          <w:color w:val="auto"/>
          <w:sz w:val="24"/>
          <w:highlight w:val="none"/>
          <w:lang w:val="en-US" w:eastAsia="zh-CN"/>
        </w:rPr>
        <w:t>6</w:t>
      </w:r>
      <w:r>
        <w:rPr>
          <w:rFonts w:hint="eastAsia" w:eastAsia="宋体"/>
          <w:color w:val="auto"/>
          <w:sz w:val="24"/>
          <w:highlight w:val="none"/>
        </w:rPr>
        <w:t xml:space="preserve"> </w:t>
      </w:r>
      <w:r>
        <w:rPr>
          <w:rFonts w:hint="eastAsia" w:eastAsia="宋体" w:cs="仿宋_GB2312"/>
          <w:color w:val="auto"/>
          <w:sz w:val="24"/>
          <w:szCs w:val="24"/>
          <w:highlight w:val="none"/>
          <w:lang w:val="en-US" w:eastAsia="zh-CN"/>
        </w:rPr>
        <w:t>“</w:t>
      </w:r>
      <w:r>
        <w:rPr>
          <w:rFonts w:hint="eastAsia" w:eastAsia="宋体" w:cs="仿宋_GB2312"/>
          <w:color w:val="auto"/>
          <w:sz w:val="24"/>
          <w:szCs w:val="24"/>
          <w:highlight w:val="none"/>
        </w:rPr>
        <w:t>投标人须知”所称“</w:t>
      </w:r>
      <w:r>
        <w:rPr>
          <w:rFonts w:hint="eastAsia" w:eastAsia="宋体"/>
          <w:color w:val="auto"/>
          <w:sz w:val="24"/>
          <w:highlight w:val="none"/>
        </w:rPr>
        <w:t>书面形式</w:t>
      </w:r>
      <w:r>
        <w:rPr>
          <w:rFonts w:hint="eastAsia" w:eastAsia="宋体" w:cs="仿宋_GB2312"/>
          <w:color w:val="auto"/>
          <w:sz w:val="24"/>
          <w:szCs w:val="24"/>
          <w:highlight w:val="none"/>
        </w:rPr>
        <w:t>”</w:t>
      </w:r>
      <w:r>
        <w:rPr>
          <w:rFonts w:hint="eastAsia" w:eastAsia="宋体"/>
          <w:color w:val="auto"/>
          <w:sz w:val="24"/>
          <w:highlight w:val="none"/>
        </w:rPr>
        <w:t>包括系统消息、政府采购</w:t>
      </w:r>
      <w:r>
        <w:rPr>
          <w:rFonts w:hint="eastAsia" w:eastAsia="宋体"/>
          <w:color w:val="auto"/>
          <w:sz w:val="24"/>
          <w:highlight w:val="none"/>
          <w:lang w:val="en-US" w:eastAsia="zh-CN"/>
        </w:rPr>
        <w:t>云平台</w:t>
      </w:r>
      <w:r>
        <w:rPr>
          <w:rFonts w:hint="eastAsia" w:eastAsia="宋体"/>
          <w:color w:val="auto"/>
          <w:sz w:val="24"/>
          <w:highlight w:val="none"/>
        </w:rPr>
        <w:t>发布的公告。</w:t>
      </w:r>
    </w:p>
    <w:p w14:paraId="4B353B7A">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lang w:val="en-US" w:eastAsia="zh-CN"/>
        </w:rPr>
        <w:t>12.7</w:t>
      </w:r>
      <w:r>
        <w:rPr>
          <w:rFonts w:hint="eastAsia" w:ascii="宋体" w:hAnsi="宋体" w:eastAsia="宋体" w:cs="宋体"/>
          <w:color w:val="auto"/>
          <w:kern w:val="2"/>
          <w:sz w:val="24"/>
          <w:szCs w:val="22"/>
          <w:highlight w:val="none"/>
        </w:rPr>
        <w:t>当招标文件的澄清、修改及其他答复等就同一内容的表述不一致时，以最后发布的内容为准。</w:t>
      </w:r>
    </w:p>
    <w:p w14:paraId="46B0EA60">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bookmarkStart w:id="145" w:name="_Toc155185872"/>
      <w:bookmarkStart w:id="146" w:name="_Toc163492837"/>
      <w:r>
        <w:rPr>
          <w:rFonts w:hint="eastAsia" w:ascii="宋体" w:hAnsi="宋体" w:eastAsia="宋体" w:cs="宋体"/>
          <w:b/>
          <w:bCs/>
          <w:color w:val="auto"/>
          <w:kern w:val="2"/>
          <w:sz w:val="24"/>
          <w:szCs w:val="32"/>
          <w:highlight w:val="none"/>
          <w:lang w:val="en-US" w:eastAsia="zh-CN" w:bidi="ar-SA"/>
        </w:rPr>
        <w:t>（三）投标文件</w:t>
      </w:r>
      <w:bookmarkEnd w:id="145"/>
      <w:bookmarkEnd w:id="146"/>
    </w:p>
    <w:p w14:paraId="16453C98">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147" w:name="_Toc163492838"/>
      <w:r>
        <w:rPr>
          <w:rFonts w:hint="eastAsia" w:ascii="宋体" w:hAnsi="宋体" w:eastAsia="宋体" w:cs="宋体"/>
          <w:b/>
          <w:bCs/>
          <w:color w:val="auto"/>
          <w:kern w:val="2"/>
          <w:sz w:val="24"/>
          <w:szCs w:val="28"/>
          <w:highlight w:val="none"/>
          <w:lang w:val="en-US" w:eastAsia="zh-CN" w:bidi="ar-SA"/>
        </w:rPr>
        <w:t>13.投标文件的组成</w:t>
      </w:r>
      <w:bookmarkEnd w:id="147"/>
    </w:p>
    <w:p w14:paraId="1E6BE18A">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bookmarkStart w:id="148" w:name="_Toc140132772"/>
      <w:bookmarkStart w:id="149" w:name="_Toc163492839"/>
      <w:r>
        <w:rPr>
          <w:rFonts w:hint="eastAsia" w:ascii="宋体" w:hAnsi="宋体" w:eastAsia="宋体" w:cs="宋体"/>
          <w:color w:val="auto"/>
          <w:kern w:val="2"/>
          <w:sz w:val="24"/>
          <w:szCs w:val="22"/>
          <w:highlight w:val="none"/>
          <w:lang w:val="en-US" w:eastAsia="zh-CN"/>
        </w:rPr>
        <w:t>13</w:t>
      </w:r>
      <w:r>
        <w:rPr>
          <w:rFonts w:hint="eastAsia" w:ascii="宋体" w:hAnsi="宋体" w:eastAsia="宋体" w:cs="宋体"/>
          <w:color w:val="auto"/>
          <w:kern w:val="2"/>
          <w:sz w:val="24"/>
          <w:szCs w:val="22"/>
          <w:highlight w:val="none"/>
        </w:rPr>
        <w:t>.1投标人应完整地按招标文件提供的投标文件格式及要求编写投标文件，具体内容详见</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lang w:val="en-US" w:eastAsia="zh-CN"/>
        </w:rPr>
        <w:t xml:space="preserve">第七章 </w:t>
      </w:r>
      <w:r>
        <w:rPr>
          <w:rFonts w:hint="eastAsia" w:ascii="宋体" w:hAnsi="宋体" w:eastAsia="宋体" w:cs="宋体"/>
          <w:color w:val="auto"/>
          <w:kern w:val="2"/>
          <w:sz w:val="24"/>
          <w:szCs w:val="22"/>
          <w:highlight w:val="none"/>
        </w:rPr>
        <w:t>投标文件格式</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的相关内容。</w:t>
      </w:r>
    </w:p>
    <w:p w14:paraId="5F5A9C78">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13.2</w:t>
      </w:r>
      <w:r>
        <w:rPr>
          <w:rFonts w:hint="eastAsia" w:ascii="宋体" w:hAnsi="宋体" w:eastAsia="宋体" w:cs="宋体"/>
          <w:color w:val="auto"/>
          <w:kern w:val="2"/>
          <w:sz w:val="24"/>
          <w:szCs w:val="22"/>
          <w:highlight w:val="none"/>
        </w:rPr>
        <w:t>投标人应提交招标文件要求的证明文件，证明其投标内容符合招标文件规定</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该证明文件是投标文件的一部分</w:t>
      </w:r>
      <w:r>
        <w:rPr>
          <w:rFonts w:hint="eastAsia" w:ascii="宋体" w:hAnsi="宋体"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证明文件</w:t>
      </w:r>
      <w:r>
        <w:rPr>
          <w:rFonts w:hint="eastAsia" w:ascii="宋体" w:hAnsi="宋体" w:eastAsia="宋体" w:cs="宋体"/>
          <w:color w:val="auto"/>
          <w:kern w:val="2"/>
          <w:sz w:val="24"/>
          <w:szCs w:val="22"/>
          <w:highlight w:val="none"/>
          <w:lang w:val="en-US" w:eastAsia="zh-CN"/>
        </w:rPr>
        <w:t>形式</w:t>
      </w:r>
      <w:r>
        <w:rPr>
          <w:rFonts w:hint="eastAsia" w:ascii="宋体" w:hAnsi="宋体" w:eastAsia="宋体" w:cs="宋体"/>
          <w:color w:val="auto"/>
          <w:kern w:val="2"/>
          <w:sz w:val="24"/>
          <w:szCs w:val="22"/>
          <w:highlight w:val="none"/>
        </w:rPr>
        <w:t>可以是文字资料、图纸和数据</w:t>
      </w:r>
      <w:bookmarkStart w:id="150" w:name="_Hlk11703583"/>
      <w:r>
        <w:rPr>
          <w:rFonts w:hint="eastAsia" w:ascii="宋体" w:hAnsi="宋体" w:eastAsia="宋体" w:cs="宋体"/>
          <w:color w:val="auto"/>
          <w:kern w:val="2"/>
          <w:sz w:val="24"/>
          <w:szCs w:val="22"/>
          <w:highlight w:val="none"/>
          <w:lang w:val="en-US" w:eastAsia="zh-CN"/>
        </w:rPr>
        <w:t>等。</w:t>
      </w:r>
    </w:p>
    <w:bookmarkEnd w:id="150"/>
    <w:p w14:paraId="4DACFB78">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13.3</w:t>
      </w:r>
      <w:r>
        <w:rPr>
          <w:rFonts w:hint="eastAsia" w:ascii="宋体" w:hAnsi="宋体" w:eastAsia="宋体" w:cs="宋体"/>
          <w:color w:val="auto"/>
          <w:kern w:val="2"/>
          <w:sz w:val="24"/>
          <w:szCs w:val="22"/>
          <w:highlight w:val="none"/>
        </w:rPr>
        <w:t>为保证公平公正，除非</w:t>
      </w:r>
      <w:r>
        <w:rPr>
          <w:rFonts w:hint="eastAsia" w:ascii="宋体" w:hAnsi="宋体" w:eastAsia="宋体" w:cs="宋体"/>
          <w:color w:val="auto"/>
          <w:kern w:val="2"/>
          <w:sz w:val="24"/>
          <w:szCs w:val="22"/>
          <w:highlight w:val="none"/>
          <w:lang w:val="en-US" w:eastAsia="zh-CN"/>
        </w:rPr>
        <w:t>本招标文件</w:t>
      </w:r>
      <w:r>
        <w:rPr>
          <w:rFonts w:hint="eastAsia" w:ascii="宋体" w:hAnsi="宋体" w:eastAsia="宋体" w:cs="宋体"/>
          <w:color w:val="auto"/>
          <w:kern w:val="2"/>
          <w:sz w:val="24"/>
          <w:szCs w:val="22"/>
          <w:highlight w:val="none"/>
        </w:rPr>
        <w:t>另有规定或说明，投标人对同一项目投标时，不得同时提供备选投标方案。</w:t>
      </w:r>
    </w:p>
    <w:p w14:paraId="5E4D585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r>
        <w:rPr>
          <w:rFonts w:hint="eastAsia" w:ascii="宋体" w:hAnsi="宋体" w:eastAsia="宋体" w:cs="宋体"/>
          <w:b/>
          <w:bCs/>
          <w:color w:val="auto"/>
          <w:kern w:val="2"/>
          <w:sz w:val="24"/>
          <w:szCs w:val="28"/>
          <w:highlight w:val="none"/>
          <w:lang w:val="en-US" w:eastAsia="zh-CN" w:bidi="ar-SA"/>
        </w:rPr>
        <w:t>14.投标报价</w:t>
      </w:r>
      <w:bookmarkEnd w:id="148"/>
      <w:bookmarkEnd w:id="149"/>
    </w:p>
    <w:p w14:paraId="0C180AA4">
      <w:pPr>
        <w:keepNext w:val="0"/>
        <w:keepLines w:val="0"/>
        <w:pageBreakBefore w:val="0"/>
        <w:widowControl w:val="0"/>
        <w:kinsoku/>
        <w:overflowPunct/>
        <w:topLinePunct w:val="0"/>
        <w:autoSpaceDE/>
        <w:autoSpaceDN/>
        <w:bidi w:val="0"/>
        <w:adjustRightInd/>
        <w:ind w:firstLine="480" w:firstLineChars="200"/>
        <w:textAlignment w:val="auto"/>
        <w:rPr>
          <w:rFonts w:eastAsia="宋体" w:cs="宋体"/>
          <w:snapToGrid w:val="0"/>
          <w:color w:val="auto"/>
          <w:sz w:val="24"/>
          <w:szCs w:val="24"/>
          <w:highlight w:val="none"/>
          <w:lang w:val="zh-CN"/>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 xml:space="preserve">.1 </w:t>
      </w:r>
      <w:r>
        <w:rPr>
          <w:rFonts w:hint="eastAsia" w:eastAsia="宋体" w:cs="宋体"/>
          <w:snapToGrid w:val="0"/>
          <w:color w:val="auto"/>
          <w:sz w:val="24"/>
          <w:szCs w:val="24"/>
          <w:highlight w:val="none"/>
          <w:lang w:val="zh-CN"/>
        </w:rPr>
        <w:t>投标人的报价均应以人民币进行报价。</w:t>
      </w:r>
    </w:p>
    <w:p w14:paraId="6F78E8DA">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宋体"/>
          <w:snapToGrid w:val="0"/>
          <w:color w:val="auto"/>
          <w:sz w:val="24"/>
          <w:szCs w:val="24"/>
          <w:highlight w:val="none"/>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.2 投标人应按照本招标文件规定的报价方式进行报价，投标报价中不得包含招标文件要求以外的内容，否则，在评标时不予核减。投标报价中也不得</w:t>
      </w:r>
      <w:r>
        <w:rPr>
          <w:rFonts w:hint="eastAsia" w:eastAsia="宋体" w:cs="宋体"/>
          <w:snapToGrid w:val="0"/>
          <w:color w:val="auto"/>
          <w:sz w:val="24"/>
          <w:szCs w:val="24"/>
          <w:highlight w:val="none"/>
          <w:lang w:val="en-US" w:eastAsia="zh-CN"/>
        </w:rPr>
        <w:t>缺</w:t>
      </w:r>
      <w:r>
        <w:rPr>
          <w:rFonts w:hint="eastAsia" w:eastAsia="宋体" w:cs="宋体"/>
          <w:snapToGrid w:val="0"/>
          <w:color w:val="auto"/>
          <w:sz w:val="24"/>
          <w:szCs w:val="24"/>
          <w:highlight w:val="none"/>
        </w:rPr>
        <w:t>漏招标文件所要求的内容，否则其</w:t>
      </w:r>
      <w:r>
        <w:rPr>
          <w:rFonts w:hint="eastAsia" w:eastAsia="宋体" w:cs="宋体"/>
          <w:b/>
          <w:bCs/>
          <w:snapToGrid w:val="0"/>
          <w:color w:val="auto"/>
          <w:sz w:val="24"/>
          <w:szCs w:val="24"/>
          <w:highlight w:val="none"/>
        </w:rPr>
        <w:t>投标无效</w:t>
      </w:r>
      <w:r>
        <w:rPr>
          <w:rFonts w:hint="eastAsia" w:eastAsia="宋体" w:cs="宋体"/>
          <w:snapToGrid w:val="0"/>
          <w:color w:val="auto"/>
          <w:sz w:val="24"/>
          <w:szCs w:val="24"/>
          <w:highlight w:val="none"/>
        </w:rPr>
        <w:t>。</w:t>
      </w:r>
    </w:p>
    <w:p w14:paraId="5A43B706">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kern w:val="2"/>
          <w:sz w:val="24"/>
          <w:szCs w:val="22"/>
          <w:highlight w:val="none"/>
        </w:rPr>
      </w:pPr>
      <w:r>
        <w:rPr>
          <w:rFonts w:hint="eastAsia" w:eastAsia="宋体" w:cs="宋体"/>
          <w:color w:val="auto"/>
          <w:kern w:val="2"/>
          <w:sz w:val="24"/>
          <w:szCs w:val="22"/>
          <w:highlight w:val="none"/>
          <w:lang w:val="en-US" w:eastAsia="zh-CN"/>
        </w:rPr>
        <w:t>投标人的报价应包括为完成本项目所发生的一切费用和税费，采购人将不再支付报价以外的任何费用。</w:t>
      </w:r>
      <w:r>
        <w:rPr>
          <w:rFonts w:hint="eastAsia" w:ascii="宋体" w:hAnsi="宋体" w:eastAsia="宋体" w:cs="宋体"/>
          <w:color w:val="auto"/>
          <w:kern w:val="2"/>
          <w:sz w:val="24"/>
          <w:szCs w:val="22"/>
          <w:highlight w:val="none"/>
        </w:rPr>
        <w:t>只要投报了一个确定数额的总价，无论分项价格是否全部填报了相应的金额或免费字样，</w:t>
      </w:r>
      <w:r>
        <w:rPr>
          <w:rFonts w:hint="eastAsia" w:eastAsia="宋体" w:cs="宋体"/>
          <w:color w:val="auto"/>
          <w:kern w:val="2"/>
          <w:sz w:val="24"/>
          <w:szCs w:val="22"/>
          <w:highlight w:val="none"/>
          <w:lang w:val="en-US" w:eastAsia="zh-CN"/>
        </w:rPr>
        <w:t>该报价应被视为已包含但不限</w:t>
      </w:r>
      <w:r>
        <w:rPr>
          <w:rFonts w:hint="eastAsia" w:ascii="宋体" w:hAnsi="宋体" w:eastAsia="宋体" w:cs="宋体"/>
          <w:color w:val="auto"/>
          <w:kern w:val="2"/>
          <w:sz w:val="24"/>
          <w:szCs w:val="22"/>
          <w:highlight w:val="none"/>
        </w:rPr>
        <w:t>于各项购买货物及其运送、安装、调试、验收、保险和相关服务等的费用和所需缴纳的所有价格、税、费。在其他情况下，由于分项报价填报不完整、不清楚或存在其他任何失误，所导致的任何不利后果均应当由投标人自行承担。</w:t>
      </w:r>
    </w:p>
    <w:p w14:paraId="603A5965">
      <w:pPr>
        <w:pStyle w:val="10"/>
        <w:keepNext w:val="0"/>
        <w:keepLines w:val="0"/>
        <w:pageBreakBefore w:val="0"/>
        <w:widowControl w:val="0"/>
        <w:kinsoku/>
        <w:overflowPunct/>
        <w:topLinePunct w:val="0"/>
        <w:autoSpaceDE/>
        <w:autoSpaceDN/>
        <w:bidi w:val="0"/>
        <w:adjustRightInd/>
        <w:textAlignment w:val="auto"/>
        <w:rPr>
          <w:rFonts w:hint="eastAsia" w:eastAsia="宋体" w:cs="宋体"/>
          <w:color w:val="auto"/>
          <w:kern w:val="2"/>
          <w:sz w:val="24"/>
          <w:szCs w:val="22"/>
          <w:highlight w:val="none"/>
          <w:lang w:val="en-US" w:eastAsia="zh-CN"/>
        </w:rPr>
      </w:pPr>
      <w:r>
        <w:rPr>
          <w:rFonts w:hint="eastAsia" w:eastAsia="宋体" w:cs="宋体"/>
          <w:color w:val="auto"/>
          <w:kern w:val="2"/>
          <w:sz w:val="24"/>
          <w:szCs w:val="22"/>
          <w:highlight w:val="none"/>
          <w:lang w:val="en-US" w:eastAsia="zh-CN"/>
        </w:rPr>
        <w:t xml:space="preserve">投标人的报价应包括但不限于下列内容： </w:t>
      </w:r>
    </w:p>
    <w:p w14:paraId="56379E6E">
      <w:pPr>
        <w:pStyle w:val="10"/>
        <w:keepNext w:val="0"/>
        <w:keepLines w:val="0"/>
        <w:pageBreakBefore w:val="0"/>
        <w:widowControl w:val="0"/>
        <w:kinsoku/>
        <w:overflowPunct/>
        <w:topLinePunct w:val="0"/>
        <w:autoSpaceDE/>
        <w:autoSpaceDN/>
        <w:bidi w:val="0"/>
        <w:adjustRightInd/>
        <w:textAlignment w:val="auto"/>
        <w:rPr>
          <w:rFonts w:hint="eastAsia" w:eastAsia="宋体" w:cs="宋体"/>
          <w:color w:val="auto"/>
          <w:kern w:val="2"/>
          <w:sz w:val="24"/>
          <w:szCs w:val="22"/>
          <w:highlight w:val="none"/>
          <w:lang w:val="en-US" w:eastAsia="zh-CN"/>
        </w:rPr>
      </w:pPr>
      <w:r>
        <w:rPr>
          <w:rFonts w:hint="eastAsia" w:ascii="宋体" w:hAnsi="宋体" w:eastAsia="宋体" w:cs="宋体"/>
          <w:snapToGrid w:val="0"/>
          <w:color w:val="auto"/>
          <w:kern w:val="2"/>
          <w:sz w:val="24"/>
          <w:szCs w:val="24"/>
          <w:highlight w:val="none"/>
          <w:lang w:val="en-US" w:eastAsia="zh-CN" w:bidi="ar-SA"/>
        </w:rPr>
        <w:t>14.2.1 投标货物及标准附件、备品备件、专用工具等的出厂价（包括已在中</w:t>
      </w:r>
      <w:r>
        <w:rPr>
          <w:rFonts w:hint="eastAsia" w:eastAsia="宋体" w:cs="宋体"/>
          <w:color w:val="auto"/>
          <w:kern w:val="2"/>
          <w:sz w:val="24"/>
          <w:szCs w:val="22"/>
          <w:highlight w:val="none"/>
          <w:lang w:val="en-US" w:eastAsia="zh-CN"/>
        </w:rPr>
        <w:t xml:space="preserve">国国内的进口货物完税后的仓库交货价、展室交货价或货架交货价）和运至最终目的地的运输费和保险费，安装调试、检验、技术服务、培训、质量保证、售后服务、税费等； </w:t>
      </w:r>
    </w:p>
    <w:p w14:paraId="2D048AD4">
      <w:pPr>
        <w:pStyle w:val="10"/>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14.2.2 按照招标文件要求完成本项目的全部相关费用。</w:t>
      </w:r>
    </w:p>
    <w:p w14:paraId="5A5A1718">
      <w:pPr>
        <w:keepNext w:val="0"/>
        <w:keepLines w:val="0"/>
        <w:pageBreakBefore w:val="0"/>
        <w:widowControl w:val="0"/>
        <w:kinsoku/>
        <w:overflowPunct/>
        <w:topLinePunct w:val="0"/>
        <w:autoSpaceDE/>
        <w:autoSpaceDN/>
        <w:bidi w:val="0"/>
        <w:adjustRightInd/>
        <w:ind w:firstLine="480" w:firstLineChars="200"/>
        <w:textAlignment w:val="auto"/>
        <w:rPr>
          <w:rFonts w:eastAsia="宋体" w:cs="宋体"/>
          <w:snapToGrid w:val="0"/>
          <w:color w:val="auto"/>
          <w:sz w:val="24"/>
          <w:szCs w:val="24"/>
          <w:highlight w:val="none"/>
          <w:lang w:val="zh-CN"/>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 xml:space="preserve">.3 </w:t>
      </w:r>
      <w:r>
        <w:rPr>
          <w:rFonts w:hint="eastAsia" w:ascii="宋体" w:hAnsi="宋体" w:eastAsia="宋体" w:cs="宋体"/>
          <w:color w:val="auto"/>
          <w:kern w:val="2"/>
          <w:sz w:val="24"/>
          <w:szCs w:val="22"/>
          <w:highlight w:val="none"/>
        </w:rPr>
        <w:t>投标人须严格按照</w:t>
      </w:r>
      <w:r>
        <w:rPr>
          <w:rFonts w:hint="eastAsia" w:eastAsia="宋体" w:cs="宋体"/>
          <w:color w:val="auto"/>
          <w:kern w:val="2"/>
          <w:sz w:val="24"/>
          <w:szCs w:val="22"/>
          <w:highlight w:val="none"/>
          <w:lang w:val="en-US" w:eastAsia="zh-CN"/>
        </w:rPr>
        <w:t>分项</w:t>
      </w:r>
      <w:r>
        <w:rPr>
          <w:rFonts w:hint="eastAsia" w:ascii="宋体" w:hAnsi="宋体" w:eastAsia="宋体" w:cs="宋体"/>
          <w:color w:val="auto"/>
          <w:kern w:val="2"/>
          <w:sz w:val="24"/>
          <w:szCs w:val="22"/>
          <w:highlight w:val="none"/>
        </w:rPr>
        <w:t>报价表规定的内容填写货物单价以及其他事项。</w:t>
      </w:r>
      <w:r>
        <w:rPr>
          <w:rFonts w:hint="eastAsia" w:eastAsia="宋体" w:cs="宋体"/>
          <w:snapToGrid w:val="0"/>
          <w:color w:val="auto"/>
          <w:sz w:val="24"/>
          <w:szCs w:val="24"/>
          <w:highlight w:val="none"/>
          <w:lang w:val="zh-CN"/>
        </w:rPr>
        <w:t>投标人应根据本招标文件的规定和要求、市场价格水平及其走势、投标人的管理水平、投标人的方案和由这些因素决定的投标人之于本项目的成本水平等提出自己的报价。报价应合理，并包含完成本招标文件采购需求全部内容的所有费用，所有根据本招标文件或其它原因应由投标人支付的税款和其他应</w:t>
      </w:r>
      <w:r>
        <w:rPr>
          <w:rFonts w:hint="eastAsia" w:eastAsia="宋体" w:cs="宋体"/>
          <w:snapToGrid w:val="0"/>
          <w:color w:val="auto"/>
          <w:sz w:val="24"/>
          <w:szCs w:val="24"/>
          <w:highlight w:val="none"/>
          <w:lang w:val="en-US" w:eastAsia="zh-CN"/>
        </w:rPr>
        <w:t>缴</w:t>
      </w:r>
      <w:r>
        <w:rPr>
          <w:rFonts w:hint="eastAsia" w:eastAsia="宋体" w:cs="宋体"/>
          <w:snapToGrid w:val="0"/>
          <w:color w:val="auto"/>
          <w:sz w:val="24"/>
          <w:szCs w:val="24"/>
          <w:highlight w:val="none"/>
          <w:lang w:val="zh-CN"/>
        </w:rPr>
        <w:t>纳的费用都应包括在投标人提交的投标报价中。</w:t>
      </w:r>
    </w:p>
    <w:p w14:paraId="2E64053A">
      <w:pPr>
        <w:keepNext w:val="0"/>
        <w:keepLines w:val="0"/>
        <w:pageBreakBefore w:val="0"/>
        <w:widowControl w:val="0"/>
        <w:kinsoku/>
        <w:overflowPunct/>
        <w:topLinePunct w:val="0"/>
        <w:autoSpaceDE/>
        <w:autoSpaceDN/>
        <w:bidi w:val="0"/>
        <w:adjustRightInd/>
        <w:ind w:firstLine="480" w:firstLineChars="200"/>
        <w:textAlignment w:val="auto"/>
        <w:rPr>
          <w:rFonts w:eastAsia="宋体" w:cs="宋体"/>
          <w:snapToGrid w:val="0"/>
          <w:color w:val="auto"/>
          <w:sz w:val="24"/>
          <w:szCs w:val="24"/>
          <w:highlight w:val="none"/>
        </w:rPr>
      </w:pPr>
      <w:r>
        <w:rPr>
          <w:rFonts w:eastAsia="宋体" w:cs="宋体"/>
          <w:snapToGrid w:val="0"/>
          <w:color w:val="auto"/>
          <w:sz w:val="24"/>
          <w:szCs w:val="24"/>
          <w:highlight w:val="none"/>
        </w:rPr>
        <w:t>1</w:t>
      </w:r>
      <w:r>
        <w:rPr>
          <w:rFonts w:hint="eastAsia" w:eastAsia="宋体" w:cs="宋体"/>
          <w:snapToGrid w:val="0"/>
          <w:color w:val="auto"/>
          <w:sz w:val="24"/>
          <w:szCs w:val="24"/>
          <w:highlight w:val="none"/>
          <w:lang w:val="en-US" w:eastAsia="zh-CN"/>
        </w:rPr>
        <w:t>4</w:t>
      </w:r>
      <w:r>
        <w:rPr>
          <w:rFonts w:hint="eastAsia" w:eastAsia="宋体" w:cs="宋体"/>
          <w:snapToGrid w:val="0"/>
          <w:color w:val="auto"/>
          <w:sz w:val="24"/>
          <w:szCs w:val="24"/>
          <w:highlight w:val="none"/>
        </w:rPr>
        <w:t>.4 投标人在投标文件中注明免费的项目将视为包含在投标报价中。</w:t>
      </w:r>
    </w:p>
    <w:p w14:paraId="69FA15EB">
      <w:pPr>
        <w:pStyle w:val="10"/>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ascii="宋体" w:hAnsi="宋体" w:eastAsia="宋体" w:cs="宋体"/>
          <w:snapToGrid w:val="0"/>
          <w:color w:val="auto"/>
          <w:kern w:val="2"/>
          <w:sz w:val="24"/>
          <w:szCs w:val="24"/>
          <w:highlight w:val="none"/>
          <w:lang w:val="en-US" w:eastAsia="zh-CN" w:bidi="ar-SA"/>
        </w:rPr>
        <w:t>1</w:t>
      </w:r>
      <w:r>
        <w:rPr>
          <w:rFonts w:hint="eastAsia" w:ascii="宋体" w:hAnsi="宋体" w:eastAsia="宋体" w:cs="宋体"/>
          <w:snapToGrid w:val="0"/>
          <w:color w:val="auto"/>
          <w:kern w:val="2"/>
          <w:sz w:val="24"/>
          <w:szCs w:val="24"/>
          <w:highlight w:val="none"/>
          <w:lang w:val="en-US" w:eastAsia="zh-CN" w:bidi="ar-SA"/>
        </w:rPr>
        <w:t>4.5 每一</w:t>
      </w:r>
      <w:r>
        <w:rPr>
          <w:rFonts w:hint="eastAsia" w:eastAsia="宋体" w:cs="宋体"/>
          <w:snapToGrid w:val="0"/>
          <w:color w:val="auto"/>
          <w:sz w:val="24"/>
          <w:szCs w:val="24"/>
          <w:highlight w:val="none"/>
        </w:rPr>
        <w:t>种采购内容只允许有一个报价，否则其</w:t>
      </w:r>
      <w:r>
        <w:rPr>
          <w:rFonts w:hint="eastAsia" w:eastAsia="宋体" w:cs="宋体"/>
          <w:b/>
          <w:bCs/>
          <w:snapToGrid w:val="0"/>
          <w:color w:val="auto"/>
          <w:sz w:val="24"/>
          <w:szCs w:val="24"/>
          <w:highlight w:val="none"/>
        </w:rPr>
        <w:t>投标无效</w:t>
      </w:r>
      <w:r>
        <w:rPr>
          <w:rFonts w:hint="eastAsia" w:eastAsia="宋体" w:cs="宋体"/>
          <w:snapToGrid w:val="0"/>
          <w:color w:val="auto"/>
          <w:sz w:val="24"/>
          <w:szCs w:val="24"/>
          <w:highlight w:val="none"/>
        </w:rPr>
        <w:t>。</w:t>
      </w:r>
      <w:r>
        <w:rPr>
          <w:rFonts w:hint="eastAsia" w:ascii="宋体" w:hAnsi="宋体" w:eastAsia="宋体" w:cs="宋体"/>
          <w:color w:val="auto"/>
          <w:kern w:val="2"/>
          <w:sz w:val="24"/>
          <w:szCs w:val="22"/>
          <w:highlight w:val="none"/>
        </w:rPr>
        <w:t>除非招标文件另有规定，不接受可选择或可调整的投标方案和报价，任何有选择的或可调整的投标方案和报价将被视为非</w:t>
      </w:r>
      <w:r>
        <w:rPr>
          <w:rFonts w:hint="eastAsia" w:ascii="宋体" w:hAnsi="宋体" w:eastAsia="宋体" w:cs="宋体"/>
          <w:color w:val="auto"/>
          <w:kern w:val="2"/>
          <w:sz w:val="24"/>
          <w:szCs w:val="22"/>
          <w:highlight w:val="none"/>
          <w:lang w:val="en-US" w:eastAsia="zh-CN"/>
        </w:rPr>
        <w:t>实质性</w:t>
      </w:r>
      <w:r>
        <w:rPr>
          <w:rFonts w:hint="eastAsia" w:ascii="宋体" w:hAnsi="宋体" w:eastAsia="宋体" w:cs="宋体"/>
          <w:color w:val="auto"/>
          <w:kern w:val="2"/>
          <w:sz w:val="24"/>
          <w:szCs w:val="22"/>
          <w:highlight w:val="none"/>
        </w:rPr>
        <w:t>响应</w:t>
      </w:r>
      <w:r>
        <w:rPr>
          <w:rFonts w:hint="eastAsia" w:ascii="宋体" w:hAnsi="宋体" w:eastAsia="宋体" w:cs="宋体"/>
          <w:color w:val="auto"/>
          <w:kern w:val="2"/>
          <w:sz w:val="24"/>
          <w:szCs w:val="22"/>
          <w:highlight w:val="none"/>
          <w:lang w:val="en-US" w:eastAsia="zh-CN"/>
        </w:rPr>
        <w:t>招标文件,其</w:t>
      </w:r>
      <w:r>
        <w:rPr>
          <w:rFonts w:hint="eastAsia" w:eastAsia="宋体" w:cs="宋体"/>
          <w:b/>
          <w:bCs/>
          <w:snapToGrid w:val="0"/>
          <w:color w:val="auto"/>
          <w:sz w:val="24"/>
          <w:szCs w:val="24"/>
          <w:highlight w:val="none"/>
          <w:lang w:eastAsia="zh-CN"/>
        </w:rPr>
        <w:t>投标无效</w:t>
      </w:r>
      <w:r>
        <w:rPr>
          <w:rFonts w:hint="eastAsia" w:ascii="宋体" w:hAnsi="宋体" w:eastAsia="宋体" w:cs="宋体"/>
          <w:color w:val="auto"/>
          <w:kern w:val="2"/>
          <w:sz w:val="24"/>
          <w:szCs w:val="22"/>
          <w:highlight w:val="none"/>
        </w:rPr>
        <w:t>。</w:t>
      </w:r>
    </w:p>
    <w:p w14:paraId="256DF6F3">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4</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 xml:space="preserve">6 </w:t>
      </w:r>
      <w:r>
        <w:rPr>
          <w:rFonts w:hint="eastAsia" w:eastAsia="宋体" w:cs="仿宋_GB2312"/>
          <w:color w:val="auto"/>
          <w:sz w:val="24"/>
          <w:szCs w:val="24"/>
          <w:highlight w:val="none"/>
        </w:rPr>
        <w:t>投标报价不得超过“</w:t>
      </w:r>
      <w:r>
        <w:rPr>
          <w:rFonts w:hint="eastAsia" w:eastAsia="宋体"/>
          <w:color w:val="auto"/>
          <w:sz w:val="24"/>
          <w:highlight w:val="none"/>
          <w:lang w:val="en-US" w:eastAsia="zh-CN"/>
        </w:rPr>
        <w:t>第一章 招标公告</w:t>
      </w:r>
      <w:r>
        <w:rPr>
          <w:rFonts w:hint="eastAsia" w:eastAsia="宋体" w:cs="仿宋_GB2312"/>
          <w:color w:val="auto"/>
          <w:sz w:val="24"/>
          <w:szCs w:val="24"/>
          <w:highlight w:val="none"/>
        </w:rPr>
        <w:t>”中规定的最高投标限价</w:t>
      </w:r>
      <w:r>
        <w:rPr>
          <w:rFonts w:hint="eastAsia" w:ascii="宋体" w:hAnsi="宋体" w:eastAsia="宋体"/>
          <w:color w:val="auto"/>
          <w:sz w:val="24"/>
          <w:highlight w:val="none"/>
          <w:lang w:val="en-US" w:eastAsia="zh-CN"/>
        </w:rPr>
        <w:t>或者预算金额</w:t>
      </w:r>
      <w:r>
        <w:rPr>
          <w:rFonts w:hint="eastAsia" w:eastAsia="宋体" w:cs="仿宋_GB2312"/>
          <w:color w:val="auto"/>
          <w:sz w:val="24"/>
          <w:szCs w:val="24"/>
          <w:highlight w:val="none"/>
        </w:rPr>
        <w:t>，否则</w:t>
      </w:r>
      <w:r>
        <w:rPr>
          <w:rFonts w:eastAsia="宋体" w:cs="仿宋_GB2312"/>
          <w:color w:val="auto"/>
          <w:sz w:val="24"/>
          <w:szCs w:val="24"/>
          <w:highlight w:val="none"/>
        </w:rPr>
        <w:t>评标委员会将</w:t>
      </w:r>
      <w:r>
        <w:rPr>
          <w:rFonts w:hint="eastAsia" w:eastAsia="宋体" w:cs="仿宋_GB2312"/>
          <w:b w:val="0"/>
          <w:bCs w:val="0"/>
          <w:color w:val="auto"/>
          <w:sz w:val="24"/>
          <w:szCs w:val="24"/>
          <w:highlight w:val="none"/>
          <w:lang w:val="en-US" w:eastAsia="zh-CN"/>
        </w:rPr>
        <w:t>对</w:t>
      </w:r>
      <w:r>
        <w:rPr>
          <w:rFonts w:eastAsia="宋体" w:cs="仿宋_GB2312"/>
          <w:b w:val="0"/>
          <w:bCs w:val="0"/>
          <w:color w:val="auto"/>
          <w:sz w:val="24"/>
          <w:szCs w:val="24"/>
          <w:highlight w:val="none"/>
        </w:rPr>
        <w:t>其</w:t>
      </w:r>
      <w:r>
        <w:rPr>
          <w:rFonts w:hint="eastAsia" w:eastAsia="宋体" w:cs="仿宋_GB2312"/>
          <w:b w:val="0"/>
          <w:bCs w:val="0"/>
          <w:color w:val="auto"/>
          <w:sz w:val="24"/>
          <w:szCs w:val="24"/>
          <w:highlight w:val="none"/>
          <w:lang w:val="en-US" w:eastAsia="zh-CN"/>
        </w:rPr>
        <w:t>作</w:t>
      </w:r>
      <w:r>
        <w:rPr>
          <w:rFonts w:hint="eastAsia" w:eastAsia="宋体" w:cs="仿宋_GB2312"/>
          <w:b/>
          <w:bCs/>
          <w:color w:val="auto"/>
          <w:sz w:val="24"/>
          <w:szCs w:val="24"/>
          <w:highlight w:val="none"/>
          <w:lang w:val="en-US" w:eastAsia="zh-CN"/>
        </w:rPr>
        <w:t>无效</w:t>
      </w:r>
      <w:r>
        <w:rPr>
          <w:rFonts w:eastAsia="宋体" w:cs="仿宋_GB2312"/>
          <w:b/>
          <w:bCs/>
          <w:color w:val="auto"/>
          <w:sz w:val="24"/>
          <w:szCs w:val="24"/>
          <w:highlight w:val="none"/>
        </w:rPr>
        <w:t>投标</w:t>
      </w:r>
      <w:r>
        <w:rPr>
          <w:rFonts w:hint="eastAsia" w:eastAsia="宋体" w:cs="仿宋_GB2312"/>
          <w:b/>
          <w:bCs/>
          <w:color w:val="auto"/>
          <w:sz w:val="24"/>
          <w:szCs w:val="24"/>
          <w:highlight w:val="none"/>
          <w:lang w:val="en-US" w:eastAsia="zh-CN"/>
        </w:rPr>
        <w:t>处理</w:t>
      </w:r>
      <w:r>
        <w:rPr>
          <w:rFonts w:eastAsia="宋体" w:cs="仿宋_GB2312"/>
          <w:color w:val="auto"/>
          <w:sz w:val="24"/>
          <w:szCs w:val="24"/>
          <w:highlight w:val="none"/>
        </w:rPr>
        <w:t>。</w:t>
      </w:r>
    </w:p>
    <w:p w14:paraId="796CCEDC">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7 </w:t>
      </w:r>
      <w:r>
        <w:rPr>
          <w:rFonts w:hint="eastAsia" w:ascii="宋体" w:hAnsi="宋体" w:eastAsia="宋体" w:cs="宋体"/>
          <w:color w:val="auto"/>
          <w:kern w:val="2"/>
          <w:sz w:val="24"/>
          <w:szCs w:val="22"/>
          <w:highlight w:val="none"/>
        </w:rPr>
        <w:t>投标人对投标报价若有说明应在投标文件中显著处注明。</w:t>
      </w:r>
    </w:p>
    <w:p w14:paraId="45A48674">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除政策性文件规定以外，投标人所报价格在合同实施期间不因市场变化因素而变动。</w:t>
      </w:r>
    </w:p>
    <w:p w14:paraId="2FAEB7F7">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8 </w:t>
      </w:r>
      <w:r>
        <w:rPr>
          <w:rFonts w:hint="eastAsia" w:ascii="宋体" w:hAnsi="宋体" w:eastAsia="宋体" w:cs="宋体"/>
          <w:color w:val="auto"/>
          <w:kern w:val="2"/>
          <w:sz w:val="24"/>
          <w:szCs w:val="22"/>
          <w:highlight w:val="none"/>
        </w:rPr>
        <w:t>对于有配件、耗材、选件、备件和特殊工具的货物，还应填报投标货物配件、耗材、选件表和备件及特殊工具清单，注明品牌、型号、产地、功能、单价、批量折扣等内容，该表格格式由投标人自行设计。投标人按照上述要求分类报价，其目的是便于评标，但在任何情况下并不限制采购人以其他条款签订合同的权利。</w:t>
      </w:r>
    </w:p>
    <w:p w14:paraId="50CD07A1">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rPr>
        <w:t>1</w:t>
      </w:r>
      <w:r>
        <w:rPr>
          <w:rFonts w:hint="eastAsia" w:ascii="宋体" w:hAnsi="宋体"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rPr>
        <w:t>.</w:t>
      </w:r>
      <w:r>
        <w:rPr>
          <w:rFonts w:hint="eastAsia" w:ascii="宋体" w:hAnsi="宋体" w:eastAsia="宋体" w:cs="宋体"/>
          <w:color w:val="auto"/>
          <w:kern w:val="2"/>
          <w:sz w:val="24"/>
          <w:szCs w:val="22"/>
          <w:highlight w:val="none"/>
          <w:lang w:val="en-US" w:eastAsia="zh-CN"/>
        </w:rPr>
        <w:t xml:space="preserve">9 </w:t>
      </w:r>
      <w:r>
        <w:rPr>
          <w:rFonts w:hint="eastAsia" w:ascii="宋体" w:hAnsi="宋体" w:eastAsia="宋体" w:cs="宋体"/>
          <w:color w:val="auto"/>
          <w:kern w:val="2"/>
          <w:sz w:val="24"/>
          <w:szCs w:val="22"/>
          <w:highlight w:val="none"/>
        </w:rPr>
        <w:t>最低报价不能作为中标的保证。</w:t>
      </w:r>
    </w:p>
    <w:p w14:paraId="62166F57">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default"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w:t>
      </w:r>
      <w:r>
        <w:rPr>
          <w:rFonts w:hint="eastAsia"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lang w:val="en-US" w:eastAsia="zh-CN"/>
        </w:rPr>
        <w:t>.10</w:t>
      </w:r>
      <w:r>
        <w:rPr>
          <w:rFonts w:hint="eastAsia" w:ascii="宋体" w:hAnsi="宋体" w:eastAsia="宋体" w:cs="宋体"/>
          <w:color w:val="auto"/>
          <w:kern w:val="0"/>
          <w:sz w:val="24"/>
          <w:szCs w:val="24"/>
          <w:highlight w:val="none"/>
          <w:lang w:val="en-US" w:eastAsia="zh-CN" w:bidi="ar"/>
        </w:rPr>
        <w:t>采购人不得向</w:t>
      </w:r>
      <w:r>
        <w:rPr>
          <w:rFonts w:hint="eastAsia" w:eastAsia="宋体" w:cs="宋体"/>
          <w:color w:val="auto"/>
          <w:kern w:val="0"/>
          <w:sz w:val="24"/>
          <w:szCs w:val="24"/>
          <w:highlight w:val="none"/>
          <w:lang w:val="en-US" w:eastAsia="zh-CN" w:bidi="ar"/>
        </w:rPr>
        <w:t>投标人</w:t>
      </w:r>
      <w:r>
        <w:rPr>
          <w:rFonts w:hint="eastAsia" w:ascii="宋体" w:hAnsi="宋体" w:eastAsia="宋体" w:cs="宋体"/>
          <w:color w:val="auto"/>
          <w:kern w:val="0"/>
          <w:sz w:val="24"/>
          <w:szCs w:val="24"/>
          <w:highlight w:val="none"/>
          <w:lang w:val="en-US" w:eastAsia="zh-CN" w:bidi="ar"/>
        </w:rPr>
        <w:t>索要或者接受其给予的赠品、回扣或者与采购无关的其他商品、服务。</w:t>
      </w:r>
    </w:p>
    <w:p w14:paraId="629A20A7">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51" w:name="_Toc140132773"/>
      <w:bookmarkStart w:id="152" w:name="_Toc163492840"/>
      <w:r>
        <w:rPr>
          <w:rFonts w:hint="eastAsia" w:ascii="宋体" w:hAnsi="宋体" w:eastAsia="宋体" w:cs="宋体"/>
          <w:b/>
          <w:bCs/>
          <w:color w:val="auto"/>
          <w:kern w:val="2"/>
          <w:sz w:val="24"/>
          <w:szCs w:val="28"/>
          <w:highlight w:val="none"/>
          <w:lang w:val="en-US" w:eastAsia="zh-CN" w:bidi="ar-SA"/>
        </w:rPr>
        <w:t>15.投标有效期</w:t>
      </w:r>
      <w:bookmarkEnd w:id="151"/>
      <w:bookmarkEnd w:id="152"/>
    </w:p>
    <w:p w14:paraId="5249E885">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 xml:space="preserve">.1 </w:t>
      </w:r>
      <w:r>
        <w:rPr>
          <w:rFonts w:ascii="Arial" w:hAnsi="Arial" w:eastAsia="宋体" w:cs="Arial"/>
          <w:color w:val="auto"/>
          <w:kern w:val="0"/>
          <w:sz w:val="24"/>
          <w:szCs w:val="21"/>
          <w:highlight w:val="none"/>
          <w:lang w:val="en"/>
        </w:rPr>
        <w:t>投标有效期</w:t>
      </w:r>
      <w:r>
        <w:rPr>
          <w:rFonts w:hint="eastAsia" w:eastAsia="宋体" w:cs="仿宋_GB2312"/>
          <w:color w:val="auto"/>
          <w:sz w:val="24"/>
          <w:szCs w:val="24"/>
          <w:highlight w:val="none"/>
        </w:rPr>
        <w:t>见“</w:t>
      </w:r>
      <w:r>
        <w:rPr>
          <w:rFonts w:hint="eastAsia" w:eastAsia="宋体" w:cs="仿宋_GB2312"/>
          <w:color w:val="auto"/>
          <w:sz w:val="24"/>
          <w:szCs w:val="24"/>
          <w:highlight w:val="none"/>
          <w:lang w:val="en-US" w:eastAsia="zh-CN"/>
        </w:rPr>
        <w:t xml:space="preserve">第二章 </w:t>
      </w:r>
      <w:r>
        <w:rPr>
          <w:rFonts w:eastAsia="宋体" w:cs="仿宋_GB2312"/>
          <w:color w:val="auto"/>
          <w:sz w:val="24"/>
          <w:szCs w:val="24"/>
          <w:highlight w:val="none"/>
        </w:rPr>
        <w:t>投标人须知前附表</w:t>
      </w:r>
      <w:r>
        <w:rPr>
          <w:rFonts w:hint="eastAsia" w:eastAsia="宋体" w:cs="仿宋_GB2312"/>
          <w:color w:val="auto"/>
          <w:sz w:val="24"/>
          <w:szCs w:val="24"/>
          <w:highlight w:val="none"/>
        </w:rPr>
        <w:t>”，投标人承诺的投标有效期</w:t>
      </w:r>
      <w:r>
        <w:rPr>
          <w:rFonts w:hint="eastAsia" w:eastAsia="宋体"/>
          <w:snapToGrid w:val="0"/>
          <w:color w:val="auto"/>
          <w:sz w:val="24"/>
          <w:highlight w:val="none"/>
          <w:lang w:val="zh-CN" w:eastAsia="zh-CN"/>
        </w:rPr>
        <w:t>少于</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val="zh-CN" w:eastAsia="zh-CN"/>
        </w:rPr>
        <w:t>文件规定期限的，其</w:t>
      </w:r>
      <w:r>
        <w:rPr>
          <w:rFonts w:hint="eastAsia" w:eastAsia="宋体"/>
          <w:b/>
          <w:bCs/>
          <w:snapToGrid w:val="0"/>
          <w:color w:val="auto"/>
          <w:sz w:val="24"/>
          <w:highlight w:val="none"/>
          <w:lang w:val="en-US" w:eastAsia="zh-CN"/>
        </w:rPr>
        <w:t>投标</w:t>
      </w:r>
      <w:r>
        <w:rPr>
          <w:rFonts w:hint="eastAsia" w:eastAsia="宋体"/>
          <w:b/>
          <w:bCs/>
          <w:snapToGrid w:val="0"/>
          <w:color w:val="auto"/>
          <w:sz w:val="24"/>
          <w:highlight w:val="none"/>
          <w:lang w:val="zh-CN" w:eastAsia="zh-CN"/>
        </w:rPr>
        <w:t>无效</w:t>
      </w:r>
      <w:r>
        <w:rPr>
          <w:rFonts w:hint="eastAsia" w:eastAsia="宋体"/>
          <w:snapToGrid w:val="0"/>
          <w:color w:val="auto"/>
          <w:sz w:val="24"/>
          <w:highlight w:val="none"/>
          <w:lang w:val="zh-CN" w:eastAsia="zh-CN"/>
        </w:rPr>
        <w:t>。</w:t>
      </w:r>
    </w:p>
    <w:p w14:paraId="70C22B5F">
      <w:pPr>
        <w:keepNext w:val="0"/>
        <w:keepLines w:val="0"/>
        <w:pageBreakBefore w:val="0"/>
        <w:widowControl w:val="0"/>
        <w:kinsoku/>
        <w:overflowPunct/>
        <w:topLinePunct w:val="0"/>
        <w:autoSpaceDE/>
        <w:autoSpaceDN/>
        <w:bidi w:val="0"/>
        <w:adjustRightInd/>
        <w:ind w:firstLine="480" w:firstLineChars="200"/>
        <w:textAlignment w:val="auto"/>
        <w:rPr>
          <w:rFonts w:hint="default" w:eastAsia="宋体" w:cs="仿宋_GB2312"/>
          <w:color w:val="auto"/>
          <w:sz w:val="24"/>
          <w:szCs w:val="24"/>
          <w:highlight w:val="none"/>
          <w:lang w:val="en-US" w:eastAsia="zh-CN"/>
        </w:rPr>
      </w:pPr>
      <w:r>
        <w:rPr>
          <w:rFonts w:hint="eastAsia" w:eastAsia="宋体" w:cs="仿宋_GB2312"/>
          <w:color w:val="auto"/>
          <w:sz w:val="24"/>
          <w:szCs w:val="24"/>
          <w:highlight w:val="none"/>
          <w:lang w:val="en-US" w:eastAsia="zh-CN"/>
        </w:rPr>
        <w:t>15.2 投标有效期从提交投标文件的截止之日起算。投标文件中承诺的投标有效期应当不少于招标文件中载明的投标有效期。投标有效期内投标人撤销投标文件的，采购人或者采购代理机构可以不退还投标保证金。</w:t>
      </w:r>
    </w:p>
    <w:p w14:paraId="45D74A65">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5</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3</w:t>
      </w:r>
      <w:r>
        <w:rPr>
          <w:rFonts w:eastAsia="宋体" w:cs="仿宋_GB2312"/>
          <w:color w:val="auto"/>
          <w:sz w:val="24"/>
          <w:szCs w:val="24"/>
          <w:highlight w:val="none"/>
        </w:rPr>
        <w:t>特殊情况下，在原</w:t>
      </w:r>
      <w:r>
        <w:rPr>
          <w:rFonts w:hint="eastAsia" w:eastAsia="宋体" w:cs="仿宋_GB2312"/>
          <w:color w:val="auto"/>
          <w:sz w:val="24"/>
          <w:szCs w:val="24"/>
          <w:highlight w:val="none"/>
        </w:rPr>
        <w:t>投标文件</w:t>
      </w:r>
      <w:r>
        <w:rPr>
          <w:rFonts w:eastAsia="宋体" w:cs="仿宋_GB2312"/>
          <w:color w:val="auto"/>
          <w:sz w:val="24"/>
          <w:szCs w:val="24"/>
          <w:highlight w:val="none"/>
        </w:rPr>
        <w:t>有效期截止之前，采购代理机构或采购人可要求</w:t>
      </w:r>
      <w:r>
        <w:rPr>
          <w:rFonts w:hint="eastAsia" w:eastAsia="宋体" w:cs="仿宋_GB2312"/>
          <w:color w:val="auto"/>
          <w:sz w:val="24"/>
          <w:szCs w:val="24"/>
          <w:highlight w:val="none"/>
        </w:rPr>
        <w:t>投标人</w:t>
      </w:r>
      <w:r>
        <w:rPr>
          <w:rFonts w:eastAsia="宋体" w:cs="仿宋_GB2312"/>
          <w:color w:val="auto"/>
          <w:sz w:val="24"/>
          <w:szCs w:val="24"/>
          <w:highlight w:val="none"/>
        </w:rPr>
        <w:t>延长</w:t>
      </w:r>
      <w:r>
        <w:rPr>
          <w:rFonts w:hint="eastAsia" w:eastAsia="宋体" w:cs="仿宋_GB2312"/>
          <w:color w:val="auto"/>
          <w:sz w:val="24"/>
          <w:szCs w:val="24"/>
          <w:highlight w:val="none"/>
        </w:rPr>
        <w:t>投标</w:t>
      </w:r>
      <w:r>
        <w:rPr>
          <w:rFonts w:eastAsia="宋体" w:cs="仿宋_GB2312"/>
          <w:color w:val="auto"/>
          <w:sz w:val="24"/>
          <w:szCs w:val="24"/>
          <w:highlight w:val="none"/>
        </w:rPr>
        <w:t>有效期。需要延长</w:t>
      </w:r>
      <w:r>
        <w:rPr>
          <w:rFonts w:hint="eastAsia" w:eastAsia="宋体" w:cs="仿宋_GB2312"/>
          <w:color w:val="auto"/>
          <w:sz w:val="24"/>
          <w:szCs w:val="24"/>
          <w:highlight w:val="none"/>
        </w:rPr>
        <w:t>投标</w:t>
      </w:r>
      <w:r>
        <w:rPr>
          <w:rFonts w:eastAsia="宋体" w:cs="仿宋_GB2312"/>
          <w:color w:val="auto"/>
          <w:sz w:val="24"/>
          <w:szCs w:val="24"/>
          <w:highlight w:val="none"/>
        </w:rPr>
        <w:t>有效期时，采购代理机构或采购人将以书面形式通知所有</w:t>
      </w:r>
      <w:r>
        <w:rPr>
          <w:rFonts w:hint="eastAsia" w:eastAsia="宋体" w:cs="仿宋_GB2312"/>
          <w:color w:val="auto"/>
          <w:sz w:val="24"/>
          <w:szCs w:val="24"/>
          <w:highlight w:val="none"/>
        </w:rPr>
        <w:t>投标人</w:t>
      </w:r>
      <w:r>
        <w:rPr>
          <w:rFonts w:eastAsia="宋体" w:cs="仿宋_GB2312"/>
          <w:color w:val="auto"/>
          <w:sz w:val="24"/>
          <w:szCs w:val="24"/>
          <w:highlight w:val="none"/>
        </w:rPr>
        <w:t>，</w:t>
      </w:r>
      <w:r>
        <w:rPr>
          <w:rFonts w:hint="eastAsia" w:eastAsia="宋体" w:cs="仿宋_GB2312"/>
          <w:color w:val="auto"/>
          <w:sz w:val="24"/>
          <w:szCs w:val="24"/>
          <w:highlight w:val="none"/>
        </w:rPr>
        <w:t>投标人</w:t>
      </w:r>
      <w:r>
        <w:rPr>
          <w:rFonts w:eastAsia="宋体" w:cs="仿宋_GB2312"/>
          <w:color w:val="auto"/>
          <w:sz w:val="24"/>
          <w:szCs w:val="24"/>
          <w:highlight w:val="none"/>
        </w:rPr>
        <w:t>应以书面形式答复是否同意延长</w:t>
      </w:r>
      <w:r>
        <w:rPr>
          <w:rFonts w:hint="eastAsia" w:eastAsia="宋体" w:cs="仿宋_GB2312"/>
          <w:color w:val="auto"/>
          <w:sz w:val="24"/>
          <w:szCs w:val="24"/>
          <w:highlight w:val="none"/>
        </w:rPr>
        <w:t>投标</w:t>
      </w:r>
      <w:r>
        <w:rPr>
          <w:rFonts w:eastAsia="宋体" w:cs="仿宋_GB2312"/>
          <w:color w:val="auto"/>
          <w:sz w:val="24"/>
          <w:szCs w:val="24"/>
          <w:highlight w:val="none"/>
        </w:rPr>
        <w:t>有效期。</w:t>
      </w:r>
    </w:p>
    <w:p w14:paraId="22FFB07E">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5</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4</w:t>
      </w:r>
      <w:r>
        <w:rPr>
          <w:rFonts w:hint="eastAsia" w:eastAsia="宋体" w:cs="仿宋_GB2312"/>
          <w:color w:val="auto"/>
          <w:sz w:val="24"/>
          <w:szCs w:val="24"/>
          <w:highlight w:val="none"/>
        </w:rPr>
        <w:t>投标人</w:t>
      </w:r>
      <w:r>
        <w:rPr>
          <w:rFonts w:eastAsia="宋体" w:cs="仿宋_GB2312"/>
          <w:color w:val="auto"/>
          <w:sz w:val="24"/>
          <w:szCs w:val="24"/>
          <w:highlight w:val="none"/>
        </w:rPr>
        <w:t>同意延长的，</w:t>
      </w:r>
      <w:r>
        <w:rPr>
          <w:rFonts w:hint="eastAsia" w:eastAsia="宋体" w:cs="宋体"/>
          <w:color w:val="auto"/>
          <w:kern w:val="2"/>
          <w:sz w:val="24"/>
          <w:szCs w:val="22"/>
          <w:highlight w:val="none"/>
          <w:lang w:val="en-US" w:eastAsia="zh-CN"/>
        </w:rPr>
        <w:t>其</w:t>
      </w:r>
      <w:r>
        <w:rPr>
          <w:rFonts w:hint="eastAsia" w:ascii="宋体" w:hAnsi="宋体" w:eastAsia="宋体" w:cs="宋体"/>
          <w:color w:val="auto"/>
          <w:kern w:val="2"/>
          <w:sz w:val="24"/>
          <w:szCs w:val="22"/>
          <w:highlight w:val="none"/>
        </w:rPr>
        <w:t>投标保证金的有效期也相应延长</w:t>
      </w:r>
      <w:r>
        <w:rPr>
          <w:rFonts w:hint="eastAsia" w:eastAsia="宋体" w:cs="宋体"/>
          <w:color w:val="auto"/>
          <w:kern w:val="2"/>
          <w:sz w:val="24"/>
          <w:szCs w:val="22"/>
          <w:highlight w:val="none"/>
          <w:lang w:eastAsia="zh-CN"/>
        </w:rPr>
        <w:t>，</w:t>
      </w:r>
      <w:r>
        <w:rPr>
          <w:rFonts w:hint="eastAsia" w:eastAsia="宋体" w:cs="宋体"/>
          <w:color w:val="auto"/>
          <w:kern w:val="2"/>
          <w:sz w:val="24"/>
          <w:szCs w:val="22"/>
          <w:highlight w:val="none"/>
          <w:lang w:val="en-US" w:eastAsia="zh-CN"/>
        </w:rPr>
        <w:t>但</w:t>
      </w:r>
      <w:r>
        <w:rPr>
          <w:rFonts w:eastAsia="宋体" w:cs="仿宋_GB2312"/>
          <w:color w:val="auto"/>
          <w:sz w:val="24"/>
          <w:szCs w:val="24"/>
          <w:highlight w:val="none"/>
        </w:rPr>
        <w:t>不得要求或被允许修改或撤销其</w:t>
      </w:r>
      <w:r>
        <w:rPr>
          <w:rFonts w:hint="eastAsia" w:eastAsia="宋体" w:cs="仿宋_GB2312"/>
          <w:color w:val="auto"/>
          <w:sz w:val="24"/>
          <w:szCs w:val="24"/>
          <w:highlight w:val="none"/>
        </w:rPr>
        <w:t>投标文件</w:t>
      </w:r>
      <w:r>
        <w:rPr>
          <w:rFonts w:eastAsia="宋体" w:cs="仿宋_GB2312"/>
          <w:color w:val="auto"/>
          <w:sz w:val="24"/>
          <w:szCs w:val="24"/>
          <w:highlight w:val="none"/>
        </w:rPr>
        <w:t>；</w:t>
      </w:r>
      <w:r>
        <w:rPr>
          <w:rFonts w:hint="eastAsia" w:eastAsia="宋体" w:cs="仿宋_GB2312"/>
          <w:color w:val="auto"/>
          <w:sz w:val="24"/>
          <w:szCs w:val="24"/>
          <w:highlight w:val="none"/>
          <w:lang w:val="en-US" w:eastAsia="zh-CN"/>
        </w:rPr>
        <w:t>投标人</w:t>
      </w:r>
      <w:r>
        <w:rPr>
          <w:rFonts w:eastAsia="宋体" w:cs="仿宋_GB2312"/>
          <w:color w:val="auto"/>
          <w:sz w:val="24"/>
          <w:szCs w:val="24"/>
          <w:highlight w:val="none"/>
        </w:rPr>
        <w:t>拒绝延长的，其</w:t>
      </w:r>
      <w:r>
        <w:rPr>
          <w:rFonts w:hint="eastAsia" w:eastAsia="宋体" w:cs="仿宋_GB2312"/>
          <w:color w:val="auto"/>
          <w:sz w:val="24"/>
          <w:szCs w:val="24"/>
          <w:highlight w:val="none"/>
        </w:rPr>
        <w:t>投标文件</w:t>
      </w:r>
      <w:r>
        <w:rPr>
          <w:rFonts w:eastAsia="宋体" w:cs="仿宋_GB2312"/>
          <w:color w:val="auto"/>
          <w:sz w:val="24"/>
          <w:szCs w:val="24"/>
          <w:highlight w:val="none"/>
        </w:rPr>
        <w:t>在原</w:t>
      </w:r>
      <w:r>
        <w:rPr>
          <w:rFonts w:hint="eastAsia" w:eastAsia="宋体" w:cs="仿宋_GB2312"/>
          <w:color w:val="auto"/>
          <w:sz w:val="24"/>
          <w:szCs w:val="24"/>
          <w:highlight w:val="none"/>
        </w:rPr>
        <w:t>投标</w:t>
      </w:r>
      <w:r>
        <w:rPr>
          <w:rFonts w:eastAsia="宋体" w:cs="仿宋_GB2312"/>
          <w:color w:val="auto"/>
          <w:sz w:val="24"/>
          <w:szCs w:val="24"/>
          <w:highlight w:val="none"/>
        </w:rPr>
        <w:t>有效期满后将不再有效</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lang w:val="en-US" w:eastAsia="zh-CN"/>
        </w:rPr>
        <w:t>但其提交的投标保证金可予以退还</w:t>
      </w:r>
      <w:r>
        <w:rPr>
          <w:rFonts w:eastAsia="宋体" w:cs="仿宋_GB2312"/>
          <w:color w:val="auto"/>
          <w:sz w:val="24"/>
          <w:szCs w:val="24"/>
          <w:highlight w:val="none"/>
        </w:rPr>
        <w:t>。</w:t>
      </w:r>
    </w:p>
    <w:p w14:paraId="7C5469DE">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53" w:name="_Toc163492841"/>
      <w:bookmarkStart w:id="154" w:name="_Toc140132774"/>
      <w:r>
        <w:rPr>
          <w:rFonts w:hint="eastAsia" w:ascii="宋体" w:hAnsi="宋体" w:eastAsia="宋体" w:cs="宋体"/>
          <w:b/>
          <w:bCs/>
          <w:color w:val="auto"/>
          <w:kern w:val="2"/>
          <w:sz w:val="24"/>
          <w:szCs w:val="28"/>
          <w:highlight w:val="none"/>
          <w:lang w:val="en-US" w:eastAsia="zh-CN" w:bidi="ar-SA"/>
        </w:rPr>
        <w:t>16.投标文件的编制</w:t>
      </w:r>
      <w:bookmarkEnd w:id="153"/>
      <w:bookmarkEnd w:id="154"/>
    </w:p>
    <w:p w14:paraId="2A023C15">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6</w:t>
      </w:r>
      <w:r>
        <w:rPr>
          <w:rFonts w:hint="eastAsia" w:eastAsia="宋体" w:cs="仿宋_GB2312"/>
          <w:color w:val="auto"/>
          <w:sz w:val="24"/>
          <w:szCs w:val="24"/>
          <w:highlight w:val="none"/>
        </w:rPr>
        <w:t>.1投标文件应在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eastAsia="宋体" w:cs="仿宋_GB2312"/>
          <w:color w:val="auto"/>
          <w:sz w:val="24"/>
          <w:szCs w:val="24"/>
          <w:highlight w:val="none"/>
        </w:rPr>
        <w:t>中进行编制，在投标文件中要求加盖印章的，除有特殊说明之外，</w:t>
      </w:r>
      <w:r>
        <w:rPr>
          <w:rFonts w:hint="eastAsia" w:eastAsia="宋体" w:cs="仿宋_GB2312"/>
          <w:color w:val="auto"/>
          <w:sz w:val="24"/>
          <w:szCs w:val="24"/>
          <w:highlight w:val="none"/>
          <w:lang w:val="en-US" w:eastAsia="zh-CN"/>
        </w:rPr>
        <w:t>可</w:t>
      </w:r>
      <w:r>
        <w:rPr>
          <w:rFonts w:hint="eastAsia" w:eastAsia="宋体" w:cs="仿宋_GB2312"/>
          <w:color w:val="auto"/>
          <w:sz w:val="24"/>
          <w:szCs w:val="24"/>
          <w:highlight w:val="none"/>
        </w:rPr>
        <w:t>使用电子签章签署。</w:t>
      </w:r>
    </w:p>
    <w:p w14:paraId="78DB8E43">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1</w:t>
      </w:r>
      <w:r>
        <w:rPr>
          <w:rFonts w:hint="eastAsia" w:eastAsia="宋体"/>
          <w:color w:val="auto"/>
          <w:sz w:val="24"/>
          <w:highlight w:val="none"/>
          <w:lang w:val="en-US" w:eastAsia="zh-CN"/>
        </w:rPr>
        <w:t>6</w:t>
      </w:r>
      <w:r>
        <w:rPr>
          <w:rFonts w:hint="eastAsia" w:eastAsia="宋体"/>
          <w:color w:val="auto"/>
          <w:sz w:val="24"/>
          <w:highlight w:val="none"/>
        </w:rPr>
        <w:t>.</w:t>
      </w:r>
      <w:bookmarkStart w:id="155" w:name="_Hlk143528557"/>
      <w:r>
        <w:rPr>
          <w:rFonts w:eastAsia="宋体"/>
          <w:color w:val="auto"/>
          <w:sz w:val="24"/>
          <w:highlight w:val="none"/>
        </w:rPr>
        <w:t>2</w:t>
      </w:r>
      <w:r>
        <w:rPr>
          <w:rFonts w:hint="eastAsia" w:eastAsia="宋体"/>
          <w:color w:val="auto"/>
          <w:sz w:val="24"/>
          <w:highlight w:val="none"/>
        </w:rPr>
        <w:t>投标人在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eastAsia="宋体"/>
          <w:color w:val="auto"/>
          <w:sz w:val="24"/>
          <w:highlight w:val="none"/>
        </w:rPr>
        <w:t>中按照</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eastAsia="宋体"/>
          <w:color w:val="auto"/>
          <w:sz w:val="24"/>
          <w:highlight w:val="none"/>
        </w:rPr>
        <w:t>中的格式要求填写响应内容后，生成投标文件。投标人须按照招标文件的要求使用电子签章对要求加盖印章的部分逐一进行签章。</w:t>
      </w:r>
      <w:bookmarkEnd w:id="155"/>
    </w:p>
    <w:p w14:paraId="17E7EB14">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3</w:t>
      </w:r>
      <w:r>
        <w:rPr>
          <w:rFonts w:hint="eastAsia" w:ascii="宋体" w:hAnsi="宋体" w:eastAsia="宋体"/>
          <w:color w:val="auto"/>
          <w:sz w:val="24"/>
          <w:highlight w:val="none"/>
        </w:rPr>
        <w:t>投标人应详细阅读招标文件的全部内容。投标文件须对招标文件中的内容作出实质性和完整的响应，如果投标文件填报的内容不详，或没有提供招标文件中所要求的全部资料及数据，将可能</w:t>
      </w:r>
      <w:r>
        <w:rPr>
          <w:rFonts w:hint="eastAsia" w:ascii="宋体" w:hAnsi="宋体" w:eastAsia="宋体"/>
          <w:b/>
          <w:bCs/>
          <w:color w:val="auto"/>
          <w:sz w:val="24"/>
          <w:highlight w:val="none"/>
        </w:rPr>
        <w:t>导致</w:t>
      </w:r>
      <w:r>
        <w:rPr>
          <w:rFonts w:hint="eastAsia" w:eastAsia="宋体"/>
          <w:b/>
          <w:bCs/>
          <w:color w:val="auto"/>
          <w:sz w:val="24"/>
          <w:highlight w:val="none"/>
          <w:lang w:val="en-US" w:eastAsia="zh-CN"/>
        </w:rPr>
        <w:t>其</w:t>
      </w:r>
      <w:r>
        <w:rPr>
          <w:rFonts w:hint="eastAsia" w:ascii="宋体" w:hAnsi="宋体" w:eastAsia="宋体"/>
          <w:b/>
          <w:bCs/>
          <w:color w:val="auto"/>
          <w:sz w:val="24"/>
          <w:highlight w:val="none"/>
        </w:rPr>
        <w:t>投标</w:t>
      </w:r>
      <w:r>
        <w:rPr>
          <w:rFonts w:hint="eastAsia" w:eastAsia="宋体"/>
          <w:b/>
          <w:bCs/>
          <w:color w:val="auto"/>
          <w:sz w:val="24"/>
          <w:highlight w:val="none"/>
          <w:lang w:val="en-US" w:eastAsia="zh-CN"/>
        </w:rPr>
        <w:t>无效</w:t>
      </w:r>
      <w:r>
        <w:rPr>
          <w:rFonts w:hint="eastAsia" w:ascii="宋体" w:hAnsi="宋体" w:eastAsia="宋体"/>
          <w:color w:val="auto"/>
          <w:sz w:val="24"/>
          <w:highlight w:val="none"/>
        </w:rPr>
        <w:t>。</w:t>
      </w:r>
    </w:p>
    <w:p w14:paraId="74041A86">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投标文件须严格按照</w:t>
      </w:r>
      <w:r>
        <w:rPr>
          <w:rFonts w:hint="eastAsia" w:ascii="宋体" w:hAnsi="宋体" w:eastAsia="宋体"/>
          <w:color w:val="auto"/>
          <w:sz w:val="24"/>
          <w:highlight w:val="none"/>
          <w:lang w:val="en-US" w:eastAsia="zh-CN"/>
        </w:rPr>
        <w:t>本</w:t>
      </w:r>
      <w:r>
        <w:rPr>
          <w:rFonts w:hint="eastAsia" w:ascii="宋体" w:hAnsi="宋体" w:eastAsia="宋体"/>
          <w:color w:val="auto"/>
          <w:sz w:val="24"/>
          <w:highlight w:val="none"/>
        </w:rPr>
        <w:t>招标文件第</w:t>
      </w:r>
      <w:r>
        <w:rPr>
          <w:rFonts w:hint="eastAsia" w:ascii="宋体" w:hAnsi="宋体" w:eastAsia="宋体"/>
          <w:color w:val="auto"/>
          <w:sz w:val="24"/>
          <w:highlight w:val="none"/>
          <w:lang w:val="en-US" w:eastAsia="zh-CN"/>
        </w:rPr>
        <w:t>七章</w:t>
      </w:r>
      <w:r>
        <w:rPr>
          <w:rFonts w:hint="eastAsia" w:ascii="宋体" w:hAnsi="宋体" w:eastAsia="宋体"/>
          <w:color w:val="auto"/>
          <w:sz w:val="24"/>
          <w:highlight w:val="none"/>
        </w:rPr>
        <w:t>规定的格式提交，并按规定的统一格式逐项填写，不准有空项；无相应内容可填的项，应填写“无”、“未测试”、“没有相应指标”等明确的回答文字。由于编排混乱导致投标文件被误读或查找不到，其责任由投标人承担。</w:t>
      </w:r>
    </w:p>
    <w:p w14:paraId="6724C458">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eastAsia="宋体"/>
          <w:color w:val="auto"/>
          <w:sz w:val="24"/>
          <w:highlight w:val="none"/>
          <w:lang w:val="en-US" w:eastAsia="zh-CN"/>
        </w:rPr>
        <w:t>16.5货物的</w:t>
      </w:r>
      <w:r>
        <w:rPr>
          <w:rFonts w:hint="eastAsia" w:ascii="宋体" w:hAnsi="宋体" w:eastAsia="宋体"/>
          <w:color w:val="auto"/>
          <w:sz w:val="24"/>
          <w:highlight w:val="none"/>
          <w:lang w:val="en-US" w:eastAsia="zh-CN"/>
        </w:rPr>
        <w:t>技术参数有具体数值要求的，</w:t>
      </w:r>
      <w:r>
        <w:rPr>
          <w:rFonts w:hint="eastAsia" w:eastAsia="宋体"/>
          <w:color w:val="auto"/>
          <w:sz w:val="24"/>
          <w:highlight w:val="none"/>
          <w:lang w:val="en-US" w:eastAsia="zh-CN"/>
        </w:rPr>
        <w:t>且招标</w:t>
      </w:r>
      <w:r>
        <w:rPr>
          <w:rFonts w:hint="eastAsia" w:ascii="宋体" w:hAnsi="宋体" w:eastAsia="宋体"/>
          <w:color w:val="auto"/>
          <w:sz w:val="24"/>
          <w:highlight w:val="none"/>
          <w:lang w:val="en-US" w:eastAsia="zh-CN"/>
        </w:rPr>
        <w:t>文件要求</w:t>
      </w:r>
      <w:r>
        <w:rPr>
          <w:rFonts w:hint="eastAsia" w:eastAsia="宋体"/>
          <w:color w:val="auto"/>
          <w:sz w:val="24"/>
          <w:highlight w:val="none"/>
          <w:lang w:val="en-US" w:eastAsia="zh-CN"/>
        </w:rPr>
        <w:t>投标人</w:t>
      </w:r>
      <w:r>
        <w:rPr>
          <w:rFonts w:hint="eastAsia" w:ascii="宋体" w:hAnsi="宋体" w:eastAsia="宋体"/>
          <w:color w:val="auto"/>
          <w:sz w:val="24"/>
          <w:highlight w:val="none"/>
          <w:lang w:val="en-US" w:eastAsia="zh-CN"/>
        </w:rPr>
        <w:t>提供响应产品彩页、检验检测报告、厂家使用说明书等证明材料，</w:t>
      </w:r>
      <w:r>
        <w:rPr>
          <w:rFonts w:hint="eastAsia" w:eastAsia="宋体"/>
          <w:color w:val="auto"/>
          <w:sz w:val="24"/>
          <w:highlight w:val="none"/>
          <w:lang w:val="en-US" w:eastAsia="zh-CN"/>
        </w:rPr>
        <w:t>则投标人</w:t>
      </w:r>
      <w:r>
        <w:rPr>
          <w:rFonts w:hint="eastAsia" w:ascii="宋体" w:hAnsi="宋体" w:eastAsia="宋体"/>
          <w:color w:val="auto"/>
          <w:sz w:val="24"/>
          <w:highlight w:val="none"/>
          <w:lang w:val="en-US" w:eastAsia="zh-CN"/>
        </w:rPr>
        <w:t>在技术参数响应表中</w:t>
      </w:r>
      <w:r>
        <w:rPr>
          <w:rFonts w:hint="eastAsia" w:eastAsia="宋体"/>
          <w:color w:val="auto"/>
          <w:sz w:val="24"/>
          <w:highlight w:val="none"/>
          <w:lang w:val="en-US" w:eastAsia="zh-CN"/>
        </w:rPr>
        <w:t>须</w:t>
      </w:r>
      <w:r>
        <w:rPr>
          <w:rFonts w:hint="eastAsia" w:ascii="宋体" w:hAnsi="宋体" w:eastAsia="宋体"/>
          <w:color w:val="auto"/>
          <w:sz w:val="24"/>
          <w:highlight w:val="none"/>
          <w:lang w:val="en-US" w:eastAsia="zh-CN"/>
        </w:rPr>
        <w:t>标注产品实际参数数值，照搬照抄</w:t>
      </w:r>
      <w:r>
        <w:rPr>
          <w:rFonts w:hint="eastAsia" w:eastAsia="宋体"/>
          <w:color w:val="auto"/>
          <w:sz w:val="24"/>
          <w:highlight w:val="none"/>
          <w:lang w:val="en-US" w:eastAsia="zh-CN"/>
        </w:rPr>
        <w:t>招标</w:t>
      </w:r>
      <w:r>
        <w:rPr>
          <w:rFonts w:hint="eastAsia" w:ascii="宋体" w:hAnsi="宋体" w:eastAsia="宋体"/>
          <w:color w:val="auto"/>
          <w:sz w:val="24"/>
          <w:highlight w:val="none"/>
          <w:lang w:val="en-US" w:eastAsia="zh-CN"/>
        </w:rPr>
        <w:t>文件参数、不注明实际数值者</w:t>
      </w:r>
      <w:r>
        <w:rPr>
          <w:rFonts w:hint="eastAsia" w:ascii="宋体" w:hAnsi="宋体" w:eastAsia="宋体"/>
          <w:b/>
          <w:bCs/>
          <w:color w:val="auto"/>
          <w:sz w:val="24"/>
          <w:highlight w:val="none"/>
          <w:lang w:val="en-US" w:eastAsia="zh-CN"/>
        </w:rPr>
        <w:t>视为未响应</w:t>
      </w:r>
      <w:r>
        <w:rPr>
          <w:rFonts w:hint="eastAsia" w:ascii="宋体" w:hAnsi="宋体" w:eastAsia="宋体"/>
          <w:color w:val="auto"/>
          <w:sz w:val="24"/>
          <w:highlight w:val="none"/>
          <w:lang w:val="en-US" w:eastAsia="zh-CN"/>
        </w:rPr>
        <w:t>。</w:t>
      </w:r>
    </w:p>
    <w:p w14:paraId="7526A664">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6</w:t>
      </w:r>
      <w:r>
        <w:rPr>
          <w:rFonts w:hint="eastAsia" w:ascii="宋体" w:hAnsi="宋体" w:eastAsia="宋体"/>
          <w:color w:val="auto"/>
          <w:sz w:val="24"/>
          <w:highlight w:val="none"/>
        </w:rPr>
        <w:t>开标一览表为在开标</w:t>
      </w:r>
      <w:r>
        <w:rPr>
          <w:rFonts w:hint="eastAsia" w:eastAsia="宋体"/>
          <w:color w:val="auto"/>
          <w:sz w:val="24"/>
          <w:highlight w:val="none"/>
          <w:lang w:val="en-US" w:eastAsia="zh-CN"/>
        </w:rPr>
        <w:t>时</w:t>
      </w:r>
      <w:r>
        <w:rPr>
          <w:rFonts w:hint="eastAsia" w:ascii="宋体" w:hAnsi="宋体" w:eastAsia="宋体"/>
          <w:color w:val="auto"/>
          <w:sz w:val="24"/>
          <w:highlight w:val="none"/>
        </w:rPr>
        <w:t>唱标的内容，要求按格式统一填写，不得自行增减内容。</w:t>
      </w:r>
    </w:p>
    <w:p w14:paraId="3AFBABD8">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7</w:t>
      </w:r>
      <w:r>
        <w:rPr>
          <w:rFonts w:hint="eastAsia" w:ascii="宋体" w:hAnsi="宋体" w:eastAsia="宋体"/>
          <w:color w:val="auto"/>
          <w:sz w:val="24"/>
          <w:highlight w:val="none"/>
        </w:rPr>
        <w:t>投标人须注意：为合理节约政府采购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w:t>
      </w:r>
      <w:r>
        <w:rPr>
          <w:rFonts w:hint="eastAsia" w:eastAsia="宋体"/>
          <w:color w:val="auto"/>
          <w:sz w:val="24"/>
          <w:highlight w:val="none"/>
          <w:lang w:val="en-US" w:eastAsia="zh-CN"/>
        </w:rPr>
        <w:t>按</w:t>
      </w:r>
      <w:r>
        <w:rPr>
          <w:rFonts w:hint="eastAsia" w:eastAsia="宋体"/>
          <w:b/>
          <w:bCs/>
          <w:color w:val="auto"/>
          <w:sz w:val="24"/>
          <w:highlight w:val="none"/>
          <w:lang w:val="en-US" w:eastAsia="zh-CN"/>
        </w:rPr>
        <w:t>无效投标</w:t>
      </w:r>
      <w:r>
        <w:rPr>
          <w:rFonts w:hint="eastAsia" w:ascii="宋体" w:hAnsi="宋体" w:eastAsia="宋体"/>
          <w:color w:val="auto"/>
          <w:sz w:val="24"/>
          <w:highlight w:val="none"/>
        </w:rPr>
        <w:t>处理。</w:t>
      </w:r>
    </w:p>
    <w:p w14:paraId="68C6D637">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8</w:t>
      </w:r>
      <w:r>
        <w:rPr>
          <w:rFonts w:hint="eastAsia" w:ascii="宋体" w:hAnsi="宋体" w:eastAsia="宋体"/>
          <w:color w:val="auto"/>
          <w:sz w:val="24"/>
          <w:highlight w:val="none"/>
        </w:rPr>
        <w:t>投标人必须保证投标文件所提供的全部资料真实可靠，并接受采购</w:t>
      </w:r>
      <w:r>
        <w:rPr>
          <w:rFonts w:hint="eastAsia" w:ascii="宋体" w:hAnsi="宋体" w:eastAsia="宋体"/>
          <w:color w:val="auto"/>
          <w:sz w:val="24"/>
          <w:highlight w:val="none"/>
          <w:lang w:val="en-US" w:eastAsia="zh-CN"/>
        </w:rPr>
        <w:t>人、采购</w:t>
      </w:r>
      <w:r>
        <w:rPr>
          <w:rFonts w:hint="eastAsia" w:ascii="宋体" w:hAnsi="宋体" w:eastAsia="宋体"/>
          <w:color w:val="auto"/>
          <w:sz w:val="24"/>
          <w:highlight w:val="none"/>
        </w:rPr>
        <w:t>代理机构或评标委员会对其中任何资料进一步审查的要求。</w:t>
      </w:r>
    </w:p>
    <w:p w14:paraId="72BA0880">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w:t>
      </w:r>
      <w:r>
        <w:rPr>
          <w:rFonts w:hint="eastAsia" w:eastAsia="宋体"/>
          <w:color w:val="auto"/>
          <w:sz w:val="24"/>
          <w:highlight w:val="none"/>
          <w:lang w:val="en-US" w:eastAsia="zh-CN"/>
        </w:rPr>
        <w:t>9</w:t>
      </w:r>
      <w:r>
        <w:rPr>
          <w:rFonts w:hint="eastAsia" w:ascii="宋体" w:hAnsi="宋体" w:eastAsia="宋体"/>
          <w:color w:val="auto"/>
          <w:sz w:val="24"/>
          <w:highlight w:val="none"/>
        </w:rPr>
        <w:t>投标人在投标文件及相关文件的签订、履行、通知等事项的文件中的单位盖章、印章、公章等处均指与当事人全称相一致的标准公章，不得使用其他形式（如带有“专用章”等字样的印章）。不符合本条规定的按</w:t>
      </w:r>
      <w:r>
        <w:rPr>
          <w:rFonts w:hint="eastAsia" w:ascii="宋体" w:hAnsi="宋体" w:eastAsia="宋体"/>
          <w:b/>
          <w:bCs/>
          <w:color w:val="auto"/>
          <w:sz w:val="24"/>
          <w:highlight w:val="none"/>
        </w:rPr>
        <w:t>无效投标</w:t>
      </w:r>
      <w:r>
        <w:rPr>
          <w:rFonts w:hint="eastAsia" w:ascii="宋体" w:hAnsi="宋体" w:eastAsia="宋体"/>
          <w:color w:val="auto"/>
          <w:sz w:val="24"/>
          <w:highlight w:val="none"/>
        </w:rPr>
        <w:t>处理。</w:t>
      </w:r>
    </w:p>
    <w:p w14:paraId="2E57EE40">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16.10电子投标文件的编制</w:t>
      </w:r>
    </w:p>
    <w:p w14:paraId="2B4A8572">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16.10.1电子投标文件需按招标文件要求进行制作编制。投标文件制作时，不同内容按标签提示制作导入，按照招标文件中明确的投标文件目录和格式进行编制，保证目录清晰、内容完整；           </w:t>
      </w:r>
    </w:p>
    <w:p w14:paraId="6659B6D8">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16.10.2电子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w:t>
      </w:r>
      <w:r>
        <w:rPr>
          <w:rFonts w:hint="eastAsia" w:ascii="宋体" w:hAnsi="宋体" w:eastAsia="宋体" w:cstheme="minorBidi"/>
          <w:b/>
          <w:bCs/>
          <w:iCs/>
          <w:color w:val="auto"/>
          <w:kern w:val="2"/>
          <w:sz w:val="24"/>
          <w:szCs w:val="22"/>
          <w:highlight w:val="none"/>
          <w:shd w:val="clear" w:color="auto" w:fill="FFFFFF" w:themeFill="background1"/>
          <w:lang w:val="en-US" w:eastAsia="zh-CN" w:bidi="ar-SA"/>
        </w:rPr>
        <w:t>其投标无效</w:t>
      </w: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74BD4C76">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bookmarkStart w:id="156" w:name="_Toc155185873"/>
      <w:bookmarkStart w:id="157" w:name="_Toc163492842"/>
      <w:r>
        <w:rPr>
          <w:rFonts w:hint="eastAsia" w:ascii="宋体" w:hAnsi="宋体" w:eastAsia="宋体" w:cs="宋体"/>
          <w:b/>
          <w:bCs/>
          <w:color w:val="auto"/>
          <w:kern w:val="2"/>
          <w:sz w:val="24"/>
          <w:szCs w:val="32"/>
          <w:highlight w:val="none"/>
          <w:lang w:val="en-US" w:eastAsia="zh-CN" w:bidi="ar-SA"/>
        </w:rPr>
        <w:t>（四）投标</w:t>
      </w:r>
      <w:bookmarkEnd w:id="156"/>
      <w:bookmarkEnd w:id="157"/>
    </w:p>
    <w:p w14:paraId="752CEA14">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58" w:name="_Toc163492843"/>
      <w:r>
        <w:rPr>
          <w:rFonts w:hint="eastAsia" w:ascii="宋体" w:hAnsi="宋体" w:eastAsia="宋体" w:cs="宋体"/>
          <w:b/>
          <w:bCs/>
          <w:color w:val="auto"/>
          <w:kern w:val="2"/>
          <w:sz w:val="24"/>
          <w:szCs w:val="28"/>
          <w:highlight w:val="none"/>
          <w:lang w:val="en-US" w:eastAsia="zh-CN" w:bidi="ar-SA"/>
        </w:rPr>
        <w:t>17.投标保证金</w:t>
      </w:r>
    </w:p>
    <w:p w14:paraId="3F1C3E74">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17.1投标人应按照招标文件“第二章 投标人须知前附表”规定的金额及要求提交投标保证金。投标人自愿超额缴纳投标保证金的，投标文件不做无效处理。</w:t>
      </w:r>
    </w:p>
    <w:p w14:paraId="67D81DEA">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eastAsia="宋体" w:cstheme="minorBidi"/>
          <w:iCs/>
          <w:color w:val="auto"/>
          <w:kern w:val="2"/>
          <w:sz w:val="24"/>
          <w:szCs w:val="22"/>
          <w:highlight w:val="none"/>
          <w:shd w:val="clear" w:color="auto" w:fill="FFFFFF" w:themeFill="background1"/>
          <w:lang w:val="en-US" w:eastAsia="zh-CN" w:bidi="ar-SA"/>
        </w:rPr>
        <w:t>7</w:t>
      </w:r>
      <w:r>
        <w:rPr>
          <w:rFonts w:hint="eastAsia" w:ascii="宋体" w:hAnsi="宋体" w:eastAsia="宋体" w:cstheme="minorBidi"/>
          <w:iCs/>
          <w:color w:val="auto"/>
          <w:kern w:val="2"/>
          <w:sz w:val="24"/>
          <w:szCs w:val="22"/>
          <w:highlight w:val="none"/>
          <w:shd w:val="clear" w:color="auto" w:fill="FFFFFF" w:themeFill="background1"/>
          <w:lang w:val="en-US" w:eastAsia="zh-CN" w:bidi="ar-SA"/>
        </w:rPr>
        <w:t>.2</w:t>
      </w:r>
      <w:r>
        <w:rPr>
          <w:rFonts w:hint="eastAsia" w:eastAsia="宋体" w:cstheme="minorBidi"/>
          <w:iCs/>
          <w:color w:val="auto"/>
          <w:kern w:val="2"/>
          <w:sz w:val="24"/>
          <w:szCs w:val="22"/>
          <w:highlight w:val="none"/>
          <w:shd w:val="clear" w:color="auto" w:fill="FFFFFF" w:themeFill="background1"/>
          <w:lang w:val="en-US" w:eastAsia="zh-CN" w:bidi="ar-SA"/>
        </w:rPr>
        <w:t>提交</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投标保证金可采用的形式：政府采购法律法规接受的支票、汇票、本票、网上银行支付或者金融机构、担保机构出具的保函等非现金形式。</w:t>
      </w:r>
      <w:r>
        <w:rPr>
          <w:rFonts w:hint="eastAsia" w:ascii="宋体" w:hAnsi="宋体" w:eastAsia="宋体" w:cs="宋体"/>
          <w:color w:val="auto"/>
          <w:kern w:val="2"/>
          <w:sz w:val="24"/>
          <w:szCs w:val="22"/>
          <w:highlight w:val="none"/>
          <w:lang w:val="en-US" w:eastAsia="zh-CN" w:bidi="ar-SA"/>
        </w:rPr>
        <w:t>投标人未按照招标文件要求提交投标保证金的，</w:t>
      </w:r>
      <w:r>
        <w:rPr>
          <w:rFonts w:hint="eastAsia" w:eastAsia="宋体" w:cs="宋体"/>
          <w:color w:val="auto"/>
          <w:kern w:val="2"/>
          <w:sz w:val="24"/>
          <w:szCs w:val="22"/>
          <w:highlight w:val="none"/>
          <w:lang w:val="en-US" w:eastAsia="zh-CN" w:bidi="ar-SA"/>
        </w:rPr>
        <w:t>其</w:t>
      </w:r>
      <w:r>
        <w:rPr>
          <w:rFonts w:hint="eastAsia" w:ascii="宋体" w:hAnsi="宋体" w:eastAsia="宋体" w:cs="宋体"/>
          <w:b/>
          <w:bCs/>
          <w:color w:val="auto"/>
          <w:kern w:val="2"/>
          <w:sz w:val="24"/>
          <w:szCs w:val="22"/>
          <w:highlight w:val="none"/>
          <w:lang w:val="en-US" w:eastAsia="zh-CN" w:bidi="ar-SA"/>
        </w:rPr>
        <w:t>投标无效</w:t>
      </w:r>
      <w:r>
        <w:rPr>
          <w:rFonts w:hint="eastAsia" w:ascii="宋体" w:hAnsi="宋体" w:eastAsia="宋体" w:cs="宋体"/>
          <w:color w:val="auto"/>
          <w:kern w:val="2"/>
          <w:sz w:val="24"/>
          <w:szCs w:val="22"/>
          <w:highlight w:val="none"/>
          <w:lang w:val="en-US" w:eastAsia="zh-CN" w:bidi="ar-SA"/>
        </w:rPr>
        <w:t>。</w:t>
      </w:r>
      <w:r>
        <w:rPr>
          <w:rFonts w:hint="eastAsia" w:eastAsia="宋体"/>
          <w:color w:val="auto"/>
          <w:sz w:val="24"/>
          <w:highlight w:val="none"/>
          <w:lang w:val="en-US" w:eastAsia="zh-CN"/>
        </w:rPr>
        <w:t>投标保证金有效期同投标有效期。</w:t>
      </w:r>
    </w:p>
    <w:p w14:paraId="648E5C9A">
      <w:pPr>
        <w:pStyle w:val="10"/>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kern w:val="2"/>
          <w:sz w:val="24"/>
          <w:szCs w:val="22"/>
          <w:highlight w:val="none"/>
          <w:lang w:val="en-US" w:eastAsia="zh-CN"/>
        </w:rPr>
      </w:pPr>
      <w:r>
        <w:rPr>
          <w:rFonts w:hint="eastAsia" w:ascii="宋体" w:hAnsi="宋体" w:eastAsia="宋体" w:cs="宋体"/>
          <w:color w:val="auto"/>
          <w:kern w:val="2"/>
          <w:sz w:val="24"/>
          <w:szCs w:val="22"/>
          <w:highlight w:val="none"/>
          <w:lang w:val="en-US" w:eastAsia="zh-CN"/>
        </w:rPr>
        <w:t>17.3投标保证金到账（保函提交）截止时间同投标截止时间。以支票、汇票、本票、网上银行支付等形式提交投标保证金的，应在投标截止时间前到账；以金融机构、担保机构出具的保函等形式提交投标保证金的，应在投标截止时间前将投标保证金支付原件扫描后作为投标文件的组成部分与投标文件一起上传。由于到账时间晚于投标截止时间，或者票据错误、印鉴不清等原因导致不能到账的，其</w:t>
      </w:r>
      <w:r>
        <w:rPr>
          <w:rFonts w:hint="eastAsia" w:ascii="宋体" w:hAnsi="宋体" w:eastAsia="宋体" w:cs="宋体"/>
          <w:b/>
          <w:bCs/>
          <w:color w:val="auto"/>
          <w:kern w:val="2"/>
          <w:sz w:val="24"/>
          <w:szCs w:val="22"/>
          <w:highlight w:val="none"/>
          <w:lang w:val="en-US" w:eastAsia="zh-CN"/>
        </w:rPr>
        <w:t>投标无效</w:t>
      </w:r>
      <w:r>
        <w:rPr>
          <w:rFonts w:hint="eastAsia" w:ascii="宋体" w:hAnsi="宋体" w:eastAsia="宋体" w:cs="宋体"/>
          <w:color w:val="auto"/>
          <w:kern w:val="2"/>
          <w:sz w:val="24"/>
          <w:szCs w:val="22"/>
          <w:highlight w:val="none"/>
          <w:lang w:val="en-US" w:eastAsia="zh-CN"/>
        </w:rPr>
        <w:t>。</w:t>
      </w:r>
    </w:p>
    <w:p w14:paraId="44D858DF">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4</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投标人为联合体的，可以由联合体中的一方或者多方共同</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提交</w:t>
      </w:r>
      <w:r>
        <w:rPr>
          <w:rFonts w:hint="default" w:ascii="宋体" w:hAnsi="宋体" w:eastAsia="宋体" w:cstheme="minorBidi"/>
          <w:iCs/>
          <w:color w:val="auto"/>
          <w:kern w:val="2"/>
          <w:sz w:val="24"/>
          <w:szCs w:val="22"/>
          <w:highlight w:val="none"/>
          <w:shd w:val="clear" w:color="auto" w:fill="FFFFFF" w:themeFill="background1"/>
          <w:lang w:val="en-US" w:eastAsia="zh-CN" w:bidi="ar-SA"/>
        </w:rPr>
        <w:t>投标保证金，其</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提交</w:t>
      </w:r>
      <w:r>
        <w:rPr>
          <w:rFonts w:hint="default" w:ascii="宋体" w:hAnsi="宋体" w:eastAsia="宋体" w:cstheme="minorBidi"/>
          <w:iCs/>
          <w:color w:val="auto"/>
          <w:kern w:val="2"/>
          <w:sz w:val="24"/>
          <w:szCs w:val="22"/>
          <w:highlight w:val="none"/>
          <w:shd w:val="clear" w:color="auto" w:fill="FFFFFF" w:themeFill="background1"/>
          <w:lang w:val="en-US" w:eastAsia="zh-CN" w:bidi="ar-SA"/>
        </w:rPr>
        <w:t>的投标保证金对联合体各方均具有约束力。</w:t>
      </w:r>
    </w:p>
    <w:p w14:paraId="008EF966">
      <w:pPr>
        <w:pStyle w:val="56"/>
        <w:keepNext w:val="0"/>
        <w:keepLines w:val="0"/>
        <w:pageBreakBefore w:val="0"/>
        <w:widowControl w:val="0"/>
        <w:shd w:val="clear" w:color="auto" w:fill="auto"/>
        <w:kinsoku/>
        <w:wordWrap/>
        <w:overflowPunct/>
        <w:topLinePunct w:val="0"/>
        <w:autoSpaceDE/>
        <w:autoSpaceDN/>
        <w:bidi w:val="0"/>
        <w:adjustRightInd/>
        <w:spacing w:line="360" w:lineRule="auto"/>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    17.5</w:t>
      </w:r>
      <w:r>
        <w:rPr>
          <w:rFonts w:hint="default" w:ascii="宋体" w:hAnsi="宋体" w:eastAsia="宋体" w:cstheme="minorBidi"/>
          <w:iCs/>
          <w:color w:val="auto"/>
          <w:kern w:val="2"/>
          <w:sz w:val="24"/>
          <w:szCs w:val="22"/>
          <w:highlight w:val="none"/>
          <w:shd w:val="clear" w:color="auto" w:fill="FFFFFF" w:themeFill="background1"/>
          <w:lang w:val="en-US" w:eastAsia="zh-CN" w:bidi="ar-SA"/>
        </w:rPr>
        <w:t>采购人或者采购代理机构应当在采购活动结束后及时退还</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w:t>
      </w:r>
      <w:r>
        <w:rPr>
          <w:rFonts w:hint="default" w:ascii="宋体" w:hAnsi="宋体" w:eastAsia="宋体" w:cstheme="minorBidi"/>
          <w:iCs/>
          <w:color w:val="auto"/>
          <w:kern w:val="2"/>
          <w:sz w:val="24"/>
          <w:szCs w:val="22"/>
          <w:highlight w:val="none"/>
          <w:shd w:val="clear" w:color="auto" w:fill="FFFFFF" w:themeFill="background1"/>
          <w:lang w:val="en-US" w:eastAsia="zh-CN" w:bidi="ar-SA"/>
        </w:rPr>
        <w:t>保证金，采用银行保函、担保机构担保函等形式递交的</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w:t>
      </w:r>
      <w:r>
        <w:rPr>
          <w:rFonts w:hint="default" w:ascii="宋体" w:hAnsi="宋体" w:eastAsia="宋体" w:cstheme="minorBidi"/>
          <w:iCs/>
          <w:color w:val="auto"/>
          <w:kern w:val="2"/>
          <w:sz w:val="24"/>
          <w:szCs w:val="22"/>
          <w:highlight w:val="none"/>
          <w:shd w:val="clear" w:color="auto" w:fill="FFFFFF" w:themeFill="background1"/>
          <w:lang w:val="en-US" w:eastAsia="zh-CN" w:bidi="ar-SA"/>
        </w:rPr>
        <w:t>保证金，经</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同意后采购人、采购代理机构可以不再退还，但因</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自身原因导致无法及时退还的除外。未</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中标投标人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w:t>
      </w:r>
      <w:r>
        <w:rPr>
          <w:rFonts w:hint="default" w:ascii="宋体" w:hAnsi="宋体" w:eastAsia="宋体" w:cstheme="minorBidi"/>
          <w:iCs/>
          <w:color w:val="auto"/>
          <w:kern w:val="2"/>
          <w:sz w:val="24"/>
          <w:szCs w:val="22"/>
          <w:highlight w:val="none"/>
          <w:shd w:val="clear" w:color="auto" w:fill="FFFFFF" w:themeFill="background1"/>
          <w:lang w:val="en-US" w:eastAsia="zh-CN" w:bidi="ar-SA"/>
        </w:rPr>
        <w:t>保证金应当自中标通知书发出之日起 5 个工作日内退还，</w:t>
      </w:r>
      <w:r>
        <w:rPr>
          <w:rFonts w:hint="eastAsia" w:ascii="宋体" w:hAnsi="宋体" w:eastAsia="宋体" w:cstheme="minorBidi"/>
          <w:iCs/>
          <w:color w:val="auto"/>
          <w:kern w:val="2"/>
          <w:sz w:val="24"/>
          <w:szCs w:val="22"/>
          <w:highlight w:val="none"/>
          <w:shd w:val="clear" w:color="auto" w:fill="FFFFFF" w:themeFill="background1"/>
          <w:lang w:val="en-US" w:eastAsia="zh-CN" w:bidi="ar-SA"/>
        </w:rPr>
        <w:t>中标投标人</w:t>
      </w:r>
      <w:r>
        <w:rPr>
          <w:rFonts w:hint="default" w:ascii="宋体" w:hAnsi="宋体" w:eastAsia="宋体" w:cstheme="minorBidi"/>
          <w:iCs/>
          <w:color w:val="auto"/>
          <w:kern w:val="2"/>
          <w:sz w:val="24"/>
          <w:szCs w:val="22"/>
          <w:highlight w:val="none"/>
          <w:shd w:val="clear" w:color="auto" w:fill="FFFFFF" w:themeFill="background1"/>
          <w:lang w:val="en-US" w:eastAsia="zh-CN" w:bidi="ar-SA"/>
        </w:rPr>
        <w:t>的</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投标</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保证金应当自采购合同签订之日起 5 个工作日内退还。 </w:t>
      </w:r>
    </w:p>
    <w:p w14:paraId="58F71DDB">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6</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投标人在投标截止时间前撤回已</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提</w:t>
      </w:r>
      <w:r>
        <w:rPr>
          <w:rFonts w:hint="default" w:ascii="宋体" w:hAnsi="宋体" w:eastAsia="宋体" w:cstheme="minorBidi"/>
          <w:iCs/>
          <w:color w:val="auto"/>
          <w:kern w:val="2"/>
          <w:sz w:val="24"/>
          <w:szCs w:val="22"/>
          <w:highlight w:val="none"/>
          <w:shd w:val="clear" w:color="auto" w:fill="FFFFFF" w:themeFill="background1"/>
          <w:lang w:val="en-US" w:eastAsia="zh-CN" w:bidi="ar-SA"/>
        </w:rPr>
        <w:t>交的投标文件的，自收到投标人书面撤回通知之日起 5 个工作日内，退还已收取的投标保证金，但因投标人自身原因导致无法及时退还的除外</w:t>
      </w:r>
      <w:r>
        <w:rPr>
          <w:rFonts w:hint="eastAsia" w:ascii="宋体" w:hAnsi="宋体" w:eastAsia="宋体" w:cstheme="minorBidi"/>
          <w:iCs/>
          <w:color w:val="auto"/>
          <w:kern w:val="2"/>
          <w:sz w:val="24"/>
          <w:szCs w:val="22"/>
          <w:highlight w:val="none"/>
          <w:shd w:val="clear" w:color="auto" w:fill="FFFFFF" w:themeFill="background1"/>
          <w:lang w:val="en-US" w:eastAsia="zh-CN" w:bidi="ar-SA"/>
        </w:rPr>
        <w:t>。</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504D5D98">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终止招标项目已经收取投标保证金的，自终止采购活动后 5 个工作日内退还已收取的投标保证金及其在银行产生的孳息。</w:t>
      </w:r>
    </w:p>
    <w:p w14:paraId="6E1B47B5">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8</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有下列情形之一的，采购人或采购代理机构可以不予退还投标保证金</w:t>
      </w:r>
      <w:r>
        <w:rPr>
          <w:rFonts w:hint="eastAsia"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宋体"/>
          <w:color w:val="auto"/>
          <w:kern w:val="2"/>
          <w:sz w:val="24"/>
          <w:szCs w:val="22"/>
          <w:highlight w:val="none"/>
        </w:rPr>
        <w:t>情节严重的将其列入不良记录名单</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3F00DF59">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8</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.1 </w:t>
      </w:r>
      <w:r>
        <w:rPr>
          <w:rFonts w:hint="eastAsia" w:ascii="宋体" w:hAnsi="宋体" w:eastAsia="宋体" w:cs="宋体"/>
          <w:color w:val="auto"/>
          <w:kern w:val="2"/>
          <w:sz w:val="24"/>
          <w:szCs w:val="22"/>
          <w:highlight w:val="none"/>
        </w:rPr>
        <w:t>开标后在投标有效期内，投标人撤</w:t>
      </w:r>
      <w:r>
        <w:rPr>
          <w:rFonts w:hint="eastAsia" w:ascii="宋体" w:hAnsi="宋体" w:eastAsia="宋体" w:cs="宋体"/>
          <w:color w:val="auto"/>
          <w:kern w:val="2"/>
          <w:sz w:val="24"/>
          <w:szCs w:val="22"/>
          <w:highlight w:val="none"/>
          <w:lang w:val="en-US" w:eastAsia="zh-CN"/>
        </w:rPr>
        <w:t>销</w:t>
      </w:r>
      <w:r>
        <w:rPr>
          <w:rFonts w:hint="eastAsia" w:ascii="宋体" w:hAnsi="宋体" w:eastAsia="宋体" w:cs="宋体"/>
          <w:color w:val="auto"/>
          <w:kern w:val="2"/>
          <w:sz w:val="24"/>
          <w:szCs w:val="22"/>
          <w:highlight w:val="none"/>
        </w:rPr>
        <w:t>其投标</w:t>
      </w:r>
      <w:r>
        <w:rPr>
          <w:rFonts w:hint="eastAsia" w:ascii="宋体" w:hAnsi="宋体" w:eastAsia="宋体" w:cs="宋体"/>
          <w:color w:val="auto"/>
          <w:kern w:val="2"/>
          <w:sz w:val="24"/>
          <w:szCs w:val="22"/>
          <w:highlight w:val="none"/>
          <w:lang w:val="en-US" w:eastAsia="zh-CN"/>
        </w:rPr>
        <w:t>的</w:t>
      </w:r>
      <w:r>
        <w:rPr>
          <w:rFonts w:hint="eastAsia" w:ascii="宋体" w:hAnsi="宋体" w:eastAsia="宋体" w:cs="宋体"/>
          <w:color w:val="auto"/>
          <w:kern w:val="2"/>
          <w:sz w:val="24"/>
          <w:szCs w:val="22"/>
          <w:highlight w:val="none"/>
        </w:rPr>
        <w:t>；</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65592A14">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FFFFFF" w:themeFill="background1"/>
          <w:lang w:val="en-US" w:eastAsia="zh-CN" w:bidi="ar-SA"/>
        </w:rPr>
      </w:pPr>
      <w:r>
        <w:rPr>
          <w:rFonts w:hint="default" w:ascii="宋体" w:hAnsi="宋体" w:eastAsia="宋体" w:cstheme="minorBidi"/>
          <w:iCs/>
          <w:color w:val="auto"/>
          <w:kern w:val="2"/>
          <w:sz w:val="24"/>
          <w:szCs w:val="22"/>
          <w:highlight w:val="none"/>
          <w:shd w:val="clear" w:color="auto" w:fill="FFFFFF" w:themeFill="background1"/>
          <w:lang w:val="en-US" w:eastAsia="zh-CN" w:bidi="ar-SA"/>
        </w:rPr>
        <w:t>1</w:t>
      </w:r>
      <w:r>
        <w:rPr>
          <w:rFonts w:hint="eastAsia" w:ascii="宋体" w:hAnsi="宋体" w:eastAsia="宋体" w:cstheme="minorBidi"/>
          <w:iCs/>
          <w:color w:val="auto"/>
          <w:kern w:val="2"/>
          <w:sz w:val="24"/>
          <w:szCs w:val="22"/>
          <w:highlight w:val="none"/>
          <w:shd w:val="clear" w:color="auto" w:fill="FFFFFF" w:themeFill="background1"/>
          <w:lang w:val="en-US" w:eastAsia="zh-CN" w:bidi="ar-SA"/>
        </w:rPr>
        <w:t>7</w:t>
      </w:r>
      <w:r>
        <w:rPr>
          <w:rFonts w:hint="default" w:ascii="宋体" w:hAnsi="宋体" w:eastAsia="宋体" w:cstheme="minorBidi"/>
          <w:iCs/>
          <w:color w:val="auto"/>
          <w:kern w:val="2"/>
          <w:sz w:val="24"/>
          <w:szCs w:val="22"/>
          <w:highlight w:val="none"/>
          <w:shd w:val="clear" w:color="auto" w:fill="FFFFFF" w:themeFill="background1"/>
          <w:lang w:val="en-US" w:eastAsia="zh-CN" w:bidi="ar-SA"/>
        </w:rPr>
        <w:t>.</w:t>
      </w:r>
      <w:r>
        <w:rPr>
          <w:rFonts w:hint="eastAsia" w:ascii="宋体" w:hAnsi="宋体" w:eastAsia="宋体" w:cstheme="minorBidi"/>
          <w:iCs/>
          <w:color w:val="auto"/>
          <w:kern w:val="2"/>
          <w:sz w:val="24"/>
          <w:szCs w:val="22"/>
          <w:highlight w:val="none"/>
          <w:shd w:val="clear" w:color="auto" w:fill="FFFFFF" w:themeFill="background1"/>
          <w:lang w:val="en-US" w:eastAsia="zh-CN" w:bidi="ar-SA"/>
        </w:rPr>
        <w:t>8</w:t>
      </w:r>
      <w:r>
        <w:rPr>
          <w:rFonts w:hint="default" w:ascii="宋体" w:hAnsi="宋体" w:eastAsia="宋体" w:cstheme="minorBidi"/>
          <w:iCs/>
          <w:color w:val="auto"/>
          <w:kern w:val="2"/>
          <w:sz w:val="24"/>
          <w:szCs w:val="22"/>
          <w:highlight w:val="none"/>
          <w:shd w:val="clear" w:color="auto" w:fill="FFFFFF" w:themeFill="background1"/>
          <w:lang w:val="en-US" w:eastAsia="zh-CN" w:bidi="ar-SA"/>
        </w:rPr>
        <w:t xml:space="preserve">.2 </w:t>
      </w:r>
      <w:r>
        <w:rPr>
          <w:rFonts w:hint="eastAsia" w:ascii="宋体" w:hAnsi="宋体" w:eastAsia="宋体" w:cs="宋体"/>
          <w:color w:val="auto"/>
          <w:kern w:val="2"/>
          <w:sz w:val="24"/>
          <w:szCs w:val="22"/>
          <w:highlight w:val="none"/>
        </w:rPr>
        <w:t>中标后无正当理由不与采购人签订合同的；</w:t>
      </w:r>
    </w:p>
    <w:p w14:paraId="2C9D95AF">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17.8.3 </w:t>
      </w:r>
      <w:r>
        <w:rPr>
          <w:rFonts w:hint="eastAsia" w:ascii="宋体" w:hAnsi="宋体" w:eastAsia="宋体" w:cs="宋体"/>
          <w:color w:val="auto"/>
          <w:kern w:val="2"/>
          <w:sz w:val="24"/>
          <w:szCs w:val="22"/>
          <w:highlight w:val="none"/>
        </w:rPr>
        <w:t>中标人与采购人订立背离合同实质性内容的其他协议；</w:t>
      </w:r>
    </w:p>
    <w:p w14:paraId="35AC0C71">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17.8.</w:t>
      </w:r>
      <w:r>
        <w:rPr>
          <w:rFonts w:hint="eastAsia" w:ascii="宋体" w:hAnsi="宋体" w:eastAsia="宋体" w:cs="宋体"/>
          <w:color w:val="auto"/>
          <w:kern w:val="2"/>
          <w:sz w:val="24"/>
          <w:szCs w:val="22"/>
          <w:highlight w:val="none"/>
        </w:rPr>
        <w:t>4</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将中标项目转让给他人，或者在投标文件中未说明，且未经采购</w:t>
      </w:r>
      <w:r>
        <w:rPr>
          <w:rFonts w:hint="eastAsia" w:ascii="宋体" w:hAnsi="宋体" w:eastAsia="宋体" w:cs="宋体"/>
          <w:color w:val="auto"/>
          <w:kern w:val="2"/>
          <w:sz w:val="24"/>
          <w:szCs w:val="22"/>
          <w:highlight w:val="none"/>
          <w:lang w:val="en-US" w:eastAsia="zh-CN"/>
        </w:rPr>
        <w:t>人</w:t>
      </w:r>
      <w:r>
        <w:rPr>
          <w:rFonts w:hint="eastAsia" w:ascii="宋体" w:hAnsi="宋体" w:eastAsia="宋体" w:cs="宋体"/>
          <w:color w:val="auto"/>
          <w:kern w:val="2"/>
          <w:sz w:val="24"/>
          <w:szCs w:val="22"/>
          <w:highlight w:val="none"/>
        </w:rPr>
        <w:t>同意，将中标项目分包给他人的；</w:t>
      </w:r>
    </w:p>
    <w:p w14:paraId="2C387140">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17.8.</w:t>
      </w:r>
      <w:r>
        <w:rPr>
          <w:rFonts w:hint="eastAsia" w:ascii="宋体" w:hAnsi="宋体" w:eastAsia="宋体" w:cs="宋体"/>
          <w:color w:val="auto"/>
          <w:kern w:val="2"/>
          <w:sz w:val="24"/>
          <w:szCs w:val="22"/>
          <w:highlight w:val="none"/>
        </w:rPr>
        <w:t>5</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存在串通投标行为的；</w:t>
      </w:r>
    </w:p>
    <w:p w14:paraId="197F5BFE">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17.8.</w:t>
      </w:r>
      <w:r>
        <w:rPr>
          <w:rFonts w:hint="eastAsia" w:ascii="宋体" w:hAnsi="宋体" w:eastAsia="宋体" w:cs="宋体"/>
          <w:color w:val="auto"/>
          <w:kern w:val="2"/>
          <w:sz w:val="24"/>
          <w:szCs w:val="22"/>
          <w:highlight w:val="none"/>
        </w:rPr>
        <w:t>6</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存在弄虚作假或提供虚假材料谋取中标的；</w:t>
      </w:r>
    </w:p>
    <w:p w14:paraId="5E717C69">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17.8.</w:t>
      </w:r>
      <w:r>
        <w:rPr>
          <w:rFonts w:hint="eastAsia" w:ascii="宋体" w:hAnsi="宋体" w:eastAsia="宋体" w:cs="宋体"/>
          <w:color w:val="auto"/>
          <w:kern w:val="2"/>
          <w:sz w:val="24"/>
          <w:szCs w:val="22"/>
          <w:highlight w:val="none"/>
        </w:rPr>
        <w:t>7</w:t>
      </w:r>
      <w:r>
        <w:rPr>
          <w:rFonts w:hint="eastAsia" w:ascii="宋体" w:hAnsi="宋体" w:eastAsia="宋体" w:cs="宋体"/>
          <w:color w:val="auto"/>
          <w:kern w:val="2"/>
          <w:sz w:val="24"/>
          <w:szCs w:val="22"/>
          <w:highlight w:val="none"/>
          <w:lang w:val="en-US" w:eastAsia="zh-CN"/>
        </w:rPr>
        <w:t xml:space="preserve"> </w:t>
      </w:r>
      <w:r>
        <w:rPr>
          <w:rFonts w:hint="eastAsia" w:ascii="宋体" w:hAnsi="宋体" w:eastAsia="宋体" w:cs="宋体"/>
          <w:color w:val="auto"/>
          <w:kern w:val="2"/>
          <w:sz w:val="24"/>
          <w:szCs w:val="22"/>
          <w:highlight w:val="none"/>
        </w:rPr>
        <w:t>投标人其他未按招标文件规定和合同约定履行义务的行为。</w:t>
      </w:r>
    </w:p>
    <w:p w14:paraId="6BEA5562">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17.9如开标时投标人对本单位投标保证金缴纳情况有疑义，投标人应在开标结束前向采购人提交书面申请核实保证金缴纳情况。由银行或保险公司核实后出具书面材料予以答复。</w:t>
      </w:r>
    </w:p>
    <w:p w14:paraId="7A509EA8">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17.10为支持和促进中小企业发展，进一步发挥政府采购政策功能，鼓励投标供应商使用电子保函代替现金缴纳投标保证金，在线完成保函的申请、审核、开票、出函等环节，投标企业注意区分办理保函类型，并确认投标有效期，如采用政采云电子保函，可登录“</w:t>
      </w:r>
      <w:r>
        <w:rPr>
          <w:rFonts w:hint="eastAsia"/>
          <w:color w:val="auto"/>
          <w:sz w:val="24"/>
          <w:highlight w:val="none"/>
          <w:lang w:val="en-US" w:eastAsia="zh-CN"/>
        </w:rPr>
        <w:t>新疆</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政府采购网”—顶部通栏“信用融资”或者“</w:t>
      </w:r>
      <w:r>
        <w:rPr>
          <w:rFonts w:hint="eastAsia"/>
          <w:color w:val="auto"/>
          <w:sz w:val="24"/>
          <w:highlight w:val="none"/>
          <w:lang w:val="en-US" w:eastAsia="zh-CN"/>
        </w:rPr>
        <w:t>新疆</w:t>
      </w:r>
      <w:r>
        <w:rPr>
          <w:rFonts w:hint="eastAsia" w:ascii="宋体" w:hAnsi="宋体" w:eastAsia="宋体" w:cstheme="minorBidi"/>
          <w:iCs/>
          <w:color w:val="auto"/>
          <w:kern w:val="2"/>
          <w:sz w:val="24"/>
          <w:szCs w:val="22"/>
          <w:highlight w:val="none"/>
          <w:shd w:val="clear" w:color="auto" w:fill="FFFFFF" w:themeFill="background1"/>
          <w:lang w:val="en-US" w:eastAsia="zh-CN" w:bidi="ar-SA"/>
        </w:rPr>
        <w:t>政府采购网”首页“政采贷｜电子保函”快捷模块查看：</w:t>
      </w:r>
    </w:p>
    <w:p w14:paraId="1E225FAC">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直达链接（电子保函）：</w:t>
      </w:r>
    </w:p>
    <w:p w14:paraId="4111DCF7">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https://jinrong.zcygov.cn/luban/finance/xinjiang?utm=site.site-PC-4838.1473-pc-wsg-customFloatWindow-front.1.b9d627301e6311efb796b33a13fe0d0a</w:t>
      </w:r>
    </w:p>
    <w:p w14:paraId="6E5F717B">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FFFFFF" w:themeFill="background1"/>
          <w:lang w:val="en-US" w:eastAsia="zh-CN" w:bidi="ar-SA"/>
        </w:rPr>
      </w:pPr>
      <w:r>
        <w:rPr>
          <w:rFonts w:hint="eastAsia" w:ascii="宋体" w:hAnsi="宋体" w:eastAsia="宋体" w:cstheme="minorBidi"/>
          <w:iCs/>
          <w:color w:val="auto"/>
          <w:kern w:val="2"/>
          <w:sz w:val="24"/>
          <w:szCs w:val="22"/>
          <w:highlight w:val="none"/>
          <w:shd w:val="clear" w:color="auto" w:fill="FFFFFF" w:themeFill="background1"/>
          <w:lang w:val="en-US" w:eastAsia="zh-CN" w:bidi="ar-SA"/>
        </w:rPr>
        <w:t>金融服务支撑热线：</w:t>
      </w:r>
      <w:r>
        <w:rPr>
          <w:rFonts w:hint="eastAsia" w:ascii="宋体" w:hAnsi="宋体" w:eastAsia="宋体" w:cstheme="minorBidi"/>
          <w:b/>
          <w:bCs/>
          <w:iCs/>
          <w:color w:val="auto"/>
          <w:kern w:val="2"/>
          <w:sz w:val="24"/>
          <w:szCs w:val="22"/>
          <w:highlight w:val="none"/>
          <w:shd w:val="clear" w:color="auto" w:fill="FFFFFF" w:themeFill="background1"/>
          <w:lang w:val="en-US" w:eastAsia="zh-CN" w:bidi="ar-SA"/>
        </w:rPr>
        <w:t>95763</w:t>
      </w:r>
      <w:r>
        <w:rPr>
          <w:rFonts w:hint="eastAsia" w:ascii="宋体" w:hAnsi="宋体" w:eastAsia="宋体" w:cstheme="minorBidi"/>
          <w:iCs/>
          <w:color w:val="auto"/>
          <w:kern w:val="2"/>
          <w:sz w:val="24"/>
          <w:szCs w:val="22"/>
          <w:highlight w:val="none"/>
          <w:shd w:val="clear" w:color="auto" w:fill="FFFFFF" w:themeFill="background1"/>
          <w:lang w:val="en-US" w:eastAsia="zh-CN" w:bidi="ar-SA"/>
        </w:rPr>
        <w:t xml:space="preserve">     </w:t>
      </w:r>
    </w:p>
    <w:p w14:paraId="5C91455D">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r>
        <w:rPr>
          <w:rFonts w:hint="eastAsia" w:ascii="宋体" w:hAnsi="宋体" w:eastAsia="宋体" w:cs="宋体"/>
          <w:b/>
          <w:bCs/>
          <w:color w:val="auto"/>
          <w:kern w:val="2"/>
          <w:sz w:val="24"/>
          <w:szCs w:val="28"/>
          <w:highlight w:val="none"/>
          <w:lang w:val="en-US" w:eastAsia="zh-CN" w:bidi="ar-SA"/>
        </w:rPr>
        <w:t>18.投标文件的加密</w:t>
      </w:r>
      <w:bookmarkEnd w:id="158"/>
    </w:p>
    <w:p w14:paraId="2914ACCE">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u w:val="single"/>
        </w:rPr>
      </w:pPr>
      <w:bookmarkStart w:id="159" w:name="_Hlk143531864"/>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.1投标人在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eastAsia="宋体" w:cs="仿宋_GB2312"/>
          <w:color w:val="auto"/>
          <w:sz w:val="24"/>
          <w:szCs w:val="24"/>
          <w:highlight w:val="none"/>
        </w:rPr>
        <w:t>中生成投标文件并完成签章之后，使用CA证书在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eastAsia="宋体" w:cs="仿宋_GB2312"/>
          <w:color w:val="auto"/>
          <w:sz w:val="24"/>
          <w:szCs w:val="24"/>
          <w:highlight w:val="none"/>
        </w:rPr>
        <w:t>中对投标文件进行加密。</w:t>
      </w:r>
    </w:p>
    <w:p w14:paraId="6478ED30">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.2投标人应在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eastAsia="宋体" w:cs="仿宋_GB2312"/>
          <w:color w:val="auto"/>
          <w:sz w:val="24"/>
          <w:szCs w:val="24"/>
          <w:highlight w:val="none"/>
        </w:rPr>
        <w:t>中对加密的投标文件进行解密验证，以防止投标文件加密异常，在开标时无法解密。</w:t>
      </w:r>
    </w:p>
    <w:p w14:paraId="1229B228">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.3 投标人应保证加密投标文件的CA证书有效期在开标时间之前。若CA证书有效期临近开标时间，建议投标人提前办理CA证书续期，以免开标时无法进行解密。</w:t>
      </w:r>
    </w:p>
    <w:p w14:paraId="65342AC7">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4</w:t>
      </w:r>
      <w:r>
        <w:rPr>
          <w:rFonts w:hint="eastAsia" w:eastAsia="宋体" w:cs="仿宋_GB2312"/>
          <w:color w:val="auto"/>
          <w:sz w:val="24"/>
          <w:szCs w:val="24"/>
          <w:highlight w:val="none"/>
          <w:lang w:eastAsia="zh-CN"/>
        </w:rPr>
        <w:t>投标人</w:t>
      </w:r>
      <w:r>
        <w:rPr>
          <w:rFonts w:hint="eastAsia" w:eastAsia="宋体" w:cs="仿宋_GB2312"/>
          <w:color w:val="auto"/>
          <w:sz w:val="24"/>
          <w:szCs w:val="24"/>
          <w:highlight w:val="none"/>
        </w:rPr>
        <w:t>在</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递交截</w:t>
      </w:r>
      <w:r>
        <w:rPr>
          <w:rFonts w:hint="eastAsia" w:eastAsia="宋体" w:cs="仿宋_GB2312"/>
          <w:color w:val="auto"/>
          <w:sz w:val="24"/>
          <w:szCs w:val="24"/>
          <w:highlight w:val="none"/>
          <w:lang w:val="en-US" w:eastAsia="zh-CN"/>
        </w:rPr>
        <w:t>止</w:t>
      </w:r>
      <w:r>
        <w:rPr>
          <w:rFonts w:hint="eastAsia" w:eastAsia="宋体" w:cs="仿宋_GB2312"/>
          <w:color w:val="auto"/>
          <w:sz w:val="24"/>
          <w:szCs w:val="24"/>
          <w:highlight w:val="none"/>
        </w:rPr>
        <w:t>时间前通过</w:t>
      </w:r>
      <w:r>
        <w:rPr>
          <w:rFonts w:hint="eastAsia"/>
          <w:color w:val="auto"/>
          <w:sz w:val="24"/>
          <w:highlight w:val="none"/>
          <w:lang w:val="en-US" w:eastAsia="zh-CN"/>
        </w:rPr>
        <w:t>新疆</w:t>
      </w:r>
      <w:r>
        <w:rPr>
          <w:rFonts w:hint="eastAsia" w:eastAsia="宋体" w:cs="仿宋_GB2312"/>
          <w:color w:val="auto"/>
          <w:sz w:val="24"/>
          <w:szCs w:val="24"/>
          <w:highlight w:val="none"/>
        </w:rPr>
        <w:t>政府采购网（</w:t>
      </w:r>
      <w:r>
        <w:rPr>
          <w:rFonts w:hint="eastAsia" w:ascii="宋体" w:hAnsi="宋体" w:eastAsia="宋体"/>
          <w:color w:val="auto"/>
          <w:sz w:val="24"/>
          <w:highlight w:val="none"/>
          <w:lang w:val="hr-HR" w:eastAsia="zh-CN"/>
        </w:rPr>
        <w:t>http://www.ccgp-xinjiang.gov.cn/</w:t>
      </w:r>
      <w:r>
        <w:rPr>
          <w:rFonts w:hint="eastAsia" w:eastAsia="宋体" w:cs="仿宋_GB2312"/>
          <w:color w:val="auto"/>
          <w:sz w:val="24"/>
          <w:szCs w:val="24"/>
          <w:highlight w:val="none"/>
        </w:rPr>
        <w:t>）的”政采云登录入口”登录后，将加密电子</w:t>
      </w:r>
      <w:r>
        <w:rPr>
          <w:rFonts w:hint="eastAsia" w:eastAsia="宋体" w:cs="仿宋_GB2312"/>
          <w:color w:val="auto"/>
          <w:sz w:val="24"/>
          <w:szCs w:val="24"/>
          <w:highlight w:val="none"/>
          <w:lang w:eastAsia="zh-CN"/>
        </w:rPr>
        <w:t>投标文件</w:t>
      </w:r>
      <w:r>
        <w:rPr>
          <w:rFonts w:hint="eastAsia" w:ascii="宋体" w:hAnsi="宋体" w:eastAsia="宋体" w:cs="仿宋_GB2312"/>
          <w:color w:val="auto"/>
          <w:sz w:val="24"/>
          <w:szCs w:val="24"/>
          <w:highlight w:val="none"/>
        </w:rPr>
        <w:t>（为.jmbs后缀格式）</w:t>
      </w:r>
      <w:r>
        <w:rPr>
          <w:rFonts w:hint="eastAsia" w:eastAsia="宋体" w:cs="仿宋_GB2312"/>
          <w:color w:val="auto"/>
          <w:sz w:val="24"/>
          <w:szCs w:val="24"/>
          <w:highlight w:val="none"/>
        </w:rPr>
        <w:t>上传到对应项目的指定位置</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rPr>
        <w:t>投标人认为有必要提交的其他资料请于投标截止时间前一并提交。</w:t>
      </w:r>
    </w:p>
    <w:p w14:paraId="5EBA1BE5">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如果投标人未按上述要求</w:t>
      </w:r>
      <w:r>
        <w:rPr>
          <w:rFonts w:hint="eastAsia" w:eastAsia="宋体" w:cs="仿宋_GB2312"/>
          <w:color w:val="auto"/>
          <w:sz w:val="24"/>
          <w:szCs w:val="24"/>
          <w:highlight w:val="none"/>
          <w:lang w:val="en-US" w:eastAsia="zh-CN"/>
        </w:rPr>
        <w:t>加密并上传</w:t>
      </w:r>
      <w:r>
        <w:rPr>
          <w:rFonts w:hint="eastAsia" w:eastAsia="宋体" w:cs="仿宋_GB2312"/>
          <w:color w:val="auto"/>
          <w:sz w:val="24"/>
          <w:szCs w:val="24"/>
          <w:highlight w:val="none"/>
        </w:rPr>
        <w:t>，采购代理机构对投标文件的误投</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lang w:val="en-US" w:eastAsia="zh-CN"/>
        </w:rPr>
        <w:t>无法解密、传输错误等问题</w:t>
      </w:r>
      <w:r>
        <w:rPr>
          <w:rFonts w:hint="eastAsia" w:eastAsia="宋体" w:cs="仿宋_GB2312"/>
          <w:color w:val="auto"/>
          <w:sz w:val="24"/>
          <w:szCs w:val="24"/>
          <w:highlight w:val="none"/>
        </w:rPr>
        <w:t>概不负责。对由此造成</w:t>
      </w:r>
      <w:r>
        <w:rPr>
          <w:rFonts w:hint="eastAsia" w:eastAsia="宋体" w:cs="仿宋_GB2312"/>
          <w:color w:val="auto"/>
          <w:sz w:val="24"/>
          <w:szCs w:val="24"/>
          <w:highlight w:val="none"/>
          <w:lang w:val="en-US" w:eastAsia="zh-CN"/>
        </w:rPr>
        <w:t>无法正常开启</w:t>
      </w:r>
      <w:r>
        <w:rPr>
          <w:rFonts w:hint="eastAsia" w:eastAsia="宋体" w:cs="仿宋_GB2312"/>
          <w:color w:val="auto"/>
          <w:sz w:val="24"/>
          <w:szCs w:val="24"/>
          <w:highlight w:val="none"/>
        </w:rPr>
        <w:t>的投标文件，采购代理机构有权予以拒绝，并退回投标人。</w:t>
      </w:r>
    </w:p>
    <w:p w14:paraId="3004CAE5">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1</w:t>
      </w:r>
      <w:r>
        <w:rPr>
          <w:rFonts w:hint="eastAsia" w:eastAsia="宋体" w:cs="仿宋_GB2312"/>
          <w:color w:val="auto"/>
          <w:sz w:val="24"/>
          <w:szCs w:val="24"/>
          <w:highlight w:val="none"/>
          <w:lang w:val="en-US" w:eastAsia="zh-CN"/>
        </w:rPr>
        <w:t>8</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6</w:t>
      </w:r>
      <w:r>
        <w:rPr>
          <w:rFonts w:hint="eastAsia" w:eastAsia="宋体" w:cs="仿宋_GB2312"/>
          <w:color w:val="auto"/>
          <w:sz w:val="24"/>
          <w:szCs w:val="24"/>
          <w:highlight w:val="none"/>
        </w:rPr>
        <w:t>本项目采用不见面开标，无需提供电子</w:t>
      </w:r>
      <w:r>
        <w:rPr>
          <w:rFonts w:hint="eastAsia" w:ascii="宋体" w:hAnsi="宋体" w:eastAsia="宋体" w:cs="仿宋_GB2312"/>
          <w:color w:val="auto"/>
          <w:sz w:val="24"/>
          <w:szCs w:val="24"/>
          <w:highlight w:val="none"/>
        </w:rPr>
        <w:t>投标文件U盘</w:t>
      </w:r>
      <w:r>
        <w:rPr>
          <w:rFonts w:hint="eastAsia" w:eastAsia="宋体" w:cs="仿宋_GB2312"/>
          <w:color w:val="auto"/>
          <w:sz w:val="24"/>
          <w:szCs w:val="24"/>
          <w:highlight w:val="none"/>
        </w:rPr>
        <w:t>。</w:t>
      </w:r>
    </w:p>
    <w:bookmarkEnd w:id="159"/>
    <w:p w14:paraId="4DA3EE48">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60" w:name="_Toc140132777"/>
      <w:bookmarkStart w:id="161" w:name="_Toc163492844"/>
      <w:r>
        <w:rPr>
          <w:rFonts w:hint="eastAsia" w:ascii="宋体" w:hAnsi="宋体" w:eastAsia="宋体" w:cs="宋体"/>
          <w:b/>
          <w:bCs/>
          <w:color w:val="auto"/>
          <w:kern w:val="2"/>
          <w:sz w:val="24"/>
          <w:szCs w:val="28"/>
          <w:highlight w:val="none"/>
          <w:lang w:val="en-US" w:eastAsia="zh-CN" w:bidi="ar-SA"/>
        </w:rPr>
        <w:t>19.投标文件的递交</w:t>
      </w:r>
      <w:bookmarkEnd w:id="160"/>
      <w:r>
        <w:rPr>
          <w:rFonts w:hint="eastAsia" w:ascii="宋体" w:hAnsi="宋体" w:eastAsia="宋体" w:cs="宋体"/>
          <w:b/>
          <w:bCs/>
          <w:color w:val="auto"/>
          <w:kern w:val="2"/>
          <w:sz w:val="24"/>
          <w:szCs w:val="28"/>
          <w:highlight w:val="none"/>
          <w:lang w:val="en-US" w:eastAsia="zh-CN" w:bidi="ar-SA"/>
        </w:rPr>
        <w:t>（上传）</w:t>
      </w:r>
      <w:bookmarkEnd w:id="161"/>
    </w:p>
    <w:p w14:paraId="606EE4EA">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bookmarkStart w:id="162" w:name="_Hlk143531977"/>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.1 投标人应在“</w:t>
      </w:r>
      <w:r>
        <w:rPr>
          <w:rFonts w:hint="eastAsia" w:eastAsia="宋体" w:cs="仿宋_GB2312"/>
          <w:color w:val="auto"/>
          <w:sz w:val="24"/>
          <w:szCs w:val="24"/>
          <w:highlight w:val="none"/>
          <w:lang w:val="en-US" w:eastAsia="zh-CN"/>
        </w:rPr>
        <w:t xml:space="preserve">第一章 </w:t>
      </w:r>
      <w:r>
        <w:rPr>
          <w:rFonts w:hint="eastAsia" w:eastAsia="宋体"/>
          <w:color w:val="auto"/>
          <w:sz w:val="24"/>
          <w:highlight w:val="none"/>
          <w:lang w:val="en-US" w:eastAsia="zh-CN"/>
        </w:rPr>
        <w:t>招标公告</w:t>
      </w:r>
      <w:r>
        <w:rPr>
          <w:rFonts w:hint="eastAsia" w:eastAsia="宋体" w:cs="仿宋_GB2312"/>
          <w:color w:val="auto"/>
          <w:sz w:val="24"/>
          <w:szCs w:val="24"/>
          <w:highlight w:val="none"/>
        </w:rPr>
        <w:t>”规定的投标截止时间前递交（上传）投标文件。</w:t>
      </w:r>
    </w:p>
    <w:p w14:paraId="381A4B2E">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.2 投标人递交（上传）投标文件的地点见“</w:t>
      </w:r>
      <w:r>
        <w:rPr>
          <w:rFonts w:hint="eastAsia" w:eastAsia="宋体" w:cs="仿宋_GB2312"/>
          <w:color w:val="auto"/>
          <w:sz w:val="24"/>
          <w:szCs w:val="24"/>
          <w:highlight w:val="none"/>
          <w:lang w:val="en-US" w:eastAsia="zh-CN"/>
        </w:rPr>
        <w:t xml:space="preserve">第一章 </w:t>
      </w:r>
      <w:r>
        <w:rPr>
          <w:rFonts w:hint="eastAsia" w:eastAsia="宋体"/>
          <w:color w:val="auto"/>
          <w:sz w:val="24"/>
          <w:highlight w:val="none"/>
          <w:lang w:val="en-US" w:eastAsia="zh-CN"/>
        </w:rPr>
        <w:t>招标公告</w:t>
      </w:r>
      <w:r>
        <w:rPr>
          <w:rFonts w:hint="eastAsia" w:eastAsia="宋体" w:cs="仿宋_GB2312"/>
          <w:color w:val="auto"/>
          <w:sz w:val="24"/>
          <w:szCs w:val="24"/>
          <w:highlight w:val="none"/>
        </w:rPr>
        <w:t>”。</w:t>
      </w:r>
    </w:p>
    <w:p w14:paraId="00419337">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lang w:eastAsia="zh-CN"/>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.3投标人应充分评估集中同时投标带来的网络影响，尽量避开投标高峰时间，错峰进行电子投标。投标人递交全部的投标文件后可在政采云平台（项目采购</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rPr>
        <w:t>投标文件上传）中获取投标文件递交回执单。</w:t>
      </w:r>
    </w:p>
    <w:p w14:paraId="0A714F98">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.4 投标人应在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eastAsia="宋体" w:cs="仿宋_GB2312"/>
          <w:color w:val="auto"/>
          <w:sz w:val="24"/>
          <w:szCs w:val="24"/>
          <w:highlight w:val="none"/>
        </w:rPr>
        <w:t>中下载未加密且完成签章的投标文件妥善保存，以便启动应急开标程序时使用。</w:t>
      </w:r>
    </w:p>
    <w:p w14:paraId="2FA29350">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lang w:val="en-US" w:eastAsia="zh-CN"/>
        </w:rPr>
        <w:t>19</w:t>
      </w:r>
      <w:r>
        <w:rPr>
          <w:rFonts w:hint="eastAsia" w:eastAsia="宋体" w:cs="仿宋_GB2312"/>
          <w:color w:val="auto"/>
          <w:sz w:val="24"/>
          <w:szCs w:val="24"/>
          <w:highlight w:val="none"/>
        </w:rPr>
        <w:t>.5投标人所递交的投标文件不予退还。</w:t>
      </w:r>
    </w:p>
    <w:bookmarkEnd w:id="162"/>
    <w:p w14:paraId="0E55074E">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63" w:name="_Toc163492845"/>
      <w:r>
        <w:rPr>
          <w:rFonts w:hint="eastAsia" w:ascii="宋体" w:hAnsi="宋体" w:eastAsia="宋体" w:cs="宋体"/>
          <w:b/>
          <w:bCs/>
          <w:color w:val="auto"/>
          <w:kern w:val="2"/>
          <w:sz w:val="24"/>
          <w:szCs w:val="28"/>
          <w:highlight w:val="none"/>
          <w:lang w:val="en-US" w:eastAsia="zh-CN" w:bidi="ar-SA"/>
        </w:rPr>
        <w:t>20.拒收</w:t>
      </w:r>
      <w:bookmarkEnd w:id="163"/>
    </w:p>
    <w:p w14:paraId="07F6E39B">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2</w:t>
      </w:r>
      <w:r>
        <w:rPr>
          <w:rFonts w:hint="eastAsia" w:eastAsia="宋体" w:cs="仿宋_GB2312"/>
          <w:color w:val="auto"/>
          <w:sz w:val="24"/>
          <w:szCs w:val="24"/>
          <w:highlight w:val="none"/>
          <w:lang w:val="en-US" w:eastAsia="zh-CN"/>
        </w:rPr>
        <w:t>0</w:t>
      </w:r>
      <w:r>
        <w:rPr>
          <w:rFonts w:hint="eastAsia" w:eastAsia="宋体" w:cs="仿宋_GB2312"/>
          <w:color w:val="auto"/>
          <w:sz w:val="24"/>
          <w:szCs w:val="24"/>
          <w:highlight w:val="none"/>
        </w:rPr>
        <w:t>.1 超过投标文件提交截止时间</w:t>
      </w:r>
      <w:bookmarkStart w:id="164" w:name="_Hlk143532404"/>
      <w:r>
        <w:rPr>
          <w:rFonts w:hint="eastAsia" w:eastAsia="宋体" w:cs="仿宋_GB2312"/>
          <w:color w:val="auto"/>
          <w:sz w:val="24"/>
          <w:szCs w:val="24"/>
          <w:highlight w:val="none"/>
        </w:rPr>
        <w:t>或者不按照本章要求加密的投标文件，交易系统应当拒收</w:t>
      </w:r>
      <w:bookmarkEnd w:id="164"/>
      <w:r>
        <w:rPr>
          <w:rFonts w:hint="eastAsia" w:eastAsia="宋体" w:cs="仿宋_GB2312"/>
          <w:color w:val="auto"/>
          <w:sz w:val="24"/>
          <w:szCs w:val="24"/>
          <w:highlight w:val="none"/>
        </w:rPr>
        <w:t>。</w:t>
      </w:r>
    </w:p>
    <w:p w14:paraId="64054E79">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65" w:name="_Toc140132778"/>
      <w:bookmarkStart w:id="166" w:name="_Toc163492846"/>
      <w:r>
        <w:rPr>
          <w:rFonts w:hint="eastAsia" w:ascii="宋体" w:hAnsi="宋体" w:eastAsia="宋体" w:cs="宋体"/>
          <w:b/>
          <w:bCs/>
          <w:color w:val="auto"/>
          <w:kern w:val="2"/>
          <w:sz w:val="24"/>
          <w:szCs w:val="28"/>
          <w:highlight w:val="none"/>
          <w:lang w:val="en-US" w:eastAsia="zh-CN" w:bidi="ar-SA"/>
        </w:rPr>
        <w:t>21.投标文件的修改与撤回</w:t>
      </w:r>
      <w:bookmarkEnd w:id="165"/>
      <w:bookmarkEnd w:id="166"/>
    </w:p>
    <w:p w14:paraId="051EE8DF">
      <w:pPr>
        <w:keepNext w:val="0"/>
        <w:keepLines w:val="0"/>
        <w:pageBreakBefore w:val="0"/>
        <w:widowControl w:val="0"/>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2</w:t>
      </w:r>
      <w:r>
        <w:rPr>
          <w:rFonts w:hint="eastAsia" w:eastAsia="宋体" w:cs="仿宋_GB2312"/>
          <w:color w:val="auto"/>
          <w:sz w:val="24"/>
          <w:szCs w:val="24"/>
          <w:highlight w:val="none"/>
          <w:lang w:val="en-US" w:eastAsia="zh-CN"/>
        </w:rPr>
        <w:t>1</w:t>
      </w:r>
      <w:r>
        <w:rPr>
          <w:rFonts w:hint="eastAsia" w:eastAsia="宋体" w:cs="仿宋_GB2312"/>
          <w:color w:val="auto"/>
          <w:sz w:val="24"/>
          <w:szCs w:val="24"/>
          <w:highlight w:val="none"/>
        </w:rPr>
        <w:t>.1</w:t>
      </w:r>
      <w:bookmarkStart w:id="167" w:name="_Hlk143532466"/>
      <w:r>
        <w:rPr>
          <w:rFonts w:hint="eastAsia" w:eastAsia="宋体" w:cs="仿宋_GB2312"/>
          <w:color w:val="auto"/>
          <w:sz w:val="24"/>
          <w:szCs w:val="24"/>
          <w:highlight w:val="none"/>
          <w:lang w:eastAsia="zh-CN"/>
        </w:rPr>
        <w:t>投标人</w:t>
      </w:r>
      <w:r>
        <w:rPr>
          <w:rFonts w:hint="eastAsia" w:eastAsia="宋体" w:cs="仿宋_GB2312"/>
          <w:color w:val="auto"/>
          <w:sz w:val="24"/>
          <w:szCs w:val="24"/>
          <w:highlight w:val="none"/>
        </w:rPr>
        <w:t>在</w:t>
      </w:r>
      <w:r>
        <w:rPr>
          <w:rFonts w:hint="eastAsia" w:eastAsia="宋体" w:cs="仿宋_GB2312"/>
          <w:color w:val="auto"/>
          <w:sz w:val="24"/>
          <w:szCs w:val="24"/>
          <w:highlight w:val="none"/>
          <w:lang w:eastAsia="zh-CN"/>
        </w:rPr>
        <w:t>“</w:t>
      </w:r>
      <w:r>
        <w:rPr>
          <w:rFonts w:hint="eastAsia" w:eastAsia="宋体"/>
          <w:color w:val="auto"/>
          <w:sz w:val="24"/>
          <w:highlight w:val="none"/>
          <w:lang w:val="en-US" w:eastAsia="zh-CN"/>
        </w:rPr>
        <w:t>第一章 招标公告</w:t>
      </w:r>
      <w:r>
        <w:rPr>
          <w:rFonts w:hint="eastAsia" w:eastAsia="宋体" w:cs="仿宋_GB2312"/>
          <w:color w:val="auto"/>
          <w:sz w:val="24"/>
          <w:szCs w:val="24"/>
          <w:highlight w:val="none"/>
          <w:lang w:eastAsia="zh-CN"/>
        </w:rPr>
        <w:t>”</w:t>
      </w:r>
      <w:r>
        <w:rPr>
          <w:rFonts w:hint="eastAsia" w:eastAsia="宋体" w:cs="仿宋_GB2312"/>
          <w:color w:val="auto"/>
          <w:sz w:val="24"/>
          <w:szCs w:val="24"/>
          <w:highlight w:val="none"/>
        </w:rPr>
        <w:t>规定的</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递交截止时间之前，可在</w:t>
      </w:r>
      <w:r>
        <w:rPr>
          <w:rFonts w:hint="eastAsia" w:cs="仿宋_GB2312"/>
          <w:color w:val="auto"/>
          <w:sz w:val="24"/>
          <w:szCs w:val="24"/>
          <w:highlight w:val="none"/>
          <w:lang w:eastAsia="zh-CN"/>
        </w:rPr>
        <w:t>新疆</w:t>
      </w:r>
      <w:r>
        <w:rPr>
          <w:rFonts w:hint="eastAsia" w:eastAsia="宋体" w:cs="仿宋_GB2312"/>
          <w:color w:val="auto"/>
          <w:sz w:val="24"/>
          <w:szCs w:val="24"/>
          <w:highlight w:val="none"/>
        </w:rPr>
        <w:t>政府采购电子交易云平台上随时撤回已上传的电子</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，将修改好的电子</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在</w:t>
      </w:r>
      <w:r>
        <w:rPr>
          <w:rFonts w:hint="eastAsia" w:eastAsia="宋体" w:cs="仿宋_GB2312"/>
          <w:color w:val="auto"/>
          <w:sz w:val="24"/>
          <w:szCs w:val="24"/>
          <w:highlight w:val="none"/>
          <w:lang w:eastAsia="zh-CN"/>
        </w:rPr>
        <w:t>投标文件</w:t>
      </w:r>
      <w:r>
        <w:rPr>
          <w:rFonts w:hint="eastAsia" w:eastAsia="宋体" w:cs="仿宋_GB2312"/>
          <w:color w:val="auto"/>
          <w:sz w:val="24"/>
          <w:szCs w:val="24"/>
          <w:highlight w:val="none"/>
        </w:rPr>
        <w:t>递交截止时间前重新上传到</w:t>
      </w:r>
      <w:r>
        <w:rPr>
          <w:rFonts w:hint="eastAsia" w:cs="仿宋_GB2312"/>
          <w:color w:val="auto"/>
          <w:sz w:val="24"/>
          <w:szCs w:val="24"/>
          <w:highlight w:val="none"/>
          <w:lang w:eastAsia="zh-CN"/>
        </w:rPr>
        <w:t>新疆</w:t>
      </w:r>
      <w:r>
        <w:rPr>
          <w:rFonts w:hint="eastAsia" w:eastAsia="宋体" w:cs="仿宋_GB2312"/>
          <w:color w:val="auto"/>
          <w:sz w:val="24"/>
          <w:szCs w:val="24"/>
          <w:highlight w:val="none"/>
        </w:rPr>
        <w:t>政府采购电子交易云平台的</w:t>
      </w:r>
      <w:r>
        <w:rPr>
          <w:rFonts w:hint="eastAsia" w:eastAsia="宋体" w:cs="仿宋_GB2312"/>
          <w:color w:val="auto"/>
          <w:sz w:val="24"/>
          <w:szCs w:val="24"/>
          <w:highlight w:val="none"/>
          <w:lang w:val="en-US" w:eastAsia="zh-CN"/>
        </w:rPr>
        <w:t>指</w:t>
      </w:r>
      <w:r>
        <w:rPr>
          <w:rFonts w:hint="eastAsia" w:eastAsia="宋体" w:cs="仿宋_GB2312"/>
          <w:color w:val="auto"/>
          <w:sz w:val="24"/>
          <w:szCs w:val="24"/>
          <w:highlight w:val="none"/>
        </w:rPr>
        <w:t>定位置。</w:t>
      </w:r>
    </w:p>
    <w:bookmarkEnd w:id="167"/>
    <w:p w14:paraId="2CFE6D91">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68" w:name="_Toc163492847"/>
      <w:bookmarkStart w:id="169" w:name="_Toc155185874"/>
      <w:r>
        <w:rPr>
          <w:rFonts w:hint="eastAsia" w:ascii="宋体" w:hAnsi="宋体" w:eastAsia="宋体" w:cs="宋体"/>
          <w:b/>
          <w:bCs/>
          <w:color w:val="auto"/>
          <w:kern w:val="2"/>
          <w:sz w:val="24"/>
          <w:szCs w:val="28"/>
          <w:highlight w:val="none"/>
          <w:lang w:val="en-US" w:eastAsia="zh-CN" w:bidi="ar-SA"/>
        </w:rPr>
        <w:t>22.实物样品</w:t>
      </w:r>
      <w:bookmarkEnd w:id="168"/>
      <w:bookmarkEnd w:id="169"/>
    </w:p>
    <w:p w14:paraId="349575BD">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2</w:t>
      </w:r>
      <w:r>
        <w:rPr>
          <w:rFonts w:hint="eastAsia" w:eastAsia="宋体"/>
          <w:color w:val="auto"/>
          <w:sz w:val="24"/>
          <w:highlight w:val="none"/>
        </w:rPr>
        <w:t>.1“投标人须知前附表”要求提供样品的，样品的具体要求及评审详见“第三章 采购需求”和“第五章 评标</w:t>
      </w:r>
      <w:r>
        <w:rPr>
          <w:rFonts w:hint="eastAsia" w:eastAsia="宋体"/>
          <w:color w:val="auto"/>
          <w:sz w:val="24"/>
          <w:highlight w:val="none"/>
          <w:lang w:val="en-US" w:eastAsia="zh-CN"/>
        </w:rPr>
        <w:t>方</w:t>
      </w:r>
      <w:r>
        <w:rPr>
          <w:rFonts w:hint="eastAsia" w:eastAsia="宋体"/>
          <w:color w:val="auto"/>
          <w:sz w:val="24"/>
          <w:highlight w:val="none"/>
        </w:rPr>
        <w:t>法及标准”。</w:t>
      </w:r>
    </w:p>
    <w:p w14:paraId="22D40EC9">
      <w:pPr>
        <w:pStyle w:val="39"/>
        <w:keepNext w:val="0"/>
        <w:keepLines w:val="0"/>
        <w:pageBreakBefore w:val="0"/>
        <w:widowControl w:val="0"/>
        <w:kinsoku/>
        <w:overflowPunct/>
        <w:topLinePunct w:val="0"/>
        <w:autoSpaceDE/>
        <w:autoSpaceDN/>
        <w:bidi w:val="0"/>
        <w:adjustRightInd/>
        <w:textAlignment w:val="auto"/>
        <w:rPr>
          <w:rFonts w:eastAsia="宋体" w:cs="仿宋_GB2312"/>
          <w:b/>
          <w:color w:val="auto"/>
          <w:sz w:val="24"/>
          <w:szCs w:val="24"/>
          <w:highlight w:val="none"/>
        </w:rPr>
      </w:pPr>
      <w:r>
        <w:rPr>
          <w:rFonts w:eastAsia="宋体"/>
          <w:color w:val="auto"/>
          <w:sz w:val="24"/>
          <w:highlight w:val="none"/>
        </w:rPr>
        <w:t>2</w:t>
      </w:r>
      <w:r>
        <w:rPr>
          <w:rFonts w:hint="eastAsia" w:eastAsia="宋体"/>
          <w:color w:val="auto"/>
          <w:sz w:val="24"/>
          <w:highlight w:val="none"/>
          <w:lang w:val="en-US" w:eastAsia="zh-CN"/>
        </w:rPr>
        <w:t>2</w:t>
      </w:r>
      <w:r>
        <w:rPr>
          <w:rFonts w:hint="eastAsia" w:eastAsia="宋体"/>
          <w:color w:val="auto"/>
          <w:sz w:val="24"/>
          <w:highlight w:val="none"/>
        </w:rPr>
        <w:t>.2样品退还：</w:t>
      </w:r>
      <w:r>
        <w:rPr>
          <w:rFonts w:hint="eastAsia" w:ascii="宋体" w:hAnsi="宋体" w:eastAsia="宋体"/>
          <w:color w:val="auto"/>
          <w:sz w:val="24"/>
          <w:highlight w:val="none"/>
        </w:rPr>
        <w:t>未中标的投标人应</w:t>
      </w:r>
      <w:r>
        <w:rPr>
          <w:rFonts w:hint="eastAsia" w:ascii="宋体" w:hAnsi="宋体" w:eastAsia="宋体"/>
          <w:color w:val="auto"/>
          <w:sz w:val="24"/>
          <w:highlight w:val="none"/>
          <w:lang w:val="en-US" w:eastAsia="zh-CN"/>
        </w:rPr>
        <w:t>按照</w:t>
      </w:r>
      <w:r>
        <w:rPr>
          <w:rFonts w:hint="eastAsia" w:ascii="宋体" w:hAnsi="宋体" w:eastAsia="宋体"/>
          <w:color w:val="auto"/>
          <w:sz w:val="24"/>
          <w:highlight w:val="none"/>
        </w:rPr>
        <w:t>“投标人须知前附表”</w:t>
      </w:r>
      <w:r>
        <w:rPr>
          <w:rFonts w:hint="eastAsia" w:ascii="宋体" w:hAnsi="宋体" w:eastAsia="宋体"/>
          <w:color w:val="auto"/>
          <w:sz w:val="24"/>
          <w:highlight w:val="none"/>
          <w:lang w:val="en-US" w:eastAsia="zh-CN"/>
        </w:rPr>
        <w:t>要求</w:t>
      </w:r>
      <w:r>
        <w:rPr>
          <w:rFonts w:hint="eastAsia" w:ascii="宋体" w:hAnsi="宋体" w:eastAsia="宋体"/>
          <w:color w:val="auto"/>
          <w:sz w:val="24"/>
          <w:highlight w:val="none"/>
        </w:rPr>
        <w:t>自行联系采购人取回投标样品；中标人的样品由采购人进行保管、封存，并作为履约验收的参考</w:t>
      </w:r>
      <w:r>
        <w:rPr>
          <w:rFonts w:hint="eastAsia" w:eastAsia="宋体"/>
          <w:color w:val="auto"/>
          <w:sz w:val="24"/>
          <w:highlight w:val="none"/>
        </w:rPr>
        <w:t>（招标文件另有规定的从其规定）。</w:t>
      </w:r>
    </w:p>
    <w:p w14:paraId="62462802">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70" w:name="_Toc163492848"/>
      <w:bookmarkStart w:id="171" w:name="_Toc155185875"/>
      <w:r>
        <w:rPr>
          <w:rFonts w:hint="eastAsia" w:ascii="宋体" w:hAnsi="宋体" w:eastAsia="宋体" w:cs="宋体"/>
          <w:b/>
          <w:bCs/>
          <w:color w:val="auto"/>
          <w:kern w:val="2"/>
          <w:sz w:val="24"/>
          <w:szCs w:val="28"/>
          <w:highlight w:val="none"/>
          <w:lang w:val="en-US" w:eastAsia="zh-CN" w:bidi="ar-SA"/>
        </w:rPr>
        <w:t>23.演示</w:t>
      </w:r>
      <w:bookmarkEnd w:id="170"/>
      <w:bookmarkEnd w:id="171"/>
    </w:p>
    <w:p w14:paraId="5D305EC6">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3</w:t>
      </w:r>
      <w:r>
        <w:rPr>
          <w:rFonts w:hint="eastAsia" w:eastAsia="宋体"/>
          <w:color w:val="auto"/>
          <w:sz w:val="24"/>
          <w:highlight w:val="none"/>
        </w:rPr>
        <w:t>.1要求投标人进行演示的，演示要求详见“投标人须知前附表”。</w:t>
      </w:r>
    </w:p>
    <w:p w14:paraId="3B3BE893">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3</w:t>
      </w:r>
      <w:r>
        <w:rPr>
          <w:rFonts w:hint="eastAsia" w:eastAsia="宋体"/>
          <w:color w:val="auto"/>
          <w:sz w:val="24"/>
          <w:highlight w:val="none"/>
        </w:rPr>
        <w:t>.2演示的评审详见“第三章 采购需求”和“第五章 评标</w:t>
      </w:r>
      <w:r>
        <w:rPr>
          <w:rFonts w:hint="eastAsia" w:eastAsia="宋体"/>
          <w:color w:val="auto"/>
          <w:sz w:val="24"/>
          <w:highlight w:val="none"/>
          <w:lang w:val="en-US" w:eastAsia="zh-CN"/>
        </w:rPr>
        <w:t>方</w:t>
      </w:r>
      <w:r>
        <w:rPr>
          <w:rFonts w:hint="eastAsia" w:eastAsia="宋体"/>
          <w:color w:val="auto"/>
          <w:sz w:val="24"/>
          <w:highlight w:val="none"/>
        </w:rPr>
        <w:t>法及标准”。</w:t>
      </w:r>
    </w:p>
    <w:p w14:paraId="72895842">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bookmarkStart w:id="172" w:name="_Toc155185876"/>
      <w:bookmarkStart w:id="173" w:name="_Toc163492849"/>
      <w:bookmarkStart w:id="174" w:name="_Toc140132779"/>
      <w:r>
        <w:rPr>
          <w:rFonts w:hint="eastAsia" w:ascii="宋体" w:hAnsi="宋体" w:eastAsia="宋体" w:cs="宋体"/>
          <w:b/>
          <w:bCs/>
          <w:color w:val="auto"/>
          <w:kern w:val="2"/>
          <w:sz w:val="24"/>
          <w:szCs w:val="32"/>
          <w:highlight w:val="none"/>
          <w:lang w:val="en-US" w:eastAsia="zh-CN" w:bidi="ar-SA"/>
        </w:rPr>
        <w:t>（五）开标</w:t>
      </w:r>
      <w:bookmarkEnd w:id="172"/>
      <w:bookmarkEnd w:id="173"/>
      <w:bookmarkEnd w:id="174"/>
    </w:p>
    <w:p w14:paraId="2834E80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75" w:name="_Toc163492850"/>
      <w:bookmarkStart w:id="176" w:name="_Toc140132780"/>
      <w:r>
        <w:rPr>
          <w:rFonts w:hint="eastAsia" w:ascii="宋体" w:hAnsi="宋体" w:eastAsia="宋体" w:cs="宋体"/>
          <w:b/>
          <w:bCs/>
          <w:color w:val="auto"/>
          <w:kern w:val="2"/>
          <w:sz w:val="24"/>
          <w:szCs w:val="28"/>
          <w:highlight w:val="none"/>
          <w:lang w:val="en-US" w:eastAsia="zh-CN" w:bidi="ar-SA"/>
        </w:rPr>
        <w:t>24.开标会议</w:t>
      </w:r>
      <w:bookmarkEnd w:id="175"/>
      <w:bookmarkEnd w:id="176"/>
    </w:p>
    <w:p w14:paraId="55916F6C">
      <w:pPr>
        <w:keepNext w:val="0"/>
        <w:keepLines w:val="0"/>
        <w:pageBreakBefore w:val="0"/>
        <w:widowControl w:val="0"/>
        <w:kinsoku/>
        <w:overflowPunct/>
        <w:topLinePunct w:val="0"/>
        <w:autoSpaceDE/>
        <w:autoSpaceDN/>
        <w:bidi w:val="0"/>
        <w:adjustRightInd/>
        <w:snapToGrid/>
        <w:ind w:firstLine="480" w:firstLineChars="200"/>
        <w:textAlignment w:val="auto"/>
        <w:rPr>
          <w:rFonts w:hint="eastAsia" w:eastAsia="宋体" w:cs="仿宋_GB2312"/>
          <w:color w:val="auto"/>
          <w:sz w:val="24"/>
          <w:szCs w:val="24"/>
          <w:highlight w:val="none"/>
          <w:lang w:eastAsia="zh-CN"/>
        </w:rPr>
      </w:pPr>
      <w:bookmarkStart w:id="177" w:name="_Toc140132781"/>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4</w:t>
      </w:r>
      <w:r>
        <w:rPr>
          <w:rFonts w:hint="eastAsia" w:eastAsia="宋体" w:cs="仿宋_GB2312"/>
          <w:color w:val="auto"/>
          <w:sz w:val="24"/>
          <w:szCs w:val="24"/>
          <w:highlight w:val="none"/>
        </w:rPr>
        <w:t>.</w:t>
      </w:r>
      <w:r>
        <w:rPr>
          <w:rFonts w:hint="eastAsia" w:eastAsia="宋体" w:cs="仿宋_GB2312"/>
          <w:color w:val="auto"/>
          <w:sz w:val="24"/>
          <w:szCs w:val="24"/>
          <w:highlight w:val="none"/>
          <w:lang w:val="en-US" w:eastAsia="zh-CN"/>
        </w:rPr>
        <w:t>1</w:t>
      </w:r>
      <w:r>
        <w:rPr>
          <w:rFonts w:hint="eastAsia" w:eastAsia="宋体" w:cs="仿宋_GB2312"/>
          <w:color w:val="auto"/>
          <w:sz w:val="24"/>
          <w:szCs w:val="24"/>
          <w:highlight w:val="none"/>
        </w:rPr>
        <w:t>开标会按“</w:t>
      </w:r>
      <w:r>
        <w:rPr>
          <w:rFonts w:hint="eastAsia" w:eastAsia="宋体" w:cs="仿宋_GB2312"/>
          <w:color w:val="auto"/>
          <w:sz w:val="24"/>
          <w:szCs w:val="24"/>
          <w:highlight w:val="none"/>
          <w:lang w:val="en-US" w:eastAsia="zh-CN"/>
        </w:rPr>
        <w:t xml:space="preserve">第一章 </w:t>
      </w:r>
      <w:r>
        <w:rPr>
          <w:rFonts w:hint="eastAsia" w:eastAsia="宋体"/>
          <w:color w:val="auto"/>
          <w:sz w:val="24"/>
          <w:highlight w:val="none"/>
          <w:lang w:val="en-US" w:eastAsia="zh-CN"/>
        </w:rPr>
        <w:t>招标公告</w:t>
      </w:r>
      <w:r>
        <w:rPr>
          <w:rFonts w:hint="eastAsia" w:eastAsia="宋体" w:cs="仿宋_GB2312"/>
          <w:color w:val="auto"/>
          <w:sz w:val="24"/>
          <w:szCs w:val="24"/>
          <w:highlight w:val="none"/>
        </w:rPr>
        <w:t>”规定的开标时间和地点准时举行，采购人、采购代理机构邀请所有投标人准时参加开标会。</w:t>
      </w:r>
      <w:r>
        <w:rPr>
          <w:rFonts w:hint="eastAsia" w:eastAsia="宋体"/>
          <w:color w:val="auto"/>
          <w:sz w:val="24"/>
          <w:highlight w:val="none"/>
        </w:rPr>
        <w:t>投标人应按照</w:t>
      </w:r>
      <w:r>
        <w:rPr>
          <w:rFonts w:hint="eastAsia" w:eastAsia="宋体"/>
          <w:color w:val="auto"/>
          <w:sz w:val="24"/>
          <w:highlight w:val="none"/>
          <w:lang w:val="en-US" w:eastAsia="zh-CN"/>
        </w:rPr>
        <w:t>招标文件</w:t>
      </w:r>
      <w:r>
        <w:rPr>
          <w:rFonts w:hint="eastAsia" w:eastAsia="宋体"/>
          <w:color w:val="auto"/>
          <w:sz w:val="24"/>
          <w:highlight w:val="none"/>
        </w:rPr>
        <w:t>的要求参与</w:t>
      </w:r>
      <w:r>
        <w:rPr>
          <w:rFonts w:hint="eastAsia" w:eastAsia="宋体"/>
          <w:color w:val="auto"/>
          <w:sz w:val="24"/>
          <w:highlight w:val="none"/>
          <w:lang w:val="en-US" w:eastAsia="zh-CN"/>
        </w:rPr>
        <w:t>不见面开标</w:t>
      </w:r>
      <w:r>
        <w:rPr>
          <w:rFonts w:hint="eastAsia" w:eastAsia="宋体"/>
          <w:color w:val="auto"/>
          <w:sz w:val="24"/>
          <w:highlight w:val="none"/>
        </w:rPr>
        <w:t>。</w:t>
      </w:r>
    </w:p>
    <w:p w14:paraId="331C266A">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ascii="宋体" w:hAnsi="宋体" w:eastAsia="宋体" w:cs="宋体"/>
          <w:color w:val="auto"/>
          <w:kern w:val="2"/>
          <w:sz w:val="24"/>
          <w:szCs w:val="22"/>
          <w:highlight w:val="none"/>
        </w:rPr>
      </w:pPr>
      <w:r>
        <w:rPr>
          <w:rFonts w:eastAsia="宋体"/>
          <w:color w:val="auto"/>
          <w:sz w:val="24"/>
          <w:highlight w:val="none"/>
        </w:rPr>
        <w:t>2</w:t>
      </w:r>
      <w:r>
        <w:rPr>
          <w:rFonts w:hint="eastAsia" w:eastAsia="宋体"/>
          <w:color w:val="auto"/>
          <w:sz w:val="24"/>
          <w:highlight w:val="none"/>
          <w:lang w:val="en-US" w:eastAsia="zh-CN"/>
        </w:rPr>
        <w:t>4</w:t>
      </w:r>
      <w:r>
        <w:rPr>
          <w:rFonts w:hint="eastAsia" w:eastAsia="宋体"/>
          <w:color w:val="auto"/>
          <w:sz w:val="24"/>
          <w:highlight w:val="none"/>
        </w:rPr>
        <w:t>.</w:t>
      </w:r>
      <w:r>
        <w:rPr>
          <w:rFonts w:hint="eastAsia" w:eastAsia="宋体"/>
          <w:color w:val="auto"/>
          <w:sz w:val="24"/>
          <w:highlight w:val="none"/>
          <w:lang w:val="en-US" w:eastAsia="zh-CN"/>
        </w:rPr>
        <w:t>2</w:t>
      </w:r>
      <w:r>
        <w:rPr>
          <w:rFonts w:hint="eastAsia" w:eastAsia="宋体"/>
          <w:color w:val="auto"/>
          <w:sz w:val="24"/>
          <w:highlight w:val="none"/>
        </w:rPr>
        <w:t xml:space="preserve"> </w:t>
      </w:r>
      <w:bookmarkEnd w:id="177"/>
      <w:r>
        <w:rPr>
          <w:rFonts w:hint="eastAsia" w:ascii="宋体" w:hAnsi="宋体" w:eastAsia="宋体" w:cs="宋体"/>
          <w:color w:val="auto"/>
          <w:kern w:val="2"/>
          <w:sz w:val="24"/>
          <w:szCs w:val="22"/>
          <w:highlight w:val="none"/>
        </w:rPr>
        <w:t>采购代理机构按照招标文件规定的时间、地点主持开标。采购人在规定的</w:t>
      </w:r>
      <w:r>
        <w:rPr>
          <w:rFonts w:hint="eastAsia" w:ascii="宋体" w:hAnsi="宋体" w:eastAsia="宋体" w:cs="宋体"/>
          <w:color w:val="auto"/>
          <w:kern w:val="2"/>
          <w:sz w:val="24"/>
          <w:szCs w:val="22"/>
          <w:highlight w:val="none"/>
          <w:lang w:eastAsia="zh-CN"/>
        </w:rPr>
        <w:t>投标文件</w:t>
      </w:r>
      <w:r>
        <w:rPr>
          <w:rFonts w:hint="eastAsia" w:ascii="宋体" w:hAnsi="宋体" w:eastAsia="宋体" w:cs="宋体"/>
          <w:color w:val="auto"/>
          <w:kern w:val="2"/>
          <w:sz w:val="24"/>
          <w:szCs w:val="22"/>
          <w:highlight w:val="none"/>
        </w:rPr>
        <w:t>递交截止时间（开标时间）和地点进行不见面远程开标。</w:t>
      </w:r>
      <w:r>
        <w:rPr>
          <w:rFonts w:hint="eastAsia" w:ascii="宋体" w:hAnsi="宋体" w:eastAsia="宋体" w:cs="宋体"/>
          <w:color w:val="auto"/>
          <w:kern w:val="2"/>
          <w:sz w:val="24"/>
          <w:szCs w:val="22"/>
          <w:highlight w:val="none"/>
          <w:lang w:eastAsia="zh-CN"/>
        </w:rPr>
        <w:t>投标人</w:t>
      </w:r>
      <w:r>
        <w:rPr>
          <w:rFonts w:hint="eastAsia" w:ascii="宋体" w:hAnsi="宋体" w:eastAsia="宋体" w:cs="宋体"/>
          <w:color w:val="auto"/>
          <w:kern w:val="2"/>
          <w:sz w:val="24"/>
          <w:szCs w:val="22"/>
          <w:highlight w:val="none"/>
        </w:rPr>
        <w:t>的法定代表人或其委托代理人无需到达开标现场，仅需在任意地点通过</w:t>
      </w:r>
      <w:r>
        <w:rPr>
          <w:rFonts w:hint="eastAsia" w:cs="宋体"/>
          <w:color w:val="auto"/>
          <w:kern w:val="2"/>
          <w:sz w:val="24"/>
          <w:szCs w:val="22"/>
          <w:highlight w:val="none"/>
          <w:lang w:val="en-US" w:eastAsia="zh-CN"/>
        </w:rPr>
        <w:t>新疆</w:t>
      </w:r>
      <w:r>
        <w:rPr>
          <w:rFonts w:hint="eastAsia" w:ascii="宋体" w:hAnsi="宋体" w:eastAsia="宋体" w:cs="宋体"/>
          <w:color w:val="auto"/>
          <w:kern w:val="2"/>
          <w:sz w:val="24"/>
          <w:szCs w:val="22"/>
          <w:highlight w:val="none"/>
          <w:lang w:val="en-US" w:eastAsia="zh-CN"/>
        </w:rPr>
        <w:t>政府采购电子交易云平台（网址：</w:t>
      </w:r>
      <w:r>
        <w:rPr>
          <w:rFonts w:hint="eastAsia" w:ascii="宋体" w:hAnsi="宋体" w:eastAsia="宋体"/>
          <w:color w:val="auto"/>
          <w:sz w:val="24"/>
          <w:highlight w:val="none"/>
          <w:lang w:val="hr-HR" w:eastAsia="zh-CN"/>
        </w:rPr>
        <w:t>http://www.ccgp-xinjiang.gov.cn/</w:t>
      </w:r>
      <w:r>
        <w:rPr>
          <w:rFonts w:hint="eastAsia" w:ascii="宋体" w:hAnsi="宋体" w:eastAsia="宋体" w:cs="宋体"/>
          <w:color w:val="auto"/>
          <w:kern w:val="2"/>
          <w:sz w:val="24"/>
          <w:szCs w:val="22"/>
          <w:highlight w:val="none"/>
          <w:lang w:val="en-US" w:eastAsia="zh-CN"/>
        </w:rPr>
        <w:t>）</w:t>
      </w:r>
      <w:r>
        <w:rPr>
          <w:rFonts w:hint="eastAsia" w:ascii="宋体" w:hAnsi="宋体" w:eastAsia="宋体" w:cs="宋体"/>
          <w:color w:val="auto"/>
          <w:kern w:val="2"/>
          <w:sz w:val="24"/>
          <w:szCs w:val="22"/>
          <w:highlight w:val="none"/>
        </w:rPr>
        <w:t>的</w:t>
      </w:r>
      <w:r>
        <w:rPr>
          <w:rFonts w:hint="eastAsia" w:eastAsia="宋体" w:cs="宋体"/>
          <w:color w:val="auto"/>
          <w:kern w:val="2"/>
          <w:sz w:val="24"/>
          <w:szCs w:val="22"/>
          <w:highlight w:val="none"/>
          <w:lang w:eastAsia="zh-CN"/>
        </w:rPr>
        <w:t>“</w:t>
      </w:r>
      <w:r>
        <w:rPr>
          <w:rFonts w:hint="eastAsia" w:ascii="宋体" w:hAnsi="宋体" w:eastAsia="宋体" w:cs="宋体"/>
          <w:color w:val="auto"/>
          <w:kern w:val="2"/>
          <w:sz w:val="24"/>
          <w:szCs w:val="22"/>
          <w:highlight w:val="none"/>
        </w:rPr>
        <w:t>政采云登录入口”登录后，进入“政采云远程开标大厅”参加开标会议，并使用CA密钥完成远程解密、提疑澄清、开标唱标、结果公布等交互环节。</w:t>
      </w:r>
    </w:p>
    <w:p w14:paraId="5997F40F">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kern w:val="2"/>
          <w:sz w:val="24"/>
          <w:szCs w:val="22"/>
          <w:highlight w:val="none"/>
        </w:rPr>
      </w:pPr>
      <w:r>
        <w:rPr>
          <w:rFonts w:hint="eastAsia" w:ascii="宋体" w:hAnsi="宋体" w:eastAsia="宋体" w:cs="宋体"/>
          <w:color w:val="auto"/>
          <w:kern w:val="2"/>
          <w:sz w:val="24"/>
          <w:szCs w:val="22"/>
          <w:highlight w:val="none"/>
          <w:lang w:val="en-US" w:eastAsia="zh-CN"/>
        </w:rPr>
        <w:t>2</w:t>
      </w:r>
      <w:r>
        <w:rPr>
          <w:rFonts w:hint="eastAsia" w:eastAsia="宋体" w:cs="宋体"/>
          <w:color w:val="auto"/>
          <w:kern w:val="2"/>
          <w:sz w:val="24"/>
          <w:szCs w:val="22"/>
          <w:highlight w:val="none"/>
          <w:lang w:val="en-US" w:eastAsia="zh-CN"/>
        </w:rPr>
        <w:t>4</w:t>
      </w:r>
      <w:r>
        <w:rPr>
          <w:rFonts w:hint="eastAsia" w:ascii="宋体" w:hAnsi="宋体" w:eastAsia="宋体" w:cs="宋体"/>
          <w:color w:val="auto"/>
          <w:kern w:val="2"/>
          <w:sz w:val="24"/>
          <w:szCs w:val="22"/>
          <w:highlight w:val="none"/>
          <w:lang w:val="en-US" w:eastAsia="zh-CN"/>
        </w:rPr>
        <w:t xml:space="preserve">.3开标过程将宣布投标人名称、投标价格和招标文件规定的需要宣布的其他内容并进行记录，并由参加开标的各投标人确认。投标人未在规定时间内提 出疑义或确认一览表的，视同认可开标结果。 </w:t>
      </w:r>
    </w:p>
    <w:p w14:paraId="4B9EF468">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78" w:name="_Toc140132783"/>
      <w:bookmarkStart w:id="179" w:name="_Toc163492852"/>
      <w:r>
        <w:rPr>
          <w:rFonts w:hint="eastAsia" w:ascii="宋体" w:hAnsi="宋体" w:eastAsia="宋体" w:cs="宋体"/>
          <w:b/>
          <w:bCs/>
          <w:color w:val="auto"/>
          <w:kern w:val="2"/>
          <w:sz w:val="24"/>
          <w:szCs w:val="28"/>
          <w:highlight w:val="none"/>
          <w:lang w:val="en-US" w:eastAsia="zh-CN" w:bidi="ar-SA"/>
        </w:rPr>
        <w:t>25.开标程序</w:t>
      </w:r>
      <w:bookmarkEnd w:id="178"/>
      <w:bookmarkEnd w:id="179"/>
    </w:p>
    <w:p w14:paraId="3E003234">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.1 投标人不足3家的，不得开标。</w:t>
      </w:r>
    </w:p>
    <w:p w14:paraId="3FB79CB5">
      <w:pPr>
        <w:keepNext w:val="0"/>
        <w:keepLines w:val="0"/>
        <w:pageBreakBefore w:val="0"/>
        <w:widowControl w:val="0"/>
        <w:kinsoku/>
        <w:overflowPunct/>
        <w:topLinePunct w:val="0"/>
        <w:autoSpaceDE/>
        <w:autoSpaceDN/>
        <w:bidi w:val="0"/>
        <w:adjustRightInd/>
        <w:ind w:firstLine="480" w:firstLineChars="200"/>
        <w:textAlignment w:val="auto"/>
        <w:rPr>
          <w:rFonts w:eastAsia="宋体"/>
          <w:color w:val="auto"/>
          <w:sz w:val="24"/>
          <w:highlight w:val="none"/>
        </w:rPr>
      </w:pPr>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.2 评标委员会成员不得参加开标活动。</w:t>
      </w:r>
    </w:p>
    <w:p w14:paraId="1D88071E">
      <w:pPr>
        <w:keepNext w:val="0"/>
        <w:keepLines w:val="0"/>
        <w:pageBreakBefore w:val="0"/>
        <w:widowControl w:val="0"/>
        <w:kinsoku/>
        <w:overflowPunct/>
        <w:topLinePunct w:val="0"/>
        <w:autoSpaceDE/>
        <w:autoSpaceDN/>
        <w:bidi w:val="0"/>
        <w:adjustRightInd/>
        <w:ind w:firstLine="480" w:firstLineChars="200"/>
        <w:textAlignment w:val="auto"/>
        <w:rPr>
          <w:rFonts w:eastAsia="宋体" w:cs="仿宋_GB2312"/>
          <w:color w:val="auto"/>
          <w:sz w:val="24"/>
          <w:szCs w:val="24"/>
          <w:highlight w:val="none"/>
        </w:rPr>
      </w:pPr>
      <w:r>
        <w:rPr>
          <w:rFonts w:eastAsia="宋体" w:cs="仿宋_GB2312"/>
          <w:color w:val="auto"/>
          <w:sz w:val="24"/>
          <w:szCs w:val="24"/>
          <w:highlight w:val="none"/>
        </w:rPr>
        <w:t>2</w:t>
      </w:r>
      <w:r>
        <w:rPr>
          <w:rFonts w:hint="eastAsia" w:eastAsia="宋体" w:cs="仿宋_GB2312"/>
          <w:color w:val="auto"/>
          <w:sz w:val="24"/>
          <w:szCs w:val="24"/>
          <w:highlight w:val="none"/>
          <w:lang w:val="en-US" w:eastAsia="zh-CN"/>
        </w:rPr>
        <w:t>5</w:t>
      </w:r>
      <w:r>
        <w:rPr>
          <w:rFonts w:hint="eastAsia" w:eastAsia="宋体" w:cs="仿宋_GB2312"/>
          <w:color w:val="auto"/>
          <w:sz w:val="24"/>
          <w:szCs w:val="24"/>
          <w:highlight w:val="none"/>
        </w:rPr>
        <w:t>.3主持人按下列程序进行开标：</w:t>
      </w:r>
    </w:p>
    <w:p w14:paraId="45B5DAB4">
      <w:pPr>
        <w:keepNext w:val="0"/>
        <w:keepLines w:val="0"/>
        <w:pageBreakBefore w:val="0"/>
        <w:widowControl w:val="0"/>
        <w:kinsoku/>
        <w:overflowPunct/>
        <w:topLinePunct w:val="0"/>
        <w:autoSpaceDE/>
        <w:autoSpaceDN/>
        <w:bidi w:val="0"/>
        <w:adjustRightInd/>
        <w:ind w:firstLine="398" w:firstLineChars="166"/>
        <w:textAlignment w:val="auto"/>
        <w:rPr>
          <w:rFonts w:eastAsia="宋体" w:cs="仿宋_GB2312"/>
          <w:color w:val="auto"/>
          <w:sz w:val="24"/>
          <w:szCs w:val="24"/>
          <w:highlight w:val="none"/>
        </w:rPr>
      </w:pPr>
      <w:r>
        <w:rPr>
          <w:rFonts w:hint="eastAsia" w:eastAsia="宋体" w:cs="仿宋_GB2312"/>
          <w:color w:val="auto"/>
          <w:sz w:val="24"/>
          <w:szCs w:val="24"/>
          <w:highlight w:val="none"/>
        </w:rPr>
        <w:t>（1）宣布开标会纪律；</w:t>
      </w:r>
    </w:p>
    <w:p w14:paraId="06FB9D22">
      <w:pPr>
        <w:keepNext w:val="0"/>
        <w:keepLines w:val="0"/>
        <w:pageBreakBefore w:val="0"/>
        <w:widowControl w:val="0"/>
        <w:kinsoku/>
        <w:overflowPunct/>
        <w:topLinePunct w:val="0"/>
        <w:autoSpaceDE/>
        <w:autoSpaceDN/>
        <w:bidi w:val="0"/>
        <w:adjustRightInd/>
        <w:ind w:firstLine="398" w:firstLineChars="166"/>
        <w:textAlignment w:val="auto"/>
        <w:rPr>
          <w:rFonts w:eastAsia="宋体" w:cs="仿宋_GB2312"/>
          <w:color w:val="auto"/>
          <w:sz w:val="24"/>
          <w:szCs w:val="24"/>
          <w:highlight w:val="none"/>
        </w:rPr>
      </w:pPr>
      <w:r>
        <w:rPr>
          <w:rFonts w:hint="eastAsia" w:eastAsia="宋体" w:cs="仿宋_GB2312"/>
          <w:color w:val="auto"/>
          <w:sz w:val="24"/>
          <w:szCs w:val="24"/>
          <w:highlight w:val="none"/>
        </w:rPr>
        <w:t>（2）介绍参加开标会的单位和人员；</w:t>
      </w:r>
    </w:p>
    <w:p w14:paraId="4A894561">
      <w:pPr>
        <w:keepNext w:val="0"/>
        <w:keepLines w:val="0"/>
        <w:pageBreakBefore w:val="0"/>
        <w:widowControl w:val="0"/>
        <w:kinsoku/>
        <w:overflowPunct/>
        <w:topLinePunct w:val="0"/>
        <w:autoSpaceDE/>
        <w:autoSpaceDN/>
        <w:bidi w:val="0"/>
        <w:adjustRightInd/>
        <w:ind w:firstLine="398" w:firstLineChars="166"/>
        <w:textAlignment w:val="auto"/>
        <w:rPr>
          <w:rFonts w:hint="eastAsia" w:eastAsia="宋体" w:cs="仿宋_GB2312"/>
          <w:color w:val="auto"/>
          <w:sz w:val="24"/>
          <w:szCs w:val="24"/>
          <w:highlight w:val="none"/>
        </w:rPr>
      </w:pPr>
      <w:r>
        <w:rPr>
          <w:rFonts w:hint="eastAsia" w:eastAsia="宋体" w:cs="仿宋_GB2312"/>
          <w:color w:val="auto"/>
          <w:sz w:val="24"/>
          <w:szCs w:val="24"/>
          <w:highlight w:val="none"/>
        </w:rPr>
        <w:t>（3）发起投标文件解密。投标人应在“投标人须知前附表”规定的时间内使用加密投标文件的CA证书在系统中完成投标文件的解密；</w:t>
      </w:r>
      <w:r>
        <w:rPr>
          <w:rFonts w:hint="eastAsia" w:eastAsia="宋体" w:cs="仿宋_GB2312"/>
          <w:color w:val="auto"/>
          <w:sz w:val="24"/>
          <w:szCs w:val="24"/>
          <w:highlight w:val="none"/>
          <w:lang w:val="en-US" w:eastAsia="zh-CN"/>
        </w:rPr>
        <w:t>投标人不足3家的，不予解密；</w:t>
      </w:r>
    </w:p>
    <w:p w14:paraId="21469810">
      <w:pPr>
        <w:keepNext w:val="0"/>
        <w:keepLines w:val="0"/>
        <w:pageBreakBefore w:val="0"/>
        <w:widowControl w:val="0"/>
        <w:kinsoku/>
        <w:overflowPunct/>
        <w:topLinePunct w:val="0"/>
        <w:autoSpaceDE/>
        <w:autoSpaceDN/>
        <w:bidi w:val="0"/>
        <w:adjustRightInd/>
        <w:ind w:firstLine="398" w:firstLineChars="166"/>
        <w:textAlignment w:val="auto"/>
        <w:rPr>
          <w:rFonts w:eastAsia="宋体" w:cs="仿宋_GB2312"/>
          <w:color w:val="auto"/>
          <w:sz w:val="24"/>
          <w:szCs w:val="24"/>
          <w:highlight w:val="none"/>
        </w:rPr>
      </w:pPr>
      <w:r>
        <w:rPr>
          <w:rFonts w:hint="eastAsia" w:eastAsia="宋体" w:cs="仿宋_GB2312"/>
          <w:color w:val="auto"/>
          <w:sz w:val="24"/>
          <w:szCs w:val="24"/>
          <w:highlight w:val="none"/>
        </w:rPr>
        <w:t>（4）解密完成后，系统自动显示投标人名称、投标价格和招标文件规定的需要宣布的其他内容；</w:t>
      </w:r>
    </w:p>
    <w:p w14:paraId="45B3EB75">
      <w:pPr>
        <w:keepNext w:val="0"/>
        <w:keepLines w:val="0"/>
        <w:pageBreakBefore w:val="0"/>
        <w:widowControl w:val="0"/>
        <w:kinsoku/>
        <w:overflowPunct/>
        <w:topLinePunct w:val="0"/>
        <w:autoSpaceDE/>
        <w:autoSpaceDN/>
        <w:bidi w:val="0"/>
        <w:adjustRightInd/>
        <w:ind w:left="564" w:leftChars="200" w:hanging="84" w:hangingChars="35"/>
        <w:textAlignment w:val="auto"/>
        <w:rPr>
          <w:rFonts w:hint="eastAsia" w:eastAsia="宋体" w:cs="仿宋_GB2312"/>
          <w:color w:val="auto"/>
          <w:sz w:val="24"/>
          <w:szCs w:val="24"/>
          <w:highlight w:val="none"/>
          <w:lang w:val="en-US" w:eastAsia="zh-CN"/>
        </w:rPr>
      </w:pPr>
      <w:r>
        <w:rPr>
          <w:rFonts w:hint="eastAsia" w:eastAsia="宋体" w:cs="仿宋_GB2312"/>
          <w:color w:val="auto"/>
          <w:sz w:val="24"/>
          <w:szCs w:val="24"/>
          <w:highlight w:val="none"/>
        </w:rPr>
        <w:t>（5）系统自动生成开标记录表，</w:t>
      </w:r>
      <w:r>
        <w:rPr>
          <w:rFonts w:hint="eastAsia" w:eastAsia="宋体" w:cs="仿宋_GB2312"/>
          <w:color w:val="auto"/>
          <w:sz w:val="24"/>
          <w:szCs w:val="24"/>
          <w:highlight w:val="none"/>
          <w:lang w:val="en-US" w:eastAsia="zh-CN"/>
        </w:rPr>
        <w:t>投标人</w:t>
      </w:r>
      <w:r>
        <w:rPr>
          <w:rFonts w:hint="eastAsia" w:eastAsia="宋体" w:cs="仿宋_GB2312"/>
          <w:color w:val="auto"/>
          <w:sz w:val="24"/>
          <w:szCs w:val="24"/>
          <w:highlight w:val="none"/>
        </w:rPr>
        <w:t>应在线对开标记录进行签署确认</w:t>
      </w:r>
      <w:r>
        <w:rPr>
          <w:rFonts w:hint="eastAsia" w:eastAsia="宋体" w:cs="仿宋_GB2312"/>
          <w:color w:val="auto"/>
          <w:sz w:val="24"/>
          <w:szCs w:val="24"/>
          <w:highlight w:val="none"/>
          <w:lang w:val="en-US" w:eastAsia="zh-CN"/>
        </w:rPr>
        <w:t>；</w:t>
      </w:r>
    </w:p>
    <w:p w14:paraId="35F79A7C">
      <w:pPr>
        <w:keepNext w:val="0"/>
        <w:keepLines w:val="0"/>
        <w:pageBreakBefore w:val="0"/>
        <w:widowControl w:val="0"/>
        <w:kinsoku/>
        <w:overflowPunct/>
        <w:topLinePunct w:val="0"/>
        <w:autoSpaceDE/>
        <w:autoSpaceDN/>
        <w:bidi w:val="0"/>
        <w:adjustRightInd/>
        <w:ind w:left="564" w:leftChars="200" w:hanging="84" w:hangingChars="35"/>
        <w:textAlignment w:val="auto"/>
        <w:rPr>
          <w:rFonts w:hint="eastAsia" w:ascii="宋体" w:hAnsi="宋体" w:eastAsia="宋体" w:cs="仿宋_GB2312"/>
          <w:color w:val="auto"/>
          <w:sz w:val="24"/>
          <w:szCs w:val="24"/>
          <w:highlight w:val="none"/>
        </w:rPr>
      </w:pPr>
      <w:r>
        <w:rPr>
          <w:rFonts w:hint="eastAsia" w:ascii="宋体" w:hAnsi="宋体" w:eastAsia="宋体" w:cs="仿宋_GB2312"/>
          <w:color w:val="auto"/>
          <w:sz w:val="24"/>
          <w:szCs w:val="24"/>
          <w:highlight w:val="none"/>
        </w:rPr>
        <w:t>（6）开标会结束。</w:t>
      </w:r>
      <w:bookmarkStart w:id="180" w:name="_Toc140132784"/>
      <w:bookmarkStart w:id="181" w:name="_Toc163492853"/>
    </w:p>
    <w:p w14:paraId="201FAEFB">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r>
        <w:rPr>
          <w:rFonts w:hint="eastAsia" w:ascii="宋体" w:hAnsi="宋体" w:eastAsia="宋体" w:cs="宋体"/>
          <w:b/>
          <w:bCs/>
          <w:color w:val="auto"/>
          <w:kern w:val="2"/>
          <w:sz w:val="24"/>
          <w:szCs w:val="28"/>
          <w:highlight w:val="none"/>
          <w:lang w:val="en-US" w:eastAsia="zh-CN" w:bidi="ar-SA"/>
        </w:rPr>
        <w:t>26.开标疑义及回避情形</w:t>
      </w:r>
      <w:bookmarkEnd w:id="180"/>
      <w:bookmarkEnd w:id="181"/>
    </w:p>
    <w:p w14:paraId="48E9CFCF">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6</w:t>
      </w:r>
      <w:r>
        <w:rPr>
          <w:rFonts w:hint="eastAsia" w:eastAsia="宋体"/>
          <w:color w:val="auto"/>
          <w:sz w:val="24"/>
          <w:highlight w:val="none"/>
        </w:rPr>
        <w:t>.1投标人代表对开标过程和开标记录有疑义，以及认为采购人、采购代理机构相关工作人员有需要回避的情形的，应在开标会议中提出询问或者回避申请。采购人、采购代理机构对投标人授权代表提出的询问或者回避申请应当及时处理。</w:t>
      </w:r>
    </w:p>
    <w:p w14:paraId="79C43A70">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2</w:t>
      </w:r>
      <w:r>
        <w:rPr>
          <w:rFonts w:hint="eastAsia" w:eastAsia="宋体"/>
          <w:color w:val="auto"/>
          <w:sz w:val="24"/>
          <w:highlight w:val="none"/>
          <w:lang w:val="en-US" w:eastAsia="zh-CN"/>
        </w:rPr>
        <w:t>6</w:t>
      </w:r>
      <w:r>
        <w:rPr>
          <w:rFonts w:hint="eastAsia" w:eastAsia="宋体"/>
          <w:color w:val="auto"/>
          <w:sz w:val="24"/>
          <w:highlight w:val="none"/>
        </w:rPr>
        <w:t>.2投标人未参加开标的，视同认可开标结果。</w:t>
      </w:r>
    </w:p>
    <w:p w14:paraId="57970526">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bookmarkStart w:id="182" w:name="_Toc140132785"/>
      <w:bookmarkStart w:id="183" w:name="_Toc163492854"/>
      <w:bookmarkStart w:id="184" w:name="_Toc155185877"/>
      <w:r>
        <w:rPr>
          <w:rFonts w:hint="eastAsia" w:ascii="宋体" w:hAnsi="宋体" w:eastAsia="宋体" w:cs="宋体"/>
          <w:b/>
          <w:bCs/>
          <w:color w:val="auto"/>
          <w:kern w:val="2"/>
          <w:sz w:val="24"/>
          <w:szCs w:val="32"/>
          <w:highlight w:val="none"/>
          <w:lang w:val="en-US" w:eastAsia="zh-CN" w:bidi="ar-SA"/>
        </w:rPr>
        <w:t>（六）资格审查</w:t>
      </w:r>
      <w:bookmarkEnd w:id="182"/>
      <w:bookmarkEnd w:id="183"/>
      <w:bookmarkEnd w:id="184"/>
    </w:p>
    <w:p w14:paraId="5E5C9CF1">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85" w:name="_Toc163492855"/>
      <w:r>
        <w:rPr>
          <w:rFonts w:hint="eastAsia" w:ascii="宋体" w:hAnsi="宋体" w:eastAsia="宋体" w:cs="宋体"/>
          <w:b/>
          <w:bCs/>
          <w:color w:val="auto"/>
          <w:kern w:val="2"/>
          <w:sz w:val="24"/>
          <w:szCs w:val="28"/>
          <w:highlight w:val="none"/>
          <w:lang w:val="en-US" w:eastAsia="zh-CN" w:bidi="ar-SA"/>
        </w:rPr>
        <w:t>27.资格审查及审查主体</w:t>
      </w:r>
      <w:bookmarkEnd w:id="185"/>
    </w:p>
    <w:p w14:paraId="454CC76D">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bookmarkStart w:id="186" w:name="_Toc140132786"/>
      <w:r>
        <w:rPr>
          <w:rFonts w:hint="eastAsia"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.1</w:t>
      </w:r>
      <w:bookmarkEnd w:id="186"/>
      <w:r>
        <w:rPr>
          <w:rFonts w:hint="eastAsia" w:eastAsia="宋体"/>
          <w:color w:val="auto"/>
          <w:sz w:val="24"/>
          <w:highlight w:val="none"/>
        </w:rPr>
        <w:t>开标结束后，采购人或者采购代理机构应当依法对投标人的资格进行审查。</w:t>
      </w:r>
    </w:p>
    <w:p w14:paraId="6DA24684">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bookmarkStart w:id="187" w:name="_Toc140132787"/>
      <w:r>
        <w:rPr>
          <w:rFonts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.2</w:t>
      </w:r>
      <w:r>
        <w:rPr>
          <w:rFonts w:eastAsia="宋体"/>
          <w:color w:val="auto"/>
          <w:sz w:val="24"/>
          <w:highlight w:val="none"/>
        </w:rPr>
        <w:t>资格审查</w:t>
      </w:r>
      <w:r>
        <w:rPr>
          <w:rFonts w:hint="eastAsia" w:eastAsia="宋体"/>
          <w:color w:val="auto"/>
          <w:sz w:val="24"/>
          <w:highlight w:val="none"/>
        </w:rPr>
        <w:t>按“第四章</w:t>
      </w:r>
      <w:r>
        <w:rPr>
          <w:rFonts w:hint="eastAsia" w:eastAsia="宋体"/>
          <w:color w:val="auto"/>
          <w:sz w:val="24"/>
          <w:highlight w:val="none"/>
          <w:lang w:val="en-US" w:eastAsia="zh-CN"/>
        </w:rPr>
        <w:t xml:space="preserve"> </w:t>
      </w:r>
      <w:r>
        <w:rPr>
          <w:rFonts w:hint="eastAsia" w:eastAsia="宋体"/>
          <w:color w:val="auto"/>
          <w:sz w:val="24"/>
          <w:highlight w:val="none"/>
        </w:rPr>
        <w:t>资格审查”的规定进行。</w:t>
      </w:r>
      <w:bookmarkEnd w:id="187"/>
    </w:p>
    <w:p w14:paraId="3BF3E8A9">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bookmarkStart w:id="188" w:name="_Toc140132788"/>
      <w:r>
        <w:rPr>
          <w:rFonts w:eastAsia="宋体"/>
          <w:color w:val="auto"/>
          <w:sz w:val="24"/>
          <w:highlight w:val="none"/>
        </w:rPr>
        <w:t>2</w:t>
      </w:r>
      <w:r>
        <w:rPr>
          <w:rFonts w:hint="eastAsia" w:eastAsia="宋体"/>
          <w:color w:val="auto"/>
          <w:sz w:val="24"/>
          <w:highlight w:val="none"/>
          <w:lang w:val="en-US" w:eastAsia="zh-CN"/>
        </w:rPr>
        <w:t>7</w:t>
      </w:r>
      <w:r>
        <w:rPr>
          <w:rFonts w:hint="eastAsia" w:eastAsia="宋体"/>
          <w:color w:val="auto"/>
          <w:sz w:val="24"/>
          <w:highlight w:val="none"/>
        </w:rPr>
        <w:t>.3</w:t>
      </w:r>
      <w:r>
        <w:rPr>
          <w:rFonts w:eastAsia="宋体"/>
          <w:color w:val="auto"/>
          <w:sz w:val="24"/>
          <w:highlight w:val="none"/>
        </w:rPr>
        <w:t>资格审查结束后，应及时对资格审查结果进行复核，对资格审查错误进行及时纠正并记录。</w:t>
      </w:r>
      <w:bookmarkEnd w:id="188"/>
    </w:p>
    <w:p w14:paraId="1FA67A78">
      <w:pPr>
        <w:pStyle w:val="39"/>
        <w:keepNext w:val="0"/>
        <w:keepLines w:val="0"/>
        <w:pageBreakBefore w:val="0"/>
        <w:widowControl w:val="0"/>
        <w:kinsoku/>
        <w:overflowPunct/>
        <w:topLinePunct w:val="0"/>
        <w:autoSpaceDE/>
        <w:autoSpaceDN/>
        <w:bidi w:val="0"/>
        <w:adjustRightInd/>
        <w:textAlignment w:val="auto"/>
        <w:rPr>
          <w:rFonts w:hint="default" w:eastAsia="宋体"/>
          <w:color w:val="auto"/>
          <w:sz w:val="24"/>
          <w:highlight w:val="none"/>
          <w:lang w:val="en-US" w:eastAsia="zh-CN"/>
        </w:rPr>
      </w:pPr>
      <w:r>
        <w:rPr>
          <w:rFonts w:hint="eastAsia" w:eastAsia="宋体"/>
          <w:color w:val="auto"/>
          <w:sz w:val="24"/>
          <w:highlight w:val="none"/>
          <w:lang w:val="en-US" w:eastAsia="zh-CN"/>
        </w:rPr>
        <w:t>27.4</w:t>
      </w:r>
      <w:r>
        <w:rPr>
          <w:rFonts w:eastAsia="宋体"/>
          <w:color w:val="auto"/>
          <w:sz w:val="24"/>
          <w:highlight w:val="none"/>
        </w:rPr>
        <w:t>资格审查</w:t>
      </w:r>
      <w:r>
        <w:rPr>
          <w:rFonts w:hint="eastAsia" w:eastAsia="宋体"/>
          <w:color w:val="auto"/>
          <w:sz w:val="24"/>
          <w:highlight w:val="none"/>
        </w:rPr>
        <w:t>合格投标人不足3家的，不得评标。</w:t>
      </w:r>
    </w:p>
    <w:p w14:paraId="712572B3">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bookmarkStart w:id="189" w:name="_Toc163492856"/>
      <w:bookmarkStart w:id="190" w:name="_Toc140132789"/>
      <w:bookmarkStart w:id="191" w:name="_Toc155185878"/>
      <w:r>
        <w:rPr>
          <w:rFonts w:hint="eastAsia" w:ascii="宋体" w:hAnsi="宋体" w:eastAsia="宋体" w:cs="宋体"/>
          <w:b/>
          <w:bCs/>
          <w:color w:val="auto"/>
          <w:kern w:val="2"/>
          <w:sz w:val="24"/>
          <w:szCs w:val="32"/>
          <w:highlight w:val="none"/>
          <w:lang w:val="en-US" w:eastAsia="zh-CN" w:bidi="ar-SA"/>
        </w:rPr>
        <w:t>（七）评标</w:t>
      </w:r>
      <w:bookmarkEnd w:id="189"/>
      <w:bookmarkEnd w:id="190"/>
      <w:bookmarkEnd w:id="191"/>
    </w:p>
    <w:p w14:paraId="359F35D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92" w:name="_Toc163492857"/>
      <w:bookmarkStart w:id="193" w:name="_Toc140132790"/>
      <w:r>
        <w:rPr>
          <w:rFonts w:hint="eastAsia" w:ascii="宋体" w:hAnsi="宋体" w:eastAsia="宋体" w:cs="宋体"/>
          <w:b/>
          <w:bCs/>
          <w:color w:val="auto"/>
          <w:kern w:val="2"/>
          <w:sz w:val="24"/>
          <w:szCs w:val="28"/>
          <w:highlight w:val="none"/>
          <w:lang w:val="en-US" w:eastAsia="zh-CN" w:bidi="ar-SA"/>
        </w:rPr>
        <w:t>28.评标委员会</w:t>
      </w:r>
      <w:bookmarkEnd w:id="192"/>
      <w:bookmarkEnd w:id="193"/>
    </w:p>
    <w:p w14:paraId="05F68434">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ascii="宋体" w:hAnsi="宋体" w:eastAsia="宋体"/>
          <w:color w:val="auto"/>
          <w:sz w:val="24"/>
          <w:highlight w:val="none"/>
        </w:rPr>
        <w:t>2</w:t>
      </w:r>
      <w:r>
        <w:rPr>
          <w:rFonts w:hint="eastAsia" w:ascii="宋体" w:hAnsi="宋体" w:eastAsia="宋体"/>
          <w:color w:val="auto"/>
          <w:sz w:val="24"/>
          <w:highlight w:val="none"/>
          <w:lang w:val="en-US" w:eastAsia="zh-CN"/>
        </w:rPr>
        <w:t>8</w:t>
      </w:r>
      <w:r>
        <w:rPr>
          <w:rFonts w:hint="eastAsia" w:ascii="宋体" w:hAnsi="宋体" w:eastAsia="宋体"/>
          <w:color w:val="auto"/>
          <w:sz w:val="24"/>
          <w:highlight w:val="none"/>
        </w:rPr>
        <w:t>.1 评标由采购人依法组建的评标委员会负责。评标委员会由采购人代表和评审专家组成</w:t>
      </w:r>
      <w:r>
        <w:rPr>
          <w:rFonts w:hint="eastAsia" w:ascii="宋体" w:hAnsi="宋体" w:eastAsia="宋体"/>
          <w:color w:val="auto"/>
          <w:sz w:val="24"/>
          <w:highlight w:val="none"/>
          <w:lang w:eastAsia="zh-CN"/>
        </w:rPr>
        <w:t>，</w:t>
      </w:r>
      <w:r>
        <w:rPr>
          <w:rFonts w:hint="eastAsia" w:ascii="宋体" w:hAnsi="宋体" w:eastAsia="宋体"/>
          <w:color w:val="auto"/>
          <w:sz w:val="24"/>
          <w:highlight w:val="none"/>
          <w:lang w:val="en-US" w:eastAsia="zh-CN"/>
        </w:rPr>
        <w:t>成员人数应当为5</w:t>
      </w:r>
      <w:r>
        <w:rPr>
          <w:rFonts w:hint="eastAsia" w:ascii="宋体" w:hAnsi="宋体" w:eastAsia="宋体"/>
          <w:color w:val="auto"/>
          <w:sz w:val="24"/>
          <w:highlight w:val="none"/>
        </w:rPr>
        <w:t>人以上单数，其中</w:t>
      </w:r>
      <w:r>
        <w:rPr>
          <w:rFonts w:hint="eastAsia" w:ascii="宋体" w:hAnsi="宋体" w:eastAsia="宋体"/>
          <w:color w:val="auto"/>
          <w:sz w:val="24"/>
          <w:highlight w:val="none"/>
          <w:lang w:val="en-US" w:eastAsia="zh-CN"/>
        </w:rPr>
        <w:t>评审</w:t>
      </w:r>
      <w:r>
        <w:rPr>
          <w:rFonts w:hint="eastAsia" w:ascii="宋体" w:hAnsi="宋体" w:eastAsia="宋体"/>
          <w:color w:val="auto"/>
          <w:sz w:val="24"/>
          <w:highlight w:val="none"/>
        </w:rPr>
        <w:t>专家不</w:t>
      </w:r>
      <w:r>
        <w:rPr>
          <w:rFonts w:hint="eastAsia" w:ascii="宋体" w:hAnsi="宋体" w:eastAsia="宋体"/>
          <w:color w:val="auto"/>
          <w:sz w:val="24"/>
          <w:highlight w:val="none"/>
          <w:lang w:val="en-US" w:eastAsia="zh-CN"/>
        </w:rPr>
        <w:t>得</w:t>
      </w:r>
      <w:r>
        <w:rPr>
          <w:rFonts w:hint="eastAsia" w:ascii="宋体" w:hAnsi="宋体" w:eastAsia="宋体"/>
          <w:color w:val="auto"/>
          <w:sz w:val="24"/>
          <w:highlight w:val="none"/>
        </w:rPr>
        <w:t>少于</w:t>
      </w:r>
      <w:r>
        <w:rPr>
          <w:rFonts w:hint="eastAsia" w:ascii="宋体" w:hAnsi="宋体" w:eastAsia="宋体"/>
          <w:color w:val="auto"/>
          <w:sz w:val="24"/>
          <w:highlight w:val="none"/>
          <w:lang w:val="en-US" w:eastAsia="zh-CN"/>
        </w:rPr>
        <w:t>成员总数的</w:t>
      </w:r>
      <w:r>
        <w:rPr>
          <w:rFonts w:hint="eastAsia" w:ascii="宋体" w:hAnsi="宋体" w:eastAsia="宋体"/>
          <w:color w:val="auto"/>
          <w:sz w:val="24"/>
          <w:highlight w:val="none"/>
        </w:rPr>
        <w:t>三分之二。</w:t>
      </w:r>
      <w:r>
        <w:rPr>
          <w:rFonts w:hint="default" w:ascii="宋体" w:hAnsi="宋体" w:eastAsia="宋体"/>
          <w:color w:val="auto"/>
          <w:sz w:val="24"/>
          <w:highlight w:val="none"/>
          <w:lang w:val="en-US" w:eastAsia="zh-CN"/>
        </w:rPr>
        <w:t>采购人或者采购代理机构应当从省级以上财政部门设立的政府采购评审专家库中，通过随机方式抽取评审专家。</w:t>
      </w:r>
    </w:p>
    <w:p w14:paraId="35ECD7A3">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 xml:space="preserve">28.2 </w:t>
      </w:r>
      <w:r>
        <w:rPr>
          <w:rFonts w:ascii="宋体" w:hAnsi="宋体" w:eastAsia="宋体"/>
          <w:color w:val="auto"/>
          <w:sz w:val="24"/>
          <w:highlight w:val="none"/>
          <w:lang w:val="en-US" w:eastAsia="zh-CN"/>
        </w:rPr>
        <w:t>采购项目符合下列情形之一的，评标委员会成员人数应当为</w:t>
      </w:r>
      <w:r>
        <w:rPr>
          <w:rFonts w:hint="default" w:ascii="宋体" w:hAnsi="宋体" w:eastAsia="宋体"/>
          <w:color w:val="auto"/>
          <w:sz w:val="24"/>
          <w:highlight w:val="none"/>
          <w:lang w:val="en-US" w:eastAsia="zh-CN"/>
        </w:rPr>
        <w:t>7人以上单数：</w:t>
      </w:r>
    </w:p>
    <w:p w14:paraId="427748BD">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default" w:ascii="宋体" w:hAnsi="宋体" w:eastAsia="宋体"/>
          <w:color w:val="auto"/>
          <w:sz w:val="24"/>
          <w:highlight w:val="none"/>
          <w:lang w:val="en-US" w:eastAsia="zh-CN"/>
        </w:rPr>
        <w:t>（</w:t>
      </w:r>
      <w:r>
        <w:rPr>
          <w:rFonts w:hint="eastAsia" w:ascii="宋体" w:hAnsi="宋体" w:eastAsia="宋体"/>
          <w:color w:val="auto"/>
          <w:sz w:val="24"/>
          <w:highlight w:val="none"/>
          <w:lang w:val="en-US" w:eastAsia="zh-CN"/>
        </w:rPr>
        <w:t>1</w:t>
      </w:r>
      <w:r>
        <w:rPr>
          <w:rFonts w:hint="default" w:ascii="宋体" w:hAnsi="宋体" w:eastAsia="宋体"/>
          <w:color w:val="auto"/>
          <w:sz w:val="24"/>
          <w:highlight w:val="none"/>
          <w:lang w:val="en-US" w:eastAsia="zh-CN"/>
        </w:rPr>
        <w:t>）采购预算金额在1000万元以上；</w:t>
      </w:r>
    </w:p>
    <w:p w14:paraId="02FBA7E7">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default" w:ascii="宋体" w:hAnsi="宋体" w:eastAsia="宋体"/>
          <w:color w:val="auto"/>
          <w:sz w:val="24"/>
          <w:highlight w:val="none"/>
          <w:lang w:val="en-US" w:eastAsia="zh-CN"/>
        </w:rPr>
        <w:t>（</w:t>
      </w:r>
      <w:r>
        <w:rPr>
          <w:rFonts w:hint="eastAsia" w:ascii="宋体" w:hAnsi="宋体" w:eastAsia="宋体"/>
          <w:color w:val="auto"/>
          <w:sz w:val="24"/>
          <w:highlight w:val="none"/>
          <w:lang w:val="en-US" w:eastAsia="zh-CN"/>
        </w:rPr>
        <w:t>2</w:t>
      </w:r>
      <w:r>
        <w:rPr>
          <w:rFonts w:hint="default" w:ascii="宋体" w:hAnsi="宋体" w:eastAsia="宋体"/>
          <w:color w:val="auto"/>
          <w:sz w:val="24"/>
          <w:highlight w:val="none"/>
          <w:lang w:val="en-US" w:eastAsia="zh-CN"/>
        </w:rPr>
        <w:t>）技术复杂；</w:t>
      </w:r>
    </w:p>
    <w:p w14:paraId="722CC627">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default" w:ascii="宋体" w:hAnsi="宋体" w:eastAsia="宋体"/>
          <w:color w:val="auto"/>
          <w:sz w:val="24"/>
          <w:highlight w:val="none"/>
          <w:lang w:val="en-US" w:eastAsia="zh-CN"/>
        </w:rPr>
        <w:t>（</w:t>
      </w:r>
      <w:r>
        <w:rPr>
          <w:rFonts w:hint="eastAsia" w:ascii="宋体" w:hAnsi="宋体" w:eastAsia="宋体"/>
          <w:color w:val="auto"/>
          <w:sz w:val="24"/>
          <w:highlight w:val="none"/>
          <w:lang w:val="en-US" w:eastAsia="zh-CN"/>
        </w:rPr>
        <w:t>3</w:t>
      </w:r>
      <w:r>
        <w:rPr>
          <w:rFonts w:hint="default" w:ascii="宋体" w:hAnsi="宋体" w:eastAsia="宋体"/>
          <w:color w:val="auto"/>
          <w:sz w:val="24"/>
          <w:highlight w:val="none"/>
          <w:lang w:val="en-US" w:eastAsia="zh-CN"/>
        </w:rPr>
        <w:t>）社会影响较大。</w:t>
      </w:r>
    </w:p>
    <w:p w14:paraId="6CA68177">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28.3</w:t>
      </w:r>
      <w:r>
        <w:rPr>
          <w:rFonts w:hint="default" w:ascii="宋体" w:hAnsi="宋体" w:eastAsia="宋体"/>
          <w:color w:val="auto"/>
          <w:sz w:val="24"/>
          <w:highlight w:val="none"/>
          <w:lang w:val="en-US" w:eastAsia="zh-CN"/>
        </w:rPr>
        <w:t>评审专家对本单位的采购项目只能作为采购人代表参与评标，对技术复杂、专业性强的采购项目，通过随机方式难以确定合适评审专家的，经主管预算单位同意，采购人可以自行选定相应专业领域的评审专家。采购代理机构工作人员不得参加由本机构代理的政府采购项目的评标。</w:t>
      </w:r>
    </w:p>
    <w:p w14:paraId="7F83DBC8">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28.4</w:t>
      </w:r>
      <w:r>
        <w:rPr>
          <w:rFonts w:hint="default" w:ascii="宋体" w:hAnsi="宋体" w:eastAsia="宋体"/>
          <w:color w:val="auto"/>
          <w:sz w:val="24"/>
          <w:highlight w:val="none"/>
          <w:lang w:val="en-US" w:eastAsia="zh-CN"/>
        </w:rPr>
        <w:t>评标委员会成员名单在评标结果公告前应当保密。</w:t>
      </w:r>
    </w:p>
    <w:p w14:paraId="3D007A82">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28.5</w:t>
      </w:r>
      <w:r>
        <w:rPr>
          <w:rFonts w:hint="default" w:ascii="宋体" w:hAnsi="宋体" w:eastAsia="宋体"/>
          <w:color w:val="auto"/>
          <w:sz w:val="24"/>
          <w:highlight w:val="none"/>
          <w:lang w:val="en-US" w:eastAsia="zh-CN"/>
        </w:rPr>
        <w:t>评标中因评标委员会成员缺席、回避或者健康等特殊原因导致评标委员会组成不符合本办法规定的，采购人或者采购代理机构应当依法补足后继续评标。被更换的评标委员会成员所作出的评标意见无效。</w:t>
      </w:r>
    </w:p>
    <w:p w14:paraId="4F4C4582">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28.6</w:t>
      </w:r>
      <w:r>
        <w:rPr>
          <w:rFonts w:hint="default" w:ascii="宋体" w:hAnsi="宋体" w:eastAsia="宋体"/>
          <w:color w:val="auto"/>
          <w:sz w:val="24"/>
          <w:highlight w:val="none"/>
          <w:lang w:val="en-US" w:eastAsia="zh-CN"/>
        </w:rPr>
        <w:t>无法及时补足评标委员会成员的，采购人或者采购代理机构应当停止评标活动，封存所有投标文件和开标、评标资料，依法重新组建评标委员会进行评标。原评标委员会所作出的评标意见无效。</w:t>
      </w:r>
    </w:p>
    <w:p w14:paraId="5E29FF25">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8</w:t>
      </w:r>
      <w:r>
        <w:rPr>
          <w:rFonts w:hint="eastAsia" w:eastAsia="宋体"/>
          <w:color w:val="auto"/>
          <w:sz w:val="24"/>
          <w:highlight w:val="none"/>
        </w:rPr>
        <w:t>.</w:t>
      </w:r>
      <w:r>
        <w:rPr>
          <w:rFonts w:hint="eastAsia" w:eastAsia="宋体"/>
          <w:color w:val="auto"/>
          <w:sz w:val="24"/>
          <w:highlight w:val="none"/>
          <w:lang w:val="en-US" w:eastAsia="zh-CN"/>
        </w:rPr>
        <w:t>7</w:t>
      </w:r>
      <w:r>
        <w:rPr>
          <w:rFonts w:hint="eastAsia" w:eastAsia="宋体"/>
          <w:color w:val="auto"/>
          <w:sz w:val="24"/>
          <w:highlight w:val="none"/>
        </w:rPr>
        <w:t xml:space="preserve"> 评标委员会成员有下列情形之一的，应当回避：</w:t>
      </w:r>
    </w:p>
    <w:p w14:paraId="791A9DDE">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（1）参加采购活动前3年内与投标人存在劳动关系；</w:t>
      </w:r>
    </w:p>
    <w:p w14:paraId="2C0766D6">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（2）参加采购活动前3年内担任投标人的董事、监事；</w:t>
      </w:r>
    </w:p>
    <w:p w14:paraId="2528A1F7">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（3）参加采购活动前3年内是投标人的控股股东或实际控制人；</w:t>
      </w:r>
    </w:p>
    <w:p w14:paraId="0F2C972F">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（4）与投标人的法定代表人或者负责人有夫妻、直系血亲、三代以内旁系血亲或者近姻亲关系；</w:t>
      </w:r>
    </w:p>
    <w:p w14:paraId="1B85B8D9">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（5）与投标人有其他可能影响采购活动公平、公正进行的关系。</w:t>
      </w:r>
    </w:p>
    <w:p w14:paraId="6FD035BC">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94" w:name="_Toc140132791"/>
      <w:bookmarkStart w:id="195" w:name="_Toc163492858"/>
      <w:r>
        <w:rPr>
          <w:rFonts w:hint="eastAsia" w:ascii="宋体" w:hAnsi="宋体" w:eastAsia="宋体" w:cs="宋体"/>
          <w:b/>
          <w:bCs/>
          <w:color w:val="auto"/>
          <w:kern w:val="2"/>
          <w:sz w:val="24"/>
          <w:szCs w:val="28"/>
          <w:highlight w:val="none"/>
          <w:lang w:val="en-US" w:eastAsia="zh-CN" w:bidi="ar-SA"/>
        </w:rPr>
        <w:t>29.评标</w:t>
      </w:r>
      <w:bookmarkEnd w:id="194"/>
      <w:bookmarkEnd w:id="195"/>
    </w:p>
    <w:p w14:paraId="587847B0">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eastAsia="zh-CN"/>
        </w:rPr>
      </w:pPr>
      <w:r>
        <w:rPr>
          <w:rFonts w:hint="eastAsia" w:eastAsia="宋体"/>
          <w:color w:val="auto"/>
          <w:sz w:val="24"/>
          <w:highlight w:val="none"/>
          <w:lang w:val="en-US" w:eastAsia="zh-CN"/>
        </w:rPr>
        <w:t>29</w:t>
      </w:r>
      <w:r>
        <w:rPr>
          <w:rFonts w:hint="eastAsia" w:eastAsia="宋体"/>
          <w:color w:val="auto"/>
          <w:sz w:val="24"/>
          <w:highlight w:val="none"/>
        </w:rPr>
        <w:t>.1</w:t>
      </w:r>
      <w:r>
        <w:rPr>
          <w:rFonts w:hint="eastAsia" w:eastAsia="宋体"/>
          <w:color w:val="auto"/>
          <w:sz w:val="24"/>
          <w:highlight w:val="none"/>
          <w:lang w:val="en-US" w:eastAsia="zh-CN"/>
        </w:rPr>
        <w:t xml:space="preserve"> 评标方法分为综合评分法和</w:t>
      </w:r>
      <w:r>
        <w:rPr>
          <w:rFonts w:eastAsia="宋体"/>
          <w:color w:val="auto"/>
          <w:sz w:val="24"/>
          <w:highlight w:val="none"/>
        </w:rPr>
        <w:t>最低评标价法</w:t>
      </w:r>
      <w:r>
        <w:rPr>
          <w:rFonts w:hint="eastAsia" w:eastAsia="宋体"/>
          <w:color w:val="auto"/>
          <w:sz w:val="24"/>
          <w:highlight w:val="none"/>
          <w:lang w:eastAsia="zh-CN"/>
        </w:rPr>
        <w:t>，</w:t>
      </w:r>
      <w:r>
        <w:rPr>
          <w:rFonts w:eastAsia="宋体"/>
          <w:color w:val="auto"/>
          <w:sz w:val="24"/>
          <w:highlight w:val="none"/>
        </w:rPr>
        <w:t>本项目</w:t>
      </w:r>
      <w:r>
        <w:rPr>
          <w:rFonts w:hint="eastAsia" w:eastAsia="宋体"/>
          <w:color w:val="auto"/>
          <w:sz w:val="24"/>
          <w:highlight w:val="none"/>
        </w:rPr>
        <w:t>评标</w:t>
      </w:r>
      <w:r>
        <w:rPr>
          <w:rFonts w:hint="eastAsia" w:eastAsia="宋体"/>
          <w:color w:val="auto"/>
          <w:sz w:val="24"/>
          <w:highlight w:val="none"/>
          <w:lang w:val="en-US" w:eastAsia="zh-CN"/>
        </w:rPr>
        <w:t>方法详见</w:t>
      </w:r>
      <w:r>
        <w:rPr>
          <w:rFonts w:hint="eastAsia" w:eastAsia="宋体"/>
          <w:color w:val="auto"/>
          <w:sz w:val="24"/>
          <w:highlight w:val="none"/>
        </w:rPr>
        <w:t>“投标人须知前附表”</w:t>
      </w:r>
      <w:r>
        <w:rPr>
          <w:rFonts w:hint="eastAsia" w:eastAsia="宋体"/>
          <w:color w:val="auto"/>
          <w:sz w:val="24"/>
          <w:highlight w:val="none"/>
          <w:lang w:eastAsia="zh-CN"/>
        </w:rPr>
        <w:t>。</w:t>
      </w:r>
    </w:p>
    <w:p w14:paraId="57DC63B8">
      <w:pPr>
        <w:pStyle w:val="39"/>
        <w:rPr>
          <w:rFonts w:eastAsia="宋体"/>
          <w:color w:val="auto"/>
          <w:sz w:val="24"/>
          <w:highlight w:val="none"/>
        </w:rPr>
      </w:pPr>
      <w:r>
        <w:rPr>
          <w:rFonts w:eastAsia="宋体"/>
          <w:color w:val="auto"/>
          <w:sz w:val="24"/>
          <w:highlight w:val="none"/>
        </w:rPr>
        <w:t>2</w:t>
      </w:r>
      <w:r>
        <w:rPr>
          <w:rFonts w:hint="eastAsia" w:eastAsia="宋体"/>
          <w:color w:val="auto"/>
          <w:sz w:val="24"/>
          <w:highlight w:val="none"/>
          <w:lang w:val="en-US" w:eastAsia="zh-CN"/>
        </w:rPr>
        <w:t>9.1.1</w:t>
      </w:r>
      <w:r>
        <w:rPr>
          <w:rFonts w:eastAsia="宋体"/>
          <w:color w:val="auto"/>
          <w:sz w:val="24"/>
          <w:highlight w:val="none"/>
        </w:rPr>
        <w:t>综合评分法，是指投标文件满足招标文件全部实质性要求</w:t>
      </w:r>
      <w:r>
        <w:rPr>
          <w:rFonts w:hint="eastAsia" w:eastAsia="宋体"/>
          <w:color w:val="auto"/>
          <w:sz w:val="24"/>
          <w:highlight w:val="none"/>
          <w:lang w:eastAsia="zh-CN"/>
        </w:rPr>
        <w:t>，</w:t>
      </w:r>
      <w:r>
        <w:rPr>
          <w:rFonts w:eastAsia="宋体"/>
          <w:color w:val="auto"/>
          <w:sz w:val="24"/>
          <w:highlight w:val="none"/>
        </w:rPr>
        <w:t>且按照评审因素的量化指标评审得分最高的投标人为中标候选人的评标方法。</w:t>
      </w:r>
    </w:p>
    <w:p w14:paraId="2DDECDCB">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29.1.2.</w:t>
      </w:r>
      <w:r>
        <w:rPr>
          <w:rFonts w:eastAsia="宋体"/>
          <w:color w:val="auto"/>
          <w:sz w:val="24"/>
          <w:highlight w:val="none"/>
        </w:rPr>
        <w:t>最低评标价法，是指投标文件满足招标文件全部实质性要求</w:t>
      </w:r>
      <w:r>
        <w:rPr>
          <w:rFonts w:hint="eastAsia" w:eastAsia="宋体"/>
          <w:color w:val="auto"/>
          <w:sz w:val="24"/>
          <w:highlight w:val="none"/>
          <w:lang w:eastAsia="zh-CN"/>
        </w:rPr>
        <w:t>，</w:t>
      </w:r>
      <w:r>
        <w:rPr>
          <w:rFonts w:eastAsia="宋体"/>
          <w:color w:val="auto"/>
          <w:sz w:val="24"/>
          <w:highlight w:val="none"/>
        </w:rPr>
        <w:t>且投标报价最低的投标人为中标候选人的评标方法。</w:t>
      </w:r>
    </w:p>
    <w:p w14:paraId="2331DDD2">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lang w:val="en-US" w:eastAsia="zh-CN"/>
        </w:rPr>
        <w:t>29</w:t>
      </w:r>
      <w:r>
        <w:rPr>
          <w:rFonts w:hint="eastAsia" w:eastAsia="宋体"/>
          <w:color w:val="auto"/>
          <w:sz w:val="24"/>
          <w:highlight w:val="none"/>
        </w:rPr>
        <w:t>.</w:t>
      </w:r>
      <w:r>
        <w:rPr>
          <w:rFonts w:hint="eastAsia" w:eastAsia="宋体"/>
          <w:color w:val="auto"/>
          <w:sz w:val="24"/>
          <w:highlight w:val="none"/>
          <w:lang w:val="en-US" w:eastAsia="zh-CN"/>
        </w:rPr>
        <w:t xml:space="preserve">2 </w:t>
      </w:r>
      <w:r>
        <w:rPr>
          <w:rFonts w:hint="eastAsia" w:eastAsia="宋体"/>
          <w:color w:val="auto"/>
          <w:sz w:val="24"/>
          <w:highlight w:val="none"/>
        </w:rPr>
        <w:t>评标委员会按照“第五章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w:t>
      </w:r>
      <w:r>
        <w:rPr>
          <w:rFonts w:hint="eastAsia" w:eastAsia="宋体"/>
          <w:color w:val="auto"/>
          <w:sz w:val="24"/>
          <w:highlight w:val="none"/>
          <w:lang w:val="en-US" w:eastAsia="zh-CN"/>
        </w:rPr>
        <w:t>的</w:t>
      </w:r>
      <w:r>
        <w:rPr>
          <w:rFonts w:hint="eastAsia" w:eastAsia="宋体"/>
          <w:color w:val="auto"/>
          <w:sz w:val="24"/>
          <w:highlight w:val="none"/>
        </w:rPr>
        <w:t>规定对投标文件进行评审。“第五章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法及标准”没有规定的方法、评审因素和标准，不作为评标依据。</w:t>
      </w:r>
    </w:p>
    <w:p w14:paraId="6E0D0E48">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29</w:t>
      </w:r>
      <w:r>
        <w:rPr>
          <w:rFonts w:hint="eastAsia" w:eastAsia="宋体"/>
          <w:color w:val="auto"/>
          <w:sz w:val="24"/>
          <w:highlight w:val="none"/>
        </w:rPr>
        <w:t>.</w:t>
      </w:r>
      <w:r>
        <w:rPr>
          <w:rFonts w:hint="eastAsia" w:eastAsia="宋体"/>
          <w:color w:val="auto"/>
          <w:sz w:val="24"/>
          <w:highlight w:val="none"/>
          <w:lang w:val="en-US" w:eastAsia="zh-CN"/>
        </w:rPr>
        <w:t xml:space="preserve">3 </w:t>
      </w:r>
      <w:r>
        <w:rPr>
          <w:rFonts w:hint="eastAsia" w:eastAsia="宋体"/>
          <w:color w:val="auto"/>
          <w:sz w:val="24"/>
          <w:highlight w:val="none"/>
        </w:rPr>
        <w:t>评标委员会按“投标人须知前附表”规定的中标候选人数量在评标报告中向采购人推荐中标候选人。</w:t>
      </w:r>
    </w:p>
    <w:p w14:paraId="0B1B7A6D">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29.4 开标之后，直到签订合同止，凡是属于审查、澄清、评价和比较投标的有关资料以及定标意向等，均不得向投标人或者其他与评标无关的人员透露。</w:t>
      </w:r>
    </w:p>
    <w:p w14:paraId="0710C925">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29.5 在确定中标人之前，投标人试图在投标文件审查、澄清、比较和评标时对评标委员会、采购人和采购代理机构施加任何影响都可能导致其</w:t>
      </w:r>
      <w:r>
        <w:rPr>
          <w:rFonts w:hint="eastAsia" w:eastAsia="宋体"/>
          <w:b/>
          <w:bCs/>
          <w:color w:val="auto"/>
          <w:sz w:val="24"/>
          <w:highlight w:val="none"/>
          <w:lang w:val="en-US" w:eastAsia="zh-CN"/>
        </w:rPr>
        <w:t>投标无效</w:t>
      </w:r>
      <w:r>
        <w:rPr>
          <w:rFonts w:hint="eastAsia" w:eastAsia="宋体"/>
          <w:color w:val="auto"/>
          <w:sz w:val="24"/>
          <w:highlight w:val="none"/>
          <w:lang w:val="en-US" w:eastAsia="zh-CN"/>
        </w:rPr>
        <w:t>。</w:t>
      </w:r>
    </w:p>
    <w:p w14:paraId="1EE98BA9">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29.6 电子招投标的应急措施</w:t>
      </w:r>
    </w:p>
    <w:p w14:paraId="3A86A614">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29.6.1电子开标、评标如出现下列原因，导致系统无法正常运行或无法正常评标时，应采取应急措施。</w:t>
      </w:r>
    </w:p>
    <w:p w14:paraId="57C60DB2">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（1）系统服务器发生故障，无法访问或无法使用系统；</w:t>
      </w:r>
    </w:p>
    <w:p w14:paraId="43C8C020">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（2）系统的软件或数据库出现错误，不能进行正常操作；</w:t>
      </w:r>
    </w:p>
    <w:p w14:paraId="0B6431E1">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（3）系统发现有安全漏洞，有潜在的泄密危险；</w:t>
      </w:r>
    </w:p>
    <w:p w14:paraId="2C73B848">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（4）病毒发作或受到外来病毒的攻击；</w:t>
      </w:r>
    </w:p>
    <w:p w14:paraId="12FF5367">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（5）出现其他不可抗拒的客观原因造成开评标系统无法正常使用。</w:t>
      </w:r>
    </w:p>
    <w:p w14:paraId="7CDA78A1">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出现上述情况时，应对未开标的暂停开标。已在系统内开标、评标的立即停止。采取应急措施时，必须对原有资料及信息作出妥善保密处理。</w:t>
      </w:r>
    </w:p>
    <w:p w14:paraId="76000D83">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29.6.2因系统原因导致投标人均无法解密电子投标文件时，采购代理机构可在开标现场直接导入投标人在投标截止时间前递交的未加密的电子投标文件进行开标、评标。</w:t>
      </w:r>
    </w:p>
    <w:p w14:paraId="26B268E6">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29.7 投标人瑕疵滞后发现的处理规则</w:t>
      </w:r>
    </w:p>
    <w:p w14:paraId="7AD3DC87">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29.7.1无论基于何种原因，各项本应作</w:t>
      </w:r>
      <w:r>
        <w:rPr>
          <w:rFonts w:hint="eastAsia" w:eastAsia="宋体"/>
          <w:b/>
          <w:bCs/>
          <w:color w:val="auto"/>
          <w:sz w:val="24"/>
          <w:highlight w:val="none"/>
          <w:lang w:val="en-US" w:eastAsia="zh-CN"/>
        </w:rPr>
        <w:t>无效投标</w:t>
      </w:r>
      <w:r>
        <w:rPr>
          <w:rFonts w:hint="eastAsia" w:eastAsia="宋体"/>
          <w:color w:val="auto"/>
          <w:sz w:val="24"/>
          <w:highlight w:val="none"/>
          <w:lang w:val="en-US" w:eastAsia="zh-CN"/>
        </w:rPr>
        <w:t>处理的情形即便未被及时发现而使该投标人进入初审、综合评审或其他后续程序，包括已经签订合同的情形，一旦该投标人的投标作无效投标处理或该投标人的此前评议结果被取消，其现有的位置将被其他投标人依序替代，相关的一切损失均由该投标人承担。</w:t>
      </w:r>
    </w:p>
    <w:p w14:paraId="2395BEA9">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bookmarkStart w:id="196" w:name="_Toc140132792"/>
      <w:bookmarkStart w:id="197" w:name="_Toc155185879"/>
      <w:bookmarkStart w:id="198" w:name="_Toc163492859"/>
      <w:r>
        <w:rPr>
          <w:rFonts w:hint="eastAsia" w:ascii="宋体" w:hAnsi="宋体" w:eastAsia="宋体" w:cs="宋体"/>
          <w:b/>
          <w:bCs/>
          <w:color w:val="auto"/>
          <w:kern w:val="2"/>
          <w:sz w:val="24"/>
          <w:szCs w:val="32"/>
          <w:highlight w:val="none"/>
          <w:lang w:val="en-US" w:eastAsia="zh-CN" w:bidi="ar-SA"/>
        </w:rPr>
        <w:t>（八）中标</w:t>
      </w:r>
      <w:bookmarkEnd w:id="196"/>
      <w:bookmarkEnd w:id="197"/>
      <w:bookmarkEnd w:id="198"/>
    </w:p>
    <w:p w14:paraId="5C1E89A4">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199" w:name="_Toc163492860"/>
      <w:bookmarkStart w:id="200" w:name="_Toc140132793"/>
      <w:r>
        <w:rPr>
          <w:rFonts w:hint="eastAsia" w:ascii="宋体" w:hAnsi="宋体" w:eastAsia="宋体" w:cs="宋体"/>
          <w:b/>
          <w:bCs/>
          <w:color w:val="auto"/>
          <w:kern w:val="2"/>
          <w:sz w:val="24"/>
          <w:szCs w:val="28"/>
          <w:highlight w:val="none"/>
          <w:lang w:val="en-US" w:eastAsia="zh-CN" w:bidi="ar-SA"/>
        </w:rPr>
        <w:t>30.确定中标人</w:t>
      </w:r>
      <w:bookmarkEnd w:id="199"/>
      <w:bookmarkEnd w:id="200"/>
    </w:p>
    <w:p w14:paraId="7A086534">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eastAsia="宋体"/>
          <w:color w:val="auto"/>
          <w:sz w:val="24"/>
          <w:highlight w:val="none"/>
          <w:lang w:val="en-US" w:eastAsia="zh-CN"/>
        </w:rPr>
        <w:t>30.1</w:t>
      </w:r>
      <w:r>
        <w:rPr>
          <w:rFonts w:hint="eastAsia" w:ascii="宋体" w:hAnsi="宋体" w:eastAsia="宋体" w:cs="宋体"/>
          <w:color w:val="auto"/>
          <w:kern w:val="0"/>
          <w:sz w:val="24"/>
          <w:szCs w:val="24"/>
          <w:highlight w:val="none"/>
          <w:lang w:val="en-US" w:eastAsia="zh-CN" w:bidi="ar"/>
        </w:rPr>
        <w:t>采购人将在评标报告确定的中标候选人名单中按顺序确定中标人，中标候选人并列的，按照</w:t>
      </w:r>
      <w:r>
        <w:rPr>
          <w:rFonts w:hint="eastAsia" w:eastAsia="宋体"/>
          <w:color w:val="auto"/>
          <w:sz w:val="24"/>
          <w:highlight w:val="none"/>
        </w:rPr>
        <w:t>“投标人须知前附表”</w:t>
      </w:r>
      <w:r>
        <w:rPr>
          <w:rFonts w:hint="eastAsia" w:ascii="宋体" w:hAnsi="宋体" w:eastAsia="宋体" w:cs="宋体"/>
          <w:color w:val="auto"/>
          <w:kern w:val="0"/>
          <w:sz w:val="24"/>
          <w:szCs w:val="24"/>
          <w:highlight w:val="none"/>
          <w:lang w:val="en-US" w:eastAsia="zh-CN" w:bidi="ar"/>
        </w:rPr>
        <w:t>确定中标人；招标文件未规定的，采取随机抽取的方式确定。采购人是否委托评标委员会直接确定中标人，见</w:t>
      </w:r>
      <w:r>
        <w:rPr>
          <w:rFonts w:hint="eastAsia" w:eastAsia="宋体"/>
          <w:color w:val="auto"/>
          <w:sz w:val="24"/>
          <w:highlight w:val="none"/>
        </w:rPr>
        <w:t>“投标人须知前附表”</w:t>
      </w:r>
      <w:r>
        <w:rPr>
          <w:rFonts w:hint="eastAsia" w:ascii="宋体" w:hAnsi="宋体" w:eastAsia="宋体" w:cs="宋体"/>
          <w:color w:val="auto"/>
          <w:kern w:val="0"/>
          <w:sz w:val="24"/>
          <w:szCs w:val="24"/>
          <w:highlight w:val="none"/>
          <w:lang w:val="en-US" w:eastAsia="zh-CN" w:bidi="ar"/>
        </w:rPr>
        <w:t>。</w:t>
      </w:r>
    </w:p>
    <w:p w14:paraId="43BC0226">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w:t>
      </w:r>
      <w:r>
        <w:rPr>
          <w:rFonts w:hint="eastAsia" w:eastAsia="宋体" w:cs="宋体"/>
          <w:color w:val="auto"/>
          <w:kern w:val="0"/>
          <w:sz w:val="24"/>
          <w:szCs w:val="24"/>
          <w:highlight w:val="none"/>
          <w:lang w:val="en-US" w:eastAsia="zh-CN" w:bidi="ar"/>
        </w:rPr>
        <w:t>0</w:t>
      </w:r>
      <w:r>
        <w:rPr>
          <w:rFonts w:hint="eastAsia" w:ascii="宋体" w:hAnsi="宋体" w:eastAsia="宋体" w:cs="宋体"/>
          <w:color w:val="auto"/>
          <w:kern w:val="0"/>
          <w:sz w:val="24"/>
          <w:szCs w:val="24"/>
          <w:highlight w:val="none"/>
          <w:lang w:val="en-US" w:eastAsia="zh-CN" w:bidi="ar"/>
        </w:rPr>
        <w:t>.</w:t>
      </w:r>
      <w:r>
        <w:rPr>
          <w:rFonts w:hint="eastAsia" w:eastAsia="宋体" w:cs="宋体"/>
          <w:color w:val="auto"/>
          <w:kern w:val="0"/>
          <w:sz w:val="24"/>
          <w:szCs w:val="24"/>
          <w:highlight w:val="none"/>
          <w:lang w:val="en-US" w:eastAsia="zh-CN" w:bidi="ar"/>
        </w:rPr>
        <w:t>2采</w:t>
      </w:r>
      <w:r>
        <w:rPr>
          <w:rFonts w:hint="eastAsia" w:ascii="宋体" w:hAnsi="宋体" w:eastAsia="宋体" w:cs="宋体"/>
          <w:color w:val="auto"/>
          <w:kern w:val="0"/>
          <w:sz w:val="24"/>
          <w:szCs w:val="24"/>
          <w:highlight w:val="none"/>
          <w:lang w:val="en-US" w:eastAsia="zh-CN" w:bidi="ar"/>
        </w:rPr>
        <w:t>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w:t>
      </w:r>
      <w:r>
        <w:rPr>
          <w:rFonts w:hint="eastAsia" w:eastAsia="宋体"/>
          <w:color w:val="auto"/>
          <w:sz w:val="24"/>
          <w:highlight w:val="none"/>
        </w:rPr>
        <w:t>“投标人须知前附表”</w:t>
      </w:r>
      <w:r>
        <w:rPr>
          <w:rFonts w:hint="eastAsia" w:ascii="宋体" w:hAnsi="宋体" w:eastAsia="宋体" w:cs="宋体"/>
          <w:color w:val="auto"/>
          <w:kern w:val="0"/>
          <w:sz w:val="24"/>
          <w:szCs w:val="24"/>
          <w:highlight w:val="none"/>
          <w:lang w:val="en-US" w:eastAsia="zh-CN" w:bidi="ar"/>
        </w:rPr>
        <w:t>规定的方式确定一个投标人获得中标人推荐资格，招标文件未规定的采取随机抽取方式确定，其他同品牌投标人不作为中标候选人。</w:t>
      </w:r>
    </w:p>
    <w:p w14:paraId="24C9E1F0">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eastAsia="宋体" w:cs="宋体"/>
          <w:color w:val="auto"/>
          <w:kern w:val="0"/>
          <w:sz w:val="24"/>
          <w:szCs w:val="24"/>
          <w:highlight w:val="none"/>
          <w:lang w:val="en-US" w:eastAsia="zh-CN" w:bidi="ar"/>
        </w:rPr>
      </w:pPr>
      <w:r>
        <w:rPr>
          <w:rFonts w:hint="eastAsia" w:eastAsia="宋体" w:cs="宋体"/>
          <w:color w:val="auto"/>
          <w:kern w:val="0"/>
          <w:sz w:val="24"/>
          <w:szCs w:val="24"/>
          <w:highlight w:val="none"/>
          <w:lang w:val="en-US" w:eastAsia="zh-CN" w:bidi="ar"/>
        </w:rPr>
        <w:t>30.3采用最低评标价法的采购项目，提供相同品牌产品的不同投标人参加同一合同项下投标的，以其中通过资格审查、符合性审查且报价最低的参加评标；报价相同的，由采购人或者采购人委托评标委员会按照</w:t>
      </w:r>
      <w:r>
        <w:rPr>
          <w:rFonts w:hint="eastAsia" w:eastAsia="宋体"/>
          <w:color w:val="auto"/>
          <w:sz w:val="24"/>
          <w:highlight w:val="none"/>
        </w:rPr>
        <w:t>“投标人须知前附表”</w:t>
      </w:r>
      <w:r>
        <w:rPr>
          <w:rFonts w:hint="eastAsia" w:eastAsia="宋体" w:cs="宋体"/>
          <w:color w:val="auto"/>
          <w:kern w:val="0"/>
          <w:sz w:val="24"/>
          <w:szCs w:val="24"/>
          <w:highlight w:val="none"/>
          <w:lang w:val="en-US" w:eastAsia="zh-CN" w:bidi="ar"/>
        </w:rPr>
        <w:t>规定的方式确定一个参加评标的投标人，招标文件未规定的采取随机抽取方式确定，其他投标无效。</w:t>
      </w:r>
    </w:p>
    <w:p w14:paraId="6D04205F">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eastAsia="宋体"/>
          <w:color w:val="auto"/>
          <w:sz w:val="24"/>
          <w:highlight w:val="none"/>
        </w:rPr>
      </w:pPr>
      <w:r>
        <w:rPr>
          <w:rFonts w:hint="eastAsia" w:eastAsia="宋体" w:cs="宋体"/>
          <w:color w:val="auto"/>
          <w:kern w:val="0"/>
          <w:sz w:val="24"/>
          <w:szCs w:val="24"/>
          <w:highlight w:val="none"/>
          <w:lang w:val="en-US" w:eastAsia="zh-CN" w:bidi="ar"/>
        </w:rPr>
        <w:t>30.4非单一产品采购项目，采购人应当根据采购项目技术构成、产品价格比重等合理确定核心产品，并在</w:t>
      </w:r>
      <w:r>
        <w:rPr>
          <w:rFonts w:hint="eastAsia" w:eastAsia="宋体"/>
          <w:color w:val="auto"/>
          <w:sz w:val="24"/>
          <w:highlight w:val="none"/>
        </w:rPr>
        <w:t>“投标人须知前附表”</w:t>
      </w:r>
      <w:r>
        <w:rPr>
          <w:rFonts w:hint="eastAsia" w:eastAsia="宋体" w:cs="宋体"/>
          <w:color w:val="auto"/>
          <w:kern w:val="0"/>
          <w:sz w:val="24"/>
          <w:szCs w:val="24"/>
          <w:highlight w:val="none"/>
          <w:lang w:val="en-US" w:eastAsia="zh-CN" w:bidi="ar"/>
        </w:rPr>
        <w:t>中载明。多家投标人提供的核心产品品牌相同的，按前两款规定处理。</w:t>
      </w:r>
      <w:r>
        <w:rPr>
          <w:rFonts w:hint="eastAsia" w:ascii="宋体" w:hAnsi="宋体" w:eastAsia="宋体" w:cs="宋体"/>
          <w:color w:val="auto"/>
          <w:kern w:val="0"/>
          <w:sz w:val="24"/>
          <w:szCs w:val="24"/>
          <w:highlight w:val="none"/>
          <w:lang w:val="en-US" w:eastAsia="zh-CN" w:bidi="ar"/>
        </w:rPr>
        <w:t xml:space="preserve"> </w:t>
      </w:r>
    </w:p>
    <w:p w14:paraId="2EDB0E45">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01" w:name="_Toc140132794"/>
      <w:bookmarkStart w:id="202" w:name="_Toc163492861"/>
      <w:r>
        <w:rPr>
          <w:rFonts w:hint="eastAsia" w:ascii="宋体" w:hAnsi="宋体" w:eastAsia="宋体" w:cs="宋体"/>
          <w:b/>
          <w:bCs/>
          <w:color w:val="auto"/>
          <w:kern w:val="2"/>
          <w:sz w:val="24"/>
          <w:szCs w:val="28"/>
          <w:highlight w:val="none"/>
          <w:lang w:val="en-US" w:eastAsia="zh-CN" w:bidi="ar-SA"/>
        </w:rPr>
        <w:t>31.中标结果公告</w:t>
      </w:r>
      <w:bookmarkEnd w:id="201"/>
      <w:bookmarkEnd w:id="202"/>
    </w:p>
    <w:p w14:paraId="23E0CFBE">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1</w:t>
      </w:r>
      <w:r>
        <w:rPr>
          <w:rFonts w:hint="eastAsia" w:eastAsia="宋体"/>
          <w:color w:val="auto"/>
          <w:sz w:val="24"/>
          <w:highlight w:val="none"/>
        </w:rPr>
        <w:t>.1</w:t>
      </w:r>
      <w:r>
        <w:rPr>
          <w:rFonts w:hint="eastAsia" w:eastAsia="宋体"/>
          <w:color w:val="auto"/>
          <w:sz w:val="24"/>
          <w:highlight w:val="none"/>
          <w:lang w:val="en-US" w:eastAsia="zh-CN"/>
        </w:rPr>
        <w:t>采购人或</w:t>
      </w:r>
      <w:r>
        <w:rPr>
          <w:rFonts w:hint="eastAsia" w:eastAsia="宋体"/>
          <w:color w:val="auto"/>
          <w:sz w:val="24"/>
          <w:highlight w:val="none"/>
        </w:rPr>
        <w:t>采购代理机构应当自中标人确定之日起2个工作日内，在</w:t>
      </w:r>
      <w:r>
        <w:rPr>
          <w:rFonts w:hint="eastAsia" w:eastAsia="宋体"/>
          <w:color w:val="auto"/>
          <w:sz w:val="24"/>
          <w:highlight w:val="none"/>
          <w:lang w:val="en-US" w:eastAsia="zh-CN"/>
        </w:rPr>
        <w:t>发布招标公告的同一</w:t>
      </w:r>
      <w:r>
        <w:rPr>
          <w:rFonts w:hint="eastAsia" w:eastAsia="宋体"/>
          <w:color w:val="auto"/>
          <w:sz w:val="24"/>
          <w:highlight w:val="none"/>
        </w:rPr>
        <w:t>媒体上发布中标结果公告，</w:t>
      </w:r>
      <w:r>
        <w:rPr>
          <w:rFonts w:hint="eastAsia" w:eastAsia="宋体"/>
          <w:color w:val="auto"/>
          <w:sz w:val="24"/>
          <w:highlight w:val="none"/>
          <w:lang w:val="en-US" w:eastAsia="zh-CN"/>
        </w:rPr>
        <w:t>同时向中标人</w:t>
      </w:r>
      <w:r>
        <w:rPr>
          <w:rFonts w:hint="eastAsia" w:eastAsia="宋体"/>
          <w:color w:val="auto"/>
          <w:sz w:val="24"/>
          <w:highlight w:val="none"/>
        </w:rPr>
        <w:t>发出中标通知书</w:t>
      </w:r>
      <w:r>
        <w:rPr>
          <w:rFonts w:hint="eastAsia" w:eastAsia="宋体"/>
          <w:color w:val="auto"/>
          <w:sz w:val="24"/>
          <w:highlight w:val="none"/>
          <w:lang w:eastAsia="zh-CN"/>
        </w:rPr>
        <w:t>。招标文件随中标结果同时公告，</w:t>
      </w:r>
      <w:r>
        <w:rPr>
          <w:rFonts w:hint="eastAsia" w:eastAsia="宋体"/>
          <w:color w:val="auto"/>
          <w:sz w:val="24"/>
          <w:highlight w:val="none"/>
        </w:rPr>
        <w:t>中标结果公告期限为1个工作日。</w:t>
      </w:r>
    </w:p>
    <w:p w14:paraId="1D616F6E">
      <w:pPr>
        <w:pStyle w:val="39"/>
        <w:keepNext w:val="0"/>
        <w:keepLines w:val="0"/>
        <w:pageBreakBefore w:val="0"/>
        <w:widowControl w:val="0"/>
        <w:kinsoku/>
        <w:overflowPunct/>
        <w:topLinePunct w:val="0"/>
        <w:autoSpaceDE/>
        <w:autoSpaceDN/>
        <w:bidi w:val="0"/>
        <w:adjustRightInd/>
        <w:textAlignment w:val="auto"/>
        <w:rPr>
          <w:rFonts w:hint="eastAsia" w:eastAsia="宋体"/>
          <w:bCs/>
          <w:color w:val="auto"/>
          <w:sz w:val="24"/>
          <w:highlight w:val="none"/>
          <w:lang w:eastAsia="zh-CN"/>
        </w:rPr>
      </w:pPr>
      <w:r>
        <w:rPr>
          <w:rFonts w:hint="eastAsia" w:eastAsia="宋体"/>
          <w:bCs/>
          <w:color w:val="auto"/>
          <w:sz w:val="24"/>
          <w:highlight w:val="none"/>
        </w:rPr>
        <w:t>3</w:t>
      </w:r>
      <w:r>
        <w:rPr>
          <w:rFonts w:hint="eastAsia" w:eastAsia="宋体"/>
          <w:bCs/>
          <w:color w:val="auto"/>
          <w:sz w:val="24"/>
          <w:highlight w:val="none"/>
          <w:lang w:val="en-US" w:eastAsia="zh-CN"/>
        </w:rPr>
        <w:t>1</w:t>
      </w:r>
      <w:r>
        <w:rPr>
          <w:rFonts w:eastAsia="宋体"/>
          <w:bCs/>
          <w:color w:val="auto"/>
          <w:sz w:val="24"/>
          <w:highlight w:val="none"/>
        </w:rPr>
        <w:t>.2</w:t>
      </w:r>
      <w:r>
        <w:rPr>
          <w:rFonts w:hint="eastAsia" w:eastAsia="宋体"/>
          <w:bCs/>
          <w:color w:val="auto"/>
          <w:sz w:val="24"/>
          <w:highlight w:val="none"/>
          <w:lang w:eastAsia="zh-CN"/>
        </w:rPr>
        <w:t>中标</w:t>
      </w:r>
      <w:r>
        <w:rPr>
          <w:rFonts w:hint="eastAsia" w:eastAsia="宋体"/>
          <w:bCs/>
          <w:color w:val="auto"/>
          <w:sz w:val="24"/>
          <w:highlight w:val="none"/>
          <w:lang w:val="en-US" w:eastAsia="zh-CN"/>
        </w:rPr>
        <w:t>人</w:t>
      </w:r>
      <w:r>
        <w:rPr>
          <w:rFonts w:hint="eastAsia" w:eastAsia="宋体"/>
          <w:bCs/>
          <w:color w:val="auto"/>
          <w:sz w:val="24"/>
          <w:highlight w:val="none"/>
          <w:lang w:eastAsia="zh-CN"/>
        </w:rPr>
        <w:t>为中小企业</w:t>
      </w:r>
      <w:r>
        <w:rPr>
          <w:rFonts w:hint="eastAsia" w:eastAsia="宋体"/>
          <w:bCs/>
          <w:color w:val="auto"/>
          <w:sz w:val="24"/>
          <w:highlight w:val="none"/>
          <w:lang w:val="en-US" w:eastAsia="zh-CN"/>
        </w:rPr>
        <w:t>享受中小企业扶持政策的</w:t>
      </w:r>
      <w:r>
        <w:rPr>
          <w:rFonts w:hint="eastAsia" w:eastAsia="宋体"/>
          <w:bCs/>
          <w:color w:val="auto"/>
          <w:sz w:val="24"/>
          <w:highlight w:val="none"/>
          <w:lang w:eastAsia="zh-CN"/>
        </w:rPr>
        <w:t>，其“中小企业声明函”随中标结果同时公告。中标</w:t>
      </w:r>
      <w:r>
        <w:rPr>
          <w:rFonts w:hint="eastAsia" w:eastAsia="宋体"/>
          <w:bCs/>
          <w:color w:val="auto"/>
          <w:sz w:val="24"/>
          <w:highlight w:val="none"/>
          <w:lang w:val="en-US" w:eastAsia="zh-CN"/>
        </w:rPr>
        <w:t>人</w:t>
      </w:r>
      <w:r>
        <w:rPr>
          <w:rFonts w:hint="eastAsia" w:eastAsia="宋体"/>
          <w:bCs/>
          <w:color w:val="auto"/>
          <w:sz w:val="24"/>
          <w:highlight w:val="none"/>
          <w:lang w:eastAsia="zh-CN"/>
        </w:rPr>
        <w:t>为残疾人福利性单位的，其“残疾人福利性单位声明函”随中标结果同时公告。</w:t>
      </w:r>
    </w:p>
    <w:p w14:paraId="3668E750">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bCs/>
          <w:color w:val="auto"/>
          <w:sz w:val="24"/>
          <w:highlight w:val="none"/>
        </w:rPr>
      </w:pPr>
      <w:r>
        <w:rPr>
          <w:rFonts w:hint="eastAsia" w:ascii="宋体" w:hAnsi="宋体" w:eastAsia="宋体"/>
          <w:bCs/>
          <w:color w:val="auto"/>
          <w:sz w:val="24"/>
          <w:highlight w:val="none"/>
          <w:lang w:val="en-US" w:eastAsia="zh-CN"/>
        </w:rPr>
        <w:t>31.3</w:t>
      </w:r>
      <w:r>
        <w:rPr>
          <w:rFonts w:hint="eastAsia" w:ascii="宋体" w:hAnsi="宋体" w:eastAsia="宋体"/>
          <w:bCs/>
          <w:color w:val="auto"/>
          <w:sz w:val="24"/>
          <w:highlight w:val="none"/>
        </w:rPr>
        <w:t>项目采购采用最低评标价法的，公告中标结果时同时公告因落实政府采购政策等原因进行价格扣除后中标</w:t>
      </w:r>
      <w:r>
        <w:rPr>
          <w:rFonts w:hint="eastAsia" w:ascii="宋体" w:hAnsi="宋体" w:eastAsia="宋体"/>
          <w:bCs/>
          <w:color w:val="auto"/>
          <w:sz w:val="24"/>
          <w:highlight w:val="none"/>
          <w:lang w:val="en-US" w:eastAsia="zh-CN"/>
        </w:rPr>
        <w:t>人</w:t>
      </w:r>
      <w:r>
        <w:rPr>
          <w:rFonts w:hint="eastAsia" w:ascii="宋体" w:hAnsi="宋体" w:eastAsia="宋体"/>
          <w:bCs/>
          <w:color w:val="auto"/>
          <w:sz w:val="24"/>
          <w:highlight w:val="none"/>
        </w:rPr>
        <w:t>的评审报价；项目采购采用综合评分法的，公告中标结果时同时公告中标</w:t>
      </w:r>
      <w:r>
        <w:rPr>
          <w:rFonts w:hint="eastAsia" w:ascii="宋体" w:hAnsi="宋体" w:eastAsia="宋体"/>
          <w:bCs/>
          <w:color w:val="auto"/>
          <w:sz w:val="24"/>
          <w:highlight w:val="none"/>
          <w:lang w:val="en-US" w:eastAsia="zh-CN"/>
        </w:rPr>
        <w:t>供应商</w:t>
      </w:r>
      <w:r>
        <w:rPr>
          <w:rFonts w:hint="eastAsia" w:ascii="宋体" w:hAnsi="宋体" w:eastAsia="宋体"/>
          <w:bCs/>
          <w:color w:val="auto"/>
          <w:sz w:val="24"/>
          <w:highlight w:val="none"/>
        </w:rPr>
        <w:t>的评审总得分。</w:t>
      </w:r>
    </w:p>
    <w:p w14:paraId="087BA26F">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03" w:name="_Toc140132795"/>
      <w:bookmarkStart w:id="204" w:name="_Toc163492862"/>
      <w:r>
        <w:rPr>
          <w:rFonts w:hint="eastAsia" w:ascii="宋体" w:hAnsi="宋体" w:eastAsia="宋体" w:cs="宋体"/>
          <w:b/>
          <w:bCs/>
          <w:color w:val="auto"/>
          <w:kern w:val="2"/>
          <w:sz w:val="24"/>
          <w:szCs w:val="28"/>
          <w:highlight w:val="none"/>
          <w:lang w:val="en-US" w:eastAsia="zh-CN" w:bidi="ar-SA"/>
        </w:rPr>
        <w:t>32.中标通知</w:t>
      </w:r>
      <w:bookmarkEnd w:id="203"/>
      <w:bookmarkEnd w:id="204"/>
    </w:p>
    <w:p w14:paraId="2FF761F9">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2</w:t>
      </w:r>
      <w:r>
        <w:rPr>
          <w:rFonts w:hint="eastAsia" w:eastAsia="宋体"/>
          <w:color w:val="auto"/>
          <w:sz w:val="24"/>
          <w:highlight w:val="none"/>
        </w:rPr>
        <w:t>.1采购人和采购代理机构以书面形式向中标人发出中标通知书，同时将招标结果通知未中标的投标人。对未通过资格审查的投标人，应当告知其未通过的原因；采用综合评分法评审的，还应当告知未中标人本人的评审得分与排序。</w:t>
      </w:r>
    </w:p>
    <w:p w14:paraId="79C79441">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32.2中标通知书对采购人和中标人均具有法律效力。中标通知书发出后，采购人改变中标结果的，或者中标人放弃中标项目的，应当依法承担法律责任。</w:t>
      </w:r>
    </w:p>
    <w:p w14:paraId="4B8FA6C6">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bookmarkStart w:id="205" w:name="_Toc163492863"/>
      <w:r>
        <w:rPr>
          <w:rFonts w:hint="eastAsia" w:ascii="宋体" w:hAnsi="宋体" w:eastAsia="宋体" w:cs="宋体"/>
          <w:b/>
          <w:bCs/>
          <w:color w:val="auto"/>
          <w:kern w:val="2"/>
          <w:sz w:val="24"/>
          <w:szCs w:val="32"/>
          <w:highlight w:val="none"/>
          <w:lang w:val="en-US" w:eastAsia="zh-CN" w:bidi="ar-SA"/>
        </w:rPr>
        <w:t>（九）签订</w:t>
      </w:r>
      <w:bookmarkStart w:id="206" w:name="_Toc155185880"/>
      <w:bookmarkStart w:id="207" w:name="_Toc140132796"/>
      <w:r>
        <w:rPr>
          <w:rFonts w:hint="eastAsia" w:ascii="宋体" w:hAnsi="宋体" w:eastAsia="宋体" w:cs="宋体"/>
          <w:b/>
          <w:bCs/>
          <w:color w:val="auto"/>
          <w:kern w:val="2"/>
          <w:sz w:val="24"/>
          <w:szCs w:val="32"/>
          <w:highlight w:val="none"/>
          <w:lang w:val="en-US" w:eastAsia="zh-CN" w:bidi="ar-SA"/>
        </w:rPr>
        <w:t>合同</w:t>
      </w:r>
      <w:bookmarkEnd w:id="205"/>
      <w:bookmarkEnd w:id="206"/>
      <w:bookmarkEnd w:id="207"/>
    </w:p>
    <w:p w14:paraId="2AFD9524">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08" w:name="_Toc140132797"/>
      <w:bookmarkStart w:id="209" w:name="_Toc163492864"/>
      <w:r>
        <w:rPr>
          <w:rFonts w:hint="eastAsia" w:ascii="宋体" w:hAnsi="宋体" w:eastAsia="宋体" w:cs="宋体"/>
          <w:b/>
          <w:bCs/>
          <w:color w:val="auto"/>
          <w:kern w:val="2"/>
          <w:sz w:val="24"/>
          <w:szCs w:val="28"/>
          <w:highlight w:val="none"/>
          <w:lang w:val="en-US" w:eastAsia="zh-CN" w:bidi="ar-SA"/>
        </w:rPr>
        <w:t>33.履约保证金</w:t>
      </w:r>
      <w:bookmarkEnd w:id="208"/>
      <w:bookmarkEnd w:id="209"/>
    </w:p>
    <w:p w14:paraId="5AB698AF">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3</w:t>
      </w:r>
      <w:r>
        <w:rPr>
          <w:rFonts w:hint="eastAsia" w:eastAsia="宋体"/>
          <w:color w:val="auto"/>
          <w:sz w:val="24"/>
          <w:highlight w:val="none"/>
        </w:rPr>
        <w:t>.1在签订合同前，中标人应按“投标人须知前附表”规定的金额、担保形式和采购人认可的履约担保格式向采购人提交履约保证金。</w:t>
      </w:r>
    </w:p>
    <w:p w14:paraId="3B0E0617">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3</w:t>
      </w:r>
      <w:r>
        <w:rPr>
          <w:rFonts w:hint="eastAsia" w:eastAsia="宋体"/>
          <w:color w:val="auto"/>
          <w:sz w:val="24"/>
          <w:highlight w:val="none"/>
        </w:rPr>
        <w:t>.2中标人不能按本章第</w:t>
      </w:r>
      <w:r>
        <w:rPr>
          <w:rFonts w:eastAsia="宋体"/>
          <w:color w:val="auto"/>
          <w:sz w:val="24"/>
          <w:highlight w:val="none"/>
        </w:rPr>
        <w:t>3</w:t>
      </w:r>
      <w:r>
        <w:rPr>
          <w:rFonts w:hint="eastAsia" w:eastAsia="宋体"/>
          <w:color w:val="auto"/>
          <w:sz w:val="24"/>
          <w:highlight w:val="none"/>
          <w:lang w:val="en-US" w:eastAsia="zh-CN"/>
        </w:rPr>
        <w:t>3</w:t>
      </w:r>
      <w:r>
        <w:rPr>
          <w:rFonts w:hint="eastAsia" w:eastAsia="宋体"/>
          <w:color w:val="auto"/>
          <w:sz w:val="24"/>
          <w:highlight w:val="none"/>
        </w:rPr>
        <w:t>.1项要求提交履约担保的，视为放弃中标，给采购人造成损失的，中标人还应当承担民事责任。</w:t>
      </w:r>
    </w:p>
    <w:p w14:paraId="48FD31E7">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10" w:name="_Toc140132798"/>
      <w:bookmarkStart w:id="211" w:name="_Toc163492865"/>
      <w:r>
        <w:rPr>
          <w:rFonts w:hint="eastAsia" w:ascii="宋体" w:hAnsi="宋体" w:eastAsia="宋体" w:cs="宋体"/>
          <w:b/>
          <w:bCs/>
          <w:color w:val="auto"/>
          <w:kern w:val="2"/>
          <w:sz w:val="24"/>
          <w:szCs w:val="28"/>
          <w:highlight w:val="none"/>
          <w:lang w:val="en-US" w:eastAsia="zh-CN" w:bidi="ar-SA"/>
        </w:rPr>
        <w:t>34.签订合同</w:t>
      </w:r>
      <w:bookmarkEnd w:id="210"/>
      <w:bookmarkEnd w:id="211"/>
    </w:p>
    <w:p w14:paraId="5725AF63">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4</w:t>
      </w:r>
      <w:r>
        <w:rPr>
          <w:rFonts w:hint="eastAsia" w:eastAsia="宋体"/>
          <w:color w:val="auto"/>
          <w:sz w:val="24"/>
          <w:highlight w:val="none"/>
        </w:rPr>
        <w:t>.1 采购人和中标人应当自中标通知书发出之日起</w:t>
      </w:r>
      <w:r>
        <w:rPr>
          <w:rFonts w:hint="eastAsia"/>
          <w:color w:val="auto"/>
          <w:sz w:val="24"/>
          <w:highlight w:val="none"/>
          <w:lang w:val="en-US" w:eastAsia="zh-CN"/>
        </w:rPr>
        <w:t>30</w:t>
      </w:r>
      <w:r>
        <w:rPr>
          <w:rFonts w:hint="eastAsia" w:eastAsia="宋体"/>
          <w:color w:val="auto"/>
          <w:sz w:val="24"/>
          <w:highlight w:val="none"/>
        </w:rPr>
        <w:t>天内，根据招标文件和中标人的投标文件订立书面合同。</w:t>
      </w:r>
      <w:r>
        <w:rPr>
          <w:rFonts w:hint="eastAsia" w:ascii="宋体" w:hAnsi="宋体" w:eastAsia="宋体"/>
          <w:color w:val="auto"/>
          <w:sz w:val="24"/>
          <w:highlight w:val="none"/>
        </w:rPr>
        <w:t>采购人因不可抗力原因迟延签订合同的，应当自不可抗力事由消除之日起7日内完成合同签订事宜。</w:t>
      </w:r>
      <w:r>
        <w:rPr>
          <w:rFonts w:hint="eastAsia" w:eastAsia="宋体"/>
          <w:color w:val="auto"/>
          <w:sz w:val="24"/>
          <w:highlight w:val="none"/>
        </w:rPr>
        <w:t>所签订的合同不得对招标文件和中标人投标文件作实质性修改。中标人无正当理由拒签合同，给采购人造成损失的，中标人还应当承担民事责任。</w:t>
      </w:r>
    </w:p>
    <w:p w14:paraId="1A9C634C">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34.2 中标人拒绝与采购人签订合同的，采购人可以按照评标报告推荐的中标候选人名单排序，确定下一候选人为中标人，也可以重新开展政府采购活动。</w:t>
      </w:r>
    </w:p>
    <w:p w14:paraId="7A9928A0">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4</w:t>
      </w:r>
      <w:r>
        <w:rPr>
          <w:rFonts w:hint="eastAsia" w:eastAsia="宋体"/>
          <w:color w:val="auto"/>
          <w:sz w:val="24"/>
          <w:highlight w:val="none"/>
        </w:rPr>
        <w:t>.</w:t>
      </w:r>
      <w:r>
        <w:rPr>
          <w:rFonts w:hint="eastAsia" w:eastAsia="宋体"/>
          <w:color w:val="auto"/>
          <w:sz w:val="24"/>
          <w:highlight w:val="none"/>
          <w:lang w:val="en-US" w:eastAsia="zh-CN"/>
        </w:rPr>
        <w:t>3</w:t>
      </w:r>
      <w:r>
        <w:rPr>
          <w:rFonts w:hint="eastAsia" w:eastAsia="宋体"/>
          <w:color w:val="auto"/>
          <w:sz w:val="24"/>
          <w:highlight w:val="none"/>
        </w:rPr>
        <w:t xml:space="preserve"> 采购人和中标人不得向对方提出任何不合理的要求，作为签订合同的条件，双方不得私下订立背离合同实质性内容的协议。</w:t>
      </w:r>
    </w:p>
    <w:p w14:paraId="3267568C">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en-US" w:eastAsia="zh-CN"/>
        </w:rPr>
      </w:pPr>
      <w:r>
        <w:rPr>
          <w:rFonts w:hint="eastAsia" w:eastAsia="宋体"/>
          <w:color w:val="auto"/>
          <w:sz w:val="24"/>
          <w:highlight w:val="none"/>
          <w:lang w:val="en-US" w:eastAsia="zh-CN"/>
        </w:rPr>
        <w:t>34.4 联合体中标的，联合体各方应当共同与采购人签订合同，就采购合同约定的事项向采购人承担连带责任。</w:t>
      </w:r>
    </w:p>
    <w:p w14:paraId="59FA0957">
      <w:pPr>
        <w:pStyle w:val="39"/>
        <w:keepNext w:val="0"/>
        <w:keepLines w:val="0"/>
        <w:pageBreakBefore w:val="0"/>
        <w:widowControl w:val="0"/>
        <w:kinsoku/>
        <w:overflowPunct/>
        <w:topLinePunct w:val="0"/>
        <w:autoSpaceDE/>
        <w:autoSpaceDN/>
        <w:bidi w:val="0"/>
        <w:adjustRightInd/>
        <w:textAlignment w:val="auto"/>
        <w:rPr>
          <w:rFonts w:hint="eastAsia" w:eastAsia="宋体"/>
          <w:b/>
          <w:bCs/>
          <w:color w:val="auto"/>
          <w:sz w:val="24"/>
          <w:highlight w:val="none"/>
          <w:lang w:val="en-US" w:eastAsia="zh-CN"/>
        </w:rPr>
      </w:pPr>
      <w:r>
        <w:rPr>
          <w:rFonts w:hint="eastAsia" w:eastAsia="宋体"/>
          <w:color w:val="auto"/>
          <w:sz w:val="24"/>
          <w:highlight w:val="none"/>
          <w:lang w:val="en-US" w:eastAsia="zh-CN"/>
        </w:rPr>
        <w:t>34.5 本项目的非主体、非关键性工作是否允许分包，见“投标人须知前附表”。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eastAsia="宋体"/>
          <w:b/>
          <w:bCs/>
          <w:color w:val="auto"/>
          <w:sz w:val="24"/>
          <w:highlight w:val="none"/>
          <w:lang w:val="en-US" w:eastAsia="zh-CN"/>
        </w:rPr>
        <w:t>投标无效</w:t>
      </w:r>
      <w:r>
        <w:rPr>
          <w:rFonts w:hint="eastAsia" w:eastAsia="宋体"/>
          <w:color w:val="auto"/>
          <w:sz w:val="24"/>
          <w:highlight w:val="none"/>
          <w:lang w:val="en-US" w:eastAsia="zh-CN"/>
        </w:rPr>
        <w:t>。中标人就采购项目和分包项目向采购人负责，分包供应商就分包项目承担责任。</w:t>
      </w:r>
      <w:r>
        <w:rPr>
          <w:rFonts w:hint="eastAsia" w:eastAsia="宋体"/>
          <w:b/>
          <w:bCs/>
          <w:color w:val="auto"/>
          <w:sz w:val="24"/>
          <w:highlight w:val="none"/>
          <w:lang w:val="en-US" w:eastAsia="zh-CN"/>
        </w:rPr>
        <w:t>政府采购合同不能转包。</w:t>
      </w:r>
    </w:p>
    <w:p w14:paraId="6E2A4B2E">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4</w:t>
      </w:r>
      <w:r>
        <w:rPr>
          <w:rFonts w:hint="eastAsia" w:eastAsia="宋体"/>
          <w:color w:val="auto"/>
          <w:sz w:val="24"/>
          <w:highlight w:val="none"/>
        </w:rPr>
        <w:t>.</w:t>
      </w:r>
      <w:r>
        <w:rPr>
          <w:rFonts w:hint="eastAsia" w:eastAsia="宋体"/>
          <w:color w:val="auto"/>
          <w:sz w:val="24"/>
          <w:highlight w:val="none"/>
          <w:lang w:val="en-US" w:eastAsia="zh-CN"/>
        </w:rPr>
        <w:t>6</w:t>
      </w:r>
      <w:r>
        <w:rPr>
          <w:rFonts w:hint="eastAsia" w:eastAsia="宋体"/>
          <w:color w:val="auto"/>
          <w:sz w:val="24"/>
          <w:highlight w:val="none"/>
        </w:rPr>
        <w:t>采购合同履行中，采购人需追加与合同标的相同的</w:t>
      </w:r>
      <w:r>
        <w:rPr>
          <w:rFonts w:hint="eastAsia" w:eastAsia="宋体"/>
          <w:color w:val="auto"/>
          <w:sz w:val="24"/>
          <w:highlight w:val="none"/>
          <w:lang w:val="en-US" w:eastAsia="zh-CN"/>
        </w:rPr>
        <w:t>货物、工程或者服务</w:t>
      </w:r>
      <w:r>
        <w:rPr>
          <w:rFonts w:hint="eastAsia" w:eastAsia="宋体"/>
          <w:color w:val="auto"/>
          <w:sz w:val="24"/>
          <w:highlight w:val="none"/>
        </w:rPr>
        <w:t>的，在不改变合同其他条款的前提下，可以与中标人协商签订补充合同，但所有补充合同的采购金额不得超过原合同采购金额的百分之十。</w:t>
      </w:r>
    </w:p>
    <w:p w14:paraId="7F29643D">
      <w:pPr>
        <w:pStyle w:val="39"/>
        <w:keepNext w:val="0"/>
        <w:keepLines w:val="0"/>
        <w:pageBreakBefore w:val="0"/>
        <w:widowControl w:val="0"/>
        <w:kinsoku/>
        <w:overflowPunct/>
        <w:topLinePunct w:val="0"/>
        <w:autoSpaceDE/>
        <w:autoSpaceDN/>
        <w:bidi w:val="0"/>
        <w:adjustRightInd/>
        <w:textAlignment w:val="auto"/>
        <w:rPr>
          <w:rFonts w:hint="default"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34.7 采购人应于签订合同之日起2个工作日内在政采云平台备案公示。</w:t>
      </w:r>
    </w:p>
    <w:p w14:paraId="0A4B277F">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bookmarkStart w:id="212" w:name="_Toc163492866"/>
      <w:bookmarkStart w:id="213" w:name="_Toc140132799"/>
      <w:bookmarkStart w:id="214" w:name="_Toc155185881"/>
      <w:r>
        <w:rPr>
          <w:rFonts w:hint="eastAsia" w:ascii="宋体" w:hAnsi="宋体" w:eastAsia="宋体" w:cs="宋体"/>
          <w:b/>
          <w:bCs/>
          <w:color w:val="auto"/>
          <w:kern w:val="2"/>
          <w:sz w:val="24"/>
          <w:szCs w:val="32"/>
          <w:highlight w:val="none"/>
          <w:lang w:val="en-US" w:eastAsia="zh-CN" w:bidi="ar-SA"/>
        </w:rPr>
        <w:t>（十）质疑和投诉</w:t>
      </w:r>
      <w:bookmarkEnd w:id="212"/>
      <w:bookmarkEnd w:id="213"/>
      <w:bookmarkEnd w:id="214"/>
    </w:p>
    <w:p w14:paraId="1D204F81">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15" w:name="_Toc140132800"/>
      <w:bookmarkStart w:id="216" w:name="_Toc163492867"/>
      <w:r>
        <w:rPr>
          <w:rFonts w:hint="eastAsia" w:ascii="宋体" w:hAnsi="宋体" w:eastAsia="宋体" w:cs="宋体"/>
          <w:b/>
          <w:bCs/>
          <w:color w:val="auto"/>
          <w:kern w:val="2"/>
          <w:sz w:val="24"/>
          <w:szCs w:val="28"/>
          <w:highlight w:val="none"/>
          <w:lang w:val="en-US" w:eastAsia="zh-CN" w:bidi="ar-SA"/>
        </w:rPr>
        <w:t>35.质疑</w:t>
      </w:r>
      <w:bookmarkEnd w:id="215"/>
      <w:bookmarkEnd w:id="216"/>
    </w:p>
    <w:p w14:paraId="00CD406F">
      <w:pPr>
        <w:pStyle w:val="39"/>
        <w:keepNext w:val="0"/>
        <w:keepLines w:val="0"/>
        <w:pageBreakBefore w:val="0"/>
        <w:widowControl w:val="0"/>
        <w:kinsoku/>
        <w:overflowPunct/>
        <w:topLinePunct w:val="0"/>
        <w:autoSpaceDE/>
        <w:autoSpaceDN/>
        <w:bidi w:val="0"/>
        <w:adjustRightInd/>
        <w:textAlignment w:val="auto"/>
        <w:rPr>
          <w:rFonts w:hint="default" w:eastAsia="宋体"/>
          <w:color w:val="auto"/>
          <w:sz w:val="24"/>
          <w:highlight w:val="none"/>
          <w:lang w:val="en-US" w:eastAsia="zh-CN"/>
        </w:rPr>
      </w:pPr>
      <w:r>
        <w:rPr>
          <w:rFonts w:eastAsia="宋体"/>
          <w:color w:val="auto"/>
          <w:sz w:val="24"/>
          <w:highlight w:val="none"/>
        </w:rPr>
        <w:t>3</w:t>
      </w:r>
      <w:r>
        <w:rPr>
          <w:rFonts w:hint="eastAsia" w:eastAsia="宋体"/>
          <w:color w:val="auto"/>
          <w:sz w:val="24"/>
          <w:highlight w:val="none"/>
          <w:lang w:val="en-US" w:eastAsia="zh-CN"/>
        </w:rPr>
        <w:t>5</w:t>
      </w:r>
      <w:r>
        <w:rPr>
          <w:rFonts w:hint="eastAsia" w:eastAsia="宋体"/>
          <w:color w:val="auto"/>
          <w:sz w:val="24"/>
          <w:highlight w:val="none"/>
        </w:rPr>
        <w:t>.1供应商认为采购文件、采购过程、中标结果使自己的权益受到损害的，可以在知道或者应知其权益受到损害之日起7个工作日内，以书面形式向采购人、采购代理机构提出质疑</w:t>
      </w:r>
      <w:r>
        <w:rPr>
          <w:rFonts w:hint="eastAsia" w:eastAsia="宋体"/>
          <w:color w:val="auto"/>
          <w:sz w:val="24"/>
          <w:highlight w:val="none"/>
          <w:lang w:eastAsia="zh-CN"/>
        </w:rPr>
        <w:t>，</w:t>
      </w:r>
      <w:r>
        <w:rPr>
          <w:rFonts w:hint="eastAsia" w:eastAsia="宋体"/>
          <w:color w:val="auto"/>
          <w:sz w:val="24"/>
          <w:highlight w:val="none"/>
          <w:lang w:val="en-US" w:eastAsia="zh-CN"/>
        </w:rPr>
        <w:t>详见“投标人须知前附表”</w:t>
      </w:r>
      <w:r>
        <w:rPr>
          <w:rFonts w:hint="eastAsia" w:eastAsia="宋体"/>
          <w:color w:val="auto"/>
          <w:sz w:val="24"/>
          <w:highlight w:val="none"/>
        </w:rPr>
        <w:t>。供应商在法定质疑期内一次性提出针对同一采购程序环节的质疑。</w:t>
      </w:r>
    </w:p>
    <w:p w14:paraId="484BAC2F">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3</w:t>
      </w:r>
      <w:r>
        <w:rPr>
          <w:rFonts w:hint="eastAsia" w:eastAsia="宋体"/>
          <w:color w:val="auto"/>
          <w:sz w:val="24"/>
          <w:highlight w:val="none"/>
          <w:lang w:val="en-US" w:eastAsia="zh-CN"/>
        </w:rPr>
        <w:t>5</w:t>
      </w:r>
      <w:r>
        <w:rPr>
          <w:rFonts w:hint="eastAsia" w:eastAsia="宋体"/>
          <w:color w:val="auto"/>
          <w:sz w:val="24"/>
          <w:highlight w:val="none"/>
        </w:rPr>
        <w:t>.2提出质疑的供应商（以下简称质疑供应商）应当是参与所质疑项目采购活动的供应商。</w:t>
      </w:r>
    </w:p>
    <w:p w14:paraId="6F5C8A67">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35.3</w:t>
      </w:r>
      <w:r>
        <w:rPr>
          <w:rFonts w:hint="eastAsia" w:eastAsia="宋体"/>
          <w:color w:val="auto"/>
          <w:sz w:val="24"/>
          <w:highlight w:val="none"/>
        </w:rPr>
        <w:t>潜在供应商已依法获取其可质疑的采购文件的，可以对该文件提出质疑。对采购文件提出质疑的，应当在获取采购文件或者采购文件公告期限届满之日起7个工作日内提出。</w:t>
      </w:r>
    </w:p>
    <w:p w14:paraId="43286247">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35.4</w:t>
      </w:r>
      <w:r>
        <w:rPr>
          <w:rFonts w:hint="eastAsia" w:eastAsia="宋体"/>
          <w:color w:val="auto"/>
          <w:sz w:val="24"/>
          <w:highlight w:val="none"/>
        </w:rPr>
        <w:t>供应商提出质疑应当提交质疑函和必要的证明材料。质疑函应当包括下列内容：</w:t>
      </w:r>
    </w:p>
    <w:p w14:paraId="34B4FACC">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1</w:t>
      </w:r>
      <w:r>
        <w:rPr>
          <w:rFonts w:hint="eastAsia" w:eastAsia="宋体"/>
          <w:color w:val="auto"/>
          <w:sz w:val="24"/>
          <w:highlight w:val="none"/>
        </w:rPr>
        <w:t>）供应商的姓名或者名称、地址、邮编、联系人及联系电话；</w:t>
      </w:r>
    </w:p>
    <w:p w14:paraId="01A063D7">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2</w:t>
      </w:r>
      <w:r>
        <w:rPr>
          <w:rFonts w:hint="eastAsia" w:eastAsia="宋体"/>
          <w:color w:val="auto"/>
          <w:sz w:val="24"/>
          <w:highlight w:val="none"/>
        </w:rPr>
        <w:t>）质疑项目的名称、</w:t>
      </w:r>
      <w:r>
        <w:rPr>
          <w:rFonts w:hint="eastAsia" w:eastAsia="宋体"/>
          <w:color w:val="auto"/>
          <w:sz w:val="24"/>
          <w:highlight w:val="none"/>
          <w:lang w:val="en-US" w:eastAsia="zh-CN"/>
        </w:rPr>
        <w:t>项目</w:t>
      </w:r>
      <w:r>
        <w:rPr>
          <w:rFonts w:hint="eastAsia" w:eastAsia="宋体"/>
          <w:color w:val="auto"/>
          <w:sz w:val="24"/>
          <w:highlight w:val="none"/>
        </w:rPr>
        <w:t>编号</w:t>
      </w:r>
      <w:r>
        <w:rPr>
          <w:rFonts w:hint="eastAsia" w:eastAsia="宋体"/>
          <w:color w:val="auto"/>
          <w:sz w:val="24"/>
          <w:highlight w:val="none"/>
          <w:lang w:val="en-US" w:eastAsia="zh-CN"/>
        </w:rPr>
        <w:t>/包号</w:t>
      </w:r>
      <w:r>
        <w:rPr>
          <w:rFonts w:hint="eastAsia" w:eastAsia="宋体"/>
          <w:color w:val="auto"/>
          <w:sz w:val="24"/>
          <w:highlight w:val="none"/>
        </w:rPr>
        <w:t>；</w:t>
      </w:r>
    </w:p>
    <w:p w14:paraId="39349AD0">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3</w:t>
      </w:r>
      <w:r>
        <w:rPr>
          <w:rFonts w:hint="eastAsia" w:eastAsia="宋体"/>
          <w:color w:val="auto"/>
          <w:sz w:val="24"/>
          <w:highlight w:val="none"/>
        </w:rPr>
        <w:t>）具体、明确的质疑事项和与质疑事项相关的请求；</w:t>
      </w:r>
    </w:p>
    <w:p w14:paraId="0148949A">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4</w:t>
      </w:r>
      <w:r>
        <w:rPr>
          <w:rFonts w:hint="eastAsia" w:eastAsia="宋体"/>
          <w:color w:val="auto"/>
          <w:sz w:val="24"/>
          <w:highlight w:val="none"/>
        </w:rPr>
        <w:t>）事实依据；</w:t>
      </w:r>
    </w:p>
    <w:p w14:paraId="0C797370">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5</w:t>
      </w:r>
      <w:r>
        <w:rPr>
          <w:rFonts w:hint="eastAsia" w:eastAsia="宋体"/>
          <w:color w:val="auto"/>
          <w:sz w:val="24"/>
          <w:highlight w:val="none"/>
        </w:rPr>
        <w:t>）必要的法律依据；</w:t>
      </w:r>
    </w:p>
    <w:p w14:paraId="32C83B03">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6</w:t>
      </w:r>
      <w:r>
        <w:rPr>
          <w:rFonts w:hint="eastAsia" w:eastAsia="宋体"/>
          <w:color w:val="auto"/>
          <w:sz w:val="24"/>
          <w:highlight w:val="none"/>
        </w:rPr>
        <w:t>）提出质疑的日期。</w:t>
      </w:r>
    </w:p>
    <w:p w14:paraId="379B2294">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供应商为自然人的，应当由本人签字；供应商为法人或者其他组织的，应当由法定代表人、主要负责人，或者其授权代表签字或者盖章，并加盖公章。</w:t>
      </w:r>
    </w:p>
    <w:p w14:paraId="0958AA98">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3</w:t>
      </w:r>
      <w:r>
        <w:rPr>
          <w:rFonts w:hint="eastAsia" w:eastAsia="宋体"/>
          <w:color w:val="auto"/>
          <w:sz w:val="24"/>
          <w:highlight w:val="none"/>
          <w:lang w:val="en-US" w:eastAsia="zh-CN"/>
        </w:rPr>
        <w:t>5</w:t>
      </w:r>
      <w:r>
        <w:rPr>
          <w:rFonts w:hint="eastAsia" w:eastAsia="宋体"/>
          <w:color w:val="auto"/>
          <w:sz w:val="24"/>
          <w:highlight w:val="none"/>
        </w:rPr>
        <w:t>.5质疑函不符合上述要求的，采购人或代理机构应书面告知具体事项，质疑人应当按要求进行修改或补充，并在质疑有效期限内提交。</w:t>
      </w:r>
    </w:p>
    <w:p w14:paraId="3228BDBF">
      <w:pPr>
        <w:pStyle w:val="39"/>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r>
        <w:rPr>
          <w:rFonts w:hint="eastAsia" w:eastAsia="宋体"/>
          <w:snapToGrid w:val="0"/>
          <w:color w:val="auto"/>
          <w:sz w:val="24"/>
          <w:highlight w:val="none"/>
        </w:rPr>
        <w:t>3</w:t>
      </w:r>
      <w:r>
        <w:rPr>
          <w:rFonts w:hint="eastAsia" w:eastAsia="宋体"/>
          <w:snapToGrid w:val="0"/>
          <w:color w:val="auto"/>
          <w:sz w:val="24"/>
          <w:highlight w:val="none"/>
          <w:lang w:val="en-US" w:eastAsia="zh-CN"/>
        </w:rPr>
        <w:t>5</w:t>
      </w:r>
      <w:r>
        <w:rPr>
          <w:rFonts w:hint="eastAsia" w:eastAsia="宋体"/>
          <w:snapToGrid w:val="0"/>
          <w:color w:val="auto"/>
          <w:sz w:val="24"/>
          <w:highlight w:val="none"/>
        </w:rPr>
        <w:t>.</w:t>
      </w:r>
      <w:r>
        <w:rPr>
          <w:rFonts w:hint="eastAsia" w:eastAsia="宋体"/>
          <w:snapToGrid w:val="0"/>
          <w:color w:val="auto"/>
          <w:sz w:val="24"/>
          <w:highlight w:val="none"/>
          <w:lang w:val="en-US" w:eastAsia="zh-CN"/>
        </w:rPr>
        <w:t>6</w:t>
      </w:r>
      <w:r>
        <w:rPr>
          <w:rFonts w:hint="eastAsia" w:eastAsia="宋体"/>
          <w:snapToGrid w:val="0"/>
          <w:color w:val="auto"/>
          <w:sz w:val="24"/>
          <w:highlight w:val="none"/>
        </w:rPr>
        <w:t>投标人进行虚假和恶意</w:t>
      </w:r>
      <w:r>
        <w:rPr>
          <w:rFonts w:hint="eastAsia" w:eastAsia="宋体"/>
          <w:snapToGrid w:val="0"/>
          <w:color w:val="auto"/>
          <w:sz w:val="24"/>
          <w:highlight w:val="none"/>
          <w:lang w:val="en-US" w:eastAsia="zh-CN"/>
        </w:rPr>
        <w:t>质疑投诉</w:t>
      </w:r>
      <w:r>
        <w:rPr>
          <w:rFonts w:hint="eastAsia" w:eastAsia="宋体"/>
          <w:snapToGrid w:val="0"/>
          <w:color w:val="auto"/>
          <w:sz w:val="24"/>
          <w:highlight w:val="none"/>
        </w:rPr>
        <w:t>的，采购代理机构将提请有关部门将其列入不良记录名单，在一至三年内禁止参加政府采购活动，并将处理决定在相关政府采购媒体上公布。</w:t>
      </w:r>
    </w:p>
    <w:p w14:paraId="022B7B48">
      <w:pPr>
        <w:pStyle w:val="39"/>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35.7</w:t>
      </w:r>
      <w:r>
        <w:rPr>
          <w:rFonts w:hint="eastAsia" w:eastAsia="宋体"/>
          <w:color w:val="auto"/>
          <w:sz w:val="24"/>
          <w:highlight w:val="none"/>
        </w:rPr>
        <w:t>质疑函</w:t>
      </w:r>
      <w:r>
        <w:rPr>
          <w:rFonts w:hint="eastAsia" w:eastAsia="宋体"/>
          <w:color w:val="auto"/>
          <w:sz w:val="24"/>
          <w:highlight w:val="none"/>
          <w:lang w:val="en-US" w:eastAsia="zh-CN"/>
        </w:rPr>
        <w:t>应当使用中文，并采用财政部门制定的范本。</w:t>
      </w:r>
    </w:p>
    <w:p w14:paraId="4544815A">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17" w:name="_Toc163492868"/>
      <w:bookmarkStart w:id="218" w:name="_Toc140132801"/>
      <w:r>
        <w:rPr>
          <w:rFonts w:hint="eastAsia" w:ascii="宋体" w:hAnsi="宋体" w:eastAsia="宋体" w:cs="宋体"/>
          <w:b/>
          <w:bCs/>
          <w:color w:val="auto"/>
          <w:kern w:val="2"/>
          <w:sz w:val="24"/>
          <w:szCs w:val="28"/>
          <w:highlight w:val="none"/>
          <w:lang w:val="en-US" w:eastAsia="zh-CN" w:bidi="ar-SA"/>
        </w:rPr>
        <w:t>36.质疑答复</w:t>
      </w:r>
      <w:bookmarkEnd w:id="217"/>
      <w:bookmarkEnd w:id="218"/>
    </w:p>
    <w:p w14:paraId="09A2C411">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color w:val="auto"/>
          <w:sz w:val="24"/>
          <w:highlight w:val="none"/>
        </w:rPr>
        <w:t>3</w:t>
      </w:r>
      <w:r>
        <w:rPr>
          <w:rFonts w:hint="eastAsia" w:eastAsia="宋体"/>
          <w:color w:val="auto"/>
          <w:sz w:val="24"/>
          <w:highlight w:val="none"/>
          <w:lang w:val="en-US" w:eastAsia="zh-CN"/>
        </w:rPr>
        <w:t>6</w:t>
      </w:r>
      <w:r>
        <w:rPr>
          <w:rFonts w:hint="eastAsia" w:eastAsia="宋体"/>
          <w:color w:val="auto"/>
          <w:sz w:val="24"/>
          <w:highlight w:val="none"/>
        </w:rPr>
        <w:t>.1采购人、采购代理机构不得拒收质疑供应商在法定质疑期内发出的质疑函，应当在收到质疑函后7个工作日内作出答复，并以书面形式通知质疑供应商和其他有关供应商。</w:t>
      </w:r>
    </w:p>
    <w:p w14:paraId="2F39481B">
      <w:pPr>
        <w:pStyle w:val="39"/>
        <w:keepNext w:val="0"/>
        <w:keepLines w:val="0"/>
        <w:pageBreakBefore w:val="0"/>
        <w:widowControl w:val="0"/>
        <w:kinsoku/>
        <w:overflowPunct/>
        <w:topLinePunct w:val="0"/>
        <w:autoSpaceDE/>
        <w:autoSpaceDN/>
        <w:bidi w:val="0"/>
        <w:adjustRightInd/>
        <w:textAlignment w:val="auto"/>
        <w:rPr>
          <w:rFonts w:hint="default" w:eastAsia="宋体"/>
          <w:color w:val="auto"/>
          <w:sz w:val="24"/>
          <w:highlight w:val="none"/>
          <w:lang w:val="en-US" w:eastAsia="zh-CN"/>
        </w:rPr>
      </w:pPr>
      <w:r>
        <w:rPr>
          <w:rFonts w:hint="eastAsia" w:eastAsia="宋体"/>
          <w:color w:val="auto"/>
          <w:sz w:val="24"/>
          <w:highlight w:val="none"/>
          <w:lang w:val="en-US" w:eastAsia="zh-CN"/>
        </w:rPr>
        <w:t>36.2供应商对评审过程、中标结果提出质疑的，采购人、采购代理机构可以组织原评标委员会协助答复质疑。</w:t>
      </w:r>
    </w:p>
    <w:p w14:paraId="2AE6BD51">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bookmarkStart w:id="219" w:name="_Toc140132802"/>
      <w:bookmarkStart w:id="220" w:name="_Toc163492869"/>
      <w:r>
        <w:rPr>
          <w:rFonts w:hint="eastAsia" w:eastAsia="宋体"/>
          <w:color w:val="auto"/>
          <w:sz w:val="24"/>
          <w:highlight w:val="none"/>
          <w:lang w:val="zh-CN" w:eastAsia="zh-CN"/>
        </w:rPr>
        <w:t>质疑答复应当包括下列内容：</w:t>
      </w:r>
    </w:p>
    <w:p w14:paraId="19E4FEF9">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1</w:t>
      </w:r>
      <w:r>
        <w:rPr>
          <w:rFonts w:hint="eastAsia" w:eastAsia="宋体"/>
          <w:color w:val="auto"/>
          <w:sz w:val="24"/>
          <w:highlight w:val="none"/>
          <w:lang w:val="zh-CN" w:eastAsia="zh-CN"/>
        </w:rPr>
        <w:t>）质疑供应商的姓名或者名称；</w:t>
      </w:r>
    </w:p>
    <w:p w14:paraId="35C4AD78">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2</w:t>
      </w:r>
      <w:r>
        <w:rPr>
          <w:rFonts w:hint="eastAsia" w:eastAsia="宋体"/>
          <w:color w:val="auto"/>
          <w:sz w:val="24"/>
          <w:highlight w:val="none"/>
          <w:lang w:val="zh-CN" w:eastAsia="zh-CN"/>
        </w:rPr>
        <w:t>）收到质疑函的日期、质疑项目名称及</w:t>
      </w:r>
      <w:r>
        <w:rPr>
          <w:rFonts w:hint="eastAsia" w:eastAsia="宋体"/>
          <w:color w:val="auto"/>
          <w:sz w:val="24"/>
          <w:highlight w:val="none"/>
          <w:lang w:val="en-US" w:eastAsia="zh-CN"/>
        </w:rPr>
        <w:t>项目</w:t>
      </w:r>
      <w:r>
        <w:rPr>
          <w:rFonts w:hint="eastAsia" w:eastAsia="宋体"/>
          <w:color w:val="auto"/>
          <w:sz w:val="24"/>
          <w:highlight w:val="none"/>
          <w:lang w:val="zh-CN" w:eastAsia="zh-CN"/>
        </w:rPr>
        <w:t>编号/包号；</w:t>
      </w:r>
    </w:p>
    <w:p w14:paraId="4CA48CE1">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3</w:t>
      </w:r>
      <w:r>
        <w:rPr>
          <w:rFonts w:hint="eastAsia" w:eastAsia="宋体"/>
          <w:color w:val="auto"/>
          <w:sz w:val="24"/>
          <w:highlight w:val="none"/>
          <w:lang w:val="zh-CN" w:eastAsia="zh-CN"/>
        </w:rPr>
        <w:t>）质疑事项、质疑答复的具体内容、事实依据和法律依据；</w:t>
      </w:r>
    </w:p>
    <w:p w14:paraId="4D2F2676">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4</w:t>
      </w:r>
      <w:r>
        <w:rPr>
          <w:rFonts w:hint="eastAsia" w:eastAsia="宋体"/>
          <w:color w:val="auto"/>
          <w:sz w:val="24"/>
          <w:highlight w:val="none"/>
          <w:lang w:val="zh-CN" w:eastAsia="zh-CN"/>
        </w:rPr>
        <w:t>）告知质疑供应商依法投诉的权利；</w:t>
      </w:r>
    </w:p>
    <w:p w14:paraId="52830642">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5</w:t>
      </w:r>
      <w:r>
        <w:rPr>
          <w:rFonts w:hint="eastAsia" w:eastAsia="宋体"/>
          <w:color w:val="auto"/>
          <w:sz w:val="24"/>
          <w:highlight w:val="none"/>
          <w:lang w:val="zh-CN" w:eastAsia="zh-CN"/>
        </w:rPr>
        <w:t>）质疑答复人名称；</w:t>
      </w:r>
    </w:p>
    <w:p w14:paraId="5F69C65E">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w:t>
      </w:r>
      <w:r>
        <w:rPr>
          <w:rFonts w:hint="eastAsia" w:eastAsia="宋体"/>
          <w:color w:val="auto"/>
          <w:sz w:val="24"/>
          <w:highlight w:val="none"/>
          <w:lang w:val="en-US" w:eastAsia="zh-CN"/>
        </w:rPr>
        <w:t>6</w:t>
      </w:r>
      <w:r>
        <w:rPr>
          <w:rFonts w:hint="eastAsia" w:eastAsia="宋体"/>
          <w:color w:val="auto"/>
          <w:sz w:val="24"/>
          <w:highlight w:val="none"/>
          <w:lang w:val="zh-CN" w:eastAsia="zh-CN"/>
        </w:rPr>
        <w:t>）答复质疑的日期。</w:t>
      </w:r>
    </w:p>
    <w:p w14:paraId="7CBCC84E">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val="zh-CN" w:eastAsia="zh-CN"/>
        </w:rPr>
      </w:pPr>
      <w:r>
        <w:rPr>
          <w:rFonts w:hint="eastAsia" w:eastAsia="宋体"/>
          <w:color w:val="auto"/>
          <w:sz w:val="24"/>
          <w:highlight w:val="none"/>
          <w:lang w:val="zh-CN" w:eastAsia="zh-CN"/>
        </w:rPr>
        <w:t>质疑答复的内容不得涉及商业秘密。</w:t>
      </w:r>
    </w:p>
    <w:p w14:paraId="09F9A296">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r>
        <w:rPr>
          <w:rFonts w:hint="eastAsia" w:ascii="宋体" w:hAnsi="宋体" w:eastAsia="宋体" w:cs="宋体"/>
          <w:b/>
          <w:bCs/>
          <w:color w:val="auto"/>
          <w:kern w:val="2"/>
          <w:sz w:val="24"/>
          <w:szCs w:val="28"/>
          <w:highlight w:val="none"/>
          <w:lang w:val="en-US" w:eastAsia="zh-CN" w:bidi="ar-SA"/>
        </w:rPr>
        <w:t>37.投诉</w:t>
      </w:r>
      <w:bookmarkEnd w:id="219"/>
      <w:bookmarkEnd w:id="220"/>
    </w:p>
    <w:p w14:paraId="6CD6E6E2">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37.1</w:t>
      </w:r>
      <w:r>
        <w:rPr>
          <w:rFonts w:hint="eastAsia" w:eastAsia="宋体"/>
          <w:color w:val="auto"/>
          <w:sz w:val="24"/>
          <w:highlight w:val="none"/>
        </w:rPr>
        <w:t>质疑供应商对采购人、采购代理机构的答复不满意，或者采购人、采购代理机构未在规定时间内作出答复的，可以在答复期满后15个工作日内向</w:t>
      </w:r>
      <w:r>
        <w:rPr>
          <w:rFonts w:hint="eastAsia" w:eastAsia="宋体"/>
          <w:color w:val="auto"/>
          <w:sz w:val="24"/>
          <w:highlight w:val="none"/>
          <w:lang w:val="en-US" w:eastAsia="zh-CN"/>
        </w:rPr>
        <w:t>同级政府采购监督管理部门</w:t>
      </w:r>
      <w:r>
        <w:rPr>
          <w:rFonts w:hint="eastAsia" w:eastAsia="宋体"/>
          <w:color w:val="auto"/>
          <w:sz w:val="24"/>
          <w:highlight w:val="none"/>
        </w:rPr>
        <w:t>提起投诉。</w:t>
      </w:r>
    </w:p>
    <w:p w14:paraId="1FC4D793">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37.2</w:t>
      </w:r>
      <w:r>
        <w:rPr>
          <w:rFonts w:hint="eastAsia" w:eastAsia="宋体"/>
          <w:color w:val="auto"/>
          <w:sz w:val="24"/>
          <w:highlight w:val="none"/>
        </w:rPr>
        <w:t>投诉人投诉时,应当提交投诉书和必要的证明材料，并按照被投诉采购人、采购代理机构（以下简称被投诉人）和与投诉事项有关的供应商数量提供投诉书的副本。投诉书应当包括下列内容：</w:t>
      </w:r>
    </w:p>
    <w:p w14:paraId="5E39AE7C">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1</w:t>
      </w:r>
      <w:r>
        <w:rPr>
          <w:rFonts w:hint="eastAsia" w:eastAsia="宋体"/>
          <w:color w:val="auto"/>
          <w:sz w:val="24"/>
          <w:highlight w:val="none"/>
        </w:rPr>
        <w:t>）投诉人和被投诉人的姓名或者名称、通讯地址、邮编、联系人及联系电话；</w:t>
      </w:r>
    </w:p>
    <w:p w14:paraId="32B21E1F">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2</w:t>
      </w:r>
      <w:r>
        <w:rPr>
          <w:rFonts w:hint="eastAsia" w:eastAsia="宋体"/>
          <w:color w:val="auto"/>
          <w:sz w:val="24"/>
          <w:highlight w:val="none"/>
        </w:rPr>
        <w:t>）质疑和质疑答复情况说明及相关证明材料；</w:t>
      </w:r>
    </w:p>
    <w:p w14:paraId="3D90C141">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3</w:t>
      </w:r>
      <w:r>
        <w:rPr>
          <w:rFonts w:hint="eastAsia" w:eastAsia="宋体"/>
          <w:color w:val="auto"/>
          <w:sz w:val="24"/>
          <w:highlight w:val="none"/>
        </w:rPr>
        <w:t>）具体、明确的投诉事项和与投诉事项相关的投诉请求；</w:t>
      </w:r>
    </w:p>
    <w:p w14:paraId="0A53A3AB">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4</w:t>
      </w:r>
      <w:r>
        <w:rPr>
          <w:rFonts w:hint="eastAsia" w:eastAsia="宋体"/>
          <w:color w:val="auto"/>
          <w:sz w:val="24"/>
          <w:highlight w:val="none"/>
        </w:rPr>
        <w:t>）事实依据；</w:t>
      </w:r>
    </w:p>
    <w:p w14:paraId="3414CD42">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5</w:t>
      </w:r>
      <w:r>
        <w:rPr>
          <w:rFonts w:hint="eastAsia" w:eastAsia="宋体"/>
          <w:color w:val="auto"/>
          <w:sz w:val="24"/>
          <w:highlight w:val="none"/>
        </w:rPr>
        <w:t>）法律依据；</w:t>
      </w:r>
    </w:p>
    <w:p w14:paraId="32F2D7E7">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w:t>
      </w:r>
      <w:r>
        <w:rPr>
          <w:rFonts w:hint="eastAsia" w:eastAsia="宋体"/>
          <w:color w:val="auto"/>
          <w:sz w:val="24"/>
          <w:highlight w:val="none"/>
          <w:lang w:val="en-US" w:eastAsia="zh-CN"/>
        </w:rPr>
        <w:t>6</w:t>
      </w:r>
      <w:r>
        <w:rPr>
          <w:rFonts w:hint="eastAsia" w:eastAsia="宋体"/>
          <w:color w:val="auto"/>
          <w:sz w:val="24"/>
          <w:highlight w:val="none"/>
        </w:rPr>
        <w:t>）提起投诉的日期。</w:t>
      </w:r>
    </w:p>
    <w:p w14:paraId="47B8ED7C">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投诉人为自然人的，应当由本人签字；投诉人为法人或者其他组织的，应当由法定代表人、主要负责人，或者其授权代表签字或者盖章，并加盖公章。</w:t>
      </w:r>
    </w:p>
    <w:p w14:paraId="40C3E676">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lang w:val="en-US" w:eastAsia="zh-CN"/>
        </w:rPr>
        <w:t>37.3</w:t>
      </w:r>
      <w:r>
        <w:rPr>
          <w:rFonts w:hint="eastAsia" w:eastAsia="宋体"/>
          <w:color w:val="auto"/>
          <w:sz w:val="24"/>
          <w:highlight w:val="none"/>
        </w:rPr>
        <w:t>供应商</w:t>
      </w:r>
      <w:r>
        <w:rPr>
          <w:rFonts w:hint="eastAsia" w:eastAsia="宋体"/>
          <w:color w:val="auto"/>
          <w:sz w:val="24"/>
          <w:highlight w:val="none"/>
          <w:lang w:val="en-US" w:eastAsia="zh-CN"/>
        </w:rPr>
        <w:t>质疑、</w:t>
      </w:r>
      <w:r>
        <w:rPr>
          <w:rFonts w:hint="eastAsia" w:eastAsia="宋体"/>
          <w:color w:val="auto"/>
          <w:sz w:val="24"/>
          <w:highlight w:val="none"/>
        </w:rPr>
        <w:t>投诉</w:t>
      </w:r>
      <w:r>
        <w:rPr>
          <w:rFonts w:hint="eastAsia" w:eastAsia="宋体"/>
          <w:color w:val="auto"/>
          <w:sz w:val="24"/>
          <w:highlight w:val="none"/>
          <w:lang w:val="en-US" w:eastAsia="zh-CN"/>
        </w:rPr>
        <w:t>应当有明确的请求和必要的证明材料</w:t>
      </w:r>
      <w:r>
        <w:rPr>
          <w:rFonts w:hint="eastAsia" w:eastAsia="宋体"/>
          <w:color w:val="auto"/>
          <w:sz w:val="24"/>
          <w:highlight w:val="none"/>
          <w:lang w:eastAsia="zh-CN"/>
        </w:rPr>
        <w:t>。</w:t>
      </w:r>
      <w:r>
        <w:rPr>
          <w:rFonts w:hint="eastAsia" w:eastAsia="宋体"/>
          <w:color w:val="auto"/>
          <w:sz w:val="24"/>
          <w:highlight w:val="none"/>
        </w:rPr>
        <w:t>供应商投诉的事项不得超出</w:t>
      </w:r>
      <w:r>
        <w:rPr>
          <w:rFonts w:hint="eastAsia" w:eastAsia="宋体"/>
          <w:color w:val="auto"/>
          <w:sz w:val="24"/>
          <w:highlight w:val="none"/>
          <w:lang w:val="en-US" w:eastAsia="zh-CN"/>
        </w:rPr>
        <w:t>已</w:t>
      </w:r>
      <w:r>
        <w:rPr>
          <w:rFonts w:hint="eastAsia" w:eastAsia="宋体"/>
          <w:color w:val="auto"/>
          <w:sz w:val="24"/>
          <w:highlight w:val="none"/>
        </w:rPr>
        <w:t>质疑事项的范围，但基于质疑答复内容提出的投诉事项除外。</w:t>
      </w:r>
    </w:p>
    <w:p w14:paraId="5FD46D89">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snapToGrid w:val="0"/>
          <w:color w:val="auto"/>
          <w:sz w:val="24"/>
          <w:highlight w:val="none"/>
          <w:lang w:val="en-US" w:eastAsia="zh-CN"/>
        </w:rPr>
        <w:t>37.4</w:t>
      </w:r>
      <w:r>
        <w:rPr>
          <w:rFonts w:hint="eastAsia" w:eastAsia="宋体"/>
          <w:color w:val="auto"/>
          <w:sz w:val="24"/>
          <w:highlight w:val="none"/>
          <w:lang w:val="en-US" w:eastAsia="zh-CN"/>
        </w:rPr>
        <w:t>投诉书应当使用中文，并采用财政部门制定的范本。</w:t>
      </w:r>
    </w:p>
    <w:p w14:paraId="207FB654">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bookmarkStart w:id="221" w:name="_Toc163492870"/>
      <w:bookmarkStart w:id="222" w:name="_Toc155185882"/>
      <w:bookmarkStart w:id="223" w:name="_Toc140132803"/>
      <w:r>
        <w:rPr>
          <w:rFonts w:hint="eastAsia" w:ascii="宋体" w:hAnsi="宋体" w:eastAsia="宋体" w:cs="宋体"/>
          <w:b/>
          <w:bCs/>
          <w:color w:val="auto"/>
          <w:kern w:val="2"/>
          <w:sz w:val="24"/>
          <w:szCs w:val="32"/>
          <w:highlight w:val="none"/>
          <w:lang w:val="en-US" w:eastAsia="zh-CN" w:bidi="ar-SA"/>
        </w:rPr>
        <w:t>（十一）采购代理服务费</w:t>
      </w:r>
      <w:bookmarkEnd w:id="221"/>
      <w:bookmarkEnd w:id="222"/>
      <w:bookmarkEnd w:id="223"/>
    </w:p>
    <w:p w14:paraId="60662BF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24" w:name="_Toc163492871"/>
      <w:bookmarkStart w:id="225" w:name="_Toc140132804"/>
      <w:r>
        <w:rPr>
          <w:rFonts w:hint="eastAsia" w:ascii="宋体" w:hAnsi="宋体" w:eastAsia="宋体" w:cs="宋体"/>
          <w:b/>
          <w:bCs/>
          <w:color w:val="auto"/>
          <w:kern w:val="2"/>
          <w:sz w:val="24"/>
          <w:szCs w:val="28"/>
          <w:highlight w:val="none"/>
          <w:lang w:val="en-US" w:eastAsia="zh-CN" w:bidi="ar-SA"/>
        </w:rPr>
        <w:t>38.收取方式和标准</w:t>
      </w:r>
      <w:bookmarkEnd w:id="224"/>
      <w:bookmarkEnd w:id="225"/>
    </w:p>
    <w:p w14:paraId="2F9832DA">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eastAsia="宋体"/>
          <w:bCs/>
          <w:color w:val="auto"/>
          <w:sz w:val="24"/>
          <w:highlight w:val="none"/>
        </w:rPr>
        <w:t>3</w:t>
      </w:r>
      <w:r>
        <w:rPr>
          <w:rFonts w:hint="eastAsia" w:eastAsia="宋体"/>
          <w:bCs/>
          <w:color w:val="auto"/>
          <w:sz w:val="24"/>
          <w:highlight w:val="none"/>
          <w:lang w:val="en-US" w:eastAsia="zh-CN"/>
        </w:rPr>
        <w:t>8</w:t>
      </w:r>
      <w:r>
        <w:rPr>
          <w:rFonts w:hint="eastAsia" w:eastAsia="宋体"/>
          <w:color w:val="auto"/>
          <w:sz w:val="24"/>
          <w:highlight w:val="none"/>
        </w:rPr>
        <w:t>.1采购代理机构按“投标人须知前附表”规定的方式和标准收取采购代理服务费。</w:t>
      </w:r>
    </w:p>
    <w:p w14:paraId="11E10C52">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bookmarkStart w:id="226" w:name="_Toc163492872"/>
      <w:bookmarkStart w:id="227" w:name="_Toc155185883"/>
      <w:bookmarkStart w:id="228" w:name="_Toc140132805"/>
      <w:r>
        <w:rPr>
          <w:rFonts w:hint="eastAsia" w:ascii="宋体" w:hAnsi="宋体" w:eastAsia="宋体" w:cs="宋体"/>
          <w:b/>
          <w:bCs/>
          <w:color w:val="auto"/>
          <w:kern w:val="2"/>
          <w:sz w:val="24"/>
          <w:szCs w:val="32"/>
          <w:highlight w:val="none"/>
          <w:lang w:val="en-US" w:eastAsia="zh-CN" w:bidi="ar-SA"/>
        </w:rPr>
        <w:t>（十二）无效投标和废标</w:t>
      </w:r>
      <w:bookmarkEnd w:id="226"/>
      <w:bookmarkEnd w:id="227"/>
      <w:bookmarkEnd w:id="228"/>
    </w:p>
    <w:p w14:paraId="0766D15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29" w:name="_Toc163492873"/>
      <w:bookmarkStart w:id="230" w:name="_Toc140132806"/>
      <w:r>
        <w:rPr>
          <w:rFonts w:hint="eastAsia" w:ascii="宋体" w:hAnsi="宋体" w:eastAsia="宋体" w:cs="宋体"/>
          <w:b/>
          <w:bCs/>
          <w:color w:val="auto"/>
          <w:kern w:val="2"/>
          <w:sz w:val="24"/>
          <w:szCs w:val="28"/>
          <w:highlight w:val="none"/>
          <w:lang w:val="en-US" w:eastAsia="zh-CN" w:bidi="ar-SA"/>
        </w:rPr>
        <w:t>39.无效投标</w:t>
      </w:r>
      <w:bookmarkEnd w:id="229"/>
      <w:bookmarkEnd w:id="230"/>
    </w:p>
    <w:p w14:paraId="39FC90A0">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lang w:val="en-US" w:eastAsia="zh-CN"/>
        </w:rPr>
        <w:t>39</w:t>
      </w:r>
      <w:r>
        <w:rPr>
          <w:rFonts w:hint="eastAsia" w:eastAsia="宋体"/>
          <w:color w:val="auto"/>
          <w:sz w:val="24"/>
          <w:highlight w:val="none"/>
        </w:rPr>
        <w:t>.1投标文件存在“第四章</w:t>
      </w:r>
      <w:r>
        <w:rPr>
          <w:rFonts w:hint="eastAsia" w:eastAsia="宋体"/>
          <w:color w:val="auto"/>
          <w:sz w:val="24"/>
          <w:highlight w:val="none"/>
          <w:lang w:val="en-US" w:eastAsia="zh-CN"/>
        </w:rPr>
        <w:t xml:space="preserve"> </w:t>
      </w:r>
      <w:r>
        <w:rPr>
          <w:rFonts w:hint="eastAsia" w:eastAsia="宋体"/>
          <w:color w:val="auto"/>
          <w:sz w:val="24"/>
          <w:highlight w:val="none"/>
        </w:rPr>
        <w:t>资格审查”、“第五章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w:t>
      </w:r>
      <w:r>
        <w:rPr>
          <w:rFonts w:hint="eastAsia" w:eastAsia="宋体"/>
          <w:color w:val="auto"/>
          <w:sz w:val="24"/>
          <w:highlight w:val="none"/>
          <w:lang w:val="en-US" w:eastAsia="zh-CN"/>
        </w:rPr>
        <w:t>及本招标文件</w:t>
      </w:r>
      <w:r>
        <w:rPr>
          <w:rFonts w:hint="eastAsia" w:eastAsia="宋体"/>
          <w:color w:val="auto"/>
          <w:sz w:val="24"/>
          <w:highlight w:val="none"/>
        </w:rPr>
        <w:t>规定的投标无效情形的，其</w:t>
      </w:r>
      <w:r>
        <w:rPr>
          <w:rFonts w:hint="eastAsia" w:eastAsia="宋体"/>
          <w:b/>
          <w:bCs/>
          <w:color w:val="auto"/>
          <w:sz w:val="24"/>
          <w:highlight w:val="none"/>
        </w:rPr>
        <w:t>投标无效</w:t>
      </w:r>
      <w:r>
        <w:rPr>
          <w:rFonts w:hint="eastAsia" w:eastAsia="宋体"/>
          <w:color w:val="auto"/>
          <w:sz w:val="24"/>
          <w:highlight w:val="none"/>
        </w:rPr>
        <w:t>。</w:t>
      </w:r>
    </w:p>
    <w:p w14:paraId="2E2B1DCF">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31" w:name="_Toc140132807"/>
      <w:bookmarkStart w:id="232" w:name="_Toc163492874"/>
      <w:r>
        <w:rPr>
          <w:rFonts w:hint="eastAsia" w:ascii="宋体" w:hAnsi="宋体" w:eastAsia="宋体" w:cs="宋体"/>
          <w:b/>
          <w:bCs/>
          <w:color w:val="auto"/>
          <w:kern w:val="2"/>
          <w:sz w:val="24"/>
          <w:szCs w:val="28"/>
          <w:highlight w:val="none"/>
          <w:lang w:val="en-US" w:eastAsia="zh-CN" w:bidi="ar-SA"/>
        </w:rPr>
        <w:t>40.废标</w:t>
      </w:r>
      <w:bookmarkEnd w:id="231"/>
      <w:bookmarkEnd w:id="232"/>
    </w:p>
    <w:p w14:paraId="2B91B579">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lang w:eastAsia="zh-CN"/>
        </w:rPr>
      </w:pPr>
      <w:r>
        <w:rPr>
          <w:rFonts w:eastAsia="宋体"/>
          <w:color w:val="auto"/>
          <w:sz w:val="24"/>
          <w:highlight w:val="none"/>
        </w:rPr>
        <w:t>4</w:t>
      </w:r>
      <w:r>
        <w:rPr>
          <w:rFonts w:hint="eastAsia" w:eastAsia="宋体"/>
          <w:color w:val="auto"/>
          <w:sz w:val="24"/>
          <w:highlight w:val="none"/>
          <w:lang w:val="en-US" w:eastAsia="zh-CN"/>
        </w:rPr>
        <w:t>0</w:t>
      </w:r>
      <w:r>
        <w:rPr>
          <w:rFonts w:hint="eastAsia" w:eastAsia="宋体"/>
          <w:color w:val="auto"/>
          <w:sz w:val="24"/>
          <w:highlight w:val="none"/>
        </w:rPr>
        <w:t>.1在招标采购中出现有“第五章</w:t>
      </w:r>
      <w:r>
        <w:rPr>
          <w:rFonts w:hint="eastAsia" w:eastAsia="宋体"/>
          <w:color w:val="auto"/>
          <w:sz w:val="24"/>
          <w:highlight w:val="none"/>
          <w:lang w:val="en-US" w:eastAsia="zh-CN"/>
        </w:rPr>
        <w:t xml:space="preserve"> </w:t>
      </w:r>
      <w:r>
        <w:rPr>
          <w:rFonts w:hint="eastAsia" w:eastAsia="宋体"/>
          <w:color w:val="auto"/>
          <w:sz w:val="24"/>
          <w:highlight w:val="none"/>
        </w:rPr>
        <w:t>评标</w:t>
      </w:r>
      <w:r>
        <w:rPr>
          <w:rFonts w:hint="eastAsia" w:eastAsia="宋体"/>
          <w:color w:val="auto"/>
          <w:sz w:val="24"/>
          <w:highlight w:val="none"/>
          <w:lang w:val="en-US" w:eastAsia="zh-CN"/>
        </w:rPr>
        <w:t>方</w:t>
      </w:r>
      <w:r>
        <w:rPr>
          <w:rFonts w:hint="eastAsia" w:eastAsia="宋体"/>
          <w:color w:val="auto"/>
          <w:sz w:val="24"/>
          <w:highlight w:val="none"/>
        </w:rPr>
        <w:t>法及标准”</w:t>
      </w:r>
      <w:r>
        <w:rPr>
          <w:rFonts w:hint="eastAsia" w:eastAsia="宋体"/>
          <w:color w:val="auto"/>
          <w:sz w:val="24"/>
          <w:highlight w:val="none"/>
          <w:lang w:val="en-US" w:eastAsia="zh-CN"/>
        </w:rPr>
        <w:t>及本招标文件</w:t>
      </w:r>
      <w:r>
        <w:rPr>
          <w:rFonts w:hint="eastAsia" w:eastAsia="宋体"/>
          <w:color w:val="auto"/>
          <w:sz w:val="24"/>
          <w:highlight w:val="none"/>
        </w:rPr>
        <w:t>规定的废标情形的，应予以</w:t>
      </w:r>
      <w:r>
        <w:rPr>
          <w:rFonts w:hint="eastAsia" w:eastAsia="宋体"/>
          <w:b/>
          <w:bCs/>
          <w:color w:val="auto"/>
          <w:sz w:val="24"/>
          <w:highlight w:val="none"/>
        </w:rPr>
        <w:t>废标</w:t>
      </w:r>
      <w:r>
        <w:rPr>
          <w:rFonts w:hint="eastAsia" w:eastAsia="宋体"/>
          <w:color w:val="auto"/>
          <w:sz w:val="24"/>
          <w:highlight w:val="none"/>
          <w:lang w:eastAsia="zh-CN"/>
        </w:rPr>
        <w:t>。</w:t>
      </w:r>
    </w:p>
    <w:p w14:paraId="55F9A26A">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bookmarkStart w:id="233" w:name="_Toc140132766"/>
      <w:bookmarkStart w:id="234" w:name="_Toc163492875"/>
      <w:bookmarkStart w:id="235" w:name="_Toc155185884"/>
      <w:bookmarkStart w:id="236" w:name="_Toc140132808"/>
      <w:r>
        <w:rPr>
          <w:rFonts w:hint="eastAsia" w:ascii="宋体" w:hAnsi="宋体" w:eastAsia="宋体" w:cs="宋体"/>
          <w:b/>
          <w:bCs/>
          <w:color w:val="auto"/>
          <w:kern w:val="2"/>
          <w:sz w:val="24"/>
          <w:szCs w:val="32"/>
          <w:highlight w:val="none"/>
          <w:lang w:val="en-US" w:eastAsia="zh-CN" w:bidi="ar-SA"/>
        </w:rPr>
        <w:t>（十三）落实政府采购政策</w:t>
      </w:r>
      <w:bookmarkEnd w:id="233"/>
      <w:bookmarkEnd w:id="234"/>
      <w:r>
        <w:rPr>
          <w:rFonts w:hint="eastAsia" w:ascii="宋体" w:hAnsi="宋体" w:eastAsia="宋体" w:cs="宋体"/>
          <w:b/>
          <w:bCs/>
          <w:color w:val="auto"/>
          <w:kern w:val="2"/>
          <w:sz w:val="24"/>
          <w:szCs w:val="32"/>
          <w:highlight w:val="none"/>
          <w:lang w:val="en-US" w:eastAsia="zh-CN" w:bidi="ar-SA"/>
        </w:rPr>
        <w:t>（包括但不限于下列具体政策要求）</w:t>
      </w:r>
    </w:p>
    <w:p w14:paraId="7E32785D">
      <w:pPr>
        <w:keepNext w:val="0"/>
        <w:keepLines w:val="0"/>
        <w:widowControl/>
        <w:suppressLineNumbers w:val="0"/>
        <w:jc w:val="left"/>
      </w:pPr>
      <w:r>
        <w:rPr>
          <w:rFonts w:hint="eastAsia" w:ascii="宋体" w:hAnsi="宋体" w:eastAsia="宋体" w:cs="宋体"/>
          <w:b/>
          <w:bCs/>
          <w:color w:val="000000"/>
          <w:kern w:val="0"/>
          <w:sz w:val="24"/>
          <w:szCs w:val="24"/>
          <w:lang w:val="en-US" w:eastAsia="zh-CN" w:bidi="ar"/>
        </w:rPr>
        <w:t xml:space="preserve">41.采购本国货物、服务和工程 </w:t>
      </w:r>
    </w:p>
    <w:p w14:paraId="5B75575A">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 xml:space="preserve">政府采购应当采购本国货物、工程和服务。但有《中华人民共和国政府采购 </w:t>
      </w:r>
    </w:p>
    <w:p w14:paraId="6E8A4012">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法》第十条规定情形的除外。 </w:t>
      </w:r>
    </w:p>
    <w:p w14:paraId="05A08964">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 xml:space="preserve">41.1 本项目如接受非本国货物、工程、服务参与投标，则具体要求见第三 </w:t>
      </w:r>
    </w:p>
    <w:p w14:paraId="0DDA7031">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章《采购需求》。若第三章《采购需求》中不接受采购进口产品，投标人所投产 </w:t>
      </w:r>
    </w:p>
    <w:p w14:paraId="177A3EBA">
      <w:pPr>
        <w:keepNext w:val="0"/>
        <w:keepLines w:val="0"/>
        <w:widowControl/>
        <w:suppressLineNumbers w:val="0"/>
        <w:jc w:val="left"/>
      </w:pPr>
      <w:r>
        <w:rPr>
          <w:rFonts w:hint="eastAsia" w:ascii="宋体" w:hAnsi="宋体" w:eastAsia="宋体" w:cs="宋体"/>
          <w:color w:val="000000"/>
          <w:kern w:val="0"/>
          <w:sz w:val="24"/>
          <w:szCs w:val="24"/>
          <w:lang w:val="en-US" w:eastAsia="zh-CN" w:bidi="ar"/>
        </w:rPr>
        <w:t>品为进口产品的将被认定为</w:t>
      </w:r>
      <w:r>
        <w:rPr>
          <w:rFonts w:hint="eastAsia" w:ascii="宋体" w:hAnsi="宋体" w:eastAsia="宋体" w:cs="宋体"/>
          <w:b/>
          <w:bCs/>
          <w:color w:val="000000"/>
          <w:kern w:val="0"/>
          <w:sz w:val="24"/>
          <w:szCs w:val="24"/>
          <w:lang w:val="en-US" w:eastAsia="zh-CN" w:bidi="ar"/>
        </w:rPr>
        <w:t>投标无效</w:t>
      </w:r>
      <w:r>
        <w:rPr>
          <w:rFonts w:hint="eastAsia" w:ascii="宋体" w:hAnsi="宋体" w:eastAsia="宋体" w:cs="宋体"/>
          <w:color w:val="000000"/>
          <w:kern w:val="0"/>
          <w:sz w:val="24"/>
          <w:szCs w:val="24"/>
          <w:lang w:val="en-US" w:eastAsia="zh-CN" w:bidi="ar"/>
        </w:rPr>
        <w:t xml:space="preserve">。 </w:t>
      </w:r>
    </w:p>
    <w:p w14:paraId="6EC04F6B">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 xml:space="preserve">41.2 进口产品指通过中国海关报关验放进入中国境内且产自关境外的产品， </w:t>
      </w:r>
    </w:p>
    <w:p w14:paraId="61D9E007">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包括已经进入中国境内的进口产品。关于进口产品的相关规定依据《政府采购进 </w:t>
      </w:r>
    </w:p>
    <w:p w14:paraId="6189AF8F">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口产品管理办法》（财库〔2007〕119 号）、《关于政府采购进口产品管理有关 </w:t>
      </w:r>
    </w:p>
    <w:p w14:paraId="6717D017">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问题的通知》（财办库〔2008〕248 号）。投标人应保证所投产品可履行合法报 </w:t>
      </w:r>
    </w:p>
    <w:p w14:paraId="3A85534D">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通关手续进入中国关境内。 </w:t>
      </w:r>
    </w:p>
    <w:p w14:paraId="6A428E61">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41.3 按照《国务院办公厅关于在政府采购中实施本国产品标准及相关政策 </w:t>
      </w:r>
    </w:p>
    <w:p w14:paraId="4FF51E30">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的通知》（国办发〔2025〕34 号）要求，政府采购货物项目和服务项目中涉及的货物适用于本国产品标准。适用本国产品标准的货物具体是指《政府采购品目 分类目录》中的货物类产品，但不包括其中的房屋和构筑物，文物和陈列品，图 书和档案，特种动植物，农林牧渔业产品，矿与矿物，电力、城市燃气、蒸汽和 热水、水，食品、饮料和烟草原料，无形资产。 </w:t>
      </w:r>
    </w:p>
    <w:p w14:paraId="5C318DAB">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41.4 在接受进口产品投标的采购项目或采购包中，提供本国生产的货物的供应商，应当对其提供的产品出具第七章</w:t>
      </w:r>
      <w:r>
        <w:rPr>
          <w:rFonts w:hint="eastAsia" w:cs="宋体"/>
          <w:color w:val="000000"/>
          <w:kern w:val="0"/>
          <w:sz w:val="24"/>
          <w:szCs w:val="24"/>
          <w:lang w:val="en-US" w:eastAsia="zh-CN" w:bidi="ar"/>
        </w:rPr>
        <w:t>投标文件</w:t>
      </w:r>
      <w:r>
        <w:rPr>
          <w:rFonts w:hint="eastAsia" w:ascii="宋体" w:hAnsi="宋体" w:eastAsia="宋体" w:cs="宋体"/>
          <w:color w:val="000000"/>
          <w:kern w:val="0"/>
          <w:sz w:val="24"/>
          <w:szCs w:val="24"/>
          <w:lang w:val="en-US" w:eastAsia="zh-CN" w:bidi="ar"/>
        </w:rPr>
        <w:t>格式《关于符合本国产品标准的声明函》（以下简称《声明函》）或财政部会同有关部门规定的有关证明文件。出具符合要求的《声明函》或有关证明文件的，该产品视为本国产品，享受对本国产品的支持政策。采购人、采购代理机构不得再要求供应商提供其他证明材料。供应商提供虚假《声明函》、虚假证明文件谋取中标的，依照《中华人民共和国政府采购法》等法律法规规定追究相应责任。</w:t>
      </w:r>
      <w:r>
        <w:rPr>
          <w:rFonts w:hint="eastAsia" w:ascii="宋体" w:hAnsi="宋体" w:eastAsia="宋体" w:cs="宋体"/>
          <w:color w:val="333333"/>
          <w:kern w:val="0"/>
          <w:sz w:val="24"/>
          <w:szCs w:val="24"/>
          <w:lang w:val="en-US" w:eastAsia="zh-CN" w:bidi="ar"/>
        </w:rPr>
        <w:t xml:space="preserve"> </w:t>
      </w:r>
    </w:p>
    <w:p w14:paraId="6284345C">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41.5 对本国产品的支持政策的相关要求 </w:t>
      </w:r>
    </w:p>
    <w:p w14:paraId="07367B22">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（1）政府采购活动中既有本国产品又有非本国产品参与竞争的，依法对本 国产品给予价格评审优惠，对本国产品的报价给予20%的价格扣除，用扣除后的 </w:t>
      </w:r>
    </w:p>
    <w:p w14:paraId="6741990A">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价格参与评审。 </w:t>
      </w:r>
    </w:p>
    <w:p w14:paraId="3B90C4AF">
      <w:pPr>
        <w:keepNext w:val="0"/>
        <w:keepLines w:val="0"/>
        <w:widowControl/>
        <w:suppressLineNumbers w:val="0"/>
        <w:ind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（2）当采购项目或者采购包中含有多种产品，供应商为该采购项目或者采 </w:t>
      </w:r>
    </w:p>
    <w:p w14:paraId="551FD9A6">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购包提供的符合本国产品标准的产品成本之和占该供应商提供的全部产品成本 </w:t>
      </w:r>
    </w:p>
    <w:p w14:paraId="18007F4F">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之和的比例达到80%以上时，依法对该供应商提供的全部产品给予价格评审优惠， </w:t>
      </w:r>
    </w:p>
    <w:p w14:paraId="03EC64AB">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即对该供应商提供的全部产品的总报价给予20%的价格扣除，用扣除后的价格参 </w:t>
      </w:r>
    </w:p>
    <w:p w14:paraId="2E589AC6">
      <w:pPr>
        <w:keepNext w:val="0"/>
        <w:keepLines w:val="0"/>
        <w:widowControl/>
        <w:suppressLineNumbers w:val="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与评审。</w:t>
      </w:r>
    </w:p>
    <w:p w14:paraId="08549BE9">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37" w:name="_Toc163492877"/>
      <w:r>
        <w:rPr>
          <w:rFonts w:hint="eastAsia" w:ascii="宋体" w:hAnsi="宋体" w:eastAsia="宋体" w:cs="宋体"/>
          <w:b/>
          <w:bCs/>
          <w:color w:val="auto"/>
          <w:kern w:val="2"/>
          <w:sz w:val="24"/>
          <w:szCs w:val="28"/>
          <w:highlight w:val="none"/>
          <w:lang w:val="en-US" w:eastAsia="zh-CN" w:bidi="ar-SA"/>
        </w:rPr>
        <w:t>42.中小企业、监狱企业及残疾人福利性单位</w:t>
      </w:r>
      <w:bookmarkEnd w:id="237"/>
    </w:p>
    <w:p w14:paraId="6A04978D">
      <w:pPr>
        <w:pStyle w:val="39"/>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eastAsia" w:eastAsia="宋体"/>
          <w:snapToGrid w:val="0"/>
          <w:color w:val="auto"/>
          <w:sz w:val="24"/>
          <w:highlight w:val="none"/>
        </w:rPr>
        <w:t>.</w:t>
      </w:r>
      <w:r>
        <w:rPr>
          <w:rFonts w:hint="eastAsia" w:eastAsia="宋体"/>
          <w:snapToGrid w:val="0"/>
          <w:color w:val="auto"/>
          <w:sz w:val="24"/>
          <w:highlight w:val="none"/>
          <w:lang w:val="en-US" w:eastAsia="zh-CN"/>
        </w:rPr>
        <w:t>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w:t>
      </w:r>
      <w:r>
        <w:rPr>
          <w:rFonts w:hint="default" w:eastAsia="宋体"/>
          <w:snapToGrid w:val="0"/>
          <w:color w:val="auto"/>
          <w:sz w:val="24"/>
          <w:highlight w:val="none"/>
          <w:lang w:val="en-US" w:eastAsia="zh-CN"/>
        </w:rPr>
        <w:t>2022</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19 </w:t>
      </w:r>
      <w:r>
        <w:rPr>
          <w:rFonts w:hint="eastAsia" w:eastAsia="宋体"/>
          <w:snapToGrid w:val="0"/>
          <w:color w:val="auto"/>
          <w:sz w:val="24"/>
          <w:highlight w:val="none"/>
          <w:lang w:val="en-US" w:eastAsia="zh-CN"/>
        </w:rPr>
        <w:t>号）、《政府采购促进中小企业发展管理办法》（财库〔</w:t>
      </w:r>
      <w:r>
        <w:rPr>
          <w:rFonts w:hint="default" w:eastAsia="宋体"/>
          <w:snapToGrid w:val="0"/>
          <w:color w:val="auto"/>
          <w:sz w:val="24"/>
          <w:highlight w:val="none"/>
          <w:lang w:val="en-US" w:eastAsia="zh-CN"/>
        </w:rPr>
        <w:t>2020</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46 </w:t>
      </w:r>
      <w:r>
        <w:rPr>
          <w:rFonts w:hint="eastAsia" w:eastAsia="宋体"/>
          <w:snapToGrid w:val="0"/>
          <w:color w:val="auto"/>
          <w:sz w:val="24"/>
          <w:highlight w:val="none"/>
          <w:lang w:val="en-US" w:eastAsia="zh-CN"/>
        </w:rPr>
        <w:t>号）、《关于印发中小企业划型标准规定的通知》（工信部联企业〔</w:t>
      </w:r>
      <w:r>
        <w:rPr>
          <w:rFonts w:hint="default" w:eastAsia="宋体"/>
          <w:snapToGrid w:val="0"/>
          <w:color w:val="auto"/>
          <w:sz w:val="24"/>
          <w:highlight w:val="none"/>
          <w:lang w:val="en-US" w:eastAsia="zh-CN"/>
        </w:rPr>
        <w:t>2011</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300 </w:t>
      </w:r>
      <w:r>
        <w:rPr>
          <w:rFonts w:hint="eastAsia" w:eastAsia="宋体"/>
          <w:snapToGrid w:val="0"/>
          <w:color w:val="auto"/>
          <w:sz w:val="24"/>
          <w:highlight w:val="none"/>
          <w:lang w:val="en-US" w:eastAsia="zh-CN"/>
        </w:rPr>
        <w:t xml:space="preserve">号）、《金融业企业划型标准规定》（〔2015〕309 号）等国务院批准的中小企业划分标准执行。 </w:t>
      </w:r>
    </w:p>
    <w:p w14:paraId="65F439EE">
      <w:pPr>
        <w:pStyle w:val="39"/>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eastAsia" w:eastAsia="宋体"/>
          <w:snapToGrid w:val="0"/>
          <w:color w:val="auto"/>
          <w:sz w:val="24"/>
          <w:highlight w:val="none"/>
        </w:rPr>
        <w:t>.</w:t>
      </w:r>
      <w:r>
        <w:rPr>
          <w:rFonts w:hint="eastAsia" w:eastAsia="宋体"/>
          <w:snapToGrid w:val="0"/>
          <w:color w:val="auto"/>
          <w:sz w:val="24"/>
          <w:highlight w:val="none"/>
          <w:lang w:val="en-US" w:eastAsia="zh-CN"/>
        </w:rPr>
        <w:t>2</w:t>
      </w:r>
      <w:r>
        <w:rPr>
          <w:rFonts w:hint="eastAsia" w:eastAsia="宋体"/>
          <w:snapToGrid w:val="0"/>
          <w:color w:val="auto"/>
          <w:sz w:val="24"/>
          <w:highlight w:val="none"/>
        </w:rPr>
        <w:t>为促进中小企业发展，依据《关于印发&lt;政府采购促进中小企业发展管理办法&gt;的通知》（财库〔2020〕46号）、《财政部 司法部关于政府采购支持监狱企业发展有关问题的通知》（财库〔2014〕68号）、《关于促进残疾人就业政府采购政策的通知》（财库〔2017〕141号）的规定，本项目供应商如</w:t>
      </w:r>
      <w:r>
        <w:rPr>
          <w:rFonts w:hint="eastAsia" w:eastAsia="宋体"/>
          <w:snapToGrid w:val="0"/>
          <w:color w:val="auto"/>
          <w:sz w:val="24"/>
          <w:highlight w:val="none"/>
          <w:lang w:eastAsia="zh-CN"/>
        </w:rPr>
        <w:t>需享受中小企业相关政策的，且</w:t>
      </w:r>
      <w:r>
        <w:rPr>
          <w:rFonts w:hint="eastAsia" w:eastAsia="宋体"/>
          <w:snapToGrid w:val="0"/>
          <w:color w:val="auto"/>
          <w:sz w:val="24"/>
          <w:highlight w:val="none"/>
        </w:rPr>
        <w:t>符合上述文件规定的，</w:t>
      </w:r>
      <w:r>
        <w:rPr>
          <w:rFonts w:hint="eastAsia" w:eastAsia="宋体"/>
          <w:snapToGrid w:val="0"/>
          <w:color w:val="auto"/>
          <w:sz w:val="24"/>
          <w:highlight w:val="none"/>
          <w:lang w:eastAsia="zh-CN"/>
        </w:rPr>
        <w:t>应按本</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文件规定格式</w:t>
      </w:r>
      <w:r>
        <w:rPr>
          <w:rFonts w:hint="eastAsia" w:eastAsia="宋体"/>
          <w:snapToGrid w:val="0"/>
          <w:color w:val="auto"/>
          <w:sz w:val="24"/>
          <w:highlight w:val="none"/>
        </w:rPr>
        <w:t>提供</w:t>
      </w:r>
      <w:r>
        <w:rPr>
          <w:rFonts w:hint="eastAsia" w:eastAsia="宋体"/>
          <w:snapToGrid w:val="0"/>
          <w:color w:val="auto"/>
          <w:sz w:val="24"/>
          <w:highlight w:val="none"/>
          <w:lang w:eastAsia="zh-CN"/>
        </w:rPr>
        <w:t>“</w:t>
      </w:r>
      <w:r>
        <w:rPr>
          <w:rFonts w:hint="eastAsia" w:eastAsia="宋体"/>
          <w:snapToGrid w:val="0"/>
          <w:color w:val="auto"/>
          <w:sz w:val="24"/>
          <w:highlight w:val="none"/>
        </w:rPr>
        <w:t>中小企业声明函</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rPr>
        <w:t>监狱企业证明文件</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lang w:eastAsia="zh-CN"/>
        </w:rPr>
        <w:t>“</w:t>
      </w:r>
      <w:r>
        <w:rPr>
          <w:rFonts w:hint="eastAsia" w:eastAsia="宋体"/>
          <w:snapToGrid w:val="0"/>
          <w:color w:val="auto"/>
          <w:sz w:val="24"/>
          <w:highlight w:val="none"/>
        </w:rPr>
        <w:t>残疾人福利性单位声明函</w:t>
      </w:r>
      <w:r>
        <w:rPr>
          <w:rFonts w:hint="eastAsia" w:eastAsia="宋体"/>
          <w:snapToGrid w:val="0"/>
          <w:color w:val="auto"/>
          <w:sz w:val="24"/>
          <w:highlight w:val="none"/>
          <w:lang w:eastAsia="zh-CN"/>
        </w:rPr>
        <w:t>”</w:t>
      </w:r>
      <w:r>
        <w:rPr>
          <w:rFonts w:hint="eastAsia" w:eastAsia="宋体"/>
          <w:snapToGrid w:val="0"/>
          <w:color w:val="auto"/>
          <w:sz w:val="24"/>
          <w:highlight w:val="none"/>
        </w:rPr>
        <w:t>，评审时，</w:t>
      </w:r>
      <w:r>
        <w:rPr>
          <w:rFonts w:hint="eastAsia" w:eastAsia="宋体"/>
          <w:snapToGrid w:val="0"/>
          <w:color w:val="auto"/>
          <w:sz w:val="24"/>
          <w:highlight w:val="none"/>
          <w:lang w:val="en-US" w:eastAsia="zh-CN"/>
        </w:rPr>
        <w:t>评标委员会</w:t>
      </w:r>
      <w:r>
        <w:rPr>
          <w:rFonts w:hint="eastAsia" w:eastAsia="宋体"/>
          <w:snapToGrid w:val="0"/>
          <w:color w:val="auto"/>
          <w:sz w:val="24"/>
          <w:highlight w:val="none"/>
        </w:rPr>
        <w:t>将依据</w:t>
      </w:r>
      <w:r>
        <w:rPr>
          <w:rFonts w:hint="eastAsia" w:eastAsia="宋体"/>
          <w:snapToGrid w:val="0"/>
          <w:color w:val="auto"/>
          <w:sz w:val="24"/>
          <w:highlight w:val="none"/>
          <w:lang w:eastAsia="zh-CN"/>
        </w:rPr>
        <w:t>本</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文件</w:t>
      </w:r>
      <w:r>
        <w:rPr>
          <w:rFonts w:hint="eastAsia" w:eastAsia="宋体"/>
          <w:snapToGrid w:val="0"/>
          <w:color w:val="auto"/>
          <w:sz w:val="24"/>
          <w:highlight w:val="none"/>
        </w:rPr>
        <w:t>“</w:t>
      </w:r>
      <w:r>
        <w:rPr>
          <w:rFonts w:hint="eastAsia" w:eastAsia="宋体"/>
          <w:snapToGrid w:val="0"/>
          <w:color w:val="auto"/>
          <w:sz w:val="24"/>
          <w:highlight w:val="none"/>
          <w:lang w:val="en-US" w:eastAsia="zh-CN"/>
        </w:rPr>
        <w:t>投标人</w:t>
      </w:r>
      <w:r>
        <w:rPr>
          <w:rFonts w:hint="eastAsia" w:eastAsia="宋体"/>
          <w:snapToGrid w:val="0"/>
          <w:color w:val="auto"/>
          <w:sz w:val="24"/>
          <w:highlight w:val="none"/>
        </w:rPr>
        <w:t>须知前附表”规定的报价扣除比例，对供应商报价进行价格扣除，用扣除后的价格参与评审</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公告中明确项目专门面向中小企业采购的，“</w:t>
      </w:r>
      <w:r>
        <w:rPr>
          <w:rFonts w:hint="eastAsia" w:eastAsia="宋体"/>
          <w:snapToGrid w:val="0"/>
          <w:color w:val="auto"/>
          <w:sz w:val="24"/>
          <w:highlight w:val="none"/>
        </w:rPr>
        <w:t>中小企业声明函</w:t>
      </w:r>
      <w:r>
        <w:rPr>
          <w:rFonts w:hint="eastAsia" w:eastAsia="宋体"/>
          <w:snapToGrid w:val="0"/>
          <w:color w:val="auto"/>
          <w:sz w:val="24"/>
          <w:highlight w:val="none"/>
          <w:lang w:eastAsia="zh-CN"/>
        </w:rPr>
        <w:t>”为资格要求文件，</w:t>
      </w:r>
      <w:r>
        <w:rPr>
          <w:rFonts w:hint="eastAsia" w:eastAsia="宋体"/>
          <w:snapToGrid w:val="0"/>
          <w:color w:val="auto"/>
          <w:sz w:val="24"/>
          <w:highlight w:val="none"/>
        </w:rPr>
        <w:t>供应商</w:t>
      </w:r>
      <w:r>
        <w:rPr>
          <w:rFonts w:hint="eastAsia" w:eastAsia="宋体"/>
          <w:snapToGrid w:val="0"/>
          <w:color w:val="auto"/>
          <w:sz w:val="24"/>
          <w:highlight w:val="none"/>
          <w:lang w:eastAsia="zh-CN"/>
        </w:rPr>
        <w:t>参与</w:t>
      </w:r>
      <w:r>
        <w:rPr>
          <w:rFonts w:hint="eastAsia" w:eastAsia="宋体"/>
          <w:snapToGrid w:val="0"/>
          <w:color w:val="auto"/>
          <w:sz w:val="24"/>
          <w:highlight w:val="none"/>
          <w:lang w:val="en-US" w:eastAsia="zh-CN"/>
        </w:rPr>
        <w:t>投标</w:t>
      </w:r>
      <w:r>
        <w:rPr>
          <w:rFonts w:hint="eastAsia" w:eastAsia="宋体"/>
          <w:snapToGrid w:val="0"/>
          <w:color w:val="auto"/>
          <w:sz w:val="24"/>
          <w:highlight w:val="none"/>
          <w:lang w:eastAsia="zh-CN"/>
        </w:rPr>
        <w:t>须按本</w:t>
      </w:r>
      <w:r>
        <w:rPr>
          <w:rFonts w:hint="eastAsia" w:eastAsia="宋体"/>
          <w:snapToGrid w:val="0"/>
          <w:color w:val="auto"/>
          <w:sz w:val="24"/>
          <w:highlight w:val="none"/>
          <w:lang w:val="en-US" w:eastAsia="zh-CN"/>
        </w:rPr>
        <w:t>招标</w:t>
      </w:r>
      <w:r>
        <w:rPr>
          <w:rFonts w:hint="eastAsia" w:eastAsia="宋体"/>
          <w:snapToGrid w:val="0"/>
          <w:color w:val="auto"/>
          <w:sz w:val="24"/>
          <w:highlight w:val="none"/>
          <w:lang w:eastAsia="zh-CN"/>
        </w:rPr>
        <w:t>文件规定格式</w:t>
      </w:r>
      <w:r>
        <w:rPr>
          <w:rFonts w:hint="eastAsia" w:eastAsia="宋体"/>
          <w:snapToGrid w:val="0"/>
          <w:color w:val="auto"/>
          <w:sz w:val="24"/>
          <w:highlight w:val="none"/>
        </w:rPr>
        <w:t>提供</w:t>
      </w:r>
      <w:r>
        <w:rPr>
          <w:rFonts w:hint="eastAsia" w:eastAsia="宋体"/>
          <w:snapToGrid w:val="0"/>
          <w:color w:val="auto"/>
          <w:sz w:val="24"/>
          <w:highlight w:val="none"/>
          <w:lang w:eastAsia="zh-CN"/>
        </w:rPr>
        <w:t>“</w:t>
      </w:r>
      <w:r>
        <w:rPr>
          <w:rFonts w:hint="eastAsia" w:eastAsia="宋体"/>
          <w:snapToGrid w:val="0"/>
          <w:color w:val="auto"/>
          <w:sz w:val="24"/>
          <w:highlight w:val="none"/>
        </w:rPr>
        <w:t>中小企业声明函</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rPr>
        <w:t>监狱企业证明文件</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或</w:t>
      </w:r>
      <w:r>
        <w:rPr>
          <w:rFonts w:hint="eastAsia" w:eastAsia="宋体"/>
          <w:snapToGrid w:val="0"/>
          <w:color w:val="auto"/>
          <w:sz w:val="24"/>
          <w:highlight w:val="none"/>
          <w:lang w:eastAsia="zh-CN"/>
        </w:rPr>
        <w:t>“</w:t>
      </w:r>
      <w:r>
        <w:rPr>
          <w:rFonts w:hint="eastAsia" w:eastAsia="宋体"/>
          <w:snapToGrid w:val="0"/>
          <w:color w:val="auto"/>
          <w:sz w:val="24"/>
          <w:highlight w:val="none"/>
        </w:rPr>
        <w:t>残疾人福利性单位声明函</w:t>
      </w:r>
      <w:r>
        <w:rPr>
          <w:rFonts w:hint="eastAsia" w:eastAsia="宋体"/>
          <w:snapToGrid w:val="0"/>
          <w:color w:val="auto"/>
          <w:sz w:val="24"/>
          <w:highlight w:val="none"/>
          <w:lang w:eastAsia="zh-CN"/>
        </w:rPr>
        <w:t>”等作为资格证明文件。</w:t>
      </w:r>
      <w:r>
        <w:rPr>
          <w:rFonts w:hint="eastAsia" w:eastAsia="宋体"/>
          <w:snapToGrid w:val="0"/>
          <w:color w:val="auto"/>
          <w:sz w:val="24"/>
          <w:highlight w:val="none"/>
          <w:lang w:val="en-US" w:eastAsia="zh-CN"/>
        </w:rPr>
        <w:t xml:space="preserve"> </w:t>
      </w:r>
    </w:p>
    <w:p w14:paraId="63ABF979">
      <w:pPr>
        <w:pStyle w:val="39"/>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3</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投标人提供的货物、工程或者服务符合下列情形的，享受中小企业扶持政策： </w:t>
      </w:r>
    </w:p>
    <w:p w14:paraId="1D576BB0">
      <w:pPr>
        <w:pStyle w:val="39"/>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1</w:t>
      </w:r>
      <w:r>
        <w:rPr>
          <w:rFonts w:hint="eastAsia" w:eastAsia="宋体"/>
          <w:snapToGrid w:val="0"/>
          <w:color w:val="auto"/>
          <w:sz w:val="24"/>
          <w:highlight w:val="none"/>
          <w:lang w:val="en-US" w:eastAsia="zh-CN"/>
        </w:rPr>
        <w:t xml:space="preserve">）在货物采购项目中，货物由中小企业制造，即货物由中小企业生产且使用该中小企业商号或者注册商标； </w:t>
      </w:r>
    </w:p>
    <w:p w14:paraId="1F05538F">
      <w:pPr>
        <w:pStyle w:val="39"/>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2</w:t>
      </w:r>
      <w:r>
        <w:rPr>
          <w:rFonts w:hint="eastAsia" w:eastAsia="宋体"/>
          <w:snapToGrid w:val="0"/>
          <w:color w:val="auto"/>
          <w:sz w:val="24"/>
          <w:highlight w:val="none"/>
          <w:lang w:val="en-US" w:eastAsia="zh-CN"/>
        </w:rPr>
        <w:t xml:space="preserve">）在工程采购项目中，工程由中小企业承建，即工程施工单位为中小企业； </w:t>
      </w:r>
    </w:p>
    <w:p w14:paraId="1E724DD5">
      <w:pPr>
        <w:pStyle w:val="39"/>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3</w:t>
      </w:r>
      <w:r>
        <w:rPr>
          <w:rFonts w:hint="eastAsia" w:eastAsia="宋体"/>
          <w:snapToGrid w:val="0"/>
          <w:color w:val="auto"/>
          <w:sz w:val="24"/>
          <w:highlight w:val="none"/>
          <w:lang w:val="en-US" w:eastAsia="zh-CN"/>
        </w:rPr>
        <w:t>）在服务采购项目中，服务由中小企业承接，即提供服务的人员为中小企业依照《中华人民共和国劳动合同法》订立劳动合同的从业人员。</w:t>
      </w:r>
    </w:p>
    <w:p w14:paraId="7CB97CEA">
      <w:pPr>
        <w:pStyle w:val="39"/>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eastAsia="宋体"/>
          <w:snapToGrid w:val="0"/>
          <w:color w:val="auto"/>
          <w:sz w:val="24"/>
          <w:highlight w:val="none"/>
          <w:lang w:val="en-US" w:eastAsia="zh-CN"/>
        </w:rPr>
        <w:t>.</w:t>
      </w:r>
      <w:r>
        <w:rPr>
          <w:rFonts w:hint="eastAsia" w:eastAsia="宋体"/>
          <w:snapToGrid w:val="0"/>
          <w:color w:val="auto"/>
          <w:sz w:val="24"/>
          <w:highlight w:val="none"/>
          <w:lang w:val="en-US" w:eastAsia="zh-CN"/>
        </w:rPr>
        <w:t>4</w:t>
      </w:r>
      <w:r>
        <w:rPr>
          <w:rFonts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在货物采购项目中，投标人提供的货物既有中小企业制造货物，也有大型企业制造货物的，不享受中小企业扶持政策。 </w:t>
      </w:r>
    </w:p>
    <w:p w14:paraId="729C16F5">
      <w:pPr>
        <w:pStyle w:val="39"/>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5</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以联合体形式参加政府采购活动，联合体各方均为中小企业的，联合体视同中小企业。其中，联合体各方均为小微企业的，联合体视同小微企业。  </w:t>
      </w:r>
    </w:p>
    <w:p w14:paraId="46DFC100">
      <w:pPr>
        <w:pStyle w:val="39"/>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6</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6C904C11">
      <w:pPr>
        <w:pStyle w:val="39"/>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 xml:space="preserve">在政府采购活动中，残疾人福利性单位视同小型、微型企业，享受预留份额、评审中价格扣除等促进中小企业发展的政府采购政策。残疾人福利性单位定义：享受政府采购支持政策的残疾人福利性单位应当同时满足以下条件： </w:t>
      </w:r>
    </w:p>
    <w:p w14:paraId="01F67FBC">
      <w:pPr>
        <w:pStyle w:val="39"/>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.1 </w:t>
      </w:r>
      <w:r>
        <w:rPr>
          <w:rFonts w:hint="eastAsia" w:eastAsia="宋体"/>
          <w:snapToGrid w:val="0"/>
          <w:color w:val="auto"/>
          <w:sz w:val="24"/>
          <w:highlight w:val="none"/>
          <w:lang w:val="en-US" w:eastAsia="zh-CN"/>
        </w:rPr>
        <w:t xml:space="preserve">安置的残疾人占本单位在职职工人数的比例不低于 </w:t>
      </w:r>
      <w:r>
        <w:rPr>
          <w:rFonts w:hint="default" w:eastAsia="宋体"/>
          <w:snapToGrid w:val="0"/>
          <w:color w:val="auto"/>
          <w:sz w:val="24"/>
          <w:highlight w:val="none"/>
          <w:lang w:val="en-US" w:eastAsia="zh-CN"/>
        </w:rPr>
        <w:t xml:space="preserve">25% </w:t>
      </w:r>
      <w:r>
        <w:rPr>
          <w:rFonts w:hint="eastAsia" w:eastAsia="宋体"/>
          <w:snapToGrid w:val="0"/>
          <w:color w:val="auto"/>
          <w:sz w:val="24"/>
          <w:highlight w:val="none"/>
          <w:lang w:val="en-US" w:eastAsia="zh-CN"/>
        </w:rPr>
        <w:t xml:space="preserve">（含 </w:t>
      </w:r>
      <w:r>
        <w:rPr>
          <w:rFonts w:hint="default" w:eastAsia="宋体"/>
          <w:snapToGrid w:val="0"/>
          <w:color w:val="auto"/>
          <w:sz w:val="24"/>
          <w:highlight w:val="none"/>
          <w:lang w:val="en-US" w:eastAsia="zh-CN"/>
        </w:rPr>
        <w:t>25%</w:t>
      </w:r>
      <w:r>
        <w:rPr>
          <w:rFonts w:hint="eastAsia" w:eastAsia="宋体"/>
          <w:snapToGrid w:val="0"/>
          <w:color w:val="auto"/>
          <w:sz w:val="24"/>
          <w:highlight w:val="none"/>
          <w:lang w:val="en-US" w:eastAsia="zh-CN"/>
        </w:rPr>
        <w:t xml:space="preserve">），并且安置的残疾人人数不少于 </w:t>
      </w:r>
      <w:r>
        <w:rPr>
          <w:rFonts w:hint="default" w:eastAsia="宋体"/>
          <w:snapToGrid w:val="0"/>
          <w:color w:val="auto"/>
          <w:sz w:val="24"/>
          <w:highlight w:val="none"/>
          <w:lang w:val="en-US" w:eastAsia="zh-CN"/>
        </w:rPr>
        <w:t xml:space="preserve">10 </w:t>
      </w:r>
      <w:r>
        <w:rPr>
          <w:rFonts w:hint="eastAsia" w:eastAsia="宋体"/>
          <w:snapToGrid w:val="0"/>
          <w:color w:val="auto"/>
          <w:sz w:val="24"/>
          <w:highlight w:val="none"/>
          <w:lang w:val="en-US" w:eastAsia="zh-CN"/>
        </w:rPr>
        <w:t xml:space="preserve">人（含 </w:t>
      </w:r>
      <w:r>
        <w:rPr>
          <w:rFonts w:hint="default" w:eastAsia="宋体"/>
          <w:snapToGrid w:val="0"/>
          <w:color w:val="auto"/>
          <w:sz w:val="24"/>
          <w:highlight w:val="none"/>
          <w:lang w:val="en-US" w:eastAsia="zh-CN"/>
        </w:rPr>
        <w:t>10</w:t>
      </w:r>
      <w:r>
        <w:rPr>
          <w:rFonts w:hint="eastAsia" w:eastAsia="宋体"/>
          <w:snapToGrid w:val="0"/>
          <w:color w:val="auto"/>
          <w:sz w:val="24"/>
          <w:highlight w:val="none"/>
          <w:lang w:val="en-US" w:eastAsia="zh-CN"/>
        </w:rPr>
        <w:t xml:space="preserve">人）； </w:t>
      </w:r>
    </w:p>
    <w:p w14:paraId="72E691F2">
      <w:pPr>
        <w:pStyle w:val="39"/>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.2 </w:t>
      </w:r>
      <w:r>
        <w:rPr>
          <w:rFonts w:hint="eastAsia" w:eastAsia="宋体"/>
          <w:snapToGrid w:val="0"/>
          <w:color w:val="auto"/>
          <w:sz w:val="24"/>
          <w:highlight w:val="none"/>
          <w:lang w:val="en-US" w:eastAsia="zh-CN"/>
        </w:rPr>
        <w:t xml:space="preserve">依法与安置的每位残疾人签订了1年以上（含1年）的劳动合同或服务协议； </w:t>
      </w:r>
    </w:p>
    <w:p w14:paraId="469AA9D5">
      <w:pPr>
        <w:pStyle w:val="39"/>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.3 </w:t>
      </w:r>
      <w:r>
        <w:rPr>
          <w:rFonts w:hint="eastAsia" w:eastAsia="宋体"/>
          <w:snapToGrid w:val="0"/>
          <w:color w:val="auto"/>
          <w:sz w:val="24"/>
          <w:highlight w:val="none"/>
          <w:lang w:val="en-US" w:eastAsia="zh-CN"/>
        </w:rPr>
        <w:t xml:space="preserve">为安置的每位残疾人按月足额缴纳了基本养老保险、基本医疗保险、失业保险、工伤保险和生育保险等社会保险费； </w:t>
      </w:r>
    </w:p>
    <w:p w14:paraId="79904C04">
      <w:pPr>
        <w:pStyle w:val="39"/>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.4 </w:t>
      </w:r>
      <w:r>
        <w:rPr>
          <w:rFonts w:hint="eastAsia" w:eastAsia="宋体"/>
          <w:snapToGrid w:val="0"/>
          <w:color w:val="auto"/>
          <w:sz w:val="24"/>
          <w:highlight w:val="none"/>
          <w:lang w:val="en-US" w:eastAsia="zh-CN"/>
        </w:rPr>
        <w:t xml:space="preserve">通过银行等金融机构向安置的每位残疾人，按月支付了不低于单位所在区县适用的经省级人民政府批准的月最低工资标准的工资； </w:t>
      </w:r>
    </w:p>
    <w:p w14:paraId="61E18BFB">
      <w:pPr>
        <w:pStyle w:val="39"/>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.5 </w:t>
      </w:r>
      <w:r>
        <w:rPr>
          <w:rFonts w:hint="eastAsia" w:eastAsia="宋体"/>
          <w:snapToGrid w:val="0"/>
          <w:color w:val="auto"/>
          <w:sz w:val="24"/>
          <w:highlight w:val="none"/>
          <w:lang w:val="en-US" w:eastAsia="zh-CN"/>
        </w:rPr>
        <w:t xml:space="preserve">提供本单位制造的货物、承担的工程或者服务（以下简称产品），或者提供其他残疾人福利性单位制造的货物（不包括使用非残疾人福利性单位注册商标的货物）； </w:t>
      </w:r>
    </w:p>
    <w:p w14:paraId="7CAC83A3">
      <w:pPr>
        <w:pStyle w:val="39"/>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7</w:t>
      </w:r>
      <w:r>
        <w:rPr>
          <w:rFonts w:hint="default" w:eastAsia="宋体"/>
          <w:snapToGrid w:val="0"/>
          <w:color w:val="auto"/>
          <w:sz w:val="24"/>
          <w:highlight w:val="none"/>
          <w:lang w:val="en-US" w:eastAsia="zh-CN"/>
        </w:rPr>
        <w:t xml:space="preserve">.6 </w:t>
      </w:r>
      <w:r>
        <w:rPr>
          <w:rFonts w:hint="eastAsia" w:eastAsia="宋体"/>
          <w:snapToGrid w:val="0"/>
          <w:color w:val="auto"/>
          <w:sz w:val="24"/>
          <w:highlight w:val="none"/>
          <w:lang w:val="en-US" w:eastAsia="zh-CN"/>
        </w:rPr>
        <w:t>前款所称残疾人是指法定劳动年龄内，持有《中华人民共和国残疾人证》或者《中华人民共和国残疾军人证（</w:t>
      </w:r>
      <w:r>
        <w:rPr>
          <w:rFonts w:eastAsia="宋体"/>
          <w:snapToGrid w:val="0"/>
          <w:color w:val="auto"/>
          <w:sz w:val="24"/>
          <w:highlight w:val="none"/>
          <w:lang w:val="en-US" w:eastAsia="zh-CN"/>
        </w:rPr>
        <w:t xml:space="preserve">1 </w:t>
      </w:r>
      <w:r>
        <w:rPr>
          <w:rFonts w:hint="eastAsia" w:eastAsia="宋体"/>
          <w:snapToGrid w:val="0"/>
          <w:color w:val="auto"/>
          <w:sz w:val="24"/>
          <w:highlight w:val="none"/>
          <w:lang w:val="en-US" w:eastAsia="zh-CN"/>
        </w:rPr>
        <w:t xml:space="preserve">至 </w:t>
      </w:r>
      <w:r>
        <w:rPr>
          <w:rFonts w:hint="default" w:eastAsia="宋体"/>
          <w:snapToGrid w:val="0"/>
          <w:color w:val="auto"/>
          <w:sz w:val="24"/>
          <w:highlight w:val="none"/>
          <w:lang w:val="en-US" w:eastAsia="zh-CN"/>
        </w:rPr>
        <w:t xml:space="preserve">8 </w:t>
      </w:r>
      <w:r>
        <w:rPr>
          <w:rFonts w:hint="eastAsia" w:eastAsia="宋体"/>
          <w:snapToGrid w:val="0"/>
          <w:color w:val="auto"/>
          <w:sz w:val="24"/>
          <w:highlight w:val="none"/>
          <w:lang w:val="en-US" w:eastAsia="zh-CN"/>
        </w:rPr>
        <w:t xml:space="preserve">级）》的自然人，包括具有劳动条件和劳动意愿的精神残疾人。在职职工人数是指与残疾人福利性单位建立劳动关系并依法签订劳动合同或服务协议的雇员人数。 </w:t>
      </w:r>
    </w:p>
    <w:p w14:paraId="4E91A4A5">
      <w:pPr>
        <w:pStyle w:val="39"/>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8</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本项目是否专门面向中小企业预留采购份额见“第一章 招标公告”。    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9</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采购标的对应的中小企业划分标准所属行业见“投标人须知前附表”。    42</w:t>
      </w:r>
      <w:r>
        <w:rPr>
          <w:rFonts w:hint="default" w:eastAsia="宋体"/>
          <w:snapToGrid w:val="0"/>
          <w:color w:val="auto"/>
          <w:sz w:val="24"/>
          <w:highlight w:val="none"/>
          <w:lang w:val="en-US" w:eastAsia="zh-CN"/>
        </w:rPr>
        <w:t>.</w:t>
      </w:r>
      <w:r>
        <w:rPr>
          <w:rFonts w:hint="eastAsia" w:eastAsia="宋体"/>
          <w:snapToGrid w:val="0"/>
          <w:color w:val="auto"/>
          <w:sz w:val="24"/>
          <w:highlight w:val="none"/>
          <w:lang w:val="en-US" w:eastAsia="zh-CN"/>
        </w:rPr>
        <w:t>10</w:t>
      </w:r>
      <w:r>
        <w:rPr>
          <w:rFonts w:hint="default" w:eastAsia="宋体"/>
          <w:snapToGrid w:val="0"/>
          <w:color w:val="auto"/>
          <w:sz w:val="24"/>
          <w:highlight w:val="none"/>
          <w:lang w:val="en-US" w:eastAsia="zh-CN"/>
        </w:rPr>
        <w:t xml:space="preserve"> </w:t>
      </w:r>
      <w:r>
        <w:rPr>
          <w:rFonts w:hint="eastAsia" w:eastAsia="宋体"/>
          <w:snapToGrid w:val="0"/>
          <w:color w:val="auto"/>
          <w:sz w:val="24"/>
          <w:highlight w:val="none"/>
          <w:lang w:val="en-US" w:eastAsia="zh-CN"/>
        </w:rPr>
        <w:t>小微企业价格评审优惠的政策调整：见“投标人须知前附表”及“第五章 评标方法及标准”。</w:t>
      </w:r>
    </w:p>
    <w:p w14:paraId="272C6AE7">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38" w:name="_Toc163492878"/>
      <w:r>
        <w:rPr>
          <w:rFonts w:hint="eastAsia" w:ascii="宋体" w:hAnsi="宋体" w:eastAsia="宋体" w:cs="宋体"/>
          <w:b/>
          <w:bCs/>
          <w:color w:val="auto"/>
          <w:kern w:val="2"/>
          <w:sz w:val="24"/>
          <w:szCs w:val="28"/>
          <w:highlight w:val="none"/>
          <w:lang w:val="en-US" w:eastAsia="zh-CN" w:bidi="ar-SA"/>
        </w:rPr>
        <w:t>43.政府采购节能产品、环境标志产品</w:t>
      </w:r>
      <w:bookmarkEnd w:id="238"/>
    </w:p>
    <w:p w14:paraId="0C50BD0C">
      <w:pPr>
        <w:pStyle w:val="39"/>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43</w:t>
      </w:r>
      <w:r>
        <w:rPr>
          <w:rFonts w:eastAsia="宋体"/>
          <w:snapToGrid w:val="0"/>
          <w:color w:val="auto"/>
          <w:sz w:val="24"/>
          <w:highlight w:val="none"/>
          <w:lang w:val="en-US" w:eastAsia="zh-CN"/>
        </w:rPr>
        <w:t xml:space="preserve">.1 </w:t>
      </w:r>
      <w:r>
        <w:rPr>
          <w:rFonts w:hint="eastAsia" w:eastAsia="宋体"/>
          <w:snapToGrid w:val="0"/>
          <w:color w:val="auto"/>
          <w:sz w:val="24"/>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关于政府采购节能产品、环境标志产品的相关规定依据《关于调整优化节能产品、环境标志产品政府采购执行机制的通知》（财库〔</w:t>
      </w:r>
      <w:r>
        <w:rPr>
          <w:rFonts w:hint="default" w:eastAsia="宋体"/>
          <w:snapToGrid w:val="0"/>
          <w:color w:val="auto"/>
          <w:sz w:val="24"/>
          <w:highlight w:val="none"/>
          <w:lang w:val="en-US" w:eastAsia="zh-CN"/>
        </w:rPr>
        <w:t>2019</w:t>
      </w:r>
      <w:r>
        <w:rPr>
          <w:rFonts w:hint="eastAsia" w:eastAsia="宋体"/>
          <w:snapToGrid w:val="0"/>
          <w:color w:val="auto"/>
          <w:sz w:val="24"/>
          <w:highlight w:val="none"/>
          <w:lang w:val="en-US" w:eastAsia="zh-CN"/>
        </w:rPr>
        <w:t>〕</w:t>
      </w:r>
      <w:r>
        <w:rPr>
          <w:rFonts w:hint="default" w:eastAsia="宋体"/>
          <w:snapToGrid w:val="0"/>
          <w:color w:val="auto"/>
          <w:sz w:val="24"/>
          <w:highlight w:val="none"/>
          <w:lang w:val="en-US" w:eastAsia="zh-CN"/>
        </w:rPr>
        <w:t xml:space="preserve">9 </w:t>
      </w:r>
      <w:r>
        <w:rPr>
          <w:rFonts w:hint="eastAsia" w:eastAsia="宋体"/>
          <w:snapToGrid w:val="0"/>
          <w:color w:val="auto"/>
          <w:sz w:val="24"/>
          <w:highlight w:val="none"/>
          <w:lang w:val="en-US" w:eastAsia="zh-CN"/>
        </w:rPr>
        <w:t>号）、《关于印发环境标志产品政府采购品目清单的通知》（财库〔2019〕18号）、《关于印发节能产品政府采购品目清单的通知》（财库〔2019〕19号）的规定。</w:t>
      </w:r>
    </w:p>
    <w:p w14:paraId="13B81F41">
      <w:pPr>
        <w:pStyle w:val="39"/>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43</w:t>
      </w:r>
      <w:r>
        <w:rPr>
          <w:rFonts w:hint="default" w:eastAsia="宋体"/>
          <w:snapToGrid w:val="0"/>
          <w:color w:val="auto"/>
          <w:sz w:val="24"/>
          <w:highlight w:val="none"/>
          <w:lang w:val="en-US" w:eastAsia="zh-CN"/>
        </w:rPr>
        <w:t xml:space="preserve">.2 </w:t>
      </w:r>
      <w:r>
        <w:rPr>
          <w:rFonts w:hint="eastAsia" w:eastAsia="宋体"/>
          <w:snapToGrid w:val="0"/>
          <w:color w:val="auto"/>
          <w:sz w:val="24"/>
          <w:highlight w:val="none"/>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 </w:t>
      </w:r>
    </w:p>
    <w:p w14:paraId="2088C6BE">
      <w:pPr>
        <w:pStyle w:val="39"/>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43</w:t>
      </w:r>
      <w:r>
        <w:rPr>
          <w:rFonts w:hint="default" w:eastAsia="宋体"/>
          <w:snapToGrid w:val="0"/>
          <w:color w:val="auto"/>
          <w:sz w:val="24"/>
          <w:highlight w:val="none"/>
          <w:lang w:val="en-US" w:eastAsia="zh-CN"/>
        </w:rPr>
        <w:t xml:space="preserve">.3 </w:t>
      </w:r>
      <w:r>
        <w:rPr>
          <w:rFonts w:hint="eastAsia" w:eastAsia="宋体"/>
          <w:snapToGrid w:val="0"/>
          <w:color w:val="auto"/>
          <w:sz w:val="24"/>
          <w:highlight w:val="none"/>
          <w:lang w:val="en-US" w:eastAsia="zh-CN"/>
        </w:rPr>
        <w:t>如本项目采购产品属于实施政府强制采购品目清单范围的节能产品，则投标人所报产品必须获得国家确定的认证机构出具的、处于有效期之内的节能产品认证证书，否则</w:t>
      </w:r>
      <w:r>
        <w:rPr>
          <w:rFonts w:hint="eastAsia" w:eastAsia="宋体"/>
          <w:b/>
          <w:bCs/>
          <w:snapToGrid w:val="0"/>
          <w:color w:val="auto"/>
          <w:sz w:val="24"/>
          <w:highlight w:val="none"/>
          <w:lang w:val="en-US" w:eastAsia="zh-CN"/>
        </w:rPr>
        <w:t>投标无效</w:t>
      </w:r>
      <w:r>
        <w:rPr>
          <w:rFonts w:hint="eastAsia" w:eastAsia="宋体"/>
          <w:snapToGrid w:val="0"/>
          <w:color w:val="auto"/>
          <w:sz w:val="24"/>
          <w:highlight w:val="none"/>
          <w:lang w:val="en-US" w:eastAsia="zh-CN"/>
        </w:rPr>
        <w:t xml:space="preserve">。 </w:t>
      </w:r>
    </w:p>
    <w:p w14:paraId="406659C0">
      <w:pPr>
        <w:pStyle w:val="39"/>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43</w:t>
      </w:r>
      <w:r>
        <w:rPr>
          <w:rFonts w:hint="default" w:eastAsia="宋体"/>
          <w:snapToGrid w:val="0"/>
          <w:color w:val="auto"/>
          <w:sz w:val="24"/>
          <w:highlight w:val="none"/>
          <w:lang w:val="en-US" w:eastAsia="zh-CN"/>
        </w:rPr>
        <w:t xml:space="preserve">.4 </w:t>
      </w:r>
      <w:r>
        <w:rPr>
          <w:rFonts w:hint="eastAsia" w:eastAsia="宋体"/>
          <w:snapToGrid w:val="0"/>
          <w:color w:val="auto"/>
          <w:sz w:val="24"/>
          <w:highlight w:val="none"/>
          <w:lang w:val="en-US" w:eastAsia="zh-CN"/>
        </w:rPr>
        <w:t>非政府强制采购的节能产品或环境标志产品，依据品目清单和认证证书实施政府优先采购。优先采购的具体规定见“第五章 评标方法及标准”（如涉及）。</w:t>
      </w:r>
    </w:p>
    <w:p w14:paraId="0850B515">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snapToGrid w:val="0"/>
          <w:color w:val="auto"/>
          <w:sz w:val="24"/>
          <w:highlight w:val="none"/>
          <w:lang w:val="en-US" w:eastAsia="zh-CN"/>
        </w:rPr>
        <w:t xml:space="preserve">43.5 </w:t>
      </w:r>
      <w:r>
        <w:rPr>
          <w:rFonts w:hint="eastAsia" w:eastAsia="宋体"/>
          <w:snapToGrid w:val="0"/>
          <w:color w:val="auto"/>
          <w:sz w:val="24"/>
          <w:highlight w:val="none"/>
        </w:rPr>
        <w:t>投标人所投产品如属于节能产品政府采购品目清单、环境标志产品政府采购品目清单范围的，须提供国家确定的认证机构出具的、处于有效期内的产品认证证书，认证证书的产品型号与所投产品不一致的，视为未提供。属于政府强制采购产品的，</w:t>
      </w:r>
      <w:r>
        <w:rPr>
          <w:rFonts w:eastAsia="宋体"/>
          <w:snapToGrid w:val="0"/>
          <w:color w:val="auto"/>
          <w:sz w:val="24"/>
          <w:highlight w:val="none"/>
        </w:rPr>
        <w:t>已作为投标时强制性要求不再</w:t>
      </w:r>
      <w:r>
        <w:rPr>
          <w:rFonts w:hint="eastAsia" w:eastAsia="宋体"/>
          <w:snapToGrid w:val="0"/>
          <w:color w:val="auto"/>
          <w:sz w:val="24"/>
          <w:highlight w:val="none"/>
        </w:rPr>
        <w:t>给予</w:t>
      </w:r>
      <w:r>
        <w:rPr>
          <w:rFonts w:hint="eastAsia" w:eastAsia="宋体"/>
          <w:snapToGrid w:val="0"/>
          <w:color w:val="auto"/>
          <w:sz w:val="24"/>
          <w:highlight w:val="none"/>
          <w:lang w:val="en-US" w:eastAsia="zh-CN"/>
        </w:rPr>
        <w:t>评审优惠</w:t>
      </w:r>
      <w:r>
        <w:rPr>
          <w:rFonts w:hint="eastAsia" w:eastAsia="宋体"/>
          <w:snapToGrid w:val="0"/>
          <w:color w:val="auto"/>
          <w:sz w:val="24"/>
          <w:highlight w:val="none"/>
        </w:rPr>
        <w:t>，未提供认证证书的视为</w:t>
      </w:r>
      <w:r>
        <w:rPr>
          <w:rFonts w:hint="eastAsia" w:eastAsia="宋体"/>
          <w:b/>
          <w:bCs/>
          <w:snapToGrid w:val="0"/>
          <w:color w:val="auto"/>
          <w:sz w:val="24"/>
          <w:highlight w:val="none"/>
          <w:lang w:val="en-US" w:eastAsia="zh-CN"/>
        </w:rPr>
        <w:t>投标</w:t>
      </w:r>
      <w:r>
        <w:rPr>
          <w:rFonts w:hint="eastAsia" w:eastAsia="宋体"/>
          <w:b/>
          <w:bCs/>
          <w:snapToGrid w:val="0"/>
          <w:color w:val="auto"/>
          <w:sz w:val="24"/>
          <w:highlight w:val="none"/>
        </w:rPr>
        <w:t>无效</w:t>
      </w:r>
      <w:r>
        <w:rPr>
          <w:rFonts w:hint="eastAsia" w:eastAsia="宋体"/>
          <w:snapToGrid w:val="0"/>
          <w:color w:val="auto"/>
          <w:sz w:val="24"/>
          <w:highlight w:val="none"/>
        </w:rPr>
        <w:t>。属于</w:t>
      </w:r>
      <w:r>
        <w:rPr>
          <w:rFonts w:hint="eastAsia" w:eastAsia="宋体"/>
          <w:snapToGrid w:val="0"/>
          <w:color w:val="auto"/>
          <w:sz w:val="24"/>
          <w:highlight w:val="none"/>
          <w:lang w:val="en-US" w:eastAsia="zh-CN"/>
        </w:rPr>
        <w:t>优先采购</w:t>
      </w:r>
      <w:r>
        <w:rPr>
          <w:rFonts w:hint="eastAsia" w:eastAsia="宋体"/>
          <w:snapToGrid w:val="0"/>
          <w:color w:val="auto"/>
          <w:sz w:val="24"/>
          <w:highlight w:val="none"/>
        </w:rPr>
        <w:t>节能产品政府采购品目清单、环境标志产品政府采购品目清单</w:t>
      </w:r>
      <w:r>
        <w:rPr>
          <w:rFonts w:hint="eastAsia" w:eastAsia="宋体"/>
          <w:snapToGrid w:val="0"/>
          <w:color w:val="auto"/>
          <w:sz w:val="24"/>
          <w:highlight w:val="none"/>
          <w:lang w:eastAsia="zh-CN"/>
        </w:rPr>
        <w:t>、</w:t>
      </w:r>
      <w:r>
        <w:rPr>
          <w:rFonts w:hint="eastAsia" w:eastAsia="宋体"/>
          <w:snapToGrid w:val="0"/>
          <w:color w:val="auto"/>
          <w:sz w:val="24"/>
          <w:highlight w:val="none"/>
          <w:lang w:val="en-US" w:eastAsia="zh-CN"/>
        </w:rPr>
        <w:t>创新产品</w:t>
      </w:r>
      <w:r>
        <w:rPr>
          <w:rFonts w:hint="eastAsia" w:eastAsia="宋体"/>
          <w:snapToGrid w:val="0"/>
          <w:color w:val="auto"/>
          <w:sz w:val="24"/>
          <w:highlight w:val="none"/>
        </w:rPr>
        <w:t>范围的，按照“</w:t>
      </w:r>
      <w:r>
        <w:rPr>
          <w:rFonts w:hint="eastAsia" w:eastAsia="宋体"/>
          <w:color w:val="auto"/>
          <w:sz w:val="24"/>
          <w:highlight w:val="none"/>
          <w:lang w:val="en-US" w:eastAsia="zh-CN"/>
        </w:rPr>
        <w:t>第五章 评标方法及标准</w:t>
      </w:r>
      <w:r>
        <w:rPr>
          <w:rFonts w:hint="eastAsia" w:eastAsia="宋体"/>
          <w:snapToGrid w:val="0"/>
          <w:color w:val="auto"/>
          <w:sz w:val="24"/>
          <w:highlight w:val="none"/>
        </w:rPr>
        <w:t>”中相关规定</w:t>
      </w:r>
      <w:r>
        <w:rPr>
          <w:rFonts w:hint="eastAsia" w:eastAsia="宋体"/>
          <w:color w:val="auto"/>
          <w:sz w:val="24"/>
          <w:highlight w:val="none"/>
          <w:lang w:val="en-US" w:eastAsia="zh-CN"/>
        </w:rPr>
        <w:t>在评审时给予优惠，具体详见</w:t>
      </w:r>
      <w:r>
        <w:rPr>
          <w:rFonts w:hint="eastAsia" w:eastAsia="宋体"/>
          <w:snapToGrid w:val="0"/>
          <w:color w:val="auto"/>
          <w:sz w:val="24"/>
          <w:highlight w:val="none"/>
          <w:lang w:val="en-US" w:eastAsia="zh-CN"/>
        </w:rPr>
        <w:t>“投标人须知前附表”及</w:t>
      </w:r>
      <w:r>
        <w:rPr>
          <w:rFonts w:hint="eastAsia" w:eastAsia="宋体"/>
          <w:color w:val="auto"/>
          <w:sz w:val="24"/>
          <w:highlight w:val="none"/>
          <w:lang w:val="en-US" w:eastAsia="zh-CN"/>
        </w:rPr>
        <w:t>“第五章 评标方法及标准”</w:t>
      </w:r>
      <w:r>
        <w:rPr>
          <w:rFonts w:hint="eastAsia" w:eastAsia="宋体"/>
          <w:color w:val="auto"/>
          <w:sz w:val="24"/>
          <w:highlight w:val="none"/>
        </w:rPr>
        <w:t>。</w:t>
      </w:r>
    </w:p>
    <w:p w14:paraId="15ACA100">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bookmarkStart w:id="239" w:name="_Toc163492879"/>
      <w:r>
        <w:rPr>
          <w:rFonts w:hint="eastAsia" w:ascii="宋体" w:hAnsi="宋体" w:eastAsia="宋体" w:cs="宋体"/>
          <w:b/>
          <w:bCs/>
          <w:color w:val="auto"/>
          <w:kern w:val="2"/>
          <w:sz w:val="24"/>
          <w:szCs w:val="28"/>
          <w:highlight w:val="none"/>
          <w:lang w:val="en-US" w:eastAsia="zh-CN" w:bidi="ar-SA"/>
        </w:rPr>
        <w:t xml:space="preserve">44.正版软件  </w:t>
      </w:r>
    </w:p>
    <w:p w14:paraId="5D6E1E97">
      <w:pPr>
        <w:pStyle w:val="39"/>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44.</w:t>
      </w:r>
      <w:r>
        <w:rPr>
          <w:rFonts w:hint="eastAsia"/>
          <w:snapToGrid w:val="0"/>
          <w:color w:val="auto"/>
          <w:sz w:val="24"/>
          <w:highlight w:val="none"/>
          <w:lang w:val="en-US" w:eastAsia="zh-CN"/>
        </w:rPr>
        <w:t>1</w:t>
      </w:r>
      <w:r>
        <w:rPr>
          <w:rFonts w:hint="eastAsia" w:eastAsia="宋体"/>
          <w:snapToGrid w:val="0"/>
          <w:color w:val="auto"/>
          <w:sz w:val="24"/>
          <w:highlight w:val="none"/>
          <w:lang w:val="en-US" w:eastAsia="zh-CN"/>
        </w:rPr>
        <w:t xml:space="preserve">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号）、《国务院办公厅关于印发政府机关使用正版软件管理办法的通知》国办发〔2013〕88号。</w:t>
      </w:r>
    </w:p>
    <w:p w14:paraId="155EFE98">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r>
        <w:rPr>
          <w:rFonts w:hint="eastAsia" w:ascii="宋体" w:hAnsi="宋体" w:eastAsia="宋体" w:cs="宋体"/>
          <w:b/>
          <w:bCs/>
          <w:color w:val="auto"/>
          <w:kern w:val="2"/>
          <w:sz w:val="24"/>
          <w:szCs w:val="28"/>
          <w:highlight w:val="none"/>
          <w:lang w:val="en-US" w:eastAsia="zh-CN" w:bidi="ar-SA"/>
        </w:rPr>
        <w:t xml:space="preserve">45.网络安全专用产品   </w:t>
      </w:r>
    </w:p>
    <w:p w14:paraId="61FA6C26">
      <w:pPr>
        <w:pStyle w:val="39"/>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45.1本项目中如涉及网络关键设备或网络安全专用产品的，应严格执行国家互联网信息办公室、工业和信息化部、公安部、财政部和国家认证认可监督管理委员会 2023年第 1 号《关于调整网络安全专用产品安全管理有关事项的公告》及国家互联网信息办公室、工业和信息化部、公安部和国家认证认可监督管理委员会 2023 年第 2号《关于调整&lt;网络关键设备和网络安全专用产品目录&gt;的公告》等相关文件要求，所投标（响应）设备或产品至少符合以下条件之一：一是已由具备资格的机构安全认证合格或安全检测符合要求；二是已获得《计算机信息系统安全专用产品销售许可证》，且在有效期内。采购人、中标(成交)人双方签订合同及验收环节，应包含上述网络安全要求的条款。</w:t>
      </w:r>
    </w:p>
    <w:p w14:paraId="05C16FA6">
      <w:pPr>
        <w:pStyle w:val="39"/>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45.2本项目中如涉及国家强制性产品认证证书（CCC 认证证书）、电信设备进网许可证、无线电发射设备核准证等市场准入类资质的，应严格执行国家相关法律法规的要求。采购人、中标(成交)人双方签订合同及验收环节，应包含上述市场准入类资质要求的条款。 </w:t>
      </w:r>
    </w:p>
    <w:p w14:paraId="25381DDC">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lang w:val="en-US" w:eastAsia="zh-CN" w:bidi="ar-SA"/>
        </w:rPr>
      </w:pPr>
      <w:r>
        <w:rPr>
          <w:rFonts w:hint="eastAsia" w:ascii="宋体" w:hAnsi="宋体" w:eastAsia="宋体" w:cs="宋体"/>
          <w:b/>
          <w:bCs/>
          <w:color w:val="auto"/>
          <w:kern w:val="2"/>
          <w:sz w:val="24"/>
          <w:szCs w:val="28"/>
          <w:highlight w:val="none"/>
          <w:lang w:val="en-US" w:eastAsia="zh-CN" w:bidi="ar-SA"/>
        </w:rPr>
        <w:t xml:space="preserve">46.采购需求标准   </w:t>
      </w:r>
    </w:p>
    <w:p w14:paraId="7A3D7F60">
      <w:pPr>
        <w:pStyle w:val="39"/>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46.1 商品包装、快递包装政府采购需求标准（试行） </w:t>
      </w:r>
    </w:p>
    <w:p w14:paraId="321BF7FF">
      <w:pPr>
        <w:pStyle w:val="39"/>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为助力打好污染防治攻坚战，推广使用绿色包装，根据财政部关于印发《商品包装政府采购需求标准（试行）》、《快递包装政府采购需求标准（试行）》的通知（财办库〔2020〕123 号），本项目如涉及商品包装和快递包装的，则其具体要求见第三章《采购需求》。 </w:t>
      </w:r>
    </w:p>
    <w:p w14:paraId="4BAD5648">
      <w:pPr>
        <w:pStyle w:val="39"/>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46.2 绿色数据中心政府采购需求标准（试行） </w:t>
      </w:r>
    </w:p>
    <w:p w14:paraId="0C715228">
      <w:pPr>
        <w:pStyle w:val="39"/>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 xml:space="preserve">为加快数据中心绿色转型，根据财政部 生态环境部 工业和信息化部关于印发《绿色数据中心政府采购需求标准（试行）》的通知（财库〔2023〕7 号），本项目如涉及绿色数据中心，则具体要求见第三章《采购需求》。 </w:t>
      </w:r>
    </w:p>
    <w:p w14:paraId="6DE29C82">
      <w:pPr>
        <w:pStyle w:val="39"/>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46.3台式计算机政府采购需求标准</w:t>
      </w:r>
    </w:p>
    <w:p w14:paraId="2673DCEA">
      <w:pPr>
        <w:pStyle w:val="39"/>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为提高台式计算机政府采购需求管理的科学化、规范化水平，进一步落实政府采购公平竞争原则，优化营商环境，营造良好的产业生态，财政部 工业和信息化部关于印发《台式计算机政府采购需求标准（2023年版）》的通知（财库〔2023〕29号），本项目如涉及台式计算机采购，则具体要求见第三章《采购需求》。</w:t>
      </w:r>
    </w:p>
    <w:p w14:paraId="38FB1DFF">
      <w:pPr>
        <w:pStyle w:val="39"/>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46.4便携式计算机政府采购需求标准</w:t>
      </w:r>
    </w:p>
    <w:p w14:paraId="54322B89">
      <w:pPr>
        <w:pStyle w:val="39"/>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为提高便携式计算机政府采购需求管理的科学化、规范化水平，进一步落实政府采购公平竞争原则，优化营商环境，营造良好的产业生态，财政部 工业和信息化部关于印发《便携式计算机政府采购需求标准（2023年版）》的通知（财库〔2023〕30号），本项目如涉及便携式计算机采购，则具体要求见第三章《采购需求》。</w:t>
      </w:r>
    </w:p>
    <w:p w14:paraId="0481F733">
      <w:pPr>
        <w:pStyle w:val="39"/>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46.5一体式计算机政府采购需求标准</w:t>
      </w:r>
    </w:p>
    <w:p w14:paraId="5DACA061">
      <w:pPr>
        <w:pStyle w:val="39"/>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为提高一体式计算机政府采购需求管理的科学化、规范化水平，进一步落实政府采购公平竞争原则，优化营商环境，营造良好的产业生态，财政部 工业和信息化部关于印发《一体式计算机政府采购需求标准（2023年版）》的通知（财库〔2023〕31号），本项目如涉及一体式计算机采购，则具体要求见第三章《采购需求》。</w:t>
      </w:r>
    </w:p>
    <w:p w14:paraId="13894512">
      <w:pPr>
        <w:pStyle w:val="39"/>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46.6工作站政府采购需求标准</w:t>
      </w:r>
    </w:p>
    <w:p w14:paraId="308C9C0F">
      <w:pPr>
        <w:pStyle w:val="39"/>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为提高工作站政府采购需求管理的科学化、规范化水平，进一步落实政府采购公平竞争原则，优化营商环境，营造良好的产业生态，财政部 工业和信息化部关于印发《工作站政府采购需求标准（2023年版）》的通知（财库〔2023〕32号），本项目如涉及工作站采购，则具体要求见第三章《采购需求》。</w:t>
      </w:r>
    </w:p>
    <w:p w14:paraId="5396B5B8">
      <w:pPr>
        <w:pStyle w:val="39"/>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46.7通用服务器政府采购需求标准</w:t>
      </w:r>
    </w:p>
    <w:p w14:paraId="066CCD58">
      <w:pPr>
        <w:pStyle w:val="39"/>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为提高通用服务器政府采购需求管理的科学化、规范化水平，进一步落实政府采购公平竞争原则，优化营商环境，营造良好的产业生态，财政部 工业和信息化部关于印发《通用服务器政府采购需求标准（2023年版）》的通知（财库〔2023〕33号），本项目如涉及通用服务器采购，则具体要求见第三章《采购需求》。</w:t>
      </w:r>
    </w:p>
    <w:p w14:paraId="09C6D4DA">
      <w:pPr>
        <w:pStyle w:val="39"/>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46.8操作系统政府采购需求标准</w:t>
      </w:r>
    </w:p>
    <w:p w14:paraId="76F836C2">
      <w:pPr>
        <w:pStyle w:val="39"/>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为提高操作系统政府采购需求管理的科学化、规范化水平，进一步落实政府采购公平竞争原则，优化营商环境，营造良好的产业生态，财政部 工业和信息化部关于印发《操作系统政府采购需求标准（2023年版）》的通知（财库〔2023〕34号），本项目如涉及操作系统采购，则具体要求见第三章《采购需求》。</w:t>
      </w:r>
    </w:p>
    <w:p w14:paraId="3949AC0A">
      <w:pPr>
        <w:pStyle w:val="39"/>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46.9数据库政府采购需求标准</w:t>
      </w:r>
    </w:p>
    <w:p w14:paraId="5169FCEF">
      <w:pPr>
        <w:pStyle w:val="39"/>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为提高数据库政府采购需求管理的科学化、规范化水平，进一步落实政府采购公平竞争原则，优化营商环境，营造良好的产业生态，财政部 工业和信息化部关于印发《数据库政府采购需求标准（2023年版）》的通知（财库〔2023〕35号），本项目如涉及数据库采购，则具体要求见第三章《采购需求》。</w:t>
      </w:r>
    </w:p>
    <w:p w14:paraId="2CD1B4DB">
      <w:pPr>
        <w:pStyle w:val="39"/>
        <w:keepNext w:val="0"/>
        <w:keepLines w:val="0"/>
        <w:pageBreakBefore w:val="0"/>
        <w:widowControl w:val="0"/>
        <w:kinsoku/>
        <w:overflowPunct/>
        <w:topLinePunct w:val="0"/>
        <w:autoSpaceDE/>
        <w:autoSpaceDN/>
        <w:bidi w:val="0"/>
        <w:adjustRightInd/>
        <w:textAlignment w:val="auto"/>
        <w:rPr>
          <w:rFonts w:hint="default" w:eastAsia="宋体"/>
          <w:snapToGrid w:val="0"/>
          <w:color w:val="auto"/>
          <w:sz w:val="24"/>
          <w:highlight w:val="none"/>
          <w:lang w:val="en-US" w:eastAsia="zh-CN"/>
        </w:rPr>
      </w:pPr>
      <w:r>
        <w:rPr>
          <w:rFonts w:hint="eastAsia" w:eastAsia="宋体"/>
          <w:snapToGrid w:val="0"/>
          <w:color w:val="auto"/>
          <w:sz w:val="24"/>
          <w:highlight w:val="none"/>
          <w:lang w:val="en-US" w:eastAsia="zh-CN"/>
        </w:rPr>
        <w:t>46.10物业管理服务政府采购需求标准（办公场所类）（试行）</w:t>
      </w:r>
    </w:p>
    <w:p w14:paraId="49027B5C">
      <w:pPr>
        <w:pStyle w:val="39"/>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为贯彻落实中央全面深化改革委员会审议通过的《深化政府采购制度改革方案》有关要求，推动政府采购需求标准建设，财政部办公厅关于印发《物业管理服务政府采购需求标准（办公场所类）（试行）》的通知（财办库〔2024〕113号），本项目如涉及物业管理服务采购，则具体要求见第三章《采购需求》。</w:t>
      </w:r>
    </w:p>
    <w:p w14:paraId="317FB85F">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r>
        <w:rPr>
          <w:rFonts w:hint="eastAsia" w:ascii="宋体" w:hAnsi="宋体" w:eastAsia="宋体" w:cs="宋体"/>
          <w:b/>
          <w:bCs/>
          <w:color w:val="auto"/>
          <w:kern w:val="2"/>
          <w:sz w:val="24"/>
          <w:szCs w:val="32"/>
          <w:highlight w:val="none"/>
          <w:lang w:val="en-US" w:eastAsia="zh-CN" w:bidi="ar-SA"/>
        </w:rPr>
        <w:t>（十四）政府采购合同融资政策</w:t>
      </w:r>
      <w:bookmarkEnd w:id="235"/>
      <w:bookmarkEnd w:id="236"/>
      <w:bookmarkEnd w:id="239"/>
    </w:p>
    <w:p w14:paraId="09EAC4F4">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40" w:name="_Toc163492880"/>
      <w:r>
        <w:rPr>
          <w:rFonts w:hint="eastAsia" w:ascii="宋体" w:hAnsi="宋体" w:eastAsia="宋体" w:cs="宋体"/>
          <w:b/>
          <w:bCs/>
          <w:color w:val="auto"/>
          <w:kern w:val="2"/>
          <w:sz w:val="24"/>
          <w:szCs w:val="28"/>
          <w:highlight w:val="none"/>
          <w:lang w:val="en-US" w:eastAsia="zh-CN" w:bidi="ar-SA"/>
        </w:rPr>
        <w:t>47.政府采购合同融资政策</w:t>
      </w:r>
      <w:bookmarkEnd w:id="240"/>
    </w:p>
    <w:p w14:paraId="20E9AC6A">
      <w:pPr>
        <w:pStyle w:val="39"/>
        <w:keepNext w:val="0"/>
        <w:keepLines w:val="0"/>
        <w:pageBreakBefore w:val="0"/>
        <w:widowControl w:val="0"/>
        <w:kinsoku/>
        <w:overflowPunct/>
        <w:topLinePunct w:val="0"/>
        <w:autoSpaceDE/>
        <w:autoSpaceDN/>
        <w:bidi w:val="0"/>
        <w:adjustRightInd/>
        <w:textAlignment w:val="auto"/>
        <w:rPr>
          <w:rFonts w:hint="eastAsia" w:eastAsia="宋体"/>
          <w:color w:val="auto"/>
          <w:sz w:val="24"/>
          <w:highlight w:val="none"/>
        </w:rPr>
      </w:pPr>
      <w:r>
        <w:rPr>
          <w:rFonts w:hint="eastAsia" w:eastAsia="宋体"/>
          <w:color w:val="auto"/>
          <w:sz w:val="24"/>
          <w:highlight w:val="none"/>
        </w:rPr>
        <w:t>4</w:t>
      </w:r>
      <w:r>
        <w:rPr>
          <w:rFonts w:hint="eastAsia" w:eastAsia="宋体"/>
          <w:color w:val="auto"/>
          <w:sz w:val="24"/>
          <w:highlight w:val="none"/>
          <w:lang w:val="en-US" w:eastAsia="zh-CN"/>
        </w:rPr>
        <w:t>7</w:t>
      </w:r>
      <w:r>
        <w:rPr>
          <w:rFonts w:eastAsia="宋体"/>
          <w:color w:val="auto"/>
          <w:sz w:val="24"/>
          <w:highlight w:val="none"/>
        </w:rPr>
        <w:t>.</w:t>
      </w:r>
      <w:r>
        <w:rPr>
          <w:rFonts w:hint="eastAsia" w:eastAsia="宋体"/>
          <w:color w:val="auto"/>
          <w:sz w:val="24"/>
          <w:highlight w:val="none"/>
        </w:rPr>
        <w:t>1政府采购合同融资政策：见投标人须知前附表。</w:t>
      </w:r>
    </w:p>
    <w:p w14:paraId="73FAA553">
      <w:pPr>
        <w:pStyle w:val="4"/>
        <w:keepNext w:val="0"/>
        <w:keepLines w:val="0"/>
        <w:pageBreakBefore w:val="0"/>
        <w:widowControl w:val="0"/>
        <w:numPr>
          <w:ilvl w:val="0"/>
          <w:numId w:val="0"/>
        </w:numPr>
        <w:kinsoku/>
        <w:wordWrap/>
        <w:overflowPunct/>
        <w:topLinePunct w:val="0"/>
        <w:autoSpaceDE/>
        <w:autoSpaceDN/>
        <w:bidi w:val="0"/>
        <w:adjustRightInd/>
        <w:snapToGrid/>
        <w:spacing w:before="180" w:after="180" w:line="240" w:lineRule="auto"/>
        <w:ind w:left="420" w:leftChars="0" w:hanging="420" w:firstLineChars="0"/>
        <w:textAlignment w:val="auto"/>
        <w:rPr>
          <w:rFonts w:hint="eastAsia" w:ascii="宋体" w:hAnsi="宋体" w:eastAsia="宋体" w:cs="宋体"/>
          <w:b/>
          <w:bCs/>
          <w:color w:val="auto"/>
          <w:kern w:val="2"/>
          <w:sz w:val="24"/>
          <w:szCs w:val="32"/>
          <w:highlight w:val="none"/>
          <w:lang w:val="en-US" w:eastAsia="zh-CN" w:bidi="ar-SA"/>
        </w:rPr>
      </w:pPr>
      <w:bookmarkStart w:id="241" w:name="_Toc163492881"/>
      <w:r>
        <w:rPr>
          <w:rFonts w:hint="eastAsia" w:ascii="宋体" w:hAnsi="宋体" w:eastAsia="宋体" w:cs="宋体"/>
          <w:b/>
          <w:bCs/>
          <w:color w:val="auto"/>
          <w:kern w:val="2"/>
          <w:sz w:val="24"/>
          <w:szCs w:val="32"/>
          <w:highlight w:val="none"/>
          <w:lang w:val="en-US" w:eastAsia="zh-CN" w:bidi="ar-SA"/>
        </w:rPr>
        <w:t>（十五）其他</w:t>
      </w:r>
      <w:bookmarkEnd w:id="241"/>
    </w:p>
    <w:p w14:paraId="7DC94FCF">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42" w:name="_Toc163492882"/>
      <w:r>
        <w:rPr>
          <w:rFonts w:hint="eastAsia" w:ascii="宋体" w:hAnsi="宋体" w:eastAsia="宋体" w:cs="宋体"/>
          <w:b/>
          <w:bCs/>
          <w:color w:val="auto"/>
          <w:kern w:val="2"/>
          <w:sz w:val="24"/>
          <w:szCs w:val="28"/>
          <w:highlight w:val="none"/>
          <w:lang w:val="en-US" w:eastAsia="zh-CN" w:bidi="ar-SA"/>
        </w:rPr>
        <w:t>48.需要补充的其他内容</w:t>
      </w:r>
      <w:bookmarkEnd w:id="242"/>
    </w:p>
    <w:p w14:paraId="6B534AD7">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color w:val="auto"/>
          <w:sz w:val="24"/>
          <w:highlight w:val="none"/>
        </w:rPr>
        <w:t>4</w:t>
      </w:r>
      <w:r>
        <w:rPr>
          <w:rFonts w:hint="eastAsia" w:eastAsia="宋体"/>
          <w:color w:val="auto"/>
          <w:sz w:val="24"/>
          <w:highlight w:val="none"/>
          <w:lang w:val="en-US" w:eastAsia="zh-CN"/>
        </w:rPr>
        <w:t>8</w:t>
      </w:r>
      <w:r>
        <w:rPr>
          <w:rFonts w:eastAsia="宋体"/>
          <w:color w:val="auto"/>
          <w:sz w:val="24"/>
          <w:highlight w:val="none"/>
        </w:rPr>
        <w:t>.1</w:t>
      </w:r>
      <w:r>
        <w:rPr>
          <w:rFonts w:hint="eastAsia" w:eastAsia="宋体"/>
          <w:color w:val="auto"/>
          <w:sz w:val="24"/>
          <w:highlight w:val="none"/>
        </w:rPr>
        <w:t>需要补充的其他内容：见投标人须知前附表。</w:t>
      </w:r>
    </w:p>
    <w:p w14:paraId="69C40229">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43" w:name="_Toc155185886"/>
      <w:bookmarkStart w:id="244" w:name="_Toc163492883"/>
      <w:bookmarkStart w:id="245" w:name="_Toc140132810"/>
      <w:r>
        <w:rPr>
          <w:rFonts w:hint="eastAsia" w:ascii="宋体" w:hAnsi="宋体" w:eastAsia="宋体" w:cs="宋体"/>
          <w:b/>
          <w:bCs/>
          <w:color w:val="auto"/>
          <w:kern w:val="2"/>
          <w:sz w:val="24"/>
          <w:szCs w:val="28"/>
          <w:highlight w:val="none"/>
          <w:lang w:val="en-US" w:eastAsia="zh-CN" w:bidi="ar-SA"/>
        </w:rPr>
        <w:t>49.适用法律</w:t>
      </w:r>
      <w:bookmarkEnd w:id="243"/>
      <w:bookmarkEnd w:id="244"/>
      <w:bookmarkEnd w:id="245"/>
    </w:p>
    <w:p w14:paraId="2F71C238">
      <w:pPr>
        <w:pStyle w:val="39"/>
        <w:keepNext w:val="0"/>
        <w:keepLines w:val="0"/>
        <w:pageBreakBefore w:val="0"/>
        <w:widowControl w:val="0"/>
        <w:kinsoku/>
        <w:overflowPunct/>
        <w:topLinePunct w:val="0"/>
        <w:autoSpaceDE/>
        <w:autoSpaceDN/>
        <w:bidi w:val="0"/>
        <w:adjustRightInd/>
        <w:textAlignment w:val="auto"/>
        <w:rPr>
          <w:rFonts w:eastAsia="宋体"/>
          <w:snapToGrid w:val="0"/>
          <w:color w:val="auto"/>
          <w:sz w:val="24"/>
          <w:highlight w:val="none"/>
        </w:rPr>
      </w:pPr>
      <w:r>
        <w:rPr>
          <w:rFonts w:hint="eastAsia" w:eastAsia="宋体"/>
          <w:snapToGrid w:val="0"/>
          <w:color w:val="auto"/>
          <w:sz w:val="24"/>
          <w:highlight w:val="none"/>
          <w:lang w:val="en-US" w:eastAsia="zh-CN"/>
        </w:rPr>
        <w:t>49</w:t>
      </w:r>
      <w:r>
        <w:rPr>
          <w:rFonts w:eastAsia="宋体"/>
          <w:snapToGrid w:val="0"/>
          <w:color w:val="auto"/>
          <w:sz w:val="24"/>
          <w:highlight w:val="none"/>
        </w:rPr>
        <w:t>.1</w:t>
      </w:r>
      <w:r>
        <w:rPr>
          <w:rFonts w:hint="eastAsia" w:eastAsia="宋体"/>
          <w:snapToGrid w:val="0"/>
          <w:color w:val="auto"/>
          <w:sz w:val="24"/>
          <w:highlight w:val="none"/>
        </w:rPr>
        <w:t>采购人、采购代理机构及投标人的一切采购活动均适用《中华人民共和国政府采购法》、《中华人民共和国政府采购法实施条例》、《政府采购货物和服务招标投标管理办法》（财政部令第87号）及相关法律法规。</w:t>
      </w:r>
    </w:p>
    <w:p w14:paraId="3042A526">
      <w:pPr>
        <w:pStyle w:val="39"/>
        <w:keepNext w:val="0"/>
        <w:keepLines w:val="0"/>
        <w:pageBreakBefore w:val="0"/>
        <w:widowControl w:val="0"/>
        <w:kinsoku/>
        <w:overflowPunct/>
        <w:topLinePunct w:val="0"/>
        <w:autoSpaceDE/>
        <w:autoSpaceDN/>
        <w:bidi w:val="0"/>
        <w:adjustRightInd/>
        <w:textAlignment w:val="auto"/>
        <w:rPr>
          <w:rFonts w:eastAsia="宋体"/>
          <w:color w:val="auto"/>
          <w:sz w:val="24"/>
          <w:highlight w:val="none"/>
        </w:rPr>
      </w:pPr>
      <w:r>
        <w:rPr>
          <w:rFonts w:hint="eastAsia" w:eastAsia="宋体"/>
          <w:snapToGrid w:val="0"/>
          <w:color w:val="auto"/>
          <w:sz w:val="24"/>
          <w:highlight w:val="none"/>
          <w:lang w:val="en-US" w:eastAsia="zh-CN"/>
        </w:rPr>
        <w:t>49</w:t>
      </w:r>
      <w:r>
        <w:rPr>
          <w:rFonts w:eastAsia="宋体"/>
          <w:snapToGrid w:val="0"/>
          <w:color w:val="auto"/>
          <w:sz w:val="24"/>
          <w:highlight w:val="none"/>
        </w:rPr>
        <w:t>.2</w:t>
      </w:r>
      <w:r>
        <w:rPr>
          <w:rFonts w:hint="eastAsia" w:eastAsia="宋体"/>
          <w:snapToGrid w:val="0"/>
          <w:color w:val="auto"/>
          <w:sz w:val="24"/>
          <w:highlight w:val="none"/>
        </w:rPr>
        <w:t>政府采购合同的履行、违约责任和解决争议的方法等适用《中华人民共和国民法典》。</w:t>
      </w:r>
    </w:p>
    <w:p w14:paraId="22BF7AA8">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lang w:val="en-US" w:eastAsia="zh-CN" w:bidi="ar-SA"/>
        </w:rPr>
      </w:pPr>
      <w:bookmarkStart w:id="246" w:name="_Toc163492884"/>
      <w:bookmarkStart w:id="247" w:name="_Toc155185887"/>
      <w:r>
        <w:rPr>
          <w:rFonts w:hint="eastAsia" w:ascii="宋体" w:hAnsi="宋体" w:eastAsia="宋体" w:cs="宋体"/>
          <w:b/>
          <w:bCs/>
          <w:color w:val="auto"/>
          <w:kern w:val="2"/>
          <w:sz w:val="24"/>
          <w:szCs w:val="28"/>
          <w:highlight w:val="none"/>
          <w:lang w:val="en-US" w:eastAsia="zh-CN" w:bidi="ar-SA"/>
        </w:rPr>
        <w:t>50.解释权</w:t>
      </w:r>
      <w:bookmarkEnd w:id="246"/>
      <w:bookmarkEnd w:id="247"/>
    </w:p>
    <w:p w14:paraId="333E19C1">
      <w:pPr>
        <w:pStyle w:val="39"/>
        <w:keepNext w:val="0"/>
        <w:keepLines w:val="0"/>
        <w:pageBreakBefore w:val="0"/>
        <w:widowControl w:val="0"/>
        <w:kinsoku/>
        <w:overflowPunct/>
        <w:topLinePunct w:val="0"/>
        <w:autoSpaceDE/>
        <w:autoSpaceDN/>
        <w:bidi w:val="0"/>
        <w:adjustRightInd/>
        <w:textAlignment w:val="auto"/>
        <w:rPr>
          <w:rFonts w:hint="eastAsia" w:eastAsia="宋体"/>
          <w:snapToGrid w:val="0"/>
          <w:color w:val="auto"/>
          <w:sz w:val="24"/>
          <w:highlight w:val="none"/>
        </w:rPr>
      </w:pPr>
      <w:r>
        <w:rPr>
          <w:rFonts w:hint="eastAsia" w:eastAsia="宋体"/>
          <w:snapToGrid w:val="0"/>
          <w:color w:val="auto"/>
          <w:sz w:val="24"/>
          <w:highlight w:val="none"/>
          <w:lang w:val="en-US" w:eastAsia="zh-CN"/>
        </w:rPr>
        <w:t>50</w:t>
      </w:r>
      <w:r>
        <w:rPr>
          <w:rFonts w:eastAsia="宋体"/>
          <w:snapToGrid w:val="0"/>
          <w:color w:val="auto"/>
          <w:sz w:val="24"/>
          <w:highlight w:val="none"/>
        </w:rPr>
        <w:t>.</w:t>
      </w:r>
      <w:r>
        <w:rPr>
          <w:rFonts w:hint="eastAsia" w:eastAsia="宋体"/>
          <w:snapToGrid w:val="0"/>
          <w:color w:val="auto"/>
          <w:sz w:val="24"/>
          <w:highlight w:val="none"/>
        </w:rPr>
        <w:t>1本招标文件最终解释权归采购人或采购代理机构所有。</w:t>
      </w:r>
    </w:p>
    <w:p w14:paraId="112891D5">
      <w:pPr>
        <w:pStyle w:val="2"/>
        <w:keepNext w:val="0"/>
        <w:keepLines w:val="0"/>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248" w:name="_Toc155185888"/>
      <w:bookmarkStart w:id="249" w:name="_Toc163492885"/>
    </w:p>
    <w:p w14:paraId="307F654E">
      <w:pPr>
        <w:rPr>
          <w:rFonts w:hint="eastAsia" w:ascii="宋体" w:hAnsi="宋体" w:eastAsia="宋体" w:cs="宋体"/>
          <w:b/>
          <w:bCs/>
          <w:color w:val="auto"/>
          <w:kern w:val="44"/>
          <w:sz w:val="36"/>
          <w:szCs w:val="36"/>
          <w:highlight w:val="none"/>
          <w:lang w:val="en-US" w:eastAsia="zh-CN" w:bidi="ar-SA"/>
        </w:rPr>
      </w:pPr>
    </w:p>
    <w:p w14:paraId="1E9FBA80">
      <w:pPr>
        <w:pStyle w:val="14"/>
        <w:rPr>
          <w:rFonts w:hint="eastAsia" w:ascii="宋体" w:hAnsi="宋体" w:eastAsia="宋体" w:cs="宋体"/>
          <w:b/>
          <w:bCs/>
          <w:color w:val="auto"/>
          <w:kern w:val="44"/>
          <w:sz w:val="36"/>
          <w:szCs w:val="36"/>
          <w:highlight w:val="none"/>
          <w:lang w:val="en-US" w:eastAsia="zh-CN" w:bidi="ar-SA"/>
        </w:rPr>
      </w:pPr>
    </w:p>
    <w:p w14:paraId="4BBC2C6C">
      <w:pPr>
        <w:pStyle w:val="14"/>
        <w:rPr>
          <w:rFonts w:hint="eastAsia" w:ascii="宋体" w:hAnsi="宋体" w:eastAsia="宋体" w:cs="宋体"/>
          <w:b/>
          <w:bCs/>
          <w:color w:val="auto"/>
          <w:kern w:val="44"/>
          <w:sz w:val="36"/>
          <w:szCs w:val="36"/>
          <w:highlight w:val="none"/>
          <w:lang w:val="en-US" w:eastAsia="zh-CN" w:bidi="ar-SA"/>
        </w:rPr>
      </w:pPr>
    </w:p>
    <w:p w14:paraId="474060E4">
      <w:pPr>
        <w:pStyle w:val="14"/>
        <w:rPr>
          <w:rFonts w:hint="eastAsia" w:ascii="宋体" w:hAnsi="宋体" w:eastAsia="宋体" w:cs="宋体"/>
          <w:b/>
          <w:bCs/>
          <w:color w:val="auto"/>
          <w:kern w:val="44"/>
          <w:sz w:val="36"/>
          <w:szCs w:val="36"/>
          <w:highlight w:val="none"/>
          <w:lang w:val="en-US" w:eastAsia="zh-CN" w:bidi="ar-SA"/>
        </w:rPr>
      </w:pPr>
    </w:p>
    <w:p w14:paraId="09E84D97">
      <w:pPr>
        <w:pStyle w:val="14"/>
        <w:rPr>
          <w:rFonts w:hint="eastAsia" w:ascii="宋体" w:hAnsi="宋体" w:eastAsia="宋体" w:cs="宋体"/>
          <w:b/>
          <w:bCs/>
          <w:color w:val="auto"/>
          <w:kern w:val="44"/>
          <w:sz w:val="36"/>
          <w:szCs w:val="36"/>
          <w:highlight w:val="none"/>
          <w:lang w:val="en-US" w:eastAsia="zh-CN" w:bidi="ar-SA"/>
        </w:rPr>
      </w:pPr>
    </w:p>
    <w:p w14:paraId="5325891D">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250" w:name="_Toc22090"/>
    </w:p>
    <w:p w14:paraId="1E83B545">
      <w:pPr>
        <w:pStyle w:val="2"/>
        <w:keepNext/>
        <w:keepLines/>
        <w:pageBreakBefore w:val="0"/>
        <w:widowControl w:val="0"/>
        <w:numPr>
          <w:ilvl w:val="0"/>
          <w:numId w:val="3"/>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r>
        <w:rPr>
          <w:rFonts w:hint="eastAsia" w:ascii="宋体" w:hAnsi="宋体" w:eastAsia="宋体" w:cs="宋体"/>
          <w:b/>
          <w:bCs/>
          <w:color w:val="auto"/>
          <w:kern w:val="44"/>
          <w:sz w:val="36"/>
          <w:szCs w:val="36"/>
          <w:highlight w:val="none"/>
          <w:lang w:val="en-US" w:eastAsia="zh-CN" w:bidi="ar-SA"/>
        </w:rPr>
        <w:t>采购需求</w:t>
      </w:r>
      <w:bookmarkEnd w:id="248"/>
      <w:bookmarkEnd w:id="249"/>
      <w:bookmarkEnd w:id="250"/>
      <w:bookmarkStart w:id="251" w:name="_Toc155185889"/>
      <w:bookmarkStart w:id="252" w:name="_Toc140132812"/>
      <w:bookmarkStart w:id="253" w:name="_Toc163492886"/>
    </w:p>
    <w:p w14:paraId="000778FA">
      <w:pPr>
        <w:numPr>
          <w:ilvl w:val="0"/>
          <w:numId w:val="0"/>
        </w:numPr>
        <w:rPr>
          <w:rFonts w:hint="eastAsia"/>
          <w:b/>
          <w:bCs/>
          <w:sz w:val="28"/>
          <w:szCs w:val="24"/>
          <w:highlight w:val="none"/>
          <w:lang w:val="en-US" w:eastAsia="zh-CN"/>
        </w:rPr>
      </w:pPr>
      <w:r>
        <w:rPr>
          <w:rFonts w:hint="eastAsia"/>
          <w:b/>
          <w:bCs/>
          <w:sz w:val="28"/>
          <w:szCs w:val="24"/>
          <w:highlight w:val="none"/>
          <w:lang w:val="en-US" w:eastAsia="zh-CN"/>
        </w:rPr>
        <w:t>一、商务要求</w:t>
      </w:r>
    </w:p>
    <w:p w14:paraId="5A9D6E80">
      <w:pPr>
        <w:spacing w:line="360" w:lineRule="auto"/>
        <w:rPr>
          <w:rFonts w:hint="default"/>
          <w:b w:val="0"/>
          <w:bCs w:val="0"/>
          <w:color w:val="auto"/>
          <w:sz w:val="24"/>
          <w:szCs w:val="24"/>
          <w:highlight w:val="none"/>
          <w:lang w:val="en-US"/>
        </w:rPr>
      </w:pPr>
      <w:r>
        <w:rPr>
          <w:rFonts w:hint="eastAsia"/>
          <w:b w:val="0"/>
          <w:bCs w:val="0"/>
          <w:color w:val="auto"/>
          <w:sz w:val="24"/>
          <w:szCs w:val="24"/>
          <w:highlight w:val="none"/>
        </w:rPr>
        <w:t>1、由供货方负责安装、调试等售后工作</w:t>
      </w:r>
      <w:r>
        <w:rPr>
          <w:rFonts w:hint="eastAsia"/>
          <w:b w:val="0"/>
          <w:bCs w:val="0"/>
          <w:color w:val="auto"/>
          <w:sz w:val="24"/>
          <w:szCs w:val="24"/>
          <w:highlight w:val="none"/>
          <w:lang w:eastAsia="zh-CN"/>
        </w:rPr>
        <w:t>。</w:t>
      </w:r>
      <w:r>
        <w:rPr>
          <w:rFonts w:hint="eastAsia"/>
          <w:b w:val="0"/>
          <w:bCs w:val="0"/>
          <w:color w:val="auto"/>
          <w:sz w:val="24"/>
          <w:szCs w:val="24"/>
          <w:highlight w:val="none"/>
          <w:lang w:val="en-US" w:eastAsia="zh-CN"/>
        </w:rPr>
        <w:t>质保期内免费维修、调换、上门服务，所有费用由中标供应商承担。货物到货后，采购人有权按相关标准抽检，检测费及样品由中标供应商承担；首次检测不合格的，供应商有权7日内申请复检，复检机构双方共同选定，结果为最终结论；复检仍不合格的，采购人有权拒收该批次货物，供应商承担相应违约责任。</w:t>
      </w:r>
    </w:p>
    <w:p w14:paraId="600E768E">
      <w:pPr>
        <w:spacing w:line="360" w:lineRule="auto"/>
        <w:rPr>
          <w:rFonts w:hint="eastAsia"/>
          <w:b w:val="0"/>
          <w:bCs w:val="0"/>
          <w:color w:val="auto"/>
          <w:sz w:val="24"/>
          <w:szCs w:val="24"/>
          <w:highlight w:val="none"/>
        </w:rPr>
      </w:pPr>
      <w:r>
        <w:rPr>
          <w:rFonts w:hint="eastAsia"/>
          <w:b w:val="0"/>
          <w:bCs w:val="0"/>
          <w:color w:val="auto"/>
          <w:sz w:val="24"/>
          <w:szCs w:val="24"/>
          <w:highlight w:val="none"/>
          <w:lang w:val="en-US" w:eastAsia="zh-CN"/>
        </w:rPr>
        <w:t>2</w:t>
      </w:r>
      <w:r>
        <w:rPr>
          <w:rFonts w:hint="eastAsia"/>
          <w:b w:val="0"/>
          <w:bCs w:val="0"/>
          <w:color w:val="auto"/>
          <w:sz w:val="24"/>
          <w:szCs w:val="24"/>
          <w:highlight w:val="none"/>
        </w:rPr>
        <w:t>、因工作需要、考虑售后等工作，</w:t>
      </w:r>
      <w:r>
        <w:rPr>
          <w:rFonts w:hint="eastAsia"/>
          <w:b w:val="0"/>
          <w:bCs w:val="0"/>
          <w:color w:val="auto"/>
          <w:sz w:val="24"/>
          <w:szCs w:val="24"/>
          <w:highlight w:val="none"/>
          <w:lang w:val="en-US" w:eastAsia="zh-CN"/>
        </w:rPr>
        <w:t>供应商须提供本地化售后服务保障方案，明确售后响应机制、服务团队、7*24 小时响应、现场处置不超过4小时的服务承诺，确保履约及售后需求</w:t>
      </w:r>
      <w:r>
        <w:rPr>
          <w:rFonts w:hint="eastAsia"/>
          <w:b w:val="0"/>
          <w:bCs w:val="0"/>
          <w:color w:val="auto"/>
          <w:sz w:val="24"/>
          <w:szCs w:val="24"/>
          <w:highlight w:val="none"/>
          <w:lang w:eastAsia="zh-CN"/>
        </w:rPr>
        <w:t>。</w:t>
      </w:r>
      <w:r>
        <w:rPr>
          <w:rStyle w:val="33"/>
          <w:rFonts w:ascii="宋体" w:hAnsi="宋体" w:eastAsia="宋体" w:cs="宋体"/>
          <w:b w:val="0"/>
          <w:bCs w:val="0"/>
          <w:color w:val="auto"/>
          <w:kern w:val="0"/>
          <w:sz w:val="24"/>
          <w:szCs w:val="24"/>
          <w:highlight w:val="none"/>
          <w:lang w:val="en-US" w:eastAsia="zh-CN" w:bidi="ar"/>
        </w:rPr>
        <w:t>供应商须承诺安装、售后人员无违法犯罪记录，履约过程中发现相关人员存在违法犯罪记录的，采购人有权要求供应商无条件更换人员，并追究相应违约责任</w:t>
      </w:r>
      <w:r>
        <w:rPr>
          <w:rFonts w:hint="eastAsia"/>
          <w:b w:val="0"/>
          <w:bCs w:val="0"/>
          <w:color w:val="auto"/>
          <w:sz w:val="24"/>
          <w:szCs w:val="24"/>
          <w:highlight w:val="none"/>
        </w:rPr>
        <w:t xml:space="preserve">。 </w:t>
      </w:r>
    </w:p>
    <w:p w14:paraId="00D1F20A">
      <w:pPr>
        <w:spacing w:line="360" w:lineRule="auto"/>
        <w:rPr>
          <w:rFonts w:hint="eastAsia"/>
          <w:b w:val="0"/>
          <w:bCs w:val="0"/>
          <w:color w:val="auto"/>
          <w:sz w:val="24"/>
          <w:szCs w:val="24"/>
          <w:highlight w:val="none"/>
        </w:rPr>
      </w:pPr>
      <w:r>
        <w:rPr>
          <w:rFonts w:hint="eastAsia"/>
          <w:b w:val="0"/>
          <w:bCs w:val="0"/>
          <w:color w:val="auto"/>
          <w:sz w:val="24"/>
          <w:szCs w:val="24"/>
          <w:highlight w:val="none"/>
          <w:lang w:val="en-US" w:eastAsia="zh-CN"/>
        </w:rPr>
        <w:t>3</w:t>
      </w:r>
      <w:r>
        <w:rPr>
          <w:rFonts w:hint="eastAsia"/>
          <w:b w:val="0"/>
          <w:bCs w:val="0"/>
          <w:color w:val="auto"/>
          <w:sz w:val="24"/>
          <w:szCs w:val="24"/>
          <w:highlight w:val="none"/>
        </w:rPr>
        <w:t>、</w:t>
      </w:r>
      <w:r>
        <w:rPr>
          <w:rFonts w:hint="eastAsia"/>
          <w:b w:val="0"/>
          <w:bCs w:val="0"/>
          <w:color w:val="auto"/>
          <w:sz w:val="24"/>
          <w:szCs w:val="24"/>
          <w:highlight w:val="none"/>
          <w:lang w:val="en-US" w:eastAsia="zh-CN"/>
        </w:rPr>
        <w:t>自采购合同签订之日起，</w:t>
      </w:r>
      <w:r>
        <w:rPr>
          <w:rFonts w:hint="eastAsia"/>
          <w:b w:val="0"/>
          <w:bCs w:val="0"/>
          <w:color w:val="auto"/>
          <w:sz w:val="24"/>
          <w:szCs w:val="24"/>
          <w:highlight w:val="none"/>
        </w:rPr>
        <w:t>中标公司需在</w:t>
      </w:r>
      <w:r>
        <w:rPr>
          <w:rFonts w:hint="eastAsia"/>
          <w:b w:val="0"/>
          <w:bCs w:val="0"/>
          <w:color w:val="auto"/>
          <w:sz w:val="24"/>
          <w:szCs w:val="24"/>
          <w:highlight w:val="none"/>
          <w:lang w:val="en-US" w:eastAsia="zh-CN"/>
        </w:rPr>
        <w:t>25</w:t>
      </w:r>
      <w:r>
        <w:rPr>
          <w:rFonts w:hint="eastAsia"/>
          <w:b w:val="0"/>
          <w:bCs w:val="0"/>
          <w:color w:val="auto"/>
          <w:sz w:val="24"/>
          <w:szCs w:val="24"/>
          <w:highlight w:val="none"/>
        </w:rPr>
        <w:t>日</w:t>
      </w:r>
      <w:r>
        <w:rPr>
          <w:rFonts w:hint="eastAsia"/>
          <w:b w:val="0"/>
          <w:bCs w:val="0"/>
          <w:color w:val="auto"/>
          <w:sz w:val="24"/>
          <w:szCs w:val="24"/>
          <w:highlight w:val="none"/>
        </w:rPr>
        <w:t>内完成所有货物供货和安装服务。</w:t>
      </w:r>
    </w:p>
    <w:p w14:paraId="59A72938">
      <w:pPr>
        <w:spacing w:line="360" w:lineRule="auto"/>
        <w:rPr>
          <w:rFonts w:hint="eastAsia"/>
          <w:b w:val="0"/>
          <w:bCs w:val="0"/>
          <w:color w:val="auto"/>
          <w:sz w:val="24"/>
          <w:szCs w:val="24"/>
        </w:rPr>
      </w:pPr>
      <w:r>
        <w:rPr>
          <w:rFonts w:hint="eastAsia"/>
          <w:b w:val="0"/>
          <w:bCs w:val="0"/>
          <w:color w:val="auto"/>
          <w:sz w:val="24"/>
          <w:szCs w:val="24"/>
          <w:highlight w:val="none"/>
          <w:lang w:val="en-US" w:eastAsia="zh-CN"/>
        </w:rPr>
        <w:t>4、质保期：自验收合格之日起计算，质保期不少于3年</w:t>
      </w:r>
      <w:r>
        <w:rPr>
          <w:rFonts w:hint="eastAsia"/>
          <w:b w:val="0"/>
          <w:bCs w:val="0"/>
          <w:color w:val="auto"/>
          <w:sz w:val="24"/>
          <w:szCs w:val="24"/>
          <w:highlight w:val="none"/>
          <w:lang w:val="en-US" w:eastAsia="zh-CN"/>
        </w:rPr>
        <w:t>。质</w:t>
      </w:r>
      <w:r>
        <w:rPr>
          <w:rFonts w:hint="eastAsia"/>
          <w:b w:val="0"/>
          <w:bCs w:val="0"/>
          <w:color w:val="auto"/>
          <w:sz w:val="24"/>
          <w:szCs w:val="24"/>
          <w:lang w:val="en-US" w:eastAsia="zh-CN"/>
        </w:rPr>
        <w:t>保期内因产品质量问题导致的故障，供货方应免费维修或更换，并承担全部费用。</w:t>
      </w:r>
    </w:p>
    <w:p w14:paraId="17F337F8">
      <w:pPr>
        <w:spacing w:line="360" w:lineRule="auto"/>
        <w:rPr>
          <w:rFonts w:hint="eastAsia"/>
          <w:b w:val="0"/>
          <w:bCs w:val="0"/>
          <w:color w:val="auto"/>
          <w:sz w:val="24"/>
          <w:szCs w:val="24"/>
        </w:rPr>
      </w:pPr>
      <w:r>
        <w:rPr>
          <w:rFonts w:hint="eastAsia"/>
          <w:b w:val="0"/>
          <w:bCs w:val="0"/>
          <w:color w:val="auto"/>
          <w:sz w:val="24"/>
          <w:szCs w:val="24"/>
          <w:lang w:val="en-US" w:eastAsia="zh-CN"/>
        </w:rPr>
        <w:t>5、采购人/采购代理机构将在开标当日通过指定渠道查询供应商信用记录，对列入失信名单的供应商拒绝其参与采购活动</w:t>
      </w:r>
      <w:r>
        <w:rPr>
          <w:rFonts w:hint="eastAsia"/>
          <w:b w:val="0"/>
          <w:bCs w:val="0"/>
          <w:color w:val="auto"/>
          <w:sz w:val="24"/>
          <w:szCs w:val="24"/>
        </w:rPr>
        <w:t>。</w:t>
      </w:r>
    </w:p>
    <w:p w14:paraId="6D40F216">
      <w:pPr>
        <w:spacing w:line="360" w:lineRule="auto"/>
        <w:rPr>
          <w:rFonts w:hint="eastAsia"/>
          <w:b w:val="0"/>
          <w:bCs w:val="0"/>
          <w:color w:val="auto"/>
          <w:sz w:val="24"/>
          <w:szCs w:val="24"/>
        </w:rPr>
      </w:pPr>
      <w:r>
        <w:rPr>
          <w:rFonts w:hint="eastAsia"/>
          <w:b w:val="0"/>
          <w:bCs w:val="0"/>
          <w:color w:val="auto"/>
          <w:sz w:val="24"/>
          <w:szCs w:val="24"/>
          <w:lang w:val="en-US" w:eastAsia="zh-CN"/>
        </w:rPr>
        <w:t>6</w:t>
      </w:r>
      <w:r>
        <w:rPr>
          <w:rFonts w:hint="eastAsia"/>
          <w:b w:val="0"/>
          <w:bCs w:val="0"/>
          <w:color w:val="auto"/>
          <w:sz w:val="24"/>
          <w:szCs w:val="24"/>
        </w:rPr>
        <w:t>、</w:t>
      </w:r>
      <w:r>
        <w:rPr>
          <w:rFonts w:hint="eastAsia"/>
          <w:b w:val="0"/>
          <w:bCs w:val="0"/>
          <w:color w:val="auto"/>
          <w:sz w:val="24"/>
          <w:szCs w:val="24"/>
          <w:lang w:val="en-US" w:eastAsia="zh-CN"/>
        </w:rPr>
        <w:t>如中标供应商无法履行合同义务及采购需求要求，给采购人造成损失的，供应商须承担违约责任，赔偿采购人实际损失，赔偿上限不超过本项目合同总金额</w:t>
      </w:r>
      <w:r>
        <w:rPr>
          <w:rFonts w:hint="eastAsia"/>
          <w:b w:val="0"/>
          <w:bCs w:val="0"/>
          <w:color w:val="auto"/>
          <w:sz w:val="24"/>
          <w:szCs w:val="24"/>
        </w:rPr>
        <w:t>。</w:t>
      </w:r>
    </w:p>
    <w:p w14:paraId="4EBE87C3">
      <w:pPr>
        <w:spacing w:line="360" w:lineRule="auto"/>
        <w:rPr>
          <w:rFonts w:hint="eastAsia"/>
          <w:b w:val="0"/>
          <w:bCs w:val="0"/>
          <w:color w:val="auto"/>
          <w:sz w:val="24"/>
          <w:szCs w:val="24"/>
        </w:rPr>
      </w:pPr>
      <w:r>
        <w:rPr>
          <w:rFonts w:hint="eastAsia"/>
          <w:b w:val="0"/>
          <w:bCs w:val="0"/>
          <w:color w:val="auto"/>
          <w:sz w:val="24"/>
          <w:szCs w:val="24"/>
          <w:lang w:val="en-US" w:eastAsia="zh-CN"/>
        </w:rPr>
        <w:t>7</w:t>
      </w:r>
      <w:r>
        <w:rPr>
          <w:rFonts w:hint="eastAsia"/>
          <w:b w:val="0"/>
          <w:bCs w:val="0"/>
          <w:color w:val="auto"/>
          <w:sz w:val="24"/>
          <w:szCs w:val="24"/>
        </w:rPr>
        <w:t>、参与招标企业需上传承诺函（祥见模板）。</w:t>
      </w:r>
    </w:p>
    <w:p w14:paraId="41FFCEE9">
      <w:pPr>
        <w:spacing w:line="360" w:lineRule="auto"/>
        <w:ind w:firstLine="3120" w:firstLineChars="1300"/>
        <w:rPr>
          <w:rFonts w:hint="eastAsia"/>
          <w:b w:val="0"/>
          <w:bCs w:val="0"/>
          <w:color w:val="auto"/>
          <w:sz w:val="24"/>
          <w:szCs w:val="24"/>
        </w:rPr>
      </w:pPr>
      <w:r>
        <w:rPr>
          <w:rFonts w:hint="eastAsia"/>
          <w:b w:val="0"/>
          <w:bCs w:val="0"/>
          <w:color w:val="auto"/>
          <w:sz w:val="24"/>
          <w:szCs w:val="24"/>
        </w:rPr>
        <w:t>承诺函</w:t>
      </w:r>
    </w:p>
    <w:p w14:paraId="6333A8C1">
      <w:pPr>
        <w:spacing w:line="360" w:lineRule="auto"/>
        <w:ind w:firstLine="480" w:firstLineChars="200"/>
        <w:rPr>
          <w:rFonts w:hint="eastAsia"/>
          <w:b w:val="0"/>
          <w:bCs w:val="0"/>
          <w:color w:val="auto"/>
          <w:sz w:val="24"/>
          <w:szCs w:val="24"/>
        </w:rPr>
      </w:pPr>
      <w:r>
        <w:rPr>
          <w:rFonts w:hint="eastAsia"/>
          <w:b w:val="0"/>
          <w:bCs w:val="0"/>
          <w:color w:val="auto"/>
          <w:sz w:val="24"/>
          <w:szCs w:val="24"/>
        </w:rPr>
        <w:t>我公司承诺完成响应采购单位供货需求和售后等服务要求，</w:t>
      </w:r>
      <w:r>
        <w:rPr>
          <w:rStyle w:val="33"/>
          <w:rFonts w:ascii="宋体" w:hAnsi="宋体" w:eastAsia="宋体" w:cs="宋体"/>
          <w:b w:val="0"/>
          <w:bCs w:val="0"/>
          <w:color w:val="auto"/>
          <w:kern w:val="0"/>
          <w:sz w:val="24"/>
          <w:szCs w:val="24"/>
          <w:lang w:val="en-US" w:eastAsia="zh-CN" w:bidi="ar"/>
        </w:rPr>
        <w:t>如无法履行合同义务及采购需求要求，给采购人造成损失的，供应商须承担违约责任，赔偿采购人实际损失，赔偿上限不超过本项目合同总金额</w:t>
      </w:r>
      <w:r>
        <w:rPr>
          <w:rFonts w:hint="eastAsia"/>
          <w:b w:val="0"/>
          <w:bCs w:val="0"/>
          <w:color w:val="auto"/>
          <w:sz w:val="24"/>
          <w:szCs w:val="24"/>
        </w:rPr>
        <w:t>。</w:t>
      </w:r>
    </w:p>
    <w:p w14:paraId="6EE1B850">
      <w:pPr>
        <w:spacing w:line="360" w:lineRule="auto"/>
        <w:jc w:val="right"/>
        <w:rPr>
          <w:rFonts w:hint="eastAsia"/>
          <w:b w:val="0"/>
          <w:bCs w:val="0"/>
          <w:color w:val="auto"/>
          <w:sz w:val="24"/>
          <w:szCs w:val="24"/>
        </w:rPr>
      </w:pPr>
      <w:r>
        <w:rPr>
          <w:rFonts w:hint="eastAsia"/>
          <w:b w:val="0"/>
          <w:bCs w:val="0"/>
          <w:color w:val="auto"/>
          <w:sz w:val="24"/>
          <w:szCs w:val="24"/>
        </w:rPr>
        <w:t xml:space="preserve">               XXXXX公司（盖章）                 </w:t>
      </w:r>
    </w:p>
    <w:p w14:paraId="439F1212">
      <w:pPr>
        <w:spacing w:line="360" w:lineRule="auto"/>
        <w:jc w:val="right"/>
        <w:rPr>
          <w:rFonts w:hint="eastAsia"/>
          <w:b w:val="0"/>
          <w:bCs w:val="0"/>
          <w:color w:val="auto"/>
          <w:sz w:val="28"/>
          <w:szCs w:val="28"/>
        </w:rPr>
      </w:pPr>
      <w:r>
        <w:rPr>
          <w:rFonts w:hint="eastAsia"/>
          <w:b w:val="0"/>
          <w:bCs w:val="0"/>
          <w:color w:val="auto"/>
          <w:sz w:val="24"/>
          <w:szCs w:val="24"/>
        </w:rPr>
        <w:t>时间：</w:t>
      </w:r>
    </w:p>
    <w:p w14:paraId="639D5C4E">
      <w:pPr>
        <w:pStyle w:val="39"/>
        <w:keepNext w:val="0"/>
        <w:keepLines w:val="0"/>
        <w:pageBreakBefore w:val="0"/>
        <w:widowControl w:val="0"/>
        <w:kinsoku/>
        <w:wordWrap w:val="0"/>
        <w:overflowPunct/>
        <w:topLinePunct w:val="0"/>
        <w:autoSpaceDE/>
        <w:autoSpaceDN/>
        <w:bidi w:val="0"/>
        <w:adjustRightInd/>
        <w:snapToGrid/>
        <w:spacing w:before="157" w:beforeLines="50" w:after="157" w:afterLines="50"/>
        <w:ind w:left="0" w:leftChars="0" w:firstLine="0" w:firstLineChars="0"/>
        <w:textAlignment w:val="auto"/>
        <w:rPr>
          <w:rFonts w:hint="eastAsia"/>
          <w:b/>
          <w:bCs/>
          <w:snapToGrid w:val="0"/>
          <w:color w:val="auto"/>
          <w:sz w:val="30"/>
          <w:szCs w:val="30"/>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b/>
          <w:bCs/>
          <w:sz w:val="28"/>
          <w:szCs w:val="24"/>
          <w:highlight w:val="none"/>
          <w:lang w:val="en-US" w:eastAsia="zh-CN"/>
        </w:rPr>
        <w:t>二、技术要求</w:t>
      </w:r>
    </w:p>
    <w:tbl>
      <w:tblPr>
        <w:tblStyle w:val="30"/>
        <w:tblW w:w="5099" w:type="pct"/>
        <w:tblInd w:w="-287" w:type="dxa"/>
        <w:tblLayout w:type="fixed"/>
        <w:tblCellMar>
          <w:top w:w="0" w:type="dxa"/>
          <w:left w:w="108" w:type="dxa"/>
          <w:bottom w:w="0" w:type="dxa"/>
          <w:right w:w="108" w:type="dxa"/>
        </w:tblCellMar>
      </w:tblPr>
      <w:tblGrid>
        <w:gridCol w:w="781"/>
        <w:gridCol w:w="1705"/>
        <w:gridCol w:w="682"/>
        <w:gridCol w:w="688"/>
        <w:gridCol w:w="3076"/>
        <w:gridCol w:w="7523"/>
      </w:tblGrid>
      <w:tr w14:paraId="7C1AC31D">
        <w:tblPrEx>
          <w:tblCellMar>
            <w:top w:w="0" w:type="dxa"/>
            <w:left w:w="108" w:type="dxa"/>
            <w:bottom w:w="0" w:type="dxa"/>
            <w:right w:w="108" w:type="dxa"/>
          </w:tblCellMar>
        </w:tblPrEx>
        <w:trPr>
          <w:trHeight w:val="384"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noWrap/>
            <w:vAlign w:val="center"/>
          </w:tcPr>
          <w:p w14:paraId="32580371">
            <w:pPr>
              <w:widowControl/>
              <w:spacing w:line="240" w:lineRule="auto"/>
              <w:jc w:val="center"/>
              <w:textAlignment w:val="center"/>
              <w:rPr>
                <w:rFonts w:hint="eastAsia" w:ascii="宋体" w:hAnsi="宋体" w:eastAsia="宋体" w:cs="宋体"/>
                <w:b/>
                <w:bCs/>
                <w:color w:val="auto"/>
                <w:sz w:val="21"/>
                <w:szCs w:val="21"/>
                <w:lang w:eastAsia="zh-CN"/>
              </w:rPr>
            </w:pPr>
            <w:r>
              <w:rPr>
                <w:rFonts w:hint="eastAsia" w:ascii="宋体" w:hAnsi="宋体" w:eastAsia="宋体" w:cs="宋体"/>
                <w:b/>
                <w:bCs/>
                <w:color w:val="auto"/>
                <w:kern w:val="0"/>
                <w:sz w:val="21"/>
                <w:szCs w:val="21"/>
                <w:lang w:bidi="ar"/>
              </w:rPr>
              <w:t>标项1：</w:t>
            </w:r>
            <w:r>
              <w:rPr>
                <w:rFonts w:hint="eastAsia" w:ascii="宋体" w:hAnsi="宋体" w:eastAsia="宋体" w:cs="宋体"/>
                <w:b/>
                <w:bCs/>
                <w:color w:val="auto"/>
                <w:kern w:val="0"/>
                <w:sz w:val="21"/>
                <w:szCs w:val="21"/>
                <w:lang w:val="en-US" w:eastAsia="zh-CN" w:bidi="ar"/>
              </w:rPr>
              <w:t>防护用具类一（</w:t>
            </w:r>
            <w:r>
              <w:rPr>
                <w:rFonts w:hint="eastAsia" w:ascii="宋体" w:hAnsi="宋体" w:eastAsia="宋体" w:cs="宋体"/>
                <w:b/>
                <w:bCs/>
                <w:color w:val="auto"/>
                <w:kern w:val="0"/>
                <w:sz w:val="21"/>
                <w:szCs w:val="21"/>
                <w:lang w:bidi="ar"/>
              </w:rPr>
              <w:t>预算180万元</w:t>
            </w:r>
            <w:r>
              <w:rPr>
                <w:rFonts w:hint="eastAsia" w:ascii="宋体" w:hAnsi="宋体" w:eastAsia="宋体" w:cs="宋体"/>
                <w:b/>
                <w:bCs/>
                <w:color w:val="auto"/>
                <w:kern w:val="0"/>
                <w:sz w:val="21"/>
                <w:szCs w:val="21"/>
                <w:lang w:eastAsia="zh-CN" w:bidi="ar"/>
              </w:rPr>
              <w:t>）</w:t>
            </w:r>
          </w:p>
        </w:tc>
      </w:tr>
      <w:tr w14:paraId="77C2030D">
        <w:tblPrEx>
          <w:tblCellMar>
            <w:top w:w="0" w:type="dxa"/>
            <w:left w:w="108" w:type="dxa"/>
            <w:bottom w:w="0" w:type="dxa"/>
            <w:right w:w="108" w:type="dxa"/>
          </w:tblCellMar>
        </w:tblPrEx>
        <w:trPr>
          <w:trHeight w:val="391" w:hRule="atLeast"/>
        </w:trPr>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EA57A5D">
            <w:pPr>
              <w:widowControl/>
              <w:spacing w:line="240" w:lineRule="auto"/>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bidi="ar"/>
              </w:rPr>
              <w:t>序号</w:t>
            </w:r>
          </w:p>
        </w:tc>
        <w:tc>
          <w:tcPr>
            <w:tcW w:w="590" w:type="pct"/>
            <w:tcBorders>
              <w:top w:val="single" w:color="auto" w:sz="4" w:space="0"/>
              <w:left w:val="single" w:color="auto" w:sz="4" w:space="0"/>
              <w:bottom w:val="single" w:color="auto" w:sz="4" w:space="0"/>
              <w:right w:val="single" w:color="auto" w:sz="4" w:space="0"/>
            </w:tcBorders>
            <w:shd w:val="clear" w:color="auto" w:fill="auto"/>
            <w:vAlign w:val="center"/>
          </w:tcPr>
          <w:p w14:paraId="74547A91">
            <w:pPr>
              <w:widowControl/>
              <w:spacing w:line="240" w:lineRule="auto"/>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bidi="ar"/>
              </w:rPr>
              <w:t>项目建设明细</w:t>
            </w:r>
          </w:p>
        </w:tc>
        <w:tc>
          <w:tcPr>
            <w:tcW w:w="236" w:type="pct"/>
            <w:tcBorders>
              <w:top w:val="single" w:color="auto" w:sz="4" w:space="0"/>
              <w:left w:val="single" w:color="auto" w:sz="4" w:space="0"/>
              <w:bottom w:val="single" w:color="auto" w:sz="4" w:space="0"/>
              <w:right w:val="single" w:color="auto" w:sz="4" w:space="0"/>
            </w:tcBorders>
            <w:shd w:val="clear" w:color="auto" w:fill="auto"/>
            <w:vAlign w:val="center"/>
          </w:tcPr>
          <w:p w14:paraId="6D9B759B">
            <w:pPr>
              <w:widowControl/>
              <w:spacing w:line="240" w:lineRule="auto"/>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bidi="ar"/>
              </w:rPr>
              <w:t>数量</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E8EA64B">
            <w:pPr>
              <w:widowControl/>
              <w:spacing w:line="240" w:lineRule="auto"/>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bidi="ar"/>
              </w:rPr>
              <w:t>单位</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954DB1E">
            <w:pPr>
              <w:widowControl/>
              <w:spacing w:line="240" w:lineRule="auto"/>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bidi="ar"/>
              </w:rPr>
              <w:t>图片（仅供参考）</w:t>
            </w:r>
          </w:p>
        </w:tc>
        <w:tc>
          <w:tcPr>
            <w:tcW w:w="259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0FF23FF">
            <w:pPr>
              <w:widowControl/>
              <w:spacing w:line="240" w:lineRule="auto"/>
              <w:jc w:val="center"/>
              <w:textAlignment w:val="center"/>
              <w:rPr>
                <w:rFonts w:hint="eastAsia" w:ascii="宋体" w:hAnsi="宋体" w:eastAsia="宋体" w:cs="宋体"/>
                <w:b/>
                <w:bCs/>
                <w:color w:val="auto"/>
                <w:sz w:val="21"/>
                <w:szCs w:val="21"/>
              </w:rPr>
            </w:pPr>
            <w:r>
              <w:rPr>
                <w:rFonts w:hint="eastAsia" w:ascii="宋体" w:hAnsi="宋体" w:eastAsia="宋体" w:cs="宋体"/>
                <w:b/>
                <w:bCs/>
                <w:color w:val="auto"/>
                <w:kern w:val="0"/>
                <w:sz w:val="21"/>
                <w:szCs w:val="21"/>
                <w:lang w:bidi="ar"/>
              </w:rPr>
              <w:t>性能参数</w:t>
            </w:r>
          </w:p>
        </w:tc>
      </w:tr>
      <w:tr w14:paraId="41B66D4E">
        <w:tblPrEx>
          <w:tblCellMar>
            <w:top w:w="0" w:type="dxa"/>
            <w:left w:w="108" w:type="dxa"/>
            <w:bottom w:w="0" w:type="dxa"/>
            <w:right w:w="108" w:type="dxa"/>
          </w:tblCellMar>
        </w:tblPrEx>
        <w:trPr>
          <w:trHeight w:val="468" w:hRule="atLeast"/>
        </w:trPr>
        <w:tc>
          <w:tcPr>
            <w:tcW w:w="270"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72981F67">
            <w:pPr>
              <w:widowControl/>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1</w:t>
            </w:r>
          </w:p>
        </w:tc>
        <w:tc>
          <w:tcPr>
            <w:tcW w:w="590" w:type="pct"/>
            <w:tcBorders>
              <w:top w:val="single" w:color="auto" w:sz="4" w:space="0"/>
              <w:left w:val="single" w:color="000000" w:sz="4" w:space="0"/>
              <w:bottom w:val="single" w:color="000000" w:sz="4" w:space="0"/>
              <w:right w:val="single" w:color="000000" w:sz="4" w:space="0"/>
            </w:tcBorders>
            <w:shd w:val="clear" w:color="auto" w:fill="auto"/>
            <w:vAlign w:val="center"/>
          </w:tcPr>
          <w:p w14:paraId="41A2D4B1">
            <w:pPr>
              <w:widowControl/>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防弹防刺战术马甲</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（带快拔枪弹套、4件套快拔模块、战术腰封 ）</w:t>
            </w:r>
          </w:p>
        </w:tc>
        <w:tc>
          <w:tcPr>
            <w:tcW w:w="236" w:type="pct"/>
            <w:tcBorders>
              <w:top w:val="single" w:color="auto" w:sz="4" w:space="0"/>
              <w:left w:val="single" w:color="000000" w:sz="4" w:space="0"/>
              <w:bottom w:val="single" w:color="000000" w:sz="4" w:space="0"/>
              <w:right w:val="single" w:color="000000" w:sz="4" w:space="0"/>
            </w:tcBorders>
            <w:shd w:val="clear" w:color="auto" w:fill="auto"/>
            <w:vAlign w:val="center"/>
          </w:tcPr>
          <w:p w14:paraId="3B634A9B">
            <w:pPr>
              <w:widowControl/>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500</w:t>
            </w:r>
          </w:p>
        </w:tc>
        <w:tc>
          <w:tcPr>
            <w:tcW w:w="238" w:type="pct"/>
            <w:tcBorders>
              <w:top w:val="single" w:color="auto" w:sz="4" w:space="0"/>
              <w:left w:val="single" w:color="000000" w:sz="4" w:space="0"/>
              <w:bottom w:val="single" w:color="000000" w:sz="4" w:space="0"/>
              <w:right w:val="single" w:color="000000" w:sz="4" w:space="0"/>
            </w:tcBorders>
            <w:shd w:val="clear" w:color="auto" w:fill="auto"/>
            <w:vAlign w:val="center"/>
          </w:tcPr>
          <w:p w14:paraId="5102F7DE">
            <w:pPr>
              <w:widowControl/>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套</w:t>
            </w:r>
          </w:p>
        </w:tc>
        <w:tc>
          <w:tcPr>
            <w:tcW w:w="1064" w:type="pct"/>
            <w:tcBorders>
              <w:top w:val="single" w:color="auto" w:sz="4" w:space="0"/>
              <w:left w:val="single" w:color="000000" w:sz="4" w:space="0"/>
              <w:bottom w:val="single" w:color="000000" w:sz="4" w:space="0"/>
              <w:right w:val="single" w:color="000000" w:sz="4" w:space="0"/>
            </w:tcBorders>
            <w:shd w:val="clear" w:color="auto" w:fill="auto"/>
            <w:vAlign w:val="center"/>
          </w:tcPr>
          <w:p w14:paraId="06499445">
            <w:pPr>
              <w:widowControl/>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bdr w:val="single" w:color="000000" w:sz="4" w:space="0"/>
                <w:lang w:bidi="ar"/>
              </w:rPr>
              <w:drawing>
                <wp:anchor distT="0" distB="0" distL="114300" distR="114300" simplePos="0" relativeHeight="251659264" behindDoc="0" locked="0" layoutInCell="1" allowOverlap="1">
                  <wp:simplePos x="0" y="0"/>
                  <wp:positionH relativeFrom="column">
                    <wp:posOffset>136525</wp:posOffset>
                  </wp:positionH>
                  <wp:positionV relativeFrom="paragraph">
                    <wp:posOffset>1433830</wp:posOffset>
                  </wp:positionV>
                  <wp:extent cx="1653540" cy="697230"/>
                  <wp:effectExtent l="0" t="0" r="3810" b="7620"/>
                  <wp:wrapNone/>
                  <wp:docPr id="255" name="图片_72"/>
                  <wp:cNvGraphicFramePr/>
                  <a:graphic xmlns:a="http://schemas.openxmlformats.org/drawingml/2006/main">
                    <a:graphicData uri="http://schemas.openxmlformats.org/drawingml/2006/picture">
                      <pic:pic xmlns:pic="http://schemas.openxmlformats.org/drawingml/2006/picture">
                        <pic:nvPicPr>
                          <pic:cNvPr id="255" name="图片_72"/>
                          <pic:cNvPicPr/>
                        </pic:nvPicPr>
                        <pic:blipFill>
                          <a:blip r:embed="rId10"/>
                          <a:stretch>
                            <a:fillRect/>
                          </a:stretch>
                        </pic:blipFill>
                        <pic:spPr>
                          <a:xfrm>
                            <a:off x="0" y="0"/>
                            <a:ext cx="1653540" cy="697230"/>
                          </a:xfrm>
                          <a:prstGeom prst="rect">
                            <a:avLst/>
                          </a:prstGeom>
                          <a:noFill/>
                          <a:ln>
                            <a:noFill/>
                          </a:ln>
                        </pic:spPr>
                      </pic:pic>
                    </a:graphicData>
                  </a:graphic>
                </wp:anchor>
              </w:drawing>
            </w:r>
            <w:r>
              <w:rPr>
                <w:rFonts w:hint="eastAsia" w:ascii="宋体" w:hAnsi="宋体" w:eastAsia="宋体" w:cs="宋体"/>
                <w:color w:val="auto"/>
                <w:kern w:val="0"/>
                <w:sz w:val="21"/>
                <w:szCs w:val="21"/>
                <w:bdr w:val="single" w:color="000000" w:sz="4" w:space="0"/>
                <w:lang w:bidi="ar"/>
              </w:rPr>
              <w:drawing>
                <wp:anchor distT="0" distB="0" distL="114300" distR="114300" simplePos="0" relativeHeight="251660288" behindDoc="0" locked="0" layoutInCell="1" allowOverlap="1">
                  <wp:simplePos x="0" y="0"/>
                  <wp:positionH relativeFrom="column">
                    <wp:posOffset>214630</wp:posOffset>
                  </wp:positionH>
                  <wp:positionV relativeFrom="paragraph">
                    <wp:posOffset>-682625</wp:posOffset>
                  </wp:positionV>
                  <wp:extent cx="1526540" cy="1718310"/>
                  <wp:effectExtent l="0" t="0" r="16510" b="15240"/>
                  <wp:wrapNone/>
                  <wp:docPr id="254" name="图片_70"/>
                  <wp:cNvGraphicFramePr/>
                  <a:graphic xmlns:a="http://schemas.openxmlformats.org/drawingml/2006/main">
                    <a:graphicData uri="http://schemas.openxmlformats.org/drawingml/2006/picture">
                      <pic:pic xmlns:pic="http://schemas.openxmlformats.org/drawingml/2006/picture">
                        <pic:nvPicPr>
                          <pic:cNvPr id="254" name="图片_70"/>
                          <pic:cNvPicPr/>
                        </pic:nvPicPr>
                        <pic:blipFill>
                          <a:blip r:embed="rId11"/>
                          <a:stretch>
                            <a:fillRect/>
                          </a:stretch>
                        </pic:blipFill>
                        <pic:spPr>
                          <a:xfrm>
                            <a:off x="0" y="0"/>
                            <a:ext cx="1526540" cy="1718310"/>
                          </a:xfrm>
                          <a:prstGeom prst="rect">
                            <a:avLst/>
                          </a:prstGeom>
                          <a:noFill/>
                          <a:ln>
                            <a:noFill/>
                          </a:ln>
                        </pic:spPr>
                      </pic:pic>
                    </a:graphicData>
                  </a:graphic>
                </wp:anchor>
              </w:drawing>
            </w:r>
          </w:p>
        </w:tc>
        <w:tc>
          <w:tcPr>
            <w:tcW w:w="2599" w:type="pct"/>
            <w:tcBorders>
              <w:top w:val="single" w:color="auto" w:sz="4" w:space="0"/>
              <w:left w:val="single" w:color="000000" w:sz="4" w:space="0"/>
              <w:bottom w:val="single" w:color="000000" w:sz="4" w:space="0"/>
              <w:right w:val="single" w:color="000000" w:sz="4" w:space="0"/>
            </w:tcBorders>
            <w:shd w:val="clear" w:color="auto" w:fill="auto"/>
            <w:vAlign w:val="center"/>
          </w:tcPr>
          <w:p w14:paraId="5D819EED">
            <w:pPr>
              <w:widowControl/>
              <w:numPr>
                <w:ilvl w:val="0"/>
                <w:numId w:val="4"/>
              </w:numPr>
              <w:spacing w:line="240" w:lineRule="auto"/>
              <w:jc w:val="left"/>
              <w:textAlignment w:val="center"/>
              <w:rPr>
                <w:rFonts w:hint="eastAsia" w:ascii="宋体" w:hAnsi="宋体" w:eastAsia="宋体" w:cs="宋体"/>
                <w:color w:val="auto"/>
                <w:kern w:val="0"/>
                <w:sz w:val="21"/>
                <w:szCs w:val="21"/>
                <w:lang w:bidi="ar"/>
              </w:rPr>
            </w:pPr>
            <w:r>
              <w:rPr>
                <w:rStyle w:val="77"/>
                <w:rFonts w:hint="eastAsia" w:ascii="宋体" w:hAnsi="宋体" w:eastAsia="宋体" w:cs="宋体"/>
                <w:color w:val="auto"/>
                <w:sz w:val="21"/>
                <w:szCs w:val="21"/>
                <w:lang w:bidi="ar"/>
              </w:rPr>
              <w:t>功能性要求</w:t>
            </w:r>
            <w:r>
              <w:rPr>
                <w:rFonts w:hint="eastAsia" w:ascii="宋体" w:hAnsi="宋体" w:eastAsia="宋体" w:cs="宋体"/>
                <w:color w:val="auto"/>
                <w:kern w:val="0"/>
                <w:sz w:val="21"/>
                <w:szCs w:val="21"/>
                <w:lang w:bidi="ar"/>
              </w:rPr>
              <w:t xml:space="preserve"> </w:t>
            </w:r>
            <w:r>
              <w:rPr>
                <w:rFonts w:hint="eastAsia" w:ascii="宋体" w:hAnsi="宋体" w:eastAsia="宋体" w:cs="宋体"/>
                <w:color w:val="auto"/>
                <w:kern w:val="0"/>
                <w:sz w:val="21"/>
                <w:szCs w:val="21"/>
                <w:lang w:bidi="ar"/>
              </w:rPr>
              <w:br w:type="textWrapping"/>
            </w:r>
            <w:r>
              <w:rPr>
                <w:rStyle w:val="77"/>
                <w:rFonts w:hint="eastAsia" w:ascii="宋体" w:hAnsi="宋体" w:eastAsia="宋体" w:cs="宋体"/>
                <w:color w:val="auto"/>
                <w:sz w:val="21"/>
                <w:szCs w:val="21"/>
                <w:lang w:bidi="ar"/>
              </w:rPr>
              <w:t>马甲式一体防弹战术衣具有前、后、左、右四面防护，侧面收纳袋可收纳或加装防弹、防刺板，收纳袋外面采用</w:t>
            </w:r>
            <w:r>
              <w:rPr>
                <w:rFonts w:hint="eastAsia" w:ascii="宋体" w:hAnsi="宋体" w:eastAsia="宋体" w:cs="宋体"/>
                <w:color w:val="auto"/>
                <w:kern w:val="0"/>
                <w:sz w:val="21"/>
                <w:szCs w:val="21"/>
                <w:lang w:bidi="ar"/>
              </w:rPr>
              <w:t xml:space="preserve">MOLLE </w:t>
            </w:r>
            <w:r>
              <w:rPr>
                <w:rStyle w:val="77"/>
                <w:rFonts w:hint="eastAsia" w:ascii="宋体" w:hAnsi="宋体" w:eastAsia="宋体" w:cs="宋体"/>
                <w:color w:val="auto"/>
                <w:sz w:val="21"/>
                <w:szCs w:val="21"/>
                <w:lang w:bidi="ar"/>
              </w:rPr>
              <w:t>扩展系统。</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w:t>
            </w:r>
            <w:r>
              <w:rPr>
                <w:rStyle w:val="77"/>
                <w:rFonts w:hint="eastAsia" w:ascii="宋体" w:hAnsi="宋体" w:eastAsia="宋体" w:cs="宋体"/>
                <w:color w:val="auto"/>
                <w:sz w:val="21"/>
                <w:szCs w:val="21"/>
                <w:lang w:bidi="ar"/>
              </w:rPr>
              <w:t>、技术规格</w:t>
            </w:r>
            <w:r>
              <w:rPr>
                <w:rFonts w:hint="eastAsia" w:ascii="宋体" w:hAnsi="宋体" w:eastAsia="宋体" w:cs="宋体"/>
                <w:color w:val="auto"/>
                <w:kern w:val="0"/>
                <w:sz w:val="21"/>
                <w:szCs w:val="21"/>
                <w:lang w:bidi="ar"/>
              </w:rPr>
              <w:t xml:space="preserve">  </w:t>
            </w:r>
            <w:r>
              <w:rPr>
                <w:rFonts w:hint="eastAsia" w:ascii="宋体" w:hAnsi="宋体" w:eastAsia="宋体" w:cs="宋体"/>
                <w:color w:val="auto"/>
                <w:kern w:val="0"/>
                <w:sz w:val="21"/>
                <w:szCs w:val="21"/>
                <w:lang w:bidi="ar"/>
              </w:rPr>
              <w:br w:type="textWrapping"/>
            </w:r>
            <w:r>
              <w:rPr>
                <w:rStyle w:val="77"/>
                <w:rFonts w:hint="eastAsia" w:ascii="宋体" w:hAnsi="宋体" w:eastAsia="宋体" w:cs="宋体"/>
                <w:color w:val="auto"/>
                <w:sz w:val="21"/>
                <w:szCs w:val="21"/>
                <w:lang w:bidi="ar"/>
              </w:rPr>
              <w:t>（</w:t>
            </w:r>
            <w:r>
              <w:rPr>
                <w:rFonts w:hint="eastAsia" w:ascii="宋体" w:hAnsi="宋体" w:eastAsia="宋体" w:cs="宋体"/>
                <w:color w:val="auto"/>
                <w:kern w:val="0"/>
                <w:sz w:val="21"/>
                <w:szCs w:val="21"/>
                <w:lang w:bidi="ar"/>
              </w:rPr>
              <w:t>1</w:t>
            </w:r>
            <w:r>
              <w:rPr>
                <w:rStyle w:val="77"/>
                <w:rFonts w:hint="eastAsia" w:ascii="宋体" w:hAnsi="宋体" w:eastAsia="宋体" w:cs="宋体"/>
                <w:color w:val="auto"/>
                <w:sz w:val="21"/>
                <w:szCs w:val="21"/>
                <w:lang w:bidi="ar"/>
              </w:rPr>
              <w:t>）材质：战术背心主面料采用≥1000D 高强锦纶（尼龙），具备高强度、耐磨、抗撕裂性能。</w:t>
            </w:r>
            <w:r>
              <w:rPr>
                <w:rFonts w:hint="eastAsia" w:ascii="宋体" w:hAnsi="宋体" w:eastAsia="宋体" w:cs="宋体"/>
                <w:color w:val="auto"/>
                <w:kern w:val="0"/>
                <w:sz w:val="21"/>
                <w:szCs w:val="21"/>
                <w:lang w:bidi="ar"/>
              </w:rPr>
              <w:br w:type="textWrapping"/>
            </w:r>
            <w:r>
              <w:rPr>
                <w:rStyle w:val="77"/>
                <w:rFonts w:hint="eastAsia" w:ascii="宋体" w:hAnsi="宋体" w:eastAsia="宋体" w:cs="宋体"/>
                <w:color w:val="auto"/>
                <w:sz w:val="21"/>
                <w:szCs w:val="21"/>
                <w:lang w:bidi="ar"/>
              </w:rPr>
              <w:t>（</w:t>
            </w:r>
            <w:r>
              <w:rPr>
                <w:rFonts w:hint="eastAsia" w:ascii="宋体" w:hAnsi="宋体" w:eastAsia="宋体" w:cs="宋体"/>
                <w:color w:val="auto"/>
                <w:kern w:val="0"/>
                <w:sz w:val="21"/>
                <w:szCs w:val="21"/>
                <w:lang w:bidi="ar"/>
              </w:rPr>
              <w:t>2</w:t>
            </w:r>
            <w:r>
              <w:rPr>
                <w:rStyle w:val="77"/>
                <w:rFonts w:hint="eastAsia" w:ascii="宋体" w:hAnsi="宋体" w:eastAsia="宋体" w:cs="宋体"/>
                <w:color w:val="auto"/>
                <w:sz w:val="21"/>
                <w:szCs w:val="21"/>
                <w:lang w:bidi="ar"/>
              </w:rPr>
              <w:t>）颜色：黑色</w:t>
            </w:r>
            <w:r>
              <w:rPr>
                <w:rFonts w:hint="eastAsia" w:ascii="宋体" w:hAnsi="宋体" w:eastAsia="宋体" w:cs="宋体"/>
                <w:color w:val="auto"/>
                <w:kern w:val="0"/>
                <w:sz w:val="21"/>
                <w:szCs w:val="21"/>
                <w:lang w:bidi="ar"/>
              </w:rPr>
              <w:br w:type="textWrapping"/>
            </w:r>
            <w:r>
              <w:rPr>
                <w:rStyle w:val="77"/>
                <w:rFonts w:hint="eastAsia" w:ascii="宋体" w:hAnsi="宋体" w:eastAsia="宋体" w:cs="宋体"/>
                <w:color w:val="auto"/>
                <w:sz w:val="21"/>
                <w:szCs w:val="21"/>
                <w:lang w:bidi="ar"/>
              </w:rPr>
              <w:t>（</w:t>
            </w:r>
            <w:r>
              <w:rPr>
                <w:rFonts w:hint="eastAsia" w:ascii="宋体" w:hAnsi="宋体" w:eastAsia="宋体" w:cs="宋体"/>
                <w:color w:val="auto"/>
                <w:kern w:val="0"/>
                <w:sz w:val="21"/>
                <w:szCs w:val="21"/>
                <w:lang w:bidi="ar"/>
              </w:rPr>
              <w:t>3</w:t>
            </w:r>
            <w:r>
              <w:rPr>
                <w:rStyle w:val="77"/>
                <w:rFonts w:hint="eastAsia" w:ascii="宋体" w:hAnsi="宋体" w:eastAsia="宋体" w:cs="宋体"/>
                <w:color w:val="auto"/>
                <w:sz w:val="21"/>
                <w:szCs w:val="21"/>
                <w:lang w:bidi="ar"/>
              </w:rPr>
              <w:t>）重量：</w:t>
            </w:r>
            <w:r>
              <w:rPr>
                <w:rFonts w:hint="eastAsia" w:ascii="宋体" w:hAnsi="宋体" w:eastAsia="宋体" w:cs="宋体"/>
                <w:color w:val="auto"/>
                <w:kern w:val="0"/>
                <w:sz w:val="21"/>
                <w:szCs w:val="21"/>
                <w:lang w:bidi="ar"/>
              </w:rPr>
              <w:t>≤1.5kg</w:t>
            </w:r>
            <w:r>
              <w:rPr>
                <w:rFonts w:hint="eastAsia" w:ascii="宋体" w:hAnsi="宋体" w:eastAsia="宋体" w:cs="宋体"/>
                <w:color w:val="auto"/>
                <w:kern w:val="0"/>
                <w:sz w:val="21"/>
                <w:szCs w:val="21"/>
                <w:lang w:bidi="ar"/>
              </w:rPr>
              <w:br w:type="textWrapping"/>
            </w:r>
            <w:r>
              <w:rPr>
                <w:rStyle w:val="77"/>
                <w:rFonts w:hint="eastAsia" w:ascii="宋体" w:hAnsi="宋体" w:eastAsia="宋体" w:cs="宋体"/>
                <w:color w:val="auto"/>
                <w:sz w:val="21"/>
                <w:szCs w:val="21"/>
                <w:lang w:bidi="ar"/>
              </w:rPr>
              <w:t>（</w:t>
            </w:r>
            <w:r>
              <w:rPr>
                <w:rFonts w:hint="eastAsia" w:ascii="宋体" w:hAnsi="宋体" w:eastAsia="宋体" w:cs="宋体"/>
                <w:color w:val="auto"/>
                <w:kern w:val="0"/>
                <w:sz w:val="21"/>
                <w:szCs w:val="21"/>
                <w:lang w:bidi="ar"/>
              </w:rPr>
              <w:t>4</w:t>
            </w:r>
            <w:r>
              <w:rPr>
                <w:rStyle w:val="77"/>
                <w:rFonts w:hint="eastAsia" w:ascii="宋体" w:hAnsi="宋体" w:eastAsia="宋体" w:cs="宋体"/>
                <w:color w:val="auto"/>
                <w:sz w:val="21"/>
                <w:szCs w:val="21"/>
                <w:lang w:bidi="ar"/>
              </w:rPr>
              <w:t>）性能：</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w:t>
            </w:r>
            <w:r>
              <w:rPr>
                <w:rStyle w:val="77"/>
                <w:rFonts w:hint="eastAsia" w:ascii="宋体" w:hAnsi="宋体" w:eastAsia="宋体" w:cs="宋体"/>
                <w:color w:val="auto"/>
                <w:sz w:val="21"/>
                <w:szCs w:val="21"/>
                <w:lang w:bidi="ar"/>
              </w:rPr>
              <w:t>）</w:t>
            </w:r>
            <w:r>
              <w:rPr>
                <w:rFonts w:hint="eastAsia" w:ascii="宋体" w:hAnsi="宋体" w:eastAsia="宋体" w:cs="宋体"/>
                <w:color w:val="auto"/>
                <w:kern w:val="0"/>
                <w:sz w:val="21"/>
                <w:szCs w:val="21"/>
                <w:lang w:bidi="ar"/>
              </w:rPr>
              <w:t xml:space="preserve">MOLLE </w:t>
            </w:r>
            <w:r>
              <w:rPr>
                <w:rStyle w:val="77"/>
                <w:rFonts w:hint="eastAsia" w:ascii="宋体" w:hAnsi="宋体" w:eastAsia="宋体" w:cs="宋体"/>
                <w:color w:val="auto"/>
                <w:sz w:val="21"/>
                <w:szCs w:val="21"/>
                <w:lang w:bidi="ar"/>
              </w:rPr>
              <w:t>扩展系统：采用</w:t>
            </w:r>
            <w:r>
              <w:rPr>
                <w:rFonts w:hint="eastAsia" w:ascii="宋体" w:hAnsi="宋体" w:eastAsia="宋体" w:cs="宋体"/>
                <w:color w:val="auto"/>
                <w:kern w:val="0"/>
                <w:sz w:val="21"/>
                <w:szCs w:val="21"/>
                <w:lang w:bidi="ar"/>
              </w:rPr>
              <w:t xml:space="preserve"> MOLLE </w:t>
            </w:r>
            <w:r>
              <w:rPr>
                <w:rStyle w:val="77"/>
                <w:rFonts w:hint="eastAsia" w:ascii="宋体" w:hAnsi="宋体" w:eastAsia="宋体" w:cs="宋体"/>
                <w:color w:val="auto"/>
                <w:sz w:val="21"/>
                <w:szCs w:val="21"/>
                <w:lang w:bidi="ar"/>
              </w:rPr>
              <w:t>扩展系统。可随意安排及更换附件包及固定战术配件；</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w:t>
            </w:r>
            <w:r>
              <w:rPr>
                <w:rStyle w:val="77"/>
                <w:rFonts w:hint="eastAsia" w:ascii="宋体" w:hAnsi="宋体" w:eastAsia="宋体" w:cs="宋体"/>
                <w:color w:val="auto"/>
                <w:sz w:val="21"/>
                <w:szCs w:val="21"/>
                <w:lang w:bidi="ar"/>
              </w:rPr>
              <w:t>）材质：采用面料双层复合工艺，面料带有防水涂层，可有效防水。</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w:t>
            </w:r>
            <w:r>
              <w:rPr>
                <w:rStyle w:val="77"/>
                <w:rFonts w:hint="eastAsia" w:ascii="宋体" w:hAnsi="宋体" w:eastAsia="宋体" w:cs="宋体"/>
                <w:color w:val="auto"/>
                <w:sz w:val="21"/>
                <w:szCs w:val="21"/>
                <w:lang w:bidi="ar"/>
              </w:rPr>
              <w:t>）结构：分为前、后、左、右四面防护。前后防护区可插入≥250mm×300mm 标准防弹插板。两侧各</w:t>
            </w:r>
            <w:r>
              <w:rPr>
                <w:rFonts w:hint="eastAsia" w:ascii="宋体" w:hAnsi="宋体" w:eastAsia="宋体" w:cs="宋体"/>
                <w:color w:val="auto"/>
                <w:kern w:val="0"/>
                <w:sz w:val="21"/>
                <w:szCs w:val="21"/>
                <w:lang w:bidi="ar"/>
              </w:rPr>
              <w:t>1</w:t>
            </w:r>
            <w:r>
              <w:rPr>
                <w:rStyle w:val="77"/>
                <w:rFonts w:hint="eastAsia" w:ascii="宋体" w:hAnsi="宋体" w:eastAsia="宋体" w:cs="宋体"/>
                <w:color w:val="auto"/>
                <w:sz w:val="21"/>
                <w:szCs w:val="21"/>
                <w:lang w:bidi="ar"/>
              </w:rPr>
              <w:t>个隐藏式收纳袋，可收纳或加装防弹、防刺板，收纳袋外面采用</w:t>
            </w:r>
            <w:r>
              <w:rPr>
                <w:rFonts w:hint="eastAsia" w:ascii="宋体" w:hAnsi="宋体" w:eastAsia="宋体" w:cs="宋体"/>
                <w:color w:val="auto"/>
                <w:kern w:val="0"/>
                <w:sz w:val="21"/>
                <w:szCs w:val="21"/>
                <w:lang w:bidi="ar"/>
              </w:rPr>
              <w:t xml:space="preserve">MOLLE </w:t>
            </w:r>
            <w:r>
              <w:rPr>
                <w:rStyle w:val="77"/>
                <w:rFonts w:hint="eastAsia" w:ascii="宋体" w:hAnsi="宋体" w:eastAsia="宋体" w:cs="宋体"/>
                <w:color w:val="auto"/>
                <w:sz w:val="21"/>
                <w:szCs w:val="21"/>
                <w:lang w:bidi="ar"/>
              </w:rPr>
              <w:t>扩展系统，四周采用缝纫封边，采用弹力带和魔术贴与背部连接。可通过调节腹部和背部魔术贴位置来实现松紧度调节。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w:t>
            </w:r>
            <w:r>
              <w:rPr>
                <w:rStyle w:val="77"/>
                <w:rFonts w:hint="eastAsia" w:ascii="宋体" w:hAnsi="宋体" w:eastAsia="宋体" w:cs="宋体"/>
                <w:color w:val="auto"/>
                <w:sz w:val="21"/>
                <w:szCs w:val="21"/>
                <w:lang w:bidi="ar"/>
              </w:rPr>
              <w:t>）外观：</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4.1</w:t>
            </w:r>
            <w:r>
              <w:rPr>
                <w:rStyle w:val="77"/>
                <w:rFonts w:hint="eastAsia" w:ascii="宋体" w:hAnsi="宋体" w:eastAsia="宋体" w:cs="宋体"/>
                <w:color w:val="auto"/>
                <w:sz w:val="21"/>
                <w:szCs w:val="21"/>
                <w:lang w:bidi="ar"/>
              </w:rPr>
              <w:t>胸前带有魔术贴和隐藏式口袋（深度和宽度</w:t>
            </w:r>
            <w:r>
              <w:rPr>
                <w:rFonts w:hint="eastAsia" w:ascii="宋体" w:hAnsi="宋体" w:eastAsia="宋体" w:cs="宋体"/>
                <w:color w:val="auto"/>
                <w:kern w:val="0"/>
                <w:sz w:val="21"/>
                <w:szCs w:val="21"/>
                <w:lang w:bidi="ar"/>
              </w:rPr>
              <w:t>10-12cm</w:t>
            </w:r>
            <w:r>
              <w:rPr>
                <w:rStyle w:val="77"/>
                <w:rFonts w:hint="eastAsia" w:ascii="宋体" w:hAnsi="宋体" w:eastAsia="宋体" w:cs="宋体"/>
                <w:color w:val="auto"/>
                <w:sz w:val="21"/>
                <w:szCs w:val="21"/>
                <w:lang w:bidi="ar"/>
              </w:rPr>
              <w:t>），口袋采用口袋采用高品质耐用拉链，拉手做防滑处理，便于戴手套操作。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4.2</w:t>
            </w:r>
            <w:r>
              <w:rPr>
                <w:rStyle w:val="77"/>
                <w:rFonts w:hint="eastAsia" w:ascii="宋体" w:hAnsi="宋体" w:eastAsia="宋体" w:cs="宋体"/>
                <w:color w:val="auto"/>
                <w:sz w:val="21"/>
                <w:szCs w:val="21"/>
                <w:lang w:bidi="ar"/>
              </w:rPr>
              <w:t>腹部多功能面板可快速拆穿，采用魔术贴和两个扣具（扣具耐高温</w:t>
            </w:r>
            <w:r>
              <w:rPr>
                <w:rFonts w:hint="eastAsia" w:ascii="宋体" w:hAnsi="宋体" w:eastAsia="宋体" w:cs="宋体"/>
                <w:color w:val="auto"/>
                <w:kern w:val="0"/>
                <w:sz w:val="21"/>
                <w:szCs w:val="21"/>
                <w:lang w:bidi="ar"/>
              </w:rPr>
              <w:t>70</w:t>
            </w:r>
            <w:r>
              <w:rPr>
                <w:rStyle w:val="77"/>
                <w:rFonts w:hint="eastAsia" w:ascii="宋体" w:hAnsi="宋体" w:eastAsia="宋体" w:cs="宋体"/>
                <w:color w:val="auto"/>
                <w:sz w:val="21"/>
                <w:szCs w:val="21"/>
                <w:lang w:bidi="ar"/>
              </w:rPr>
              <w:t>摄氏度、低温﹣</w:t>
            </w:r>
            <w:r>
              <w:rPr>
                <w:rFonts w:hint="eastAsia" w:ascii="宋体" w:hAnsi="宋体" w:eastAsia="宋体" w:cs="宋体"/>
                <w:color w:val="auto"/>
                <w:kern w:val="0"/>
                <w:sz w:val="21"/>
                <w:szCs w:val="21"/>
                <w:lang w:bidi="ar"/>
              </w:rPr>
              <w:t>30</w:t>
            </w:r>
            <w:r>
              <w:rPr>
                <w:rStyle w:val="77"/>
                <w:rFonts w:hint="eastAsia" w:ascii="宋体" w:hAnsi="宋体" w:eastAsia="宋体" w:cs="宋体"/>
                <w:color w:val="auto"/>
                <w:sz w:val="21"/>
                <w:szCs w:val="21"/>
                <w:lang w:bidi="ar"/>
              </w:rPr>
              <w:t>摄氏度，耐弯曲）固定，根据任务更换不同配置功能包；</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4.3</w:t>
            </w:r>
            <w:r>
              <w:rPr>
                <w:rStyle w:val="77"/>
                <w:rFonts w:hint="eastAsia" w:ascii="宋体" w:hAnsi="宋体" w:eastAsia="宋体" w:cs="宋体"/>
                <w:color w:val="auto"/>
                <w:sz w:val="21"/>
                <w:szCs w:val="21"/>
                <w:lang w:bidi="ar"/>
              </w:rPr>
              <w:t>腹部两侧采用快拉式快拆系统，快穿快脱，方便组装，前部采用魔术贴模块，配合卡扣与侧面连接；</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4.4</w:t>
            </w:r>
            <w:r>
              <w:rPr>
                <w:rStyle w:val="77"/>
                <w:rFonts w:hint="eastAsia" w:ascii="宋体" w:hAnsi="宋体" w:eastAsia="宋体" w:cs="宋体"/>
                <w:color w:val="auto"/>
                <w:sz w:val="21"/>
                <w:szCs w:val="21"/>
                <w:lang w:bidi="ar"/>
              </w:rPr>
              <w:t>内部采用三明治透气缓冲系统，柔软舒适，利于排汗，采用魔术贴与马甲粘连，便于整体拆洗；</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4.5</w:t>
            </w:r>
            <w:r>
              <w:rPr>
                <w:rStyle w:val="77"/>
                <w:rFonts w:hint="eastAsia" w:ascii="宋体" w:hAnsi="宋体" w:eastAsia="宋体" w:cs="宋体"/>
                <w:color w:val="auto"/>
                <w:sz w:val="21"/>
                <w:szCs w:val="21"/>
                <w:lang w:bidi="ar"/>
              </w:rPr>
              <w:t>肩部带有饮水管固定带，上方带有</w:t>
            </w:r>
            <w:r>
              <w:rPr>
                <w:rFonts w:hint="eastAsia" w:ascii="宋体" w:hAnsi="宋体" w:eastAsia="宋体" w:cs="宋体"/>
                <w:color w:val="auto"/>
                <w:kern w:val="0"/>
                <w:sz w:val="21"/>
                <w:szCs w:val="21"/>
                <w:lang w:bidi="ar"/>
              </w:rPr>
              <w:t xml:space="preserve">MOLLE </w:t>
            </w:r>
            <w:r>
              <w:rPr>
                <w:rStyle w:val="77"/>
                <w:rFonts w:hint="eastAsia" w:ascii="宋体" w:hAnsi="宋体" w:eastAsia="宋体" w:cs="宋体"/>
                <w:color w:val="auto"/>
                <w:sz w:val="21"/>
                <w:szCs w:val="21"/>
                <w:lang w:bidi="ar"/>
              </w:rPr>
              <w:t>扩展系统，便于挂载肩灯等装备，下方为透气缓冲垫；</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4.6</w:t>
            </w:r>
            <w:r>
              <w:rPr>
                <w:rStyle w:val="77"/>
                <w:rFonts w:hint="eastAsia" w:ascii="宋体" w:hAnsi="宋体" w:eastAsia="宋体" w:cs="宋体"/>
                <w:color w:val="auto"/>
                <w:sz w:val="21"/>
                <w:szCs w:val="21"/>
                <w:lang w:bidi="ar"/>
              </w:rPr>
              <w:t>背部带有魔术贴，定制单位名称和警员编号刺绣贴。</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5</w:t>
            </w:r>
            <w:r>
              <w:rPr>
                <w:rStyle w:val="77"/>
                <w:rFonts w:hint="eastAsia" w:ascii="宋体" w:hAnsi="宋体" w:eastAsia="宋体" w:cs="宋体"/>
                <w:color w:val="auto"/>
                <w:sz w:val="21"/>
                <w:szCs w:val="21"/>
                <w:lang w:bidi="ar"/>
              </w:rPr>
              <w:t>）单向快拆扣：背心腹部、肩部链接位置采用了单向快拆扣具。</w:t>
            </w:r>
            <w:r>
              <w:rPr>
                <w:rFonts w:hint="eastAsia" w:ascii="宋体" w:hAnsi="宋体" w:eastAsia="宋体" w:cs="宋体"/>
                <w:color w:val="auto"/>
                <w:kern w:val="0"/>
                <w:sz w:val="21"/>
                <w:szCs w:val="21"/>
                <w:lang w:bidi="ar"/>
              </w:rPr>
              <w:br w:type="textWrapping"/>
            </w:r>
            <w:r>
              <w:rPr>
                <w:rStyle w:val="77"/>
                <w:rFonts w:hint="eastAsia" w:ascii="宋体" w:hAnsi="宋体" w:eastAsia="宋体" w:cs="宋体"/>
                <w:color w:val="auto"/>
                <w:sz w:val="21"/>
                <w:szCs w:val="21"/>
                <w:lang w:bidi="ar"/>
              </w:rPr>
              <w:t>（</w:t>
            </w:r>
            <w:r>
              <w:rPr>
                <w:rFonts w:hint="eastAsia" w:ascii="宋体" w:hAnsi="宋体" w:eastAsia="宋体" w:cs="宋体"/>
                <w:color w:val="auto"/>
                <w:kern w:val="0"/>
                <w:sz w:val="21"/>
                <w:szCs w:val="21"/>
                <w:lang w:bidi="ar"/>
              </w:rPr>
              <w:t>5</w:t>
            </w:r>
            <w:r>
              <w:rPr>
                <w:rStyle w:val="77"/>
                <w:rFonts w:hint="eastAsia" w:ascii="宋体" w:hAnsi="宋体" w:eastAsia="宋体" w:cs="宋体"/>
                <w:color w:val="auto"/>
                <w:sz w:val="21"/>
                <w:szCs w:val="21"/>
                <w:lang w:bidi="ar"/>
              </w:rPr>
              <w:t>）标配：腹部可拆卸</w:t>
            </w:r>
            <w:r>
              <w:rPr>
                <w:rFonts w:hint="eastAsia" w:ascii="宋体" w:hAnsi="宋体" w:eastAsia="宋体" w:cs="宋体"/>
                <w:color w:val="auto"/>
                <w:kern w:val="0"/>
                <w:sz w:val="21"/>
                <w:szCs w:val="21"/>
                <w:lang w:bidi="ar"/>
              </w:rPr>
              <w:t xml:space="preserve"> MOLLE </w:t>
            </w:r>
            <w:r>
              <w:rPr>
                <w:rStyle w:val="77"/>
                <w:rFonts w:hint="eastAsia" w:ascii="宋体" w:hAnsi="宋体" w:eastAsia="宋体" w:cs="宋体"/>
                <w:color w:val="auto"/>
                <w:sz w:val="21"/>
                <w:szCs w:val="21"/>
                <w:lang w:bidi="ar"/>
              </w:rPr>
              <w:t>扩展系统面板</w:t>
            </w:r>
            <w:r>
              <w:rPr>
                <w:rFonts w:hint="eastAsia" w:ascii="宋体" w:hAnsi="宋体" w:eastAsia="宋体" w:cs="宋体"/>
                <w:color w:val="auto"/>
                <w:kern w:val="0"/>
                <w:sz w:val="21"/>
                <w:szCs w:val="21"/>
                <w:lang w:bidi="ar"/>
              </w:rPr>
              <w:t>1</w:t>
            </w:r>
            <w:r>
              <w:rPr>
                <w:rStyle w:val="77"/>
                <w:rFonts w:hint="eastAsia" w:ascii="宋体" w:hAnsi="宋体" w:eastAsia="宋体" w:cs="宋体"/>
                <w:color w:val="auto"/>
                <w:sz w:val="21"/>
                <w:szCs w:val="21"/>
                <w:lang w:bidi="ar"/>
              </w:rPr>
              <w:t>片；   ；背部挂载工作包</w:t>
            </w:r>
            <w:r>
              <w:rPr>
                <w:rFonts w:hint="eastAsia" w:ascii="宋体" w:hAnsi="宋体" w:eastAsia="宋体" w:cs="宋体"/>
                <w:color w:val="auto"/>
                <w:kern w:val="0"/>
                <w:sz w:val="21"/>
                <w:szCs w:val="21"/>
                <w:lang w:bidi="ar"/>
              </w:rPr>
              <w:t>1</w:t>
            </w:r>
            <w:r>
              <w:rPr>
                <w:rStyle w:val="77"/>
                <w:rFonts w:hint="eastAsia" w:ascii="宋体" w:hAnsi="宋体" w:eastAsia="宋体" w:cs="宋体"/>
                <w:color w:val="auto"/>
                <w:sz w:val="21"/>
                <w:szCs w:val="21"/>
                <w:lang w:bidi="ar"/>
              </w:rPr>
              <w:t>个。</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w:t>
            </w:r>
            <w:r>
              <w:rPr>
                <w:rStyle w:val="77"/>
                <w:rFonts w:hint="eastAsia" w:ascii="宋体" w:hAnsi="宋体" w:eastAsia="宋体" w:cs="宋体"/>
                <w:color w:val="auto"/>
                <w:sz w:val="21"/>
                <w:szCs w:val="21"/>
                <w:lang w:bidi="ar"/>
              </w:rPr>
              <w:t>面料要求：</w:t>
            </w:r>
            <w:r>
              <w:rPr>
                <w:rFonts w:hint="eastAsia" w:ascii="宋体" w:hAnsi="宋体" w:eastAsia="宋体" w:cs="宋体"/>
                <w:color w:val="auto"/>
                <w:kern w:val="0"/>
                <w:sz w:val="21"/>
                <w:szCs w:val="21"/>
                <w:lang w:bidi="ar"/>
              </w:rPr>
              <w:br w:type="textWrapping"/>
            </w:r>
            <w:r>
              <w:rPr>
                <w:rStyle w:val="77"/>
                <w:rFonts w:hint="eastAsia" w:ascii="宋体" w:hAnsi="宋体" w:eastAsia="宋体" w:cs="宋体"/>
                <w:color w:val="auto"/>
                <w:sz w:val="21"/>
                <w:szCs w:val="21"/>
                <w:lang w:bidi="ar"/>
              </w:rPr>
              <w:t>符合</w:t>
            </w:r>
            <w:r>
              <w:rPr>
                <w:rFonts w:hint="eastAsia" w:ascii="宋体" w:hAnsi="宋体" w:eastAsia="宋体" w:cs="宋体"/>
                <w:color w:val="auto"/>
                <w:kern w:val="0"/>
                <w:sz w:val="21"/>
                <w:szCs w:val="21"/>
                <w:lang w:bidi="ar"/>
              </w:rPr>
              <w:t xml:space="preserve">GB/T 21295-2014 </w:t>
            </w:r>
            <w:r>
              <w:rPr>
                <w:rStyle w:val="77"/>
                <w:rFonts w:hint="eastAsia" w:ascii="宋体" w:hAnsi="宋体" w:eastAsia="宋体" w:cs="宋体"/>
                <w:color w:val="auto"/>
                <w:sz w:val="21"/>
                <w:szCs w:val="21"/>
                <w:lang w:bidi="ar"/>
              </w:rPr>
              <w:t>服装理化性能的技术要求</w:t>
            </w:r>
            <w:r>
              <w:rPr>
                <w:rFonts w:hint="eastAsia" w:ascii="宋体" w:hAnsi="宋体" w:eastAsia="宋体" w:cs="宋体"/>
                <w:color w:val="auto"/>
                <w:kern w:val="0"/>
                <w:sz w:val="21"/>
                <w:szCs w:val="21"/>
                <w:lang w:bidi="ar"/>
              </w:rPr>
              <w:t xml:space="preserve"> </w:t>
            </w:r>
            <w:r>
              <w:rPr>
                <w:rFonts w:hint="eastAsia" w:ascii="宋体" w:hAnsi="宋体" w:eastAsia="宋体" w:cs="宋体"/>
                <w:color w:val="auto"/>
                <w:kern w:val="0"/>
                <w:sz w:val="21"/>
                <w:szCs w:val="21"/>
                <w:lang w:bidi="ar"/>
              </w:rPr>
              <w:br w:type="textWrapping"/>
            </w:r>
            <w:r>
              <w:rPr>
                <w:rStyle w:val="77"/>
                <w:rFonts w:hint="eastAsia" w:ascii="宋体" w:hAnsi="宋体" w:eastAsia="宋体" w:cs="宋体"/>
                <w:color w:val="auto"/>
                <w:sz w:val="21"/>
                <w:szCs w:val="21"/>
                <w:lang w:bidi="ar"/>
              </w:rPr>
              <w:t>符合</w:t>
            </w:r>
            <w:r>
              <w:rPr>
                <w:rFonts w:hint="eastAsia" w:ascii="宋体" w:hAnsi="宋体" w:eastAsia="宋体" w:cs="宋体"/>
                <w:color w:val="auto"/>
                <w:kern w:val="0"/>
                <w:sz w:val="21"/>
                <w:szCs w:val="21"/>
                <w:lang w:bidi="ar"/>
              </w:rPr>
              <w:t xml:space="preserve">GB 18401-2010 </w:t>
            </w:r>
            <w:r>
              <w:rPr>
                <w:rStyle w:val="77"/>
                <w:rFonts w:hint="eastAsia" w:ascii="宋体" w:hAnsi="宋体" w:eastAsia="宋体" w:cs="宋体"/>
                <w:color w:val="auto"/>
                <w:sz w:val="21"/>
                <w:szCs w:val="21"/>
                <w:lang w:bidi="ar"/>
              </w:rPr>
              <w:t>国家纺织产品基本安全技术规范</w:t>
            </w:r>
            <w:r>
              <w:rPr>
                <w:rFonts w:hint="eastAsia" w:ascii="宋体" w:hAnsi="宋体" w:eastAsia="宋体" w:cs="宋体"/>
                <w:color w:val="auto"/>
                <w:kern w:val="0"/>
                <w:sz w:val="21"/>
                <w:szCs w:val="21"/>
                <w:lang w:bidi="ar"/>
              </w:rPr>
              <w:t xml:space="preserve">(B </w:t>
            </w:r>
            <w:r>
              <w:rPr>
                <w:rStyle w:val="77"/>
                <w:rFonts w:hint="eastAsia" w:ascii="宋体" w:hAnsi="宋体" w:eastAsia="宋体" w:cs="宋体"/>
                <w:color w:val="auto"/>
                <w:sz w:val="21"/>
                <w:szCs w:val="21"/>
                <w:lang w:bidi="ar"/>
              </w:rPr>
              <w:t>类</w:t>
            </w:r>
            <w:r>
              <w:rPr>
                <w:rFonts w:hint="eastAsia" w:ascii="宋体" w:hAnsi="宋体" w:eastAsia="宋体" w:cs="宋体"/>
                <w:color w:val="auto"/>
                <w:kern w:val="0"/>
                <w:sz w:val="21"/>
                <w:szCs w:val="21"/>
                <w:lang w:bidi="ar"/>
              </w:rPr>
              <w:t xml:space="preserve">) </w:t>
            </w:r>
            <w:r>
              <w:rPr>
                <w:rStyle w:val="77"/>
                <w:rFonts w:hint="eastAsia" w:ascii="宋体" w:hAnsi="宋体" w:eastAsia="宋体" w:cs="宋体"/>
                <w:color w:val="auto"/>
                <w:sz w:val="21"/>
                <w:szCs w:val="21"/>
                <w:lang w:bidi="ar"/>
              </w:rPr>
              <w:t>要求</w:t>
            </w:r>
            <w:r>
              <w:rPr>
                <w:rFonts w:hint="eastAsia" w:ascii="宋体" w:hAnsi="宋体" w:eastAsia="宋体" w:cs="宋体"/>
                <w:color w:val="auto"/>
                <w:kern w:val="0"/>
                <w:sz w:val="21"/>
                <w:szCs w:val="21"/>
                <w:lang w:bidi="ar"/>
              </w:rPr>
              <w:br w:type="textWrapping"/>
            </w:r>
            <w:r>
              <w:rPr>
                <w:rStyle w:val="77"/>
                <w:rFonts w:hint="eastAsia" w:ascii="宋体" w:hAnsi="宋体" w:eastAsia="宋体" w:cs="宋体"/>
                <w:color w:val="auto"/>
                <w:sz w:val="21"/>
                <w:szCs w:val="21"/>
                <w:lang w:bidi="ar"/>
              </w:rPr>
              <w:t>面料成分：</w:t>
            </w:r>
            <w:r>
              <w:rPr>
                <w:rFonts w:hint="eastAsia" w:ascii="宋体" w:hAnsi="宋体" w:eastAsia="宋体" w:cs="宋体"/>
                <w:color w:val="auto"/>
                <w:kern w:val="0"/>
                <w:sz w:val="21"/>
                <w:szCs w:val="21"/>
                <w:lang w:bidi="ar"/>
              </w:rPr>
              <w:t xml:space="preserve"> 100%</w:t>
            </w:r>
            <w:r>
              <w:rPr>
                <w:rStyle w:val="77"/>
                <w:rFonts w:hint="eastAsia" w:ascii="宋体" w:hAnsi="宋体" w:eastAsia="宋体" w:cs="宋体"/>
                <w:color w:val="auto"/>
                <w:sz w:val="21"/>
                <w:szCs w:val="21"/>
                <w:lang w:bidi="ar"/>
              </w:rPr>
              <w:t>锦纶</w:t>
            </w:r>
            <w:r>
              <w:rPr>
                <w:rFonts w:hint="eastAsia" w:ascii="宋体" w:hAnsi="宋体" w:eastAsia="宋体" w:cs="宋体"/>
                <w:color w:val="auto"/>
                <w:kern w:val="0"/>
                <w:sz w:val="21"/>
                <w:szCs w:val="21"/>
                <w:lang w:bidi="ar"/>
              </w:rPr>
              <w:br w:type="textWrapping"/>
            </w:r>
            <w:r>
              <w:rPr>
                <w:rStyle w:val="77"/>
                <w:rFonts w:hint="eastAsia" w:ascii="宋体" w:hAnsi="宋体" w:eastAsia="宋体" w:cs="宋体"/>
                <w:color w:val="auto"/>
                <w:sz w:val="21"/>
                <w:szCs w:val="21"/>
                <w:lang w:bidi="ar"/>
              </w:rPr>
              <w:t>织物密度：</w:t>
            </w:r>
            <w:r>
              <w:rPr>
                <w:rFonts w:hint="eastAsia" w:ascii="宋体" w:hAnsi="宋体" w:eastAsia="宋体" w:cs="宋体"/>
                <w:color w:val="auto"/>
                <w:kern w:val="0"/>
                <w:sz w:val="21"/>
                <w:szCs w:val="21"/>
                <w:lang w:bidi="ar"/>
              </w:rPr>
              <w:t xml:space="preserve"> </w:t>
            </w:r>
            <w:r>
              <w:rPr>
                <w:rStyle w:val="77"/>
                <w:rFonts w:hint="eastAsia" w:ascii="宋体" w:hAnsi="宋体" w:eastAsia="宋体" w:cs="宋体"/>
                <w:color w:val="auto"/>
                <w:sz w:val="21"/>
                <w:szCs w:val="21"/>
                <w:lang w:bidi="ar"/>
              </w:rPr>
              <w:t>检测标准</w:t>
            </w:r>
            <w:r>
              <w:rPr>
                <w:rFonts w:hint="eastAsia" w:ascii="宋体" w:hAnsi="宋体" w:eastAsia="宋体" w:cs="宋体"/>
                <w:color w:val="auto"/>
                <w:kern w:val="0"/>
                <w:sz w:val="21"/>
                <w:szCs w:val="21"/>
                <w:lang w:bidi="ar"/>
              </w:rPr>
              <w:t xml:space="preserve">  GB/T 4668-1995 </w:t>
            </w:r>
            <w:r>
              <w:rPr>
                <w:rStyle w:val="77"/>
                <w:rFonts w:hint="eastAsia" w:ascii="宋体" w:hAnsi="宋体" w:eastAsia="宋体" w:cs="宋体"/>
                <w:color w:val="auto"/>
                <w:sz w:val="21"/>
                <w:szCs w:val="21"/>
                <w:lang w:bidi="ar"/>
              </w:rPr>
              <w:t>方法</w:t>
            </w:r>
            <w:r>
              <w:rPr>
                <w:rFonts w:hint="eastAsia" w:ascii="宋体" w:hAnsi="宋体" w:eastAsia="宋体" w:cs="宋体"/>
                <w:color w:val="auto"/>
                <w:kern w:val="0"/>
                <w:sz w:val="21"/>
                <w:szCs w:val="21"/>
                <w:lang w:bidi="ar"/>
              </w:rPr>
              <w:t xml:space="preserve"> B</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经向≥129 根/10cm，纬向≥100根/10cm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w:t>
            </w:r>
            <w:r>
              <w:rPr>
                <w:rStyle w:val="77"/>
                <w:rFonts w:hint="eastAsia" w:ascii="宋体" w:hAnsi="宋体" w:eastAsia="宋体" w:cs="宋体"/>
                <w:color w:val="auto"/>
                <w:sz w:val="21"/>
                <w:szCs w:val="21"/>
                <w:lang w:bidi="ar"/>
              </w:rPr>
              <w:t>耐湿摩擦色牢度</w:t>
            </w:r>
            <w:r>
              <w:rPr>
                <w:rFonts w:hint="eastAsia" w:ascii="宋体" w:hAnsi="宋体" w:eastAsia="宋体" w:cs="宋体"/>
                <w:color w:val="auto"/>
                <w:kern w:val="0"/>
                <w:sz w:val="21"/>
                <w:szCs w:val="21"/>
                <w:lang w:bidi="ar"/>
              </w:rPr>
              <w:t>(</w:t>
            </w:r>
            <w:r>
              <w:rPr>
                <w:rStyle w:val="77"/>
                <w:rFonts w:hint="eastAsia" w:ascii="宋体" w:hAnsi="宋体" w:eastAsia="宋体" w:cs="宋体"/>
                <w:color w:val="auto"/>
                <w:sz w:val="21"/>
                <w:szCs w:val="21"/>
                <w:lang w:bidi="ar"/>
              </w:rPr>
              <w:t>级</w:t>
            </w:r>
            <w:r>
              <w:rPr>
                <w:rFonts w:hint="eastAsia" w:ascii="宋体" w:hAnsi="宋体" w:eastAsia="宋体" w:cs="宋体"/>
                <w:color w:val="auto"/>
                <w:kern w:val="0"/>
                <w:sz w:val="21"/>
                <w:szCs w:val="21"/>
                <w:lang w:bidi="ar"/>
              </w:rPr>
              <w:t xml:space="preserve">)  </w:t>
            </w:r>
            <w:r>
              <w:rPr>
                <w:rStyle w:val="77"/>
                <w:rFonts w:hint="eastAsia" w:ascii="宋体" w:hAnsi="宋体" w:eastAsia="宋体" w:cs="宋体"/>
                <w:color w:val="auto"/>
                <w:sz w:val="21"/>
                <w:szCs w:val="21"/>
                <w:lang w:bidi="ar"/>
              </w:rPr>
              <w:t>检测标准</w:t>
            </w:r>
            <w:r>
              <w:rPr>
                <w:rFonts w:hint="eastAsia" w:ascii="宋体" w:hAnsi="宋体" w:eastAsia="宋体" w:cs="宋体"/>
                <w:color w:val="auto"/>
                <w:kern w:val="0"/>
                <w:sz w:val="21"/>
                <w:szCs w:val="21"/>
                <w:lang w:bidi="ar"/>
              </w:rPr>
              <w:t xml:space="preserve"> GB/T 3920-2008 </w:t>
            </w:r>
            <w:r>
              <w:rPr>
                <w:rFonts w:hint="eastAsia" w:ascii="宋体" w:hAnsi="宋体" w:eastAsia="宋体" w:cs="宋体"/>
                <w:color w:val="auto"/>
                <w:kern w:val="0"/>
                <w:sz w:val="21"/>
                <w:szCs w:val="21"/>
                <w:lang w:bidi="ar"/>
              </w:rPr>
              <w:br w:type="textWrapping"/>
            </w:r>
            <w:r>
              <w:rPr>
                <w:rStyle w:val="77"/>
                <w:rFonts w:hint="eastAsia" w:ascii="宋体" w:hAnsi="宋体" w:eastAsia="宋体" w:cs="宋体"/>
                <w:color w:val="auto"/>
                <w:sz w:val="21"/>
                <w:szCs w:val="21"/>
                <w:lang w:bidi="ar"/>
              </w:rPr>
              <w:t>检测结果：经向</w:t>
            </w:r>
            <w:r>
              <w:rPr>
                <w:rFonts w:hint="eastAsia" w:ascii="宋体" w:hAnsi="宋体" w:eastAsia="宋体" w:cs="宋体"/>
                <w:color w:val="auto"/>
                <w:kern w:val="0"/>
                <w:sz w:val="21"/>
                <w:szCs w:val="21"/>
                <w:lang w:bidi="ar"/>
              </w:rPr>
              <w:t xml:space="preserve"> 4-5  </w:t>
            </w:r>
            <w:r>
              <w:rPr>
                <w:rStyle w:val="77"/>
                <w:rFonts w:hint="eastAsia" w:ascii="宋体" w:hAnsi="宋体" w:eastAsia="宋体" w:cs="宋体"/>
                <w:color w:val="auto"/>
                <w:sz w:val="21"/>
                <w:szCs w:val="21"/>
                <w:lang w:bidi="ar"/>
              </w:rPr>
              <w:t>纬向</w:t>
            </w:r>
            <w:r>
              <w:rPr>
                <w:rFonts w:hint="eastAsia" w:ascii="宋体" w:hAnsi="宋体" w:eastAsia="宋体" w:cs="宋体"/>
                <w:color w:val="auto"/>
                <w:kern w:val="0"/>
                <w:sz w:val="21"/>
                <w:szCs w:val="21"/>
                <w:lang w:bidi="ar"/>
              </w:rPr>
              <w:t xml:space="preserve"> 4-5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w:t>
            </w:r>
            <w:r>
              <w:rPr>
                <w:rStyle w:val="77"/>
                <w:rFonts w:hint="eastAsia" w:ascii="宋体" w:hAnsi="宋体" w:eastAsia="宋体" w:cs="宋体"/>
                <w:color w:val="auto"/>
                <w:sz w:val="21"/>
                <w:szCs w:val="21"/>
                <w:lang w:bidi="ar"/>
              </w:rPr>
              <w:t>耐干摩擦色牢度</w:t>
            </w:r>
            <w:r>
              <w:rPr>
                <w:rFonts w:hint="eastAsia" w:ascii="宋体" w:hAnsi="宋体" w:eastAsia="宋体" w:cs="宋体"/>
                <w:color w:val="auto"/>
                <w:kern w:val="0"/>
                <w:sz w:val="21"/>
                <w:szCs w:val="21"/>
                <w:lang w:bidi="ar"/>
              </w:rPr>
              <w:t>(</w:t>
            </w:r>
            <w:r>
              <w:rPr>
                <w:rStyle w:val="77"/>
                <w:rFonts w:hint="eastAsia" w:ascii="宋体" w:hAnsi="宋体" w:eastAsia="宋体" w:cs="宋体"/>
                <w:color w:val="auto"/>
                <w:sz w:val="21"/>
                <w:szCs w:val="21"/>
                <w:lang w:bidi="ar"/>
              </w:rPr>
              <w:t>级</w:t>
            </w:r>
            <w:r>
              <w:rPr>
                <w:rFonts w:hint="eastAsia" w:ascii="宋体" w:hAnsi="宋体" w:eastAsia="宋体" w:cs="宋体"/>
                <w:color w:val="auto"/>
                <w:kern w:val="0"/>
                <w:sz w:val="21"/>
                <w:szCs w:val="21"/>
                <w:lang w:bidi="ar"/>
              </w:rPr>
              <w:t xml:space="preserve">) </w:t>
            </w:r>
            <w:r>
              <w:rPr>
                <w:rStyle w:val="77"/>
                <w:rFonts w:hint="eastAsia" w:ascii="宋体" w:hAnsi="宋体" w:eastAsia="宋体" w:cs="宋体"/>
                <w:color w:val="auto"/>
                <w:sz w:val="21"/>
                <w:szCs w:val="21"/>
                <w:lang w:bidi="ar"/>
              </w:rPr>
              <w:t>检测标准</w:t>
            </w:r>
            <w:r>
              <w:rPr>
                <w:rFonts w:hint="eastAsia" w:ascii="宋体" w:hAnsi="宋体" w:eastAsia="宋体" w:cs="宋体"/>
                <w:color w:val="auto"/>
                <w:kern w:val="0"/>
                <w:sz w:val="21"/>
                <w:szCs w:val="21"/>
                <w:lang w:bidi="ar"/>
              </w:rPr>
              <w:t xml:space="preserve"> GB/T 3920-2008 </w:t>
            </w:r>
            <w:r>
              <w:rPr>
                <w:rFonts w:hint="eastAsia" w:ascii="宋体" w:hAnsi="宋体" w:eastAsia="宋体" w:cs="宋体"/>
                <w:color w:val="auto"/>
                <w:kern w:val="0"/>
                <w:sz w:val="21"/>
                <w:szCs w:val="21"/>
                <w:lang w:bidi="ar"/>
              </w:rPr>
              <w:br w:type="textWrapping"/>
            </w:r>
            <w:r>
              <w:rPr>
                <w:rStyle w:val="77"/>
                <w:rFonts w:hint="eastAsia" w:ascii="宋体" w:hAnsi="宋体" w:eastAsia="宋体" w:cs="宋体"/>
                <w:color w:val="auto"/>
                <w:sz w:val="21"/>
                <w:szCs w:val="21"/>
                <w:lang w:bidi="ar"/>
              </w:rPr>
              <w:t>检测结果：经向</w:t>
            </w:r>
            <w:r>
              <w:rPr>
                <w:rFonts w:hint="eastAsia" w:ascii="宋体" w:hAnsi="宋体" w:eastAsia="宋体" w:cs="宋体"/>
                <w:color w:val="auto"/>
                <w:kern w:val="0"/>
                <w:sz w:val="21"/>
                <w:szCs w:val="21"/>
                <w:lang w:bidi="ar"/>
              </w:rPr>
              <w:t xml:space="preserve"> 4-5    </w:t>
            </w:r>
            <w:r>
              <w:rPr>
                <w:rStyle w:val="77"/>
                <w:rFonts w:hint="eastAsia" w:ascii="宋体" w:hAnsi="宋体" w:eastAsia="宋体" w:cs="宋体"/>
                <w:color w:val="auto"/>
                <w:sz w:val="21"/>
                <w:szCs w:val="21"/>
                <w:lang w:bidi="ar"/>
              </w:rPr>
              <w:t>纬向</w:t>
            </w:r>
            <w:r>
              <w:rPr>
                <w:rFonts w:hint="eastAsia" w:ascii="宋体" w:hAnsi="宋体" w:eastAsia="宋体" w:cs="宋体"/>
                <w:color w:val="auto"/>
                <w:kern w:val="0"/>
                <w:sz w:val="21"/>
                <w:szCs w:val="21"/>
                <w:lang w:bidi="ar"/>
              </w:rPr>
              <w:t xml:space="preserve"> 4-5 </w:t>
            </w:r>
            <w:r>
              <w:rPr>
                <w:rFonts w:hint="eastAsia" w:ascii="宋体" w:hAnsi="宋体" w:eastAsia="宋体" w:cs="宋体"/>
                <w:color w:val="auto"/>
                <w:kern w:val="0"/>
                <w:sz w:val="21"/>
                <w:szCs w:val="21"/>
                <w:lang w:bidi="ar"/>
              </w:rPr>
              <w:br w:type="textWrapping"/>
            </w:r>
            <w:r>
              <w:rPr>
                <w:rStyle w:val="77"/>
                <w:rFonts w:hint="eastAsia" w:ascii="宋体" w:hAnsi="宋体" w:eastAsia="宋体" w:cs="宋体"/>
                <w:color w:val="auto"/>
                <w:sz w:val="21"/>
                <w:szCs w:val="21"/>
                <w:lang w:bidi="ar"/>
              </w:rPr>
              <w:t>耐光、汗复合色牢度</w:t>
            </w:r>
            <w:r>
              <w:rPr>
                <w:rFonts w:hint="eastAsia" w:ascii="宋体" w:hAnsi="宋体" w:eastAsia="宋体" w:cs="宋体"/>
                <w:color w:val="auto"/>
                <w:kern w:val="0"/>
                <w:sz w:val="21"/>
                <w:szCs w:val="21"/>
                <w:lang w:bidi="ar"/>
              </w:rPr>
              <w:t>(</w:t>
            </w:r>
            <w:r>
              <w:rPr>
                <w:rStyle w:val="77"/>
                <w:rFonts w:hint="eastAsia" w:ascii="宋体" w:hAnsi="宋体" w:eastAsia="宋体" w:cs="宋体"/>
                <w:color w:val="auto"/>
                <w:sz w:val="21"/>
                <w:szCs w:val="21"/>
                <w:lang w:bidi="ar"/>
              </w:rPr>
              <w:t>级</w:t>
            </w:r>
            <w:r>
              <w:rPr>
                <w:rFonts w:hint="eastAsia" w:ascii="宋体" w:hAnsi="宋体" w:eastAsia="宋体" w:cs="宋体"/>
                <w:color w:val="auto"/>
                <w:kern w:val="0"/>
                <w:sz w:val="21"/>
                <w:szCs w:val="21"/>
                <w:lang w:bidi="ar"/>
              </w:rPr>
              <w:t xml:space="preserve">) </w:t>
            </w:r>
            <w:r>
              <w:rPr>
                <w:rStyle w:val="77"/>
                <w:rFonts w:hint="eastAsia" w:ascii="宋体" w:hAnsi="宋体" w:eastAsia="宋体" w:cs="宋体"/>
                <w:color w:val="auto"/>
                <w:sz w:val="21"/>
                <w:szCs w:val="21"/>
                <w:lang w:bidi="ar"/>
              </w:rPr>
              <w:t>检测标准</w:t>
            </w:r>
            <w:r>
              <w:rPr>
                <w:rFonts w:hint="eastAsia" w:ascii="宋体" w:hAnsi="宋体" w:eastAsia="宋体" w:cs="宋体"/>
                <w:color w:val="auto"/>
                <w:kern w:val="0"/>
                <w:sz w:val="21"/>
                <w:szCs w:val="21"/>
                <w:lang w:bidi="ar"/>
              </w:rPr>
              <w:t xml:space="preserve"> GB/T 14576-2009 </w:t>
            </w:r>
            <w:r>
              <w:rPr>
                <w:rFonts w:hint="eastAsia" w:ascii="宋体" w:hAnsi="宋体" w:eastAsia="宋体" w:cs="宋体"/>
                <w:color w:val="auto"/>
                <w:kern w:val="0"/>
                <w:sz w:val="21"/>
                <w:szCs w:val="21"/>
                <w:lang w:bidi="ar"/>
              </w:rPr>
              <w:br w:type="textWrapping"/>
            </w:r>
            <w:r>
              <w:rPr>
                <w:rStyle w:val="77"/>
                <w:rFonts w:hint="eastAsia" w:ascii="宋体" w:hAnsi="宋体" w:eastAsia="宋体" w:cs="宋体"/>
                <w:color w:val="auto"/>
                <w:sz w:val="21"/>
                <w:szCs w:val="21"/>
                <w:lang w:bidi="ar"/>
              </w:rPr>
              <w:t>检测结果：酸汗变色</w:t>
            </w:r>
            <w:r>
              <w:rPr>
                <w:rFonts w:hint="eastAsia" w:ascii="宋体" w:hAnsi="宋体" w:eastAsia="宋体" w:cs="宋体"/>
                <w:color w:val="auto"/>
                <w:kern w:val="0"/>
                <w:sz w:val="21"/>
                <w:szCs w:val="21"/>
                <w:lang w:bidi="ar"/>
              </w:rPr>
              <w:t xml:space="preserve"> 4-5  </w:t>
            </w:r>
            <w:r>
              <w:rPr>
                <w:rStyle w:val="77"/>
                <w:rFonts w:hint="eastAsia" w:ascii="宋体" w:hAnsi="宋体" w:eastAsia="宋体" w:cs="宋体"/>
                <w:color w:val="auto"/>
                <w:sz w:val="21"/>
                <w:szCs w:val="21"/>
                <w:lang w:bidi="ar"/>
              </w:rPr>
              <w:t>碱汗变色</w:t>
            </w:r>
            <w:r>
              <w:rPr>
                <w:rFonts w:hint="eastAsia" w:ascii="宋体" w:hAnsi="宋体" w:eastAsia="宋体" w:cs="宋体"/>
                <w:color w:val="auto"/>
                <w:kern w:val="0"/>
                <w:sz w:val="21"/>
                <w:szCs w:val="21"/>
                <w:lang w:bidi="ar"/>
              </w:rPr>
              <w:t xml:space="preserve"> 4-5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w:t>
            </w:r>
            <w:r>
              <w:rPr>
                <w:rStyle w:val="77"/>
                <w:rFonts w:hint="eastAsia" w:ascii="宋体" w:hAnsi="宋体" w:eastAsia="宋体" w:cs="宋体"/>
                <w:color w:val="auto"/>
                <w:sz w:val="21"/>
                <w:szCs w:val="21"/>
                <w:lang w:bidi="ar"/>
              </w:rPr>
              <w:t>耐海水色牢度</w:t>
            </w:r>
            <w:r>
              <w:rPr>
                <w:rFonts w:hint="eastAsia" w:ascii="宋体" w:hAnsi="宋体" w:eastAsia="宋体" w:cs="宋体"/>
                <w:color w:val="auto"/>
                <w:kern w:val="0"/>
                <w:sz w:val="21"/>
                <w:szCs w:val="21"/>
                <w:lang w:bidi="ar"/>
              </w:rPr>
              <w:t>(</w:t>
            </w:r>
            <w:r>
              <w:rPr>
                <w:rStyle w:val="77"/>
                <w:rFonts w:hint="eastAsia" w:ascii="宋体" w:hAnsi="宋体" w:eastAsia="宋体" w:cs="宋体"/>
                <w:color w:val="auto"/>
                <w:sz w:val="21"/>
                <w:szCs w:val="21"/>
                <w:lang w:bidi="ar"/>
              </w:rPr>
              <w:t>级</w:t>
            </w:r>
            <w:r>
              <w:rPr>
                <w:rFonts w:hint="eastAsia" w:ascii="宋体" w:hAnsi="宋体" w:eastAsia="宋体" w:cs="宋体"/>
                <w:color w:val="auto"/>
                <w:kern w:val="0"/>
                <w:sz w:val="21"/>
                <w:szCs w:val="21"/>
                <w:lang w:bidi="ar"/>
              </w:rPr>
              <w:t xml:space="preserve">) </w:t>
            </w:r>
            <w:r>
              <w:rPr>
                <w:rStyle w:val="77"/>
                <w:rFonts w:hint="eastAsia" w:ascii="宋体" w:hAnsi="宋体" w:eastAsia="宋体" w:cs="宋体"/>
                <w:color w:val="auto"/>
                <w:sz w:val="21"/>
                <w:szCs w:val="21"/>
                <w:lang w:bidi="ar"/>
              </w:rPr>
              <w:t>检测标准</w:t>
            </w:r>
            <w:r>
              <w:rPr>
                <w:rFonts w:hint="eastAsia" w:ascii="宋体" w:hAnsi="宋体" w:eastAsia="宋体" w:cs="宋体"/>
                <w:color w:val="auto"/>
                <w:kern w:val="0"/>
                <w:sz w:val="21"/>
                <w:szCs w:val="21"/>
                <w:lang w:bidi="ar"/>
              </w:rPr>
              <w:t xml:space="preserve"> GB/T 5714-2019</w:t>
            </w:r>
            <w:r>
              <w:rPr>
                <w:rFonts w:hint="eastAsia" w:ascii="宋体" w:hAnsi="宋体" w:eastAsia="宋体" w:cs="宋体"/>
                <w:color w:val="auto"/>
                <w:kern w:val="0"/>
                <w:sz w:val="21"/>
                <w:szCs w:val="21"/>
                <w:lang w:bidi="ar"/>
              </w:rPr>
              <w:br w:type="textWrapping"/>
            </w:r>
            <w:r>
              <w:rPr>
                <w:rStyle w:val="77"/>
                <w:rFonts w:hint="eastAsia" w:ascii="宋体" w:hAnsi="宋体" w:eastAsia="宋体" w:cs="宋体"/>
                <w:color w:val="auto"/>
                <w:sz w:val="21"/>
                <w:szCs w:val="21"/>
                <w:lang w:bidi="ar"/>
              </w:rPr>
              <w:t>检测结果：变色</w:t>
            </w:r>
            <w:r>
              <w:rPr>
                <w:rFonts w:hint="eastAsia" w:ascii="宋体" w:hAnsi="宋体" w:eastAsia="宋体" w:cs="宋体"/>
                <w:color w:val="auto"/>
                <w:kern w:val="0"/>
                <w:sz w:val="21"/>
                <w:szCs w:val="21"/>
                <w:lang w:bidi="ar"/>
              </w:rPr>
              <w:t xml:space="preserve"> 4-5 </w:t>
            </w:r>
            <w:r>
              <w:rPr>
                <w:rFonts w:hint="eastAsia" w:ascii="宋体" w:hAnsi="宋体" w:eastAsia="宋体" w:cs="宋体"/>
                <w:color w:val="auto"/>
                <w:kern w:val="0"/>
                <w:sz w:val="21"/>
                <w:szCs w:val="21"/>
                <w:lang w:bidi="ar"/>
              </w:rPr>
              <w:br w:type="textWrapping"/>
            </w:r>
            <w:r>
              <w:rPr>
                <w:rStyle w:val="77"/>
                <w:rFonts w:hint="eastAsia" w:ascii="宋体" w:hAnsi="宋体" w:eastAsia="宋体" w:cs="宋体"/>
                <w:color w:val="auto"/>
                <w:sz w:val="21"/>
                <w:szCs w:val="21"/>
                <w:lang w:bidi="ar"/>
              </w:rPr>
              <w:t>起球</w:t>
            </w:r>
            <w:r>
              <w:rPr>
                <w:rFonts w:hint="eastAsia" w:ascii="宋体" w:hAnsi="宋体" w:eastAsia="宋体" w:cs="宋体"/>
                <w:color w:val="auto"/>
                <w:kern w:val="0"/>
                <w:sz w:val="21"/>
                <w:szCs w:val="21"/>
                <w:lang w:bidi="ar"/>
              </w:rPr>
              <w:t>(</w:t>
            </w:r>
            <w:r>
              <w:rPr>
                <w:rStyle w:val="77"/>
                <w:rFonts w:hint="eastAsia" w:ascii="宋体" w:hAnsi="宋体" w:eastAsia="宋体" w:cs="宋体"/>
                <w:color w:val="auto"/>
                <w:sz w:val="21"/>
                <w:szCs w:val="21"/>
                <w:lang w:bidi="ar"/>
              </w:rPr>
              <w:t>级</w:t>
            </w:r>
            <w:r>
              <w:rPr>
                <w:rFonts w:hint="eastAsia" w:ascii="宋体" w:hAnsi="宋体" w:eastAsia="宋体" w:cs="宋体"/>
                <w:color w:val="auto"/>
                <w:kern w:val="0"/>
                <w:sz w:val="21"/>
                <w:szCs w:val="21"/>
                <w:lang w:bidi="ar"/>
              </w:rPr>
              <w:t>)</w:t>
            </w:r>
            <w:r>
              <w:rPr>
                <w:rStyle w:val="77"/>
                <w:rFonts w:hint="eastAsia" w:ascii="宋体" w:hAnsi="宋体" w:eastAsia="宋体" w:cs="宋体"/>
                <w:color w:val="auto"/>
                <w:sz w:val="21"/>
                <w:szCs w:val="21"/>
                <w:lang w:bidi="ar"/>
              </w:rPr>
              <w:t>检测标准：</w:t>
            </w:r>
            <w:r>
              <w:rPr>
                <w:rFonts w:hint="eastAsia" w:ascii="宋体" w:hAnsi="宋体" w:eastAsia="宋体" w:cs="宋体"/>
                <w:color w:val="auto"/>
                <w:kern w:val="0"/>
                <w:sz w:val="21"/>
                <w:szCs w:val="21"/>
                <w:lang w:bidi="ar"/>
              </w:rPr>
              <w:t xml:space="preserve"> GB/T 4802.1-2008 </w:t>
            </w:r>
            <w:r>
              <w:rPr>
                <w:rStyle w:val="77"/>
                <w:rFonts w:hint="eastAsia" w:ascii="宋体" w:hAnsi="宋体" w:eastAsia="宋体" w:cs="宋体"/>
                <w:color w:val="auto"/>
                <w:sz w:val="21"/>
                <w:szCs w:val="21"/>
                <w:lang w:bidi="ar"/>
              </w:rPr>
              <w:t>【压力</w:t>
            </w:r>
            <w:r>
              <w:rPr>
                <w:rFonts w:hint="eastAsia" w:ascii="宋体" w:hAnsi="宋体" w:eastAsia="宋体" w:cs="宋体"/>
                <w:color w:val="auto"/>
                <w:kern w:val="0"/>
                <w:sz w:val="21"/>
                <w:szCs w:val="21"/>
                <w:lang w:bidi="ar"/>
              </w:rPr>
              <w:t>490cN</w:t>
            </w:r>
            <w:r>
              <w:rPr>
                <w:rStyle w:val="77"/>
                <w:rFonts w:hint="eastAsia" w:ascii="宋体" w:hAnsi="宋体" w:eastAsia="宋体" w:cs="宋体"/>
                <w:color w:val="auto"/>
                <w:sz w:val="21"/>
                <w:szCs w:val="21"/>
                <w:lang w:bidi="ar"/>
              </w:rPr>
              <w:t>，起毛次数：</w:t>
            </w:r>
            <w:r>
              <w:rPr>
                <w:rFonts w:hint="eastAsia" w:ascii="宋体" w:hAnsi="宋体" w:eastAsia="宋体" w:cs="宋体"/>
                <w:color w:val="auto"/>
                <w:kern w:val="0"/>
                <w:sz w:val="21"/>
                <w:szCs w:val="21"/>
                <w:lang w:bidi="ar"/>
              </w:rPr>
              <w:t>10</w:t>
            </w:r>
            <w:r>
              <w:rPr>
                <w:rStyle w:val="77"/>
                <w:rFonts w:hint="eastAsia" w:ascii="宋体" w:hAnsi="宋体" w:eastAsia="宋体" w:cs="宋体"/>
                <w:color w:val="auto"/>
                <w:sz w:val="21"/>
                <w:szCs w:val="21"/>
                <w:lang w:bidi="ar"/>
              </w:rPr>
              <w:t>次，起球次数：</w:t>
            </w:r>
            <w:r>
              <w:rPr>
                <w:rFonts w:hint="eastAsia" w:ascii="宋体" w:hAnsi="宋体" w:eastAsia="宋体" w:cs="宋体"/>
                <w:color w:val="auto"/>
                <w:kern w:val="0"/>
                <w:sz w:val="21"/>
                <w:szCs w:val="21"/>
                <w:lang w:bidi="ar"/>
              </w:rPr>
              <w:t>50</w:t>
            </w:r>
            <w:r>
              <w:rPr>
                <w:rStyle w:val="77"/>
                <w:rFonts w:hint="eastAsia" w:ascii="宋体" w:hAnsi="宋体" w:eastAsia="宋体" w:cs="宋体"/>
                <w:color w:val="auto"/>
                <w:sz w:val="21"/>
                <w:szCs w:val="21"/>
                <w:lang w:bidi="ar"/>
              </w:rPr>
              <w:t>次】</w:t>
            </w:r>
            <w:r>
              <w:rPr>
                <w:rFonts w:hint="eastAsia" w:ascii="宋体" w:hAnsi="宋体" w:eastAsia="宋体" w:cs="宋体"/>
                <w:color w:val="auto"/>
                <w:kern w:val="0"/>
                <w:sz w:val="21"/>
                <w:szCs w:val="21"/>
                <w:lang w:bidi="ar"/>
              </w:rPr>
              <w:t xml:space="preserve"> </w:t>
            </w:r>
            <w:r>
              <w:rPr>
                <w:rFonts w:hint="eastAsia" w:ascii="宋体" w:hAnsi="宋体" w:eastAsia="宋体" w:cs="宋体"/>
                <w:color w:val="auto"/>
                <w:kern w:val="0"/>
                <w:sz w:val="21"/>
                <w:szCs w:val="21"/>
                <w:lang w:bidi="ar"/>
              </w:rPr>
              <w:br w:type="textWrapping"/>
            </w:r>
            <w:r>
              <w:rPr>
                <w:rStyle w:val="77"/>
                <w:rFonts w:hint="eastAsia" w:ascii="宋体" w:hAnsi="宋体" w:eastAsia="宋体" w:cs="宋体"/>
                <w:color w:val="auto"/>
                <w:sz w:val="21"/>
                <w:szCs w:val="21"/>
                <w:lang w:bidi="ar"/>
              </w:rPr>
              <w:t>检测结果：</w:t>
            </w:r>
            <w:r>
              <w:rPr>
                <w:rFonts w:hint="eastAsia" w:ascii="宋体" w:hAnsi="宋体" w:eastAsia="宋体" w:cs="宋体"/>
                <w:color w:val="auto"/>
                <w:kern w:val="0"/>
                <w:sz w:val="21"/>
                <w:szCs w:val="21"/>
                <w:lang w:bidi="ar"/>
              </w:rPr>
              <w:t>4</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w:t>
            </w:r>
            <w:r>
              <w:rPr>
                <w:rStyle w:val="77"/>
                <w:rFonts w:hint="eastAsia" w:ascii="宋体" w:hAnsi="宋体" w:eastAsia="宋体" w:cs="宋体"/>
                <w:color w:val="auto"/>
                <w:sz w:val="21"/>
                <w:szCs w:val="21"/>
                <w:lang w:bidi="ar"/>
              </w:rPr>
              <w:t>断裂强力</w:t>
            </w:r>
            <w:r>
              <w:rPr>
                <w:rFonts w:hint="eastAsia" w:ascii="宋体" w:hAnsi="宋体" w:eastAsia="宋体" w:cs="宋体"/>
                <w:color w:val="auto"/>
                <w:kern w:val="0"/>
                <w:sz w:val="21"/>
                <w:szCs w:val="21"/>
                <w:lang w:bidi="ar"/>
              </w:rPr>
              <w:t>(N)</w:t>
            </w:r>
            <w:r>
              <w:rPr>
                <w:rStyle w:val="77"/>
                <w:rFonts w:hint="eastAsia" w:ascii="宋体" w:hAnsi="宋体" w:eastAsia="宋体" w:cs="宋体"/>
                <w:color w:val="auto"/>
                <w:sz w:val="21"/>
                <w:szCs w:val="21"/>
                <w:lang w:bidi="ar"/>
              </w:rPr>
              <w:t>检测标准</w:t>
            </w:r>
            <w:r>
              <w:rPr>
                <w:rFonts w:hint="eastAsia" w:ascii="宋体" w:hAnsi="宋体" w:eastAsia="宋体" w:cs="宋体"/>
                <w:color w:val="auto"/>
                <w:kern w:val="0"/>
                <w:sz w:val="21"/>
                <w:szCs w:val="21"/>
                <w:lang w:bidi="ar"/>
              </w:rPr>
              <w:t xml:space="preserve"> GB/T 3923.1-2013</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经向≥2900N，纬向≥2200N</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w:t>
            </w:r>
            <w:r>
              <w:rPr>
                <w:rStyle w:val="77"/>
                <w:rFonts w:hint="eastAsia" w:ascii="宋体" w:hAnsi="宋体" w:eastAsia="宋体" w:cs="宋体"/>
                <w:color w:val="auto"/>
                <w:sz w:val="21"/>
                <w:szCs w:val="21"/>
                <w:lang w:bidi="ar"/>
              </w:rPr>
              <w:t>撕破强力</w:t>
            </w:r>
            <w:r>
              <w:rPr>
                <w:rFonts w:hint="eastAsia" w:ascii="宋体" w:hAnsi="宋体" w:eastAsia="宋体" w:cs="宋体"/>
                <w:color w:val="auto"/>
                <w:kern w:val="0"/>
                <w:sz w:val="21"/>
                <w:szCs w:val="21"/>
                <w:lang w:bidi="ar"/>
              </w:rPr>
              <w:t xml:space="preserve">(N) </w:t>
            </w:r>
            <w:r>
              <w:rPr>
                <w:rStyle w:val="77"/>
                <w:rFonts w:hint="eastAsia" w:ascii="宋体" w:hAnsi="宋体" w:eastAsia="宋体" w:cs="宋体"/>
                <w:color w:val="auto"/>
                <w:sz w:val="21"/>
                <w:szCs w:val="21"/>
                <w:lang w:bidi="ar"/>
              </w:rPr>
              <w:t>检测标准</w:t>
            </w:r>
            <w:r>
              <w:rPr>
                <w:rFonts w:hint="eastAsia" w:ascii="宋体" w:hAnsi="宋体" w:eastAsia="宋体" w:cs="宋体"/>
                <w:color w:val="auto"/>
                <w:kern w:val="0"/>
                <w:sz w:val="21"/>
                <w:szCs w:val="21"/>
                <w:lang w:bidi="ar"/>
              </w:rPr>
              <w:t xml:space="preserve"> GB/T 3917.2-2009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经向≥170N，纬向≥140N</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w:t>
            </w:r>
            <w:r>
              <w:rPr>
                <w:rStyle w:val="77"/>
                <w:rFonts w:hint="eastAsia" w:ascii="宋体" w:hAnsi="宋体" w:eastAsia="宋体" w:cs="宋体"/>
                <w:color w:val="auto"/>
                <w:sz w:val="21"/>
                <w:szCs w:val="21"/>
                <w:lang w:bidi="ar"/>
              </w:rPr>
              <w:t>缝子纰裂程度</w:t>
            </w:r>
            <w:r>
              <w:rPr>
                <w:rFonts w:hint="eastAsia" w:ascii="宋体" w:hAnsi="宋体" w:eastAsia="宋体" w:cs="宋体"/>
                <w:color w:val="auto"/>
                <w:kern w:val="0"/>
                <w:sz w:val="21"/>
                <w:szCs w:val="21"/>
                <w:lang w:bidi="ar"/>
              </w:rPr>
              <w:t xml:space="preserve">(cm) </w:t>
            </w:r>
            <w:r>
              <w:rPr>
                <w:rStyle w:val="77"/>
                <w:rFonts w:hint="eastAsia" w:ascii="宋体" w:hAnsi="宋体" w:eastAsia="宋体" w:cs="宋体"/>
                <w:color w:val="auto"/>
                <w:sz w:val="21"/>
                <w:szCs w:val="21"/>
                <w:lang w:bidi="ar"/>
              </w:rPr>
              <w:t>检测标准</w:t>
            </w:r>
            <w:r>
              <w:rPr>
                <w:rFonts w:hint="eastAsia" w:ascii="宋体" w:hAnsi="宋体" w:eastAsia="宋体" w:cs="宋体"/>
                <w:color w:val="auto"/>
                <w:kern w:val="0"/>
                <w:sz w:val="21"/>
                <w:szCs w:val="21"/>
                <w:lang w:bidi="ar"/>
              </w:rPr>
              <w:t xml:space="preserve">GB/T 21294-2014 </w:t>
            </w:r>
            <w:r>
              <w:rPr>
                <w:rStyle w:val="77"/>
                <w:rFonts w:hint="eastAsia" w:ascii="宋体" w:hAnsi="宋体" w:eastAsia="宋体" w:cs="宋体"/>
                <w:color w:val="auto"/>
                <w:sz w:val="21"/>
                <w:szCs w:val="21"/>
                <w:lang w:bidi="ar"/>
              </w:rPr>
              <w:t>条款</w:t>
            </w:r>
            <w:r>
              <w:rPr>
                <w:rFonts w:hint="eastAsia" w:ascii="宋体" w:hAnsi="宋体" w:eastAsia="宋体" w:cs="宋体"/>
                <w:color w:val="auto"/>
                <w:kern w:val="0"/>
                <w:sz w:val="21"/>
                <w:szCs w:val="21"/>
                <w:lang w:bidi="ar"/>
              </w:rPr>
              <w:t xml:space="preserve">  9.2.1 </w:t>
            </w:r>
            <w:r>
              <w:rPr>
                <w:rStyle w:val="77"/>
                <w:rFonts w:hint="eastAsia" w:ascii="宋体" w:hAnsi="宋体" w:eastAsia="宋体" w:cs="宋体"/>
                <w:color w:val="auto"/>
                <w:sz w:val="21"/>
                <w:szCs w:val="21"/>
                <w:lang w:bidi="ar"/>
              </w:rPr>
              <w:t>【负荷：</w:t>
            </w:r>
            <w:r>
              <w:rPr>
                <w:rFonts w:hint="eastAsia" w:ascii="宋体" w:hAnsi="宋体" w:eastAsia="宋体" w:cs="宋体"/>
                <w:color w:val="auto"/>
                <w:kern w:val="0"/>
                <w:sz w:val="21"/>
                <w:szCs w:val="21"/>
                <w:lang w:bidi="ar"/>
              </w:rPr>
              <w:t>100N</w:t>
            </w:r>
            <w:r>
              <w:rPr>
                <w:rStyle w:val="77"/>
                <w:rFonts w:hint="eastAsia" w:ascii="宋体" w:hAnsi="宋体" w:eastAsia="宋体" w:cs="宋体"/>
                <w:color w:val="auto"/>
                <w:sz w:val="21"/>
                <w:szCs w:val="21"/>
                <w:lang w:bidi="ar"/>
              </w:rPr>
              <w:t>】</w:t>
            </w:r>
            <w:r>
              <w:rPr>
                <w:rFonts w:hint="eastAsia" w:ascii="宋体" w:hAnsi="宋体" w:eastAsia="宋体" w:cs="宋体"/>
                <w:color w:val="auto"/>
                <w:kern w:val="0"/>
                <w:sz w:val="21"/>
                <w:szCs w:val="21"/>
                <w:lang w:bidi="ar"/>
              </w:rPr>
              <w:t xml:space="preserve"> </w:t>
            </w:r>
            <w:r>
              <w:rPr>
                <w:rFonts w:hint="eastAsia" w:ascii="宋体" w:hAnsi="宋体" w:eastAsia="宋体" w:cs="宋体"/>
                <w:color w:val="auto"/>
                <w:kern w:val="0"/>
                <w:sz w:val="21"/>
                <w:szCs w:val="21"/>
                <w:lang w:bidi="ar"/>
              </w:rPr>
              <w:br w:type="textWrapping"/>
            </w:r>
            <w:r>
              <w:rPr>
                <w:rStyle w:val="77"/>
                <w:rFonts w:hint="eastAsia" w:ascii="宋体" w:hAnsi="宋体" w:eastAsia="宋体" w:cs="宋体"/>
                <w:color w:val="auto"/>
                <w:sz w:val="21"/>
                <w:szCs w:val="21"/>
                <w:lang w:bidi="ar"/>
              </w:rPr>
              <w:t>纬纱滑移</w:t>
            </w:r>
            <w:r>
              <w:rPr>
                <w:rFonts w:hint="eastAsia" w:ascii="宋体" w:hAnsi="宋体" w:eastAsia="宋体" w:cs="宋体"/>
                <w:color w:val="auto"/>
                <w:kern w:val="0"/>
                <w:sz w:val="21"/>
                <w:szCs w:val="21"/>
                <w:lang w:bidi="ar"/>
              </w:rPr>
              <w:t xml:space="preserve">  0.2 ±0.05</w:t>
            </w:r>
            <w:r>
              <w:rPr>
                <w:rFonts w:hint="eastAsia" w:ascii="宋体" w:hAnsi="宋体" w:eastAsia="宋体" w:cs="宋体"/>
                <w:color w:val="auto"/>
                <w:kern w:val="0"/>
                <w:sz w:val="21"/>
                <w:szCs w:val="21"/>
                <w:lang w:eastAsia="zh-CN" w:bidi="ar"/>
              </w:rPr>
              <w:t>；</w:t>
            </w:r>
            <w:r>
              <w:rPr>
                <w:rStyle w:val="77"/>
                <w:rFonts w:hint="eastAsia" w:ascii="宋体" w:hAnsi="宋体" w:eastAsia="宋体" w:cs="宋体"/>
                <w:color w:val="auto"/>
                <w:sz w:val="21"/>
                <w:szCs w:val="21"/>
                <w:lang w:bidi="ar"/>
              </w:rPr>
              <w:t>经纱滑移</w:t>
            </w:r>
            <w:r>
              <w:rPr>
                <w:rFonts w:hint="eastAsia" w:ascii="宋体" w:hAnsi="宋体" w:eastAsia="宋体" w:cs="宋体"/>
                <w:color w:val="auto"/>
                <w:kern w:val="0"/>
                <w:sz w:val="21"/>
                <w:szCs w:val="21"/>
                <w:lang w:bidi="ar"/>
              </w:rPr>
              <w:t xml:space="preserve">  0.2 ±0.05</w:t>
            </w:r>
            <w:r>
              <w:rPr>
                <w:rFonts w:hint="eastAsia" w:ascii="宋体" w:hAnsi="宋体" w:eastAsia="宋体" w:cs="宋体"/>
                <w:color w:val="auto"/>
                <w:kern w:val="0"/>
                <w:sz w:val="21"/>
                <w:szCs w:val="21"/>
                <w:lang w:bidi="ar"/>
              </w:rPr>
              <w:br w:type="textWrapping"/>
            </w:r>
            <w:r>
              <w:rPr>
                <w:rStyle w:val="77"/>
                <w:rFonts w:hint="eastAsia" w:ascii="宋体" w:hAnsi="宋体" w:eastAsia="宋体" w:cs="宋体"/>
                <w:color w:val="auto"/>
                <w:sz w:val="21"/>
                <w:szCs w:val="21"/>
                <w:lang w:bidi="ar"/>
              </w:rPr>
              <w:t>耐磨性能</w:t>
            </w:r>
            <w:r>
              <w:rPr>
                <w:rFonts w:hint="eastAsia" w:ascii="宋体" w:hAnsi="宋体" w:eastAsia="宋体" w:cs="宋体"/>
                <w:color w:val="auto"/>
                <w:kern w:val="0"/>
                <w:sz w:val="21"/>
                <w:szCs w:val="21"/>
                <w:lang w:bidi="ar"/>
              </w:rPr>
              <w:t>(</w:t>
            </w:r>
            <w:r>
              <w:rPr>
                <w:rStyle w:val="77"/>
                <w:rFonts w:hint="eastAsia" w:ascii="宋体" w:hAnsi="宋体" w:eastAsia="宋体" w:cs="宋体"/>
                <w:color w:val="auto"/>
                <w:sz w:val="21"/>
                <w:szCs w:val="21"/>
                <w:lang w:bidi="ar"/>
              </w:rPr>
              <w:t>纺织面</w:t>
            </w:r>
            <w:r>
              <w:rPr>
                <w:rFonts w:hint="eastAsia" w:ascii="宋体" w:hAnsi="宋体" w:eastAsia="宋体" w:cs="宋体"/>
                <w:color w:val="auto"/>
                <w:kern w:val="0"/>
                <w:sz w:val="21"/>
                <w:szCs w:val="21"/>
                <w:lang w:bidi="ar"/>
              </w:rPr>
              <w:t>)(</w:t>
            </w:r>
            <w:r>
              <w:rPr>
                <w:rStyle w:val="77"/>
                <w:rFonts w:hint="eastAsia" w:ascii="宋体" w:hAnsi="宋体" w:eastAsia="宋体" w:cs="宋体"/>
                <w:color w:val="auto"/>
                <w:sz w:val="21"/>
                <w:szCs w:val="21"/>
                <w:lang w:bidi="ar"/>
              </w:rPr>
              <w:t>次</w:t>
            </w:r>
            <w:r>
              <w:rPr>
                <w:rFonts w:hint="eastAsia" w:ascii="宋体" w:hAnsi="宋体" w:eastAsia="宋体" w:cs="宋体"/>
                <w:color w:val="auto"/>
                <w:kern w:val="0"/>
                <w:sz w:val="21"/>
                <w:szCs w:val="21"/>
                <w:lang w:bidi="ar"/>
              </w:rPr>
              <w:t xml:space="preserve">) </w:t>
            </w:r>
            <w:r>
              <w:rPr>
                <w:rStyle w:val="77"/>
                <w:rFonts w:hint="eastAsia" w:ascii="宋体" w:hAnsi="宋体" w:eastAsia="宋体" w:cs="宋体"/>
                <w:color w:val="auto"/>
                <w:sz w:val="21"/>
                <w:szCs w:val="21"/>
                <w:lang w:bidi="ar"/>
              </w:rPr>
              <w:t>检测标准</w:t>
            </w:r>
            <w:r>
              <w:rPr>
                <w:rFonts w:hint="eastAsia" w:ascii="宋体" w:hAnsi="宋体" w:eastAsia="宋体" w:cs="宋体"/>
                <w:color w:val="auto"/>
                <w:kern w:val="0"/>
                <w:sz w:val="21"/>
                <w:szCs w:val="21"/>
                <w:lang w:bidi="ar"/>
              </w:rPr>
              <w:t xml:space="preserve"> </w:t>
            </w:r>
            <w:r>
              <w:rPr>
                <w:rStyle w:val="77"/>
                <w:rFonts w:hint="eastAsia" w:ascii="宋体" w:hAnsi="宋体" w:eastAsia="宋体" w:cs="宋体"/>
                <w:color w:val="auto"/>
                <w:sz w:val="21"/>
                <w:szCs w:val="21"/>
                <w:lang w:bidi="ar"/>
              </w:rPr>
              <w:t>检测标准</w:t>
            </w:r>
            <w:r>
              <w:rPr>
                <w:rFonts w:hint="eastAsia" w:ascii="宋体" w:hAnsi="宋体" w:eastAsia="宋体" w:cs="宋体"/>
                <w:color w:val="auto"/>
                <w:kern w:val="0"/>
                <w:sz w:val="21"/>
                <w:szCs w:val="21"/>
                <w:lang w:bidi="ar"/>
              </w:rPr>
              <w:t xml:space="preserve"> GB/T 21196.2-2007</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≥20000 次</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w:t>
            </w:r>
            <w:r>
              <w:rPr>
                <w:rStyle w:val="77"/>
                <w:rFonts w:hint="eastAsia" w:ascii="宋体" w:hAnsi="宋体" w:eastAsia="宋体" w:cs="宋体"/>
                <w:color w:val="auto"/>
                <w:sz w:val="21"/>
                <w:szCs w:val="21"/>
                <w:lang w:bidi="ar"/>
              </w:rPr>
              <w:t>透气率</w:t>
            </w:r>
            <w:r>
              <w:rPr>
                <w:rFonts w:hint="eastAsia" w:ascii="宋体" w:hAnsi="宋体" w:eastAsia="宋体" w:cs="宋体"/>
                <w:color w:val="auto"/>
                <w:kern w:val="0"/>
                <w:sz w:val="21"/>
                <w:szCs w:val="21"/>
                <w:lang w:bidi="ar"/>
              </w:rPr>
              <w:t>(mm/s)</w:t>
            </w:r>
            <w:r>
              <w:rPr>
                <w:rStyle w:val="77"/>
                <w:rFonts w:hint="eastAsia" w:ascii="宋体" w:hAnsi="宋体" w:eastAsia="宋体" w:cs="宋体"/>
                <w:color w:val="auto"/>
                <w:sz w:val="21"/>
                <w:szCs w:val="21"/>
                <w:lang w:bidi="ar"/>
              </w:rPr>
              <w:t>：</w:t>
            </w:r>
            <w:r>
              <w:rPr>
                <w:rFonts w:hint="eastAsia" w:ascii="宋体" w:hAnsi="宋体" w:eastAsia="宋体" w:cs="宋体"/>
                <w:color w:val="auto"/>
                <w:kern w:val="0"/>
                <w:sz w:val="21"/>
                <w:szCs w:val="21"/>
                <w:lang w:bidi="ar"/>
              </w:rPr>
              <w:t>≥0.65mm/s</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w:t>
            </w:r>
            <w:r>
              <w:rPr>
                <w:rStyle w:val="77"/>
                <w:rFonts w:hint="eastAsia" w:ascii="宋体" w:hAnsi="宋体" w:eastAsia="宋体" w:cs="宋体"/>
                <w:color w:val="auto"/>
                <w:sz w:val="21"/>
                <w:szCs w:val="21"/>
                <w:lang w:bidi="ar"/>
              </w:rPr>
              <w:t>燃烧性能</w:t>
            </w:r>
            <w:r>
              <w:rPr>
                <w:rFonts w:hint="eastAsia" w:ascii="宋体" w:hAnsi="宋体" w:eastAsia="宋体" w:cs="宋体"/>
                <w:color w:val="auto"/>
                <w:kern w:val="0"/>
                <w:sz w:val="21"/>
                <w:szCs w:val="21"/>
                <w:lang w:bidi="ar"/>
              </w:rPr>
              <w:t xml:space="preserve"> </w:t>
            </w:r>
            <w:r>
              <w:rPr>
                <w:rStyle w:val="77"/>
                <w:rFonts w:hint="eastAsia" w:ascii="宋体" w:hAnsi="宋体" w:eastAsia="宋体" w:cs="宋体"/>
                <w:color w:val="auto"/>
                <w:sz w:val="21"/>
                <w:szCs w:val="21"/>
                <w:lang w:bidi="ar"/>
              </w:rPr>
              <w:t>检测标准</w:t>
            </w:r>
            <w:r>
              <w:rPr>
                <w:rFonts w:hint="eastAsia" w:ascii="宋体" w:hAnsi="宋体" w:eastAsia="宋体" w:cs="宋体"/>
                <w:color w:val="auto"/>
                <w:kern w:val="0"/>
                <w:sz w:val="21"/>
                <w:szCs w:val="21"/>
                <w:lang w:bidi="ar"/>
              </w:rPr>
              <w:t xml:space="preserve"> GB/T 14644-2014</w:t>
            </w:r>
            <w:r>
              <w:rPr>
                <w:rStyle w:val="77"/>
                <w:rFonts w:hint="eastAsia" w:ascii="宋体" w:hAnsi="宋体" w:eastAsia="宋体" w:cs="宋体"/>
                <w:color w:val="auto"/>
                <w:sz w:val="21"/>
                <w:szCs w:val="21"/>
                <w:lang w:bidi="ar"/>
              </w:rPr>
              <w:t>，</w:t>
            </w:r>
            <w:r>
              <w:rPr>
                <w:rFonts w:hint="eastAsia" w:ascii="宋体" w:hAnsi="宋体" w:eastAsia="宋体" w:cs="宋体"/>
                <w:color w:val="auto"/>
                <w:kern w:val="0"/>
                <w:sz w:val="21"/>
                <w:szCs w:val="21"/>
                <w:lang w:bidi="ar"/>
              </w:rPr>
              <w:t xml:space="preserve"> GB/T8629-2017</w:t>
            </w:r>
            <w:r>
              <w:rPr>
                <w:rStyle w:val="77"/>
                <w:rFonts w:hint="eastAsia" w:ascii="宋体" w:hAnsi="宋体" w:eastAsia="宋体" w:cs="宋体"/>
                <w:color w:val="auto"/>
                <w:sz w:val="21"/>
                <w:szCs w:val="21"/>
                <w:lang w:bidi="ar"/>
              </w:rPr>
              <w:t>【</w:t>
            </w:r>
            <w:r>
              <w:rPr>
                <w:rFonts w:hint="eastAsia" w:ascii="宋体" w:hAnsi="宋体" w:eastAsia="宋体" w:cs="宋体"/>
                <w:color w:val="auto"/>
                <w:kern w:val="0"/>
                <w:sz w:val="21"/>
                <w:szCs w:val="21"/>
                <w:lang w:bidi="ar"/>
              </w:rPr>
              <w:t>4N</w:t>
            </w:r>
            <w:r>
              <w:rPr>
                <w:rStyle w:val="77"/>
                <w:rFonts w:hint="eastAsia" w:ascii="宋体" w:hAnsi="宋体" w:eastAsia="宋体" w:cs="宋体"/>
                <w:color w:val="auto"/>
                <w:sz w:val="21"/>
                <w:szCs w:val="21"/>
                <w:lang w:bidi="ar"/>
              </w:rPr>
              <w:t>，平铺晾干，</w:t>
            </w:r>
            <w:r>
              <w:rPr>
                <w:rFonts w:hint="eastAsia" w:ascii="宋体" w:hAnsi="宋体" w:eastAsia="宋体" w:cs="宋体"/>
                <w:color w:val="auto"/>
                <w:kern w:val="0"/>
                <w:sz w:val="21"/>
                <w:szCs w:val="21"/>
                <w:lang w:bidi="ar"/>
              </w:rPr>
              <w:t xml:space="preserve">1 </w:t>
            </w:r>
            <w:r>
              <w:rPr>
                <w:rStyle w:val="77"/>
                <w:rFonts w:hint="eastAsia" w:ascii="宋体" w:hAnsi="宋体" w:eastAsia="宋体" w:cs="宋体"/>
                <w:color w:val="auto"/>
                <w:sz w:val="21"/>
                <w:szCs w:val="21"/>
                <w:lang w:bidi="ar"/>
              </w:rPr>
              <w:t>次】</w:t>
            </w:r>
            <w:r>
              <w:rPr>
                <w:rFonts w:hint="eastAsia" w:ascii="宋体" w:hAnsi="宋体" w:eastAsia="宋体" w:cs="宋体"/>
                <w:color w:val="auto"/>
                <w:kern w:val="0"/>
                <w:sz w:val="21"/>
                <w:szCs w:val="21"/>
                <w:lang w:bidi="ar"/>
              </w:rPr>
              <w:t xml:space="preserve"> </w:t>
            </w:r>
            <w:r>
              <w:rPr>
                <w:rFonts w:hint="eastAsia" w:ascii="宋体" w:hAnsi="宋体" w:eastAsia="宋体" w:cs="宋体"/>
                <w:color w:val="auto"/>
                <w:kern w:val="0"/>
                <w:sz w:val="21"/>
                <w:szCs w:val="21"/>
                <w:lang w:bidi="ar"/>
              </w:rPr>
              <w:br w:type="textWrapping"/>
            </w:r>
            <w:r>
              <w:rPr>
                <w:rStyle w:val="77"/>
                <w:rFonts w:hint="eastAsia" w:ascii="宋体" w:hAnsi="宋体" w:eastAsia="宋体" w:cs="宋体"/>
                <w:color w:val="auto"/>
                <w:sz w:val="21"/>
                <w:szCs w:val="21"/>
                <w:lang w:bidi="ar"/>
              </w:rPr>
              <w:t>快拆扣具硬度</w:t>
            </w:r>
            <w:r>
              <w:rPr>
                <w:rFonts w:hint="eastAsia" w:ascii="宋体" w:hAnsi="宋体" w:eastAsia="宋体" w:cs="宋体"/>
                <w:color w:val="auto"/>
                <w:kern w:val="0"/>
                <w:sz w:val="21"/>
                <w:szCs w:val="21"/>
                <w:lang w:bidi="ar"/>
              </w:rPr>
              <w:t xml:space="preserve"> ≥85HD</w:t>
            </w:r>
            <w:r>
              <w:rPr>
                <w:rFonts w:hint="eastAsia" w:ascii="宋体" w:hAnsi="宋体" w:eastAsia="宋体" w:cs="宋体"/>
                <w:color w:val="auto"/>
                <w:kern w:val="0"/>
                <w:sz w:val="21"/>
                <w:szCs w:val="21"/>
                <w:lang w:bidi="ar"/>
              </w:rPr>
              <w:br w:type="textWrapping"/>
            </w:r>
            <w:r>
              <w:rPr>
                <w:rStyle w:val="77"/>
                <w:rFonts w:hint="eastAsia" w:ascii="宋体" w:hAnsi="宋体" w:eastAsia="宋体" w:cs="宋体"/>
                <w:color w:val="auto"/>
                <w:sz w:val="21"/>
                <w:szCs w:val="21"/>
                <w:lang w:bidi="ar"/>
              </w:rPr>
              <w:t>快拆扣具拉力</w:t>
            </w:r>
            <w:r>
              <w:rPr>
                <w:rFonts w:hint="eastAsia" w:ascii="宋体" w:hAnsi="宋体" w:eastAsia="宋体" w:cs="宋体"/>
                <w:color w:val="auto"/>
                <w:kern w:val="0"/>
                <w:sz w:val="21"/>
                <w:szCs w:val="21"/>
                <w:lang w:bidi="ar"/>
              </w:rPr>
              <w:t>≥1500N</w:t>
            </w:r>
            <w:r>
              <w:rPr>
                <w:rFonts w:hint="eastAsia" w:ascii="宋体" w:hAnsi="宋体" w:eastAsia="宋体" w:cs="宋体"/>
                <w:color w:val="auto"/>
                <w:kern w:val="0"/>
                <w:sz w:val="21"/>
                <w:szCs w:val="21"/>
                <w:lang w:bidi="ar"/>
              </w:rPr>
              <w:br w:type="textWrapping"/>
            </w:r>
            <w:r>
              <w:rPr>
                <w:rStyle w:val="77"/>
                <w:rFonts w:hint="eastAsia" w:ascii="宋体" w:hAnsi="宋体" w:eastAsia="宋体" w:cs="宋体"/>
                <w:color w:val="auto"/>
                <w:sz w:val="21"/>
                <w:szCs w:val="21"/>
                <w:lang w:bidi="ar"/>
              </w:rPr>
              <w:t>包含防弹插板：共</w:t>
            </w:r>
            <w:r>
              <w:rPr>
                <w:rFonts w:hint="eastAsia" w:ascii="宋体" w:hAnsi="宋体" w:eastAsia="宋体" w:cs="宋体"/>
                <w:color w:val="auto"/>
                <w:kern w:val="0"/>
                <w:sz w:val="21"/>
                <w:szCs w:val="21"/>
                <w:lang w:bidi="ar"/>
              </w:rPr>
              <w:t xml:space="preserve">2 </w:t>
            </w:r>
            <w:r>
              <w:rPr>
                <w:rStyle w:val="77"/>
                <w:rFonts w:hint="eastAsia" w:ascii="宋体" w:hAnsi="宋体" w:eastAsia="宋体" w:cs="宋体"/>
                <w:color w:val="auto"/>
                <w:sz w:val="21"/>
                <w:szCs w:val="21"/>
                <w:lang w:bidi="ar"/>
              </w:rPr>
              <w:t>块防弹板，前后</w:t>
            </w:r>
            <w:r>
              <w:rPr>
                <w:rFonts w:hint="eastAsia" w:ascii="宋体" w:hAnsi="宋体" w:eastAsia="宋体" w:cs="宋体"/>
                <w:color w:val="auto"/>
                <w:kern w:val="0"/>
                <w:sz w:val="21"/>
                <w:szCs w:val="21"/>
                <w:lang w:bidi="ar"/>
              </w:rPr>
              <w:t>2</w:t>
            </w:r>
            <w:r>
              <w:rPr>
                <w:rStyle w:val="77"/>
                <w:rFonts w:hint="eastAsia" w:ascii="宋体" w:hAnsi="宋体" w:eastAsia="宋体" w:cs="宋体"/>
                <w:color w:val="auto"/>
                <w:sz w:val="21"/>
                <w:szCs w:val="21"/>
                <w:lang w:bidi="ar"/>
              </w:rPr>
              <w:t>块，</w:t>
            </w:r>
            <w:r>
              <w:rPr>
                <w:rFonts w:hint="eastAsia" w:ascii="宋体" w:hAnsi="宋体" w:eastAsia="宋体" w:cs="宋体"/>
                <w:color w:val="auto"/>
                <w:kern w:val="0"/>
                <w:sz w:val="21"/>
                <w:szCs w:val="21"/>
                <w:lang w:bidi="ar"/>
              </w:rPr>
              <w:t xml:space="preserve">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w:t>
            </w:r>
            <w:r>
              <w:rPr>
                <w:rStyle w:val="77"/>
                <w:rFonts w:hint="eastAsia" w:ascii="宋体" w:hAnsi="宋体" w:eastAsia="宋体" w:cs="宋体"/>
                <w:color w:val="auto"/>
                <w:sz w:val="21"/>
                <w:szCs w:val="21"/>
                <w:lang w:bidi="ar"/>
              </w:rPr>
              <w:t>防弹等级：</w:t>
            </w:r>
            <w:r>
              <w:rPr>
                <w:rFonts w:hint="eastAsia" w:ascii="宋体" w:hAnsi="宋体" w:eastAsia="宋体" w:cs="宋体"/>
                <w:color w:val="auto"/>
                <w:kern w:val="0"/>
                <w:sz w:val="21"/>
                <w:szCs w:val="21"/>
                <w:lang w:bidi="ar"/>
              </w:rPr>
              <w:t>GA3</w:t>
            </w:r>
            <w:r>
              <w:rPr>
                <w:rStyle w:val="77"/>
                <w:rFonts w:hint="eastAsia" w:ascii="宋体" w:hAnsi="宋体" w:eastAsia="宋体" w:cs="宋体"/>
                <w:color w:val="auto"/>
                <w:sz w:val="21"/>
                <w:szCs w:val="21"/>
                <w:lang w:bidi="ar"/>
              </w:rPr>
              <w:t>级</w:t>
            </w:r>
            <w:r>
              <w:rPr>
                <w:rFonts w:hint="eastAsia" w:ascii="宋体" w:hAnsi="宋体" w:eastAsia="宋体" w:cs="宋体"/>
                <w:color w:val="auto"/>
                <w:kern w:val="0"/>
                <w:sz w:val="21"/>
                <w:szCs w:val="21"/>
                <w:lang w:bidi="ar"/>
              </w:rPr>
              <w:t xml:space="preserve"> </w:t>
            </w:r>
            <w:r>
              <w:rPr>
                <w:rStyle w:val="77"/>
                <w:rFonts w:hint="eastAsia" w:ascii="宋体" w:hAnsi="宋体" w:eastAsia="宋体" w:cs="宋体"/>
                <w:color w:val="auto"/>
                <w:sz w:val="21"/>
                <w:szCs w:val="21"/>
                <w:lang w:bidi="ar"/>
              </w:rPr>
              <w:t xml:space="preserve"> 软质</w:t>
            </w:r>
            <w:r>
              <w:rPr>
                <w:rFonts w:hint="eastAsia" w:ascii="宋体" w:hAnsi="宋体" w:eastAsia="宋体" w:cs="宋体"/>
                <w:color w:val="auto"/>
                <w:kern w:val="0"/>
                <w:sz w:val="21"/>
                <w:szCs w:val="21"/>
                <w:lang w:bidi="ar"/>
              </w:rPr>
              <w:br w:type="textWrapping"/>
            </w:r>
            <w:r>
              <w:rPr>
                <w:rStyle w:val="77"/>
                <w:rFonts w:hint="eastAsia" w:ascii="宋体" w:hAnsi="宋体" w:eastAsia="宋体" w:cs="宋体"/>
                <w:color w:val="auto"/>
                <w:sz w:val="21"/>
                <w:szCs w:val="21"/>
                <w:lang w:bidi="ar"/>
              </w:rPr>
              <w:t>防弹性能：材料为聚乙烯：防护尺寸</w:t>
            </w:r>
            <w:r>
              <w:rPr>
                <w:rFonts w:hint="eastAsia" w:ascii="宋体" w:hAnsi="宋体" w:eastAsia="宋体" w:cs="宋体"/>
                <w:color w:val="auto"/>
                <w:kern w:val="0"/>
                <w:sz w:val="21"/>
                <w:szCs w:val="21"/>
                <w:lang w:bidi="ar"/>
              </w:rPr>
              <w:t>≥250mm*300mm;</w:t>
            </w:r>
            <w:r>
              <w:rPr>
                <w:rFonts w:hint="eastAsia" w:ascii="宋体" w:hAnsi="宋体" w:eastAsia="宋体" w:cs="宋体"/>
                <w:color w:val="auto"/>
                <w:kern w:val="0"/>
                <w:sz w:val="21"/>
                <w:szCs w:val="21"/>
                <w:lang w:bidi="ar"/>
              </w:rPr>
              <w:br w:type="textWrapping"/>
            </w:r>
            <w:r>
              <w:rPr>
                <w:rStyle w:val="77"/>
                <w:rFonts w:hint="eastAsia" w:ascii="宋体" w:hAnsi="宋体" w:eastAsia="宋体" w:cs="宋体"/>
                <w:color w:val="auto"/>
                <w:sz w:val="21"/>
                <w:szCs w:val="21"/>
                <w:lang w:bidi="ar"/>
              </w:rPr>
              <w:t>符合</w:t>
            </w:r>
            <w:r>
              <w:rPr>
                <w:rFonts w:hint="eastAsia" w:ascii="宋体" w:hAnsi="宋体" w:eastAsia="宋体" w:cs="宋体"/>
                <w:color w:val="auto"/>
                <w:kern w:val="0"/>
                <w:sz w:val="21"/>
                <w:szCs w:val="21"/>
                <w:lang w:bidi="ar"/>
              </w:rPr>
              <w:t>GA141-2010</w:t>
            </w:r>
            <w:r>
              <w:rPr>
                <w:rStyle w:val="77"/>
                <w:rFonts w:hint="eastAsia" w:ascii="宋体" w:hAnsi="宋体" w:eastAsia="宋体" w:cs="宋体"/>
                <w:color w:val="auto"/>
                <w:sz w:val="21"/>
                <w:szCs w:val="21"/>
                <w:lang w:bidi="ar"/>
              </w:rPr>
              <w:t>《警用防弹衣》执行标准</w:t>
            </w:r>
            <w:r>
              <w:rPr>
                <w:rFonts w:hint="eastAsia" w:ascii="宋体" w:hAnsi="宋体" w:eastAsia="宋体" w:cs="宋体"/>
                <w:color w:val="auto"/>
                <w:kern w:val="0"/>
                <w:sz w:val="21"/>
                <w:szCs w:val="21"/>
                <w:lang w:bidi="ar"/>
              </w:rPr>
              <w:t xml:space="preserve"> </w:t>
            </w:r>
          </w:p>
          <w:p w14:paraId="46F7E796">
            <w:pPr>
              <w:widowControl/>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防刺内衬：尺寸</w:t>
            </w:r>
            <w:r>
              <w:rPr>
                <w:rFonts w:hint="eastAsia" w:ascii="宋体" w:hAnsi="宋体" w:eastAsia="宋体" w:cs="宋体"/>
                <w:color w:val="auto"/>
                <w:kern w:val="0"/>
                <w:sz w:val="21"/>
                <w:szCs w:val="21"/>
                <w:lang w:val="en-US" w:eastAsia="zh-CN" w:bidi="ar"/>
              </w:rPr>
              <w:t>约</w:t>
            </w:r>
            <w:r>
              <w:rPr>
                <w:rFonts w:hint="eastAsia" w:ascii="宋体" w:hAnsi="宋体" w:eastAsia="宋体" w:cs="宋体"/>
                <w:color w:val="auto"/>
                <w:kern w:val="0"/>
                <w:sz w:val="21"/>
                <w:szCs w:val="21"/>
                <w:lang w:bidi="ar"/>
              </w:rPr>
              <w:t>250*300  执行标准：防刺性能符合GA68-2024《警用防刺服》中A类金属材质警用防刺服的有关要求，测试体以24J±0.5J撞击能量进行穿刺，在有效穿刺情况下，不应出现穿透。</w:t>
            </w:r>
          </w:p>
          <w:p w14:paraId="6D4D44D4">
            <w:pPr>
              <w:widowControl/>
              <w:spacing w:line="240" w:lineRule="auto"/>
              <w:jc w:val="left"/>
              <w:textAlignment w:val="center"/>
              <w:rPr>
                <w:rStyle w:val="77"/>
                <w:rFonts w:hint="eastAsia" w:ascii="宋体" w:hAnsi="宋体" w:eastAsia="宋体" w:cs="宋体"/>
                <w:color w:val="auto"/>
                <w:sz w:val="21"/>
                <w:szCs w:val="21"/>
                <w:lang w:bidi="ar"/>
              </w:rPr>
            </w:pP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3</w:t>
            </w:r>
            <w:r>
              <w:rPr>
                <w:rStyle w:val="77"/>
                <w:rFonts w:hint="eastAsia" w:ascii="宋体" w:hAnsi="宋体" w:eastAsia="宋体" w:cs="宋体"/>
                <w:color w:val="auto"/>
                <w:sz w:val="21"/>
                <w:szCs w:val="21"/>
                <w:lang w:bidi="ar"/>
              </w:rPr>
              <w:t>、其他</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w:t>
            </w:r>
            <w:r>
              <w:rPr>
                <w:rStyle w:val="77"/>
                <w:rFonts w:hint="eastAsia" w:ascii="宋体" w:hAnsi="宋体" w:eastAsia="宋体" w:cs="宋体"/>
                <w:color w:val="auto"/>
                <w:sz w:val="21"/>
                <w:szCs w:val="21"/>
                <w:lang w:bidi="ar"/>
              </w:rPr>
              <w:t>）</w:t>
            </w:r>
            <w:r>
              <w:rPr>
                <w:rFonts w:hint="eastAsia" w:ascii="宋体" w:hAnsi="宋体" w:eastAsia="宋体" w:cs="宋体"/>
                <w:color w:val="auto"/>
                <w:kern w:val="0"/>
                <w:sz w:val="21"/>
                <w:szCs w:val="21"/>
                <w:lang w:bidi="ar"/>
              </w:rPr>
              <w:t>▲</w:t>
            </w:r>
            <w:r>
              <w:rPr>
                <w:rStyle w:val="77"/>
                <w:rFonts w:hint="eastAsia" w:ascii="宋体" w:hAnsi="宋体" w:eastAsia="宋体" w:cs="宋体"/>
                <w:color w:val="auto"/>
                <w:sz w:val="21"/>
                <w:szCs w:val="21"/>
                <w:lang w:bidi="ar"/>
              </w:rPr>
              <w:t>提供附带保险每次事故人身伤亡赔偿限额不低于</w:t>
            </w:r>
            <w:r>
              <w:rPr>
                <w:rFonts w:hint="eastAsia" w:ascii="宋体" w:hAnsi="宋体" w:eastAsia="宋体" w:cs="宋体"/>
                <w:color w:val="auto"/>
                <w:kern w:val="0"/>
                <w:sz w:val="21"/>
                <w:szCs w:val="21"/>
                <w:lang w:bidi="ar"/>
              </w:rPr>
              <w:t>1000</w:t>
            </w:r>
            <w:r>
              <w:rPr>
                <w:rStyle w:val="77"/>
                <w:rFonts w:hint="eastAsia" w:ascii="宋体" w:hAnsi="宋体" w:eastAsia="宋体" w:cs="宋体"/>
                <w:color w:val="auto"/>
                <w:sz w:val="21"/>
                <w:szCs w:val="21"/>
                <w:lang w:bidi="ar"/>
              </w:rPr>
              <w:t>万产品责任保险，提供体现以上数值的保单复印件。</w:t>
            </w:r>
          </w:p>
          <w:p w14:paraId="65CB35BA">
            <w:pPr>
              <w:widowControl/>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val="en-US" w:eastAsia="zh-CN" w:bidi="ar"/>
              </w:rPr>
              <w:t>2）投标人需提供第三方检测机构出具的带CMA或CNAS标识的检测报告。检测内容需包含▲关键参数。</w:t>
            </w:r>
            <w:r>
              <w:rPr>
                <w:rFonts w:hint="eastAsia" w:ascii="宋体" w:hAnsi="宋体" w:eastAsia="宋体" w:cs="宋体"/>
                <w:color w:val="auto"/>
                <w:kern w:val="0"/>
                <w:sz w:val="21"/>
                <w:szCs w:val="21"/>
                <w:lang w:bidi="ar"/>
              </w:rPr>
              <w:br w:type="textWrapping"/>
            </w:r>
            <w:r>
              <w:rPr>
                <w:rStyle w:val="77"/>
                <w:rFonts w:hint="eastAsia" w:ascii="宋体" w:hAnsi="宋体" w:eastAsia="宋体" w:cs="宋体"/>
                <w:color w:val="auto"/>
                <w:sz w:val="21"/>
                <w:szCs w:val="21"/>
                <w:lang w:bidi="ar"/>
              </w:rPr>
              <w:t>腰带：</w:t>
            </w:r>
            <w:r>
              <w:rPr>
                <w:rFonts w:hint="eastAsia" w:ascii="宋体" w:hAnsi="宋体" w:eastAsia="宋体" w:cs="宋体"/>
                <w:color w:val="auto"/>
                <w:kern w:val="0"/>
                <w:sz w:val="21"/>
                <w:szCs w:val="21"/>
                <w:lang w:bidi="ar"/>
              </w:rPr>
              <w:br w:type="textWrapping"/>
            </w:r>
            <w:r>
              <w:rPr>
                <w:rStyle w:val="77"/>
                <w:rFonts w:hint="eastAsia" w:ascii="宋体" w:hAnsi="宋体" w:eastAsia="宋体" w:cs="宋体"/>
                <w:color w:val="auto"/>
                <w:sz w:val="21"/>
                <w:szCs w:val="21"/>
                <w:lang w:bidi="ar"/>
              </w:rPr>
              <w:t>分为</w:t>
            </w:r>
            <w:r>
              <w:rPr>
                <w:rFonts w:hint="eastAsia" w:ascii="宋体" w:hAnsi="宋体" w:eastAsia="宋体" w:cs="宋体"/>
                <w:color w:val="auto"/>
                <w:kern w:val="0"/>
                <w:sz w:val="21"/>
                <w:szCs w:val="21"/>
                <w:lang w:bidi="ar"/>
              </w:rPr>
              <w:t xml:space="preserve"> </w:t>
            </w:r>
            <w:r>
              <w:rPr>
                <w:rStyle w:val="77"/>
                <w:rFonts w:hint="eastAsia" w:ascii="宋体" w:hAnsi="宋体" w:eastAsia="宋体" w:cs="宋体"/>
                <w:color w:val="auto"/>
                <w:sz w:val="21"/>
                <w:szCs w:val="21"/>
                <w:lang w:bidi="ar"/>
              </w:rPr>
              <w:t>内腰带、腰封两部分。</w:t>
            </w:r>
            <w:r>
              <w:rPr>
                <w:rFonts w:hint="eastAsia" w:ascii="宋体" w:hAnsi="宋体" w:eastAsia="宋体" w:cs="宋体"/>
                <w:color w:val="auto"/>
                <w:kern w:val="0"/>
                <w:sz w:val="21"/>
                <w:szCs w:val="21"/>
                <w:lang w:bidi="ar"/>
              </w:rPr>
              <w:br w:type="textWrapping"/>
            </w:r>
            <w:r>
              <w:rPr>
                <w:rStyle w:val="77"/>
                <w:rFonts w:hint="eastAsia" w:ascii="宋体" w:hAnsi="宋体" w:eastAsia="宋体" w:cs="宋体"/>
                <w:color w:val="auto"/>
                <w:sz w:val="21"/>
                <w:szCs w:val="21"/>
                <w:lang w:bidi="ar"/>
              </w:rPr>
              <w:t>内腰带采用外侧带有魔术贴毛面，</w:t>
            </w:r>
            <w:r>
              <w:rPr>
                <w:rFonts w:hint="eastAsia" w:ascii="宋体" w:hAnsi="宋体" w:eastAsia="宋体" w:cs="宋体"/>
                <w:color w:val="auto"/>
                <w:kern w:val="0"/>
                <w:sz w:val="21"/>
                <w:szCs w:val="21"/>
                <w:lang w:bidi="ar"/>
              </w:rPr>
              <w:t>≤40mm</w:t>
            </w:r>
            <w:r>
              <w:rPr>
                <w:rFonts w:hint="eastAsia" w:ascii="宋体" w:hAnsi="宋体" w:eastAsia="宋体" w:cs="宋体"/>
                <w:color w:val="auto"/>
                <w:kern w:val="0"/>
                <w:sz w:val="21"/>
                <w:szCs w:val="21"/>
                <w:lang w:bidi="ar"/>
              </w:rPr>
              <w:br w:type="textWrapping"/>
            </w:r>
            <w:r>
              <w:rPr>
                <w:rStyle w:val="77"/>
                <w:rFonts w:hint="eastAsia" w:ascii="宋体" w:hAnsi="宋体" w:eastAsia="宋体" w:cs="宋体"/>
                <w:color w:val="auto"/>
                <w:sz w:val="21"/>
                <w:szCs w:val="21"/>
                <w:lang w:bidi="ar"/>
              </w:rPr>
              <w:t>腰封本体</w:t>
            </w:r>
            <w:r>
              <w:rPr>
                <w:rFonts w:hint="eastAsia" w:ascii="宋体" w:hAnsi="宋体" w:eastAsia="宋体" w:cs="宋体"/>
                <w:color w:val="auto"/>
                <w:kern w:val="0"/>
                <w:sz w:val="21"/>
                <w:szCs w:val="21"/>
                <w:lang w:bidi="ar"/>
              </w:rPr>
              <w:t xml:space="preserve"> </w:t>
            </w:r>
            <w:r>
              <w:rPr>
                <w:rStyle w:val="77"/>
                <w:rFonts w:hint="eastAsia" w:ascii="宋体" w:hAnsi="宋体" w:eastAsia="宋体" w:cs="宋体"/>
                <w:color w:val="auto"/>
                <w:sz w:val="21"/>
                <w:szCs w:val="21"/>
                <w:lang w:bidi="ar"/>
              </w:rPr>
              <w:t>表面采用纯尼龙织带作为</w:t>
            </w:r>
            <w:r>
              <w:rPr>
                <w:rFonts w:hint="eastAsia" w:ascii="宋体" w:hAnsi="宋体" w:eastAsia="宋体" w:cs="宋体"/>
                <w:color w:val="auto"/>
                <w:kern w:val="0"/>
                <w:sz w:val="21"/>
                <w:szCs w:val="21"/>
                <w:lang w:bidi="ar"/>
              </w:rPr>
              <w:t>MOLLE</w:t>
            </w:r>
            <w:r>
              <w:rPr>
                <w:rStyle w:val="77"/>
                <w:rFonts w:hint="eastAsia" w:ascii="宋体" w:hAnsi="宋体" w:eastAsia="宋体" w:cs="宋体"/>
                <w:color w:val="auto"/>
                <w:sz w:val="21"/>
                <w:szCs w:val="21"/>
                <w:lang w:bidi="ar"/>
              </w:rPr>
              <w:t>系统，断裂强力</w:t>
            </w:r>
            <w:r>
              <w:rPr>
                <w:rFonts w:hint="eastAsia" w:ascii="宋体" w:hAnsi="宋体" w:eastAsia="宋体" w:cs="宋体"/>
                <w:color w:val="auto"/>
                <w:kern w:val="0"/>
                <w:sz w:val="21"/>
                <w:szCs w:val="21"/>
                <w:lang w:bidi="ar"/>
              </w:rPr>
              <w:t>(N)FZ/T60021-2010</w:t>
            </w:r>
            <w:r>
              <w:rPr>
                <w:rStyle w:val="77"/>
                <w:rFonts w:hint="eastAsia" w:ascii="宋体" w:hAnsi="宋体" w:eastAsia="宋体" w:cs="宋体"/>
                <w:color w:val="auto"/>
                <w:sz w:val="21"/>
                <w:szCs w:val="21"/>
                <w:lang w:bidi="ar"/>
              </w:rPr>
              <w:t>条款</w:t>
            </w:r>
            <w:r>
              <w:rPr>
                <w:rFonts w:hint="eastAsia" w:ascii="宋体" w:hAnsi="宋体" w:eastAsia="宋体" w:cs="宋体"/>
                <w:color w:val="auto"/>
                <w:kern w:val="0"/>
                <w:sz w:val="21"/>
                <w:szCs w:val="21"/>
                <w:lang w:bidi="ar"/>
              </w:rPr>
              <w:t>7  [</w:t>
            </w:r>
            <w:r>
              <w:rPr>
                <w:rStyle w:val="77"/>
                <w:rFonts w:hint="eastAsia" w:ascii="宋体" w:hAnsi="宋体" w:eastAsia="宋体" w:cs="宋体"/>
                <w:color w:val="auto"/>
                <w:sz w:val="21"/>
                <w:szCs w:val="21"/>
                <w:lang w:bidi="ar"/>
              </w:rPr>
              <w:t>预加张力</w:t>
            </w:r>
            <w:r>
              <w:rPr>
                <w:rFonts w:hint="eastAsia" w:ascii="宋体" w:hAnsi="宋体" w:eastAsia="宋体" w:cs="宋体"/>
                <w:color w:val="auto"/>
                <w:kern w:val="0"/>
                <w:sz w:val="21"/>
                <w:szCs w:val="21"/>
                <w:lang w:bidi="ar"/>
              </w:rPr>
              <w:t>:</w:t>
            </w:r>
            <w:r>
              <w:rPr>
                <w:rStyle w:val="77"/>
                <w:rFonts w:hint="eastAsia" w:ascii="宋体" w:hAnsi="宋体" w:eastAsia="宋体" w:cs="宋体"/>
                <w:color w:val="auto"/>
                <w:sz w:val="21"/>
                <w:szCs w:val="21"/>
                <w:lang w:bidi="ar"/>
              </w:rPr>
              <w:t>【</w:t>
            </w:r>
            <w:r>
              <w:rPr>
                <w:rFonts w:hint="eastAsia" w:ascii="宋体" w:hAnsi="宋体" w:eastAsia="宋体" w:cs="宋体"/>
                <w:color w:val="auto"/>
                <w:kern w:val="0"/>
                <w:sz w:val="21"/>
                <w:szCs w:val="21"/>
                <w:lang w:bidi="ar"/>
              </w:rPr>
              <w:t>20N</w:t>
            </w:r>
            <w:r>
              <w:rPr>
                <w:rStyle w:val="77"/>
                <w:rFonts w:hint="eastAsia" w:ascii="宋体" w:hAnsi="宋体" w:eastAsia="宋体" w:cs="宋体"/>
                <w:color w:val="auto"/>
                <w:sz w:val="21"/>
                <w:szCs w:val="21"/>
                <w:lang w:bidi="ar"/>
              </w:rPr>
              <w:t>】</w:t>
            </w:r>
            <w:r>
              <w:rPr>
                <w:rFonts w:hint="eastAsia" w:ascii="宋体" w:hAnsi="宋体" w:eastAsia="宋体" w:cs="宋体"/>
                <w:color w:val="auto"/>
                <w:kern w:val="0"/>
                <w:sz w:val="21"/>
                <w:szCs w:val="21"/>
                <w:lang w:bidi="ar"/>
              </w:rPr>
              <w:t xml:space="preserve"> ≥14000N</w:t>
            </w:r>
            <w:r>
              <w:rPr>
                <w:rStyle w:val="77"/>
                <w:rFonts w:hint="eastAsia" w:ascii="宋体" w:hAnsi="宋体" w:eastAsia="宋体" w:cs="宋体"/>
                <w:color w:val="auto"/>
                <w:sz w:val="21"/>
                <w:szCs w:val="21"/>
                <w:lang w:bidi="ar"/>
              </w:rPr>
              <w:t>（检测报告中体现）</w:t>
            </w:r>
            <w:r>
              <w:rPr>
                <w:rFonts w:hint="eastAsia" w:ascii="宋体" w:hAnsi="宋体" w:eastAsia="宋体" w:cs="宋体"/>
                <w:color w:val="auto"/>
                <w:kern w:val="0"/>
                <w:sz w:val="21"/>
                <w:szCs w:val="21"/>
                <w:lang w:bidi="ar"/>
              </w:rPr>
              <w:br w:type="textWrapping"/>
            </w:r>
            <w:r>
              <w:rPr>
                <w:rStyle w:val="77"/>
                <w:rFonts w:hint="eastAsia" w:ascii="宋体" w:hAnsi="宋体" w:eastAsia="宋体" w:cs="宋体"/>
                <w:color w:val="auto"/>
                <w:sz w:val="21"/>
                <w:szCs w:val="21"/>
                <w:lang w:bidi="ar"/>
              </w:rPr>
              <w:t>采用高强度战术插扣，硬度≥180HD，拉力≥2000N，</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br w:type="textWrapping"/>
            </w:r>
            <w:r>
              <w:rPr>
                <w:rStyle w:val="77"/>
                <w:rFonts w:hint="eastAsia" w:ascii="宋体" w:hAnsi="宋体" w:eastAsia="宋体" w:cs="宋体"/>
                <w:color w:val="auto"/>
                <w:sz w:val="21"/>
                <w:szCs w:val="21"/>
                <w:lang w:bidi="ar"/>
              </w:rPr>
              <w:t>配件带有：下压解锁枪套、喷雾套、甩棍套、手铐包、手电套、单联</w:t>
            </w:r>
            <w:r>
              <w:rPr>
                <w:rFonts w:hint="eastAsia" w:ascii="宋体" w:hAnsi="宋体" w:eastAsia="宋体" w:cs="宋体"/>
                <w:color w:val="auto"/>
                <w:kern w:val="0"/>
                <w:sz w:val="21"/>
                <w:szCs w:val="21"/>
                <w:lang w:bidi="ar"/>
              </w:rPr>
              <w:t xml:space="preserve"> </w:t>
            </w:r>
            <w:r>
              <w:rPr>
                <w:rStyle w:val="77"/>
                <w:rFonts w:hint="eastAsia" w:ascii="宋体" w:hAnsi="宋体" w:eastAsia="宋体" w:cs="宋体"/>
                <w:color w:val="auto"/>
                <w:sz w:val="21"/>
                <w:szCs w:val="21"/>
                <w:lang w:bidi="ar"/>
              </w:rPr>
              <w:t>弹匣套</w:t>
            </w:r>
            <w:r>
              <w:rPr>
                <w:rFonts w:hint="eastAsia" w:ascii="宋体" w:hAnsi="宋体" w:eastAsia="宋体" w:cs="宋体"/>
                <w:color w:val="auto"/>
                <w:kern w:val="0"/>
                <w:sz w:val="21"/>
                <w:szCs w:val="21"/>
                <w:lang w:bidi="ar"/>
              </w:rPr>
              <w:t xml:space="preserve"> </w:t>
            </w:r>
            <w:r>
              <w:rPr>
                <w:rStyle w:val="77"/>
                <w:rFonts w:hint="eastAsia" w:ascii="宋体" w:hAnsi="宋体" w:eastAsia="宋体" w:cs="宋体"/>
                <w:color w:val="auto"/>
                <w:sz w:val="21"/>
                <w:szCs w:val="21"/>
                <w:lang w:bidi="ar"/>
              </w:rPr>
              <w:t>杂物包</w:t>
            </w:r>
          </w:p>
        </w:tc>
      </w:tr>
      <w:tr w14:paraId="2E6AA36B">
        <w:tblPrEx>
          <w:tblCellMar>
            <w:top w:w="0" w:type="dxa"/>
            <w:left w:w="108" w:type="dxa"/>
            <w:bottom w:w="0" w:type="dxa"/>
            <w:right w:w="108" w:type="dxa"/>
          </w:tblCellMar>
        </w:tblPrEx>
        <w:trPr>
          <w:trHeight w:val="9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ADC3F">
            <w:pPr>
              <w:widowControl/>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2</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8DE3A">
            <w:pPr>
              <w:widowControl/>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战术防弹头盔(GA3级）</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FAF29">
            <w:pPr>
              <w:widowControl/>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500</w:t>
            </w: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57CBC">
            <w:pPr>
              <w:widowControl/>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套</w:t>
            </w:r>
          </w:p>
        </w:tc>
        <w:tc>
          <w:tcPr>
            <w:tcW w:w="1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D3F0F">
            <w:pPr>
              <w:widowControl/>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bdr w:val="single" w:color="000000" w:sz="4" w:space="0"/>
                <w:lang w:bidi="ar"/>
              </w:rPr>
              <w:drawing>
                <wp:anchor distT="0" distB="0" distL="114300" distR="114300" simplePos="0" relativeHeight="251661312" behindDoc="0" locked="0" layoutInCell="1" allowOverlap="1">
                  <wp:simplePos x="0" y="0"/>
                  <wp:positionH relativeFrom="column">
                    <wp:posOffset>262890</wp:posOffset>
                  </wp:positionH>
                  <wp:positionV relativeFrom="paragraph">
                    <wp:posOffset>467360</wp:posOffset>
                  </wp:positionV>
                  <wp:extent cx="1553845" cy="1673225"/>
                  <wp:effectExtent l="0" t="0" r="8255" b="3175"/>
                  <wp:wrapNone/>
                  <wp:docPr id="257" name="图片_57"/>
                  <wp:cNvGraphicFramePr/>
                  <a:graphic xmlns:a="http://schemas.openxmlformats.org/drawingml/2006/main">
                    <a:graphicData uri="http://schemas.openxmlformats.org/drawingml/2006/picture">
                      <pic:pic xmlns:pic="http://schemas.openxmlformats.org/drawingml/2006/picture">
                        <pic:nvPicPr>
                          <pic:cNvPr id="257" name="图片_57"/>
                          <pic:cNvPicPr/>
                        </pic:nvPicPr>
                        <pic:blipFill>
                          <a:blip r:embed="rId12"/>
                          <a:stretch>
                            <a:fillRect/>
                          </a:stretch>
                        </pic:blipFill>
                        <pic:spPr>
                          <a:xfrm>
                            <a:off x="0" y="0"/>
                            <a:ext cx="1553845" cy="1673225"/>
                          </a:xfrm>
                          <a:prstGeom prst="rect">
                            <a:avLst/>
                          </a:prstGeom>
                          <a:noFill/>
                          <a:ln>
                            <a:noFill/>
                          </a:ln>
                        </pic:spPr>
                      </pic:pic>
                    </a:graphicData>
                  </a:graphic>
                </wp:anchor>
              </w:drawing>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BB14D">
            <w:pPr>
              <w:widowControl/>
              <w:spacing w:line="240" w:lineRule="auto"/>
              <w:jc w:val="left"/>
              <w:textAlignment w:val="center"/>
              <w:rPr>
                <w:rStyle w:val="77"/>
                <w:rFonts w:hint="eastAsia" w:ascii="宋体" w:hAnsi="宋体" w:eastAsia="宋体" w:cs="宋体"/>
                <w:color w:val="auto"/>
                <w:sz w:val="21"/>
                <w:szCs w:val="21"/>
                <w:lang w:bidi="ar"/>
              </w:rPr>
            </w:pPr>
            <w:r>
              <w:rPr>
                <w:rFonts w:hint="eastAsia" w:ascii="宋体" w:hAnsi="宋体" w:eastAsia="宋体" w:cs="宋体"/>
                <w:color w:val="auto"/>
                <w:kern w:val="0"/>
                <w:sz w:val="21"/>
                <w:szCs w:val="21"/>
                <w:lang w:bidi="ar"/>
              </w:rPr>
              <w:t>款式及特点：头盔两侧及头盔前端分别装有战术用导轨，可根据需要装载夜视仪、通讯耳机、电筒等，佩戴使用悬挂系统，旋钮调节头盔松紧，内部使用缓冲垫，四点颚带固定。</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1. </w:t>
            </w:r>
            <w:r>
              <w:rPr>
                <w:rStyle w:val="77"/>
                <w:rFonts w:hint="eastAsia" w:ascii="宋体" w:hAnsi="宋体" w:eastAsia="宋体" w:cs="宋体"/>
                <w:color w:val="auto"/>
                <w:sz w:val="21"/>
                <w:szCs w:val="21"/>
                <w:lang w:bidi="ar"/>
              </w:rPr>
              <w:t>材料：芳纶</w:t>
            </w:r>
            <w:r>
              <w:rPr>
                <w:rFonts w:hint="eastAsia" w:ascii="宋体" w:hAnsi="宋体" w:eastAsia="宋体" w:cs="宋体"/>
                <w:color w:val="auto"/>
                <w:kern w:val="0"/>
                <w:sz w:val="21"/>
                <w:szCs w:val="21"/>
                <w:lang w:bidi="ar"/>
              </w:rPr>
              <w:t xml:space="preserve">  款式FAST（无护耳）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2. </w:t>
            </w:r>
            <w:r>
              <w:rPr>
                <w:rStyle w:val="77"/>
                <w:rFonts w:hint="eastAsia" w:ascii="宋体" w:hAnsi="宋体" w:eastAsia="宋体" w:cs="宋体"/>
                <w:color w:val="auto"/>
                <w:sz w:val="21"/>
                <w:szCs w:val="21"/>
                <w:lang w:bidi="ar"/>
              </w:rPr>
              <w:t>防护等级：</w:t>
            </w:r>
            <w:r>
              <w:rPr>
                <w:rFonts w:hint="eastAsia" w:ascii="宋体" w:hAnsi="宋体" w:eastAsia="宋体" w:cs="宋体"/>
                <w:color w:val="auto"/>
                <w:kern w:val="0"/>
                <w:sz w:val="21"/>
                <w:szCs w:val="21"/>
                <w:lang w:bidi="ar"/>
              </w:rPr>
              <w:t>3</w:t>
            </w:r>
            <w:r>
              <w:rPr>
                <w:rStyle w:val="77"/>
                <w:rFonts w:hint="eastAsia" w:ascii="宋体" w:hAnsi="宋体" w:eastAsia="宋体" w:cs="宋体"/>
                <w:color w:val="auto"/>
                <w:sz w:val="21"/>
                <w:szCs w:val="21"/>
                <w:lang w:bidi="ar"/>
              </w:rPr>
              <w:t>级</w:t>
            </w:r>
            <w:r>
              <w:rPr>
                <w:rFonts w:hint="eastAsia" w:ascii="宋体" w:hAnsi="宋体" w:eastAsia="宋体" w:cs="宋体"/>
                <w:color w:val="auto"/>
                <w:kern w:val="0"/>
                <w:sz w:val="21"/>
                <w:szCs w:val="21"/>
                <w:lang w:bidi="ar"/>
              </w:rPr>
              <w:t xml:space="preserve">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3. </w:t>
            </w:r>
            <w:r>
              <w:rPr>
                <w:rStyle w:val="77"/>
                <w:rFonts w:hint="eastAsia" w:ascii="宋体" w:hAnsi="宋体" w:eastAsia="宋体" w:cs="宋体"/>
                <w:color w:val="auto"/>
                <w:sz w:val="21"/>
                <w:szCs w:val="21"/>
                <w:lang w:bidi="ar"/>
              </w:rPr>
              <w:t>总重量：</w:t>
            </w:r>
            <w:r>
              <w:rPr>
                <w:rFonts w:hint="eastAsia" w:ascii="宋体" w:hAnsi="宋体" w:eastAsia="宋体" w:cs="宋体"/>
                <w:color w:val="auto"/>
                <w:kern w:val="0"/>
                <w:sz w:val="21"/>
                <w:szCs w:val="21"/>
                <w:lang w:bidi="ar"/>
              </w:rPr>
              <w:t>≤1600g</w:t>
            </w:r>
            <w:r>
              <w:rPr>
                <w:rStyle w:val="77"/>
                <w:rFonts w:hint="eastAsia" w:ascii="宋体" w:hAnsi="宋体" w:eastAsia="宋体" w:cs="宋体"/>
                <w:color w:val="auto"/>
                <w:sz w:val="21"/>
                <w:szCs w:val="21"/>
                <w:lang w:bidi="ar"/>
              </w:rPr>
              <w:t>，（不含附件及头盔悬挂系统）重：＜</w:t>
            </w:r>
            <w:r>
              <w:rPr>
                <w:rFonts w:hint="eastAsia" w:ascii="宋体" w:hAnsi="宋体" w:eastAsia="宋体" w:cs="宋体"/>
                <w:color w:val="auto"/>
                <w:kern w:val="0"/>
                <w:sz w:val="21"/>
                <w:szCs w:val="21"/>
                <w:lang w:bidi="ar"/>
              </w:rPr>
              <w:t xml:space="preserve">1300g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4. </w:t>
            </w:r>
            <w:r>
              <w:rPr>
                <w:rStyle w:val="77"/>
                <w:rFonts w:hint="eastAsia" w:ascii="宋体" w:hAnsi="宋体" w:eastAsia="宋体" w:cs="宋体"/>
                <w:color w:val="auto"/>
                <w:sz w:val="21"/>
                <w:szCs w:val="21"/>
                <w:lang w:bidi="ar"/>
              </w:rPr>
              <w:t>防护枪械类型：</w:t>
            </w:r>
            <w:r>
              <w:rPr>
                <w:rFonts w:hint="eastAsia" w:ascii="宋体" w:hAnsi="宋体" w:eastAsia="宋体" w:cs="宋体"/>
                <w:color w:val="auto"/>
                <w:kern w:val="0"/>
                <w:sz w:val="21"/>
                <w:szCs w:val="21"/>
                <w:lang w:bidi="ar"/>
              </w:rPr>
              <w:t>79</w:t>
            </w:r>
            <w:r>
              <w:rPr>
                <w:rStyle w:val="77"/>
                <w:rFonts w:hint="eastAsia" w:ascii="宋体" w:hAnsi="宋体" w:eastAsia="宋体" w:cs="宋体"/>
                <w:color w:val="auto"/>
                <w:sz w:val="21"/>
                <w:szCs w:val="21"/>
                <w:lang w:bidi="ar"/>
              </w:rPr>
              <w:t>式</w:t>
            </w:r>
            <w:r>
              <w:rPr>
                <w:rFonts w:hint="eastAsia" w:ascii="宋体" w:hAnsi="宋体" w:eastAsia="宋体" w:cs="宋体"/>
                <w:color w:val="auto"/>
                <w:kern w:val="0"/>
                <w:sz w:val="21"/>
                <w:szCs w:val="21"/>
                <w:lang w:bidi="ar"/>
              </w:rPr>
              <w:t>7.62mm</w:t>
            </w:r>
            <w:r>
              <w:rPr>
                <w:rStyle w:val="77"/>
                <w:rFonts w:hint="eastAsia" w:ascii="宋体" w:hAnsi="宋体" w:eastAsia="宋体" w:cs="宋体"/>
                <w:color w:val="auto"/>
                <w:sz w:val="21"/>
                <w:szCs w:val="21"/>
                <w:lang w:bidi="ar"/>
              </w:rPr>
              <w:t>轻型冲锋枪</w:t>
            </w:r>
            <w:r>
              <w:rPr>
                <w:rFonts w:hint="eastAsia" w:ascii="宋体" w:hAnsi="宋体" w:eastAsia="宋体" w:cs="宋体"/>
                <w:color w:val="auto"/>
                <w:kern w:val="0"/>
                <w:sz w:val="21"/>
                <w:szCs w:val="21"/>
                <w:lang w:bidi="ar"/>
              </w:rPr>
              <w:t xml:space="preserve">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5. </w:t>
            </w:r>
            <w:r>
              <w:rPr>
                <w:rStyle w:val="77"/>
                <w:rFonts w:hint="eastAsia" w:ascii="宋体" w:hAnsi="宋体" w:eastAsia="宋体" w:cs="宋体"/>
                <w:color w:val="auto"/>
                <w:sz w:val="21"/>
                <w:szCs w:val="21"/>
                <w:lang w:bidi="ar"/>
              </w:rPr>
              <w:t>防护子弹类型：</w:t>
            </w:r>
            <w:r>
              <w:rPr>
                <w:rFonts w:hint="eastAsia" w:ascii="宋体" w:hAnsi="宋体" w:eastAsia="宋体" w:cs="宋体"/>
                <w:color w:val="auto"/>
                <w:kern w:val="0"/>
                <w:sz w:val="21"/>
                <w:szCs w:val="21"/>
                <w:lang w:bidi="ar"/>
              </w:rPr>
              <w:t>51</w:t>
            </w:r>
            <w:r>
              <w:rPr>
                <w:rStyle w:val="77"/>
                <w:rFonts w:hint="eastAsia" w:ascii="宋体" w:hAnsi="宋体" w:eastAsia="宋体" w:cs="宋体"/>
                <w:color w:val="auto"/>
                <w:sz w:val="21"/>
                <w:szCs w:val="21"/>
                <w:lang w:bidi="ar"/>
              </w:rPr>
              <w:t>式</w:t>
            </w:r>
            <w:r>
              <w:rPr>
                <w:rFonts w:hint="eastAsia" w:ascii="宋体" w:hAnsi="宋体" w:eastAsia="宋体" w:cs="宋体"/>
                <w:color w:val="auto"/>
                <w:kern w:val="0"/>
                <w:sz w:val="21"/>
                <w:szCs w:val="21"/>
                <w:lang w:bidi="ar"/>
              </w:rPr>
              <w:t>7.62mm</w:t>
            </w:r>
            <w:r>
              <w:rPr>
                <w:rStyle w:val="77"/>
                <w:rFonts w:hint="eastAsia" w:ascii="宋体" w:hAnsi="宋体" w:eastAsia="宋体" w:cs="宋体"/>
                <w:color w:val="auto"/>
                <w:sz w:val="21"/>
                <w:szCs w:val="21"/>
                <w:lang w:bidi="ar"/>
              </w:rPr>
              <w:t>手枪弹（铅心）</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6. </w:t>
            </w:r>
            <w:r>
              <w:rPr>
                <w:rStyle w:val="77"/>
                <w:rFonts w:hint="eastAsia" w:ascii="宋体" w:hAnsi="宋体" w:eastAsia="宋体" w:cs="宋体"/>
                <w:color w:val="auto"/>
                <w:sz w:val="21"/>
                <w:szCs w:val="21"/>
                <w:lang w:bidi="ar"/>
              </w:rPr>
              <w:t>组成：非金属盔，由盔壳、下颏带、盔顶悬挂系统构成，盔壳采用浸胶芳纶机织布整体压制成型，厚度≥8mm</w:t>
            </w:r>
          </w:p>
          <w:p w14:paraId="7EB345F8">
            <w:pPr>
              <w:widowControl/>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 xml:space="preserve">7. </w:t>
            </w:r>
            <w:r>
              <w:rPr>
                <w:rStyle w:val="77"/>
                <w:rFonts w:hint="eastAsia" w:ascii="宋体" w:hAnsi="宋体" w:eastAsia="宋体" w:cs="宋体"/>
                <w:color w:val="auto"/>
                <w:sz w:val="21"/>
                <w:szCs w:val="21"/>
                <w:lang w:bidi="ar"/>
              </w:rPr>
              <w:t>盔壳最大形变量：</w:t>
            </w:r>
            <w:r>
              <w:rPr>
                <w:rFonts w:hint="eastAsia" w:ascii="宋体" w:hAnsi="宋体" w:eastAsia="宋体" w:cs="宋体"/>
                <w:color w:val="auto"/>
                <w:kern w:val="0"/>
                <w:sz w:val="21"/>
                <w:szCs w:val="21"/>
                <w:lang w:bidi="ar"/>
              </w:rPr>
              <w:t>≤8mm</w:t>
            </w:r>
            <w:r>
              <w:rPr>
                <w:rStyle w:val="77"/>
                <w:rFonts w:hint="eastAsia" w:ascii="宋体" w:hAnsi="宋体" w:eastAsia="宋体" w:cs="宋体"/>
                <w:color w:val="auto"/>
                <w:sz w:val="21"/>
                <w:szCs w:val="21"/>
                <w:lang w:bidi="ar"/>
              </w:rPr>
              <w:t>，残余形变量：</w:t>
            </w:r>
            <w:r>
              <w:rPr>
                <w:rFonts w:hint="eastAsia" w:ascii="宋体" w:hAnsi="宋体" w:eastAsia="宋体" w:cs="宋体"/>
                <w:color w:val="auto"/>
                <w:kern w:val="0"/>
                <w:sz w:val="21"/>
                <w:szCs w:val="21"/>
                <w:lang w:bidi="ar"/>
              </w:rPr>
              <w:t>≤5mm</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8. </w:t>
            </w:r>
            <w:r>
              <w:rPr>
                <w:rStyle w:val="77"/>
                <w:rFonts w:hint="eastAsia" w:ascii="宋体" w:hAnsi="宋体" w:eastAsia="宋体" w:cs="宋体"/>
                <w:color w:val="auto"/>
                <w:sz w:val="21"/>
                <w:szCs w:val="21"/>
                <w:lang w:bidi="ar"/>
              </w:rPr>
              <w:t>常温防弹性能盔壳内表面最大弹痕高度：</w:t>
            </w:r>
            <w:r>
              <w:rPr>
                <w:rFonts w:hint="eastAsia" w:ascii="宋体" w:hAnsi="宋体" w:eastAsia="宋体" w:cs="宋体"/>
                <w:color w:val="auto"/>
                <w:kern w:val="0"/>
                <w:sz w:val="21"/>
                <w:szCs w:val="21"/>
                <w:lang w:bidi="ar"/>
              </w:rPr>
              <w:t>≤19mm</w:t>
            </w:r>
            <w:r>
              <w:rPr>
                <w:rStyle w:val="77"/>
                <w:rFonts w:hint="eastAsia" w:ascii="宋体" w:hAnsi="宋体" w:eastAsia="宋体" w:cs="宋体"/>
                <w:color w:val="auto"/>
                <w:sz w:val="21"/>
                <w:szCs w:val="21"/>
                <w:lang w:bidi="ar"/>
              </w:rPr>
              <w:t>；</w:t>
            </w:r>
            <w:r>
              <w:rPr>
                <w:rFonts w:hint="eastAsia" w:ascii="宋体" w:hAnsi="宋体" w:eastAsia="宋体" w:cs="宋体"/>
                <w:color w:val="auto"/>
                <w:kern w:val="0"/>
                <w:sz w:val="21"/>
                <w:szCs w:val="21"/>
                <w:lang w:bidi="ar"/>
              </w:rPr>
              <w:t xml:space="preserve">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   </w:t>
            </w:r>
            <w:r>
              <w:rPr>
                <w:rStyle w:val="77"/>
                <w:rFonts w:hint="eastAsia" w:ascii="宋体" w:hAnsi="宋体" w:eastAsia="宋体" w:cs="宋体"/>
                <w:color w:val="auto"/>
                <w:sz w:val="21"/>
                <w:szCs w:val="21"/>
                <w:lang w:bidi="ar"/>
              </w:rPr>
              <w:t>耐水浸防弹性能盔壳内表面最大弹痕高度</w:t>
            </w:r>
            <w:r>
              <w:rPr>
                <w:rFonts w:hint="eastAsia" w:ascii="宋体" w:hAnsi="宋体" w:eastAsia="宋体" w:cs="宋体"/>
                <w:color w:val="auto"/>
                <w:kern w:val="0"/>
                <w:sz w:val="21"/>
                <w:szCs w:val="21"/>
                <w:lang w:bidi="ar"/>
              </w:rPr>
              <w:t xml:space="preserve"> </w:t>
            </w:r>
            <w:r>
              <w:rPr>
                <w:rStyle w:val="77"/>
                <w:rFonts w:hint="eastAsia" w:ascii="宋体" w:hAnsi="宋体" w:eastAsia="宋体" w:cs="宋体"/>
                <w:color w:val="auto"/>
                <w:sz w:val="21"/>
                <w:szCs w:val="21"/>
                <w:lang w:bidi="ar"/>
              </w:rPr>
              <w:t>：</w:t>
            </w:r>
            <w:r>
              <w:rPr>
                <w:rFonts w:hint="eastAsia" w:ascii="宋体" w:hAnsi="宋体" w:eastAsia="宋体" w:cs="宋体"/>
                <w:color w:val="auto"/>
                <w:kern w:val="0"/>
                <w:sz w:val="21"/>
                <w:szCs w:val="21"/>
                <w:lang w:bidi="ar"/>
              </w:rPr>
              <w:t>≤18.5mm</w:t>
            </w:r>
            <w:r>
              <w:rPr>
                <w:rStyle w:val="77"/>
                <w:rFonts w:hint="eastAsia" w:ascii="宋体" w:hAnsi="宋体" w:eastAsia="宋体" w:cs="宋体"/>
                <w:color w:val="auto"/>
                <w:sz w:val="21"/>
                <w:szCs w:val="21"/>
                <w:lang w:bidi="ar"/>
              </w:rPr>
              <w:t>；</w:t>
            </w:r>
            <w:r>
              <w:rPr>
                <w:rFonts w:hint="eastAsia" w:ascii="宋体" w:hAnsi="宋体" w:eastAsia="宋体" w:cs="宋体"/>
                <w:color w:val="auto"/>
                <w:kern w:val="0"/>
                <w:sz w:val="21"/>
                <w:szCs w:val="21"/>
                <w:lang w:bidi="ar"/>
              </w:rPr>
              <w:t xml:space="preserve">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   </w:t>
            </w:r>
            <w:r>
              <w:rPr>
                <w:rStyle w:val="77"/>
                <w:rFonts w:hint="eastAsia" w:ascii="宋体" w:hAnsi="宋体" w:eastAsia="宋体" w:cs="宋体"/>
                <w:color w:val="auto"/>
                <w:sz w:val="21"/>
                <w:szCs w:val="21"/>
                <w:lang w:bidi="ar"/>
              </w:rPr>
              <w:t>高温防弹性能盔壳内表面最大弹痕高度</w:t>
            </w:r>
            <w:r>
              <w:rPr>
                <w:rFonts w:hint="eastAsia" w:ascii="宋体" w:hAnsi="宋体" w:eastAsia="宋体" w:cs="宋体"/>
                <w:color w:val="auto"/>
                <w:kern w:val="0"/>
                <w:sz w:val="21"/>
                <w:szCs w:val="21"/>
                <w:lang w:bidi="ar"/>
              </w:rPr>
              <w:t xml:space="preserve"> </w:t>
            </w:r>
            <w:r>
              <w:rPr>
                <w:rStyle w:val="77"/>
                <w:rFonts w:hint="eastAsia" w:ascii="宋体" w:hAnsi="宋体" w:eastAsia="宋体" w:cs="宋体"/>
                <w:color w:val="auto"/>
                <w:sz w:val="21"/>
                <w:szCs w:val="21"/>
                <w:lang w:bidi="ar"/>
              </w:rPr>
              <w:t>：</w:t>
            </w:r>
            <w:r>
              <w:rPr>
                <w:rFonts w:hint="eastAsia" w:ascii="宋体" w:hAnsi="宋体" w:eastAsia="宋体" w:cs="宋体"/>
                <w:color w:val="auto"/>
                <w:kern w:val="0"/>
                <w:sz w:val="21"/>
                <w:szCs w:val="21"/>
                <w:lang w:bidi="ar"/>
              </w:rPr>
              <w:t>≤25mm</w:t>
            </w:r>
            <w:r>
              <w:rPr>
                <w:rStyle w:val="77"/>
                <w:rFonts w:hint="eastAsia" w:ascii="宋体" w:hAnsi="宋体" w:eastAsia="宋体" w:cs="宋体"/>
                <w:color w:val="auto"/>
                <w:sz w:val="21"/>
                <w:szCs w:val="21"/>
                <w:lang w:bidi="ar"/>
              </w:rPr>
              <w:t>；</w:t>
            </w:r>
            <w:r>
              <w:rPr>
                <w:rFonts w:hint="eastAsia" w:ascii="宋体" w:hAnsi="宋体" w:eastAsia="宋体" w:cs="宋体"/>
                <w:color w:val="auto"/>
                <w:kern w:val="0"/>
                <w:sz w:val="21"/>
                <w:szCs w:val="21"/>
                <w:lang w:bidi="ar"/>
              </w:rPr>
              <w:t xml:space="preserve">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 xml:space="preserve">   </w:t>
            </w:r>
            <w:r>
              <w:rPr>
                <w:rStyle w:val="77"/>
                <w:rFonts w:hint="eastAsia" w:ascii="宋体" w:hAnsi="宋体" w:eastAsia="宋体" w:cs="宋体"/>
                <w:color w:val="auto"/>
                <w:sz w:val="21"/>
                <w:szCs w:val="21"/>
                <w:lang w:bidi="ar"/>
              </w:rPr>
              <w:t>低温防弹性能盔壳内表面最大弹痕高度</w:t>
            </w:r>
            <w:r>
              <w:rPr>
                <w:rFonts w:hint="eastAsia" w:ascii="宋体" w:hAnsi="宋体" w:eastAsia="宋体" w:cs="宋体"/>
                <w:color w:val="auto"/>
                <w:kern w:val="0"/>
                <w:sz w:val="21"/>
                <w:szCs w:val="21"/>
                <w:lang w:bidi="ar"/>
              </w:rPr>
              <w:t xml:space="preserve"> </w:t>
            </w:r>
            <w:r>
              <w:rPr>
                <w:rStyle w:val="77"/>
                <w:rFonts w:hint="eastAsia" w:ascii="宋体" w:hAnsi="宋体" w:eastAsia="宋体" w:cs="宋体"/>
                <w:color w:val="auto"/>
                <w:sz w:val="21"/>
                <w:szCs w:val="21"/>
                <w:lang w:bidi="ar"/>
              </w:rPr>
              <w:t>：</w:t>
            </w:r>
            <w:r>
              <w:rPr>
                <w:rFonts w:hint="eastAsia" w:ascii="宋体" w:hAnsi="宋体" w:eastAsia="宋体" w:cs="宋体"/>
                <w:color w:val="auto"/>
                <w:kern w:val="0"/>
                <w:sz w:val="21"/>
                <w:szCs w:val="21"/>
                <w:lang w:bidi="ar"/>
              </w:rPr>
              <w:t>≤9mm</w:t>
            </w:r>
            <w:r>
              <w:rPr>
                <w:rStyle w:val="77"/>
                <w:rFonts w:hint="eastAsia" w:ascii="宋体" w:hAnsi="宋体" w:eastAsia="宋体" w:cs="宋体"/>
                <w:color w:val="auto"/>
                <w:sz w:val="21"/>
                <w:szCs w:val="21"/>
                <w:lang w:bidi="ar"/>
              </w:rPr>
              <w:t>；</w:t>
            </w:r>
            <w:r>
              <w:rPr>
                <w:rFonts w:hint="eastAsia" w:ascii="宋体" w:hAnsi="宋体" w:eastAsia="宋体" w:cs="宋体"/>
                <w:color w:val="auto"/>
                <w:kern w:val="0"/>
                <w:sz w:val="21"/>
                <w:szCs w:val="21"/>
                <w:lang w:bidi="ar"/>
              </w:rPr>
              <w:t xml:space="preserve">                              </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9.</w:t>
            </w:r>
            <w:r>
              <w:rPr>
                <w:rStyle w:val="77"/>
                <w:rFonts w:hint="eastAsia" w:ascii="宋体" w:hAnsi="宋体" w:eastAsia="宋体" w:cs="宋体"/>
                <w:color w:val="auto"/>
                <w:sz w:val="21"/>
                <w:szCs w:val="21"/>
                <w:lang w:bidi="ar"/>
              </w:rPr>
              <w:t>常温状态下，</w:t>
            </w:r>
            <w:r>
              <w:rPr>
                <w:rFonts w:hint="eastAsia" w:ascii="宋体" w:hAnsi="宋体" w:eastAsia="宋体" w:cs="宋体"/>
                <w:color w:val="auto"/>
                <w:kern w:val="0"/>
                <w:sz w:val="21"/>
                <w:szCs w:val="21"/>
                <w:lang w:bidi="ar"/>
              </w:rPr>
              <w:t>V50</w:t>
            </w:r>
            <w:r>
              <w:rPr>
                <w:rStyle w:val="77"/>
                <w:rFonts w:hint="eastAsia" w:ascii="宋体" w:hAnsi="宋体" w:eastAsia="宋体" w:cs="宋体"/>
                <w:color w:val="auto"/>
                <w:sz w:val="21"/>
                <w:szCs w:val="21"/>
                <w:lang w:bidi="ar"/>
              </w:rPr>
              <w:t>值：</w:t>
            </w:r>
            <w:r>
              <w:rPr>
                <w:rFonts w:hint="eastAsia" w:ascii="宋体" w:hAnsi="宋体" w:eastAsia="宋体" w:cs="宋体"/>
                <w:color w:val="auto"/>
                <w:kern w:val="0"/>
                <w:sz w:val="21"/>
                <w:szCs w:val="21"/>
                <w:lang w:bidi="ar"/>
              </w:rPr>
              <w:t>≥700m/s</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10.</w:t>
            </w:r>
            <w:r>
              <w:rPr>
                <w:rStyle w:val="77"/>
                <w:rFonts w:hint="eastAsia" w:ascii="宋体" w:hAnsi="宋体" w:eastAsia="宋体" w:cs="宋体"/>
                <w:color w:val="auto"/>
                <w:sz w:val="21"/>
                <w:szCs w:val="21"/>
                <w:lang w:bidi="ar"/>
              </w:rPr>
              <w:t>执行标准：</w:t>
            </w:r>
            <w:r>
              <w:rPr>
                <w:rFonts w:hint="eastAsia" w:ascii="宋体" w:hAnsi="宋体" w:eastAsia="宋体" w:cs="宋体"/>
                <w:color w:val="auto"/>
                <w:kern w:val="0"/>
                <w:sz w:val="21"/>
                <w:szCs w:val="21"/>
                <w:lang w:bidi="ar"/>
              </w:rPr>
              <w:t xml:space="preserve">GA 293-2012 </w:t>
            </w:r>
            <w:r>
              <w:rPr>
                <w:rStyle w:val="77"/>
                <w:rFonts w:hint="eastAsia" w:ascii="宋体" w:hAnsi="宋体" w:eastAsia="宋体" w:cs="宋体"/>
                <w:color w:val="auto"/>
                <w:sz w:val="21"/>
                <w:szCs w:val="21"/>
                <w:lang w:bidi="ar"/>
              </w:rPr>
              <w:t>警用防弹头盔及面罩</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11.产品须提供</w:t>
            </w:r>
            <w:r>
              <w:rPr>
                <w:rFonts w:hint="eastAsia" w:ascii="宋体" w:hAnsi="宋体" w:eastAsia="宋体" w:cs="宋体"/>
                <w:color w:val="auto"/>
                <w:kern w:val="0"/>
                <w:sz w:val="21"/>
                <w:szCs w:val="21"/>
                <w:lang w:val="en-US" w:eastAsia="zh-CN" w:bidi="ar"/>
              </w:rPr>
              <w:t>第三方检测机构出具的带CMA或CNAS标识的检测报告</w:t>
            </w:r>
            <w:r>
              <w:rPr>
                <w:rStyle w:val="77"/>
                <w:rFonts w:hint="eastAsia" w:ascii="宋体" w:hAnsi="宋体" w:eastAsia="宋体" w:cs="宋体"/>
                <w:color w:val="auto"/>
                <w:sz w:val="21"/>
                <w:szCs w:val="21"/>
                <w:lang w:bidi="ar"/>
              </w:rPr>
              <w:t>。</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12.</w:t>
            </w:r>
            <w:r>
              <w:rPr>
                <w:rStyle w:val="77"/>
                <w:rFonts w:hint="eastAsia" w:ascii="宋体" w:hAnsi="宋体" w:eastAsia="宋体" w:cs="宋体"/>
                <w:color w:val="auto"/>
                <w:sz w:val="21"/>
                <w:szCs w:val="21"/>
                <w:lang w:bidi="ar"/>
              </w:rPr>
              <w:t>产品保险≥</w:t>
            </w:r>
            <w:r>
              <w:rPr>
                <w:rFonts w:hint="eastAsia" w:ascii="宋体" w:hAnsi="宋体" w:eastAsia="宋体" w:cs="宋体"/>
                <w:color w:val="auto"/>
                <w:kern w:val="0"/>
                <w:sz w:val="21"/>
                <w:szCs w:val="21"/>
                <w:lang w:bidi="ar"/>
              </w:rPr>
              <w:t>1000</w:t>
            </w:r>
            <w:r>
              <w:rPr>
                <w:rStyle w:val="77"/>
                <w:rFonts w:hint="eastAsia" w:ascii="宋体" w:hAnsi="宋体" w:eastAsia="宋体" w:cs="宋体"/>
                <w:color w:val="auto"/>
                <w:sz w:val="21"/>
                <w:szCs w:val="21"/>
                <w:lang w:bidi="ar"/>
              </w:rPr>
              <w:t>万人民币。</w:t>
            </w:r>
          </w:p>
        </w:tc>
      </w:tr>
      <w:tr w14:paraId="61478F69">
        <w:tblPrEx>
          <w:tblCellMar>
            <w:top w:w="0" w:type="dxa"/>
            <w:left w:w="108" w:type="dxa"/>
            <w:bottom w:w="0" w:type="dxa"/>
            <w:right w:w="108" w:type="dxa"/>
          </w:tblCellMar>
        </w:tblPrEx>
        <w:trPr>
          <w:trHeight w:val="4389"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60A61">
            <w:pPr>
              <w:widowControl/>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3</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30676">
            <w:pPr>
              <w:widowControl/>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执勤三色护目镜</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（防弹片）</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B837D">
            <w:pPr>
              <w:widowControl/>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600</w:t>
            </w: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68D4E">
            <w:pPr>
              <w:widowControl/>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副</w:t>
            </w: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D466F">
            <w:pPr>
              <w:widowControl/>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bdr w:val="single" w:color="000000" w:sz="4" w:space="0"/>
                <w:lang w:bidi="ar"/>
              </w:rPr>
              <w:drawing>
                <wp:anchor distT="0" distB="0" distL="114300" distR="114300" simplePos="0" relativeHeight="251662336" behindDoc="0" locked="0" layoutInCell="1" allowOverlap="1">
                  <wp:simplePos x="0" y="0"/>
                  <wp:positionH relativeFrom="column">
                    <wp:posOffset>90170</wp:posOffset>
                  </wp:positionH>
                  <wp:positionV relativeFrom="paragraph">
                    <wp:posOffset>73025</wp:posOffset>
                  </wp:positionV>
                  <wp:extent cx="1715770" cy="1691640"/>
                  <wp:effectExtent l="0" t="0" r="17780" b="3810"/>
                  <wp:wrapNone/>
                  <wp:docPr id="322" name="图片_71"/>
                  <wp:cNvGraphicFramePr/>
                  <a:graphic xmlns:a="http://schemas.openxmlformats.org/drawingml/2006/main">
                    <a:graphicData uri="http://schemas.openxmlformats.org/drawingml/2006/picture">
                      <pic:pic xmlns:pic="http://schemas.openxmlformats.org/drawingml/2006/picture">
                        <pic:nvPicPr>
                          <pic:cNvPr id="322" name="图片_71"/>
                          <pic:cNvPicPr/>
                        </pic:nvPicPr>
                        <pic:blipFill>
                          <a:blip r:embed="rId13"/>
                          <a:stretch>
                            <a:fillRect/>
                          </a:stretch>
                        </pic:blipFill>
                        <pic:spPr>
                          <a:xfrm>
                            <a:off x="0" y="0"/>
                            <a:ext cx="1715770" cy="1691640"/>
                          </a:xfrm>
                          <a:prstGeom prst="rect">
                            <a:avLst/>
                          </a:prstGeom>
                          <a:noFill/>
                          <a:ln>
                            <a:noFill/>
                          </a:ln>
                        </pic:spPr>
                      </pic:pic>
                    </a:graphicData>
                  </a:graphic>
                </wp:anchor>
              </w:drawing>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92DB0">
            <w:pPr>
              <w:widowControl/>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1、三片装，带有黄色 白色 黑色镜片， </w:t>
            </w:r>
          </w:p>
          <w:p w14:paraId="19476F8A">
            <w:pPr>
              <w:widowControl/>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2、镜架快速释放杠杆可以立刻锁或解锁镜片功能， </w:t>
            </w:r>
          </w:p>
          <w:p w14:paraId="1477D31B">
            <w:pPr>
              <w:widowControl/>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 xml:space="preserve">3、适合中国人脸型佩戴 </w:t>
            </w:r>
          </w:p>
          <w:p w14:paraId="73ECDA8D">
            <w:pPr>
              <w:widowControl/>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4、防弹性能：</w:t>
            </w:r>
          </w:p>
          <w:p w14:paraId="63991147">
            <w:pPr>
              <w:widowControl/>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枪械：79式轻型冲锋枪管</w:t>
            </w:r>
          </w:p>
          <w:p w14:paraId="651DCA6E">
            <w:pPr>
              <w:widowControl/>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弹药：17格令模拟破片</w:t>
            </w:r>
          </w:p>
          <w:p w14:paraId="57FF7A05">
            <w:pPr>
              <w:widowControl/>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射距：5m</w:t>
            </w:r>
          </w:p>
          <w:p w14:paraId="6B3F6FC5">
            <w:pPr>
              <w:widowControl/>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环境温度：大于26°C</w:t>
            </w:r>
          </w:p>
          <w:p w14:paraId="5E940D59">
            <w:pPr>
              <w:widowControl/>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环境湿度：大于R.H 70%</w:t>
            </w:r>
          </w:p>
          <w:p w14:paraId="3CC6F055">
            <w:pPr>
              <w:widowControl/>
              <w:spacing w:line="240" w:lineRule="auto"/>
              <w:jc w:val="left"/>
              <w:textAlignment w:val="center"/>
              <w:rPr>
                <w:rFonts w:hint="eastAsia" w:ascii="宋体" w:hAnsi="宋体" w:eastAsia="宋体" w:cs="宋体"/>
                <w:color w:val="auto"/>
                <w:kern w:val="0"/>
                <w:sz w:val="21"/>
                <w:szCs w:val="21"/>
                <w:lang w:bidi="ar"/>
              </w:rPr>
            </w:pPr>
            <w:r>
              <w:rPr>
                <w:rFonts w:hint="eastAsia" w:ascii="宋体" w:hAnsi="宋体" w:eastAsia="宋体" w:cs="宋体"/>
                <w:color w:val="auto"/>
                <w:kern w:val="0"/>
                <w:sz w:val="21"/>
                <w:szCs w:val="21"/>
                <w:lang w:bidi="ar"/>
              </w:rPr>
              <w:t>弹速（m/s）＞230.弹击结果 防住（检测报告中体现）</w:t>
            </w:r>
          </w:p>
          <w:p w14:paraId="4918A0B9">
            <w:pPr>
              <w:widowControl/>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5</w:t>
            </w:r>
            <w:r>
              <w:rPr>
                <w:rFonts w:hint="eastAsia" w:ascii="宋体" w:hAnsi="宋体" w:eastAsia="宋体" w:cs="宋体"/>
                <w:color w:val="auto"/>
                <w:kern w:val="0"/>
                <w:sz w:val="21"/>
                <w:szCs w:val="21"/>
                <w:lang w:eastAsia="zh-CN" w:bidi="ar"/>
              </w:rPr>
              <w:t>、</w:t>
            </w:r>
            <w:r>
              <w:rPr>
                <w:rFonts w:hint="eastAsia" w:ascii="宋体" w:hAnsi="宋体" w:eastAsia="宋体" w:cs="宋体"/>
                <w:color w:val="auto"/>
                <w:kern w:val="0"/>
                <w:sz w:val="21"/>
                <w:szCs w:val="21"/>
                <w:lang w:bidi="ar"/>
              </w:rPr>
              <w:t>产品须提供具备CMA或CNAS检测资质机构出具的检测报告复印件加盖公章</w:t>
            </w:r>
            <w:r>
              <w:rPr>
                <w:rStyle w:val="77"/>
                <w:rFonts w:hint="eastAsia" w:ascii="宋体" w:hAnsi="宋体" w:eastAsia="宋体" w:cs="宋体"/>
                <w:color w:val="auto"/>
                <w:sz w:val="21"/>
                <w:szCs w:val="21"/>
                <w:lang w:bidi="ar"/>
              </w:rPr>
              <w:t>。</w:t>
            </w:r>
          </w:p>
        </w:tc>
      </w:tr>
      <w:tr w14:paraId="4A6577CD">
        <w:tblPrEx>
          <w:tblCellMar>
            <w:top w:w="0" w:type="dxa"/>
            <w:left w:w="108" w:type="dxa"/>
            <w:bottom w:w="0" w:type="dxa"/>
            <w:right w:w="108" w:type="dxa"/>
          </w:tblCellMar>
        </w:tblPrEx>
        <w:trPr>
          <w:trHeight w:val="9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33033">
            <w:pPr>
              <w:widowControl/>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4</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F4868">
            <w:pPr>
              <w:widowControl/>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全防护防弹衣</w:t>
            </w:r>
            <w:r>
              <w:rPr>
                <w:rFonts w:hint="eastAsia" w:ascii="宋体" w:hAnsi="宋体" w:eastAsia="宋体" w:cs="宋体"/>
                <w:color w:val="auto"/>
                <w:kern w:val="0"/>
                <w:sz w:val="21"/>
                <w:szCs w:val="21"/>
                <w:lang w:bidi="ar"/>
              </w:rPr>
              <w:br w:type="textWrapping"/>
            </w:r>
            <w:r>
              <w:rPr>
                <w:rFonts w:hint="eastAsia" w:ascii="宋体" w:hAnsi="宋体" w:eastAsia="宋体" w:cs="宋体"/>
                <w:color w:val="auto"/>
                <w:kern w:val="0"/>
                <w:sz w:val="21"/>
                <w:szCs w:val="21"/>
                <w:lang w:bidi="ar"/>
              </w:rPr>
              <w:t>（软质双防）</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B26C0">
            <w:pPr>
              <w:widowControl/>
              <w:spacing w:line="240" w:lineRule="auto"/>
              <w:jc w:val="center"/>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 xml:space="preserve">10 </w:t>
            </w: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6481E">
            <w:pPr>
              <w:widowControl/>
              <w:spacing w:line="240" w:lineRule="auto"/>
              <w:jc w:val="left"/>
              <w:textAlignment w:val="center"/>
              <w:rPr>
                <w:rFonts w:hint="eastAsia" w:ascii="宋体" w:hAnsi="宋体" w:eastAsia="宋体" w:cs="宋体"/>
                <w:color w:val="auto"/>
                <w:sz w:val="21"/>
                <w:szCs w:val="21"/>
              </w:rPr>
            </w:pPr>
            <w:r>
              <w:rPr>
                <w:rFonts w:hint="eastAsia" w:ascii="宋体" w:hAnsi="宋体" w:eastAsia="宋体" w:cs="宋体"/>
                <w:color w:val="auto"/>
                <w:kern w:val="0"/>
                <w:sz w:val="21"/>
                <w:szCs w:val="21"/>
                <w:lang w:bidi="ar"/>
              </w:rPr>
              <w:t>套</w:t>
            </w: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5BD93">
            <w:pPr>
              <w:widowControl/>
              <w:spacing w:line="240" w:lineRule="auto"/>
              <w:jc w:val="center"/>
              <w:textAlignment w:val="center"/>
              <w:rPr>
                <w:rFonts w:hint="eastAsia" w:ascii="宋体" w:hAnsi="宋体" w:eastAsia="宋体" w:cs="宋体"/>
                <w:color w:val="auto"/>
                <w:sz w:val="21"/>
                <w:szCs w:val="21"/>
              </w:rPr>
            </w:pP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ED41F">
            <w:pPr>
              <w:widowControl/>
              <w:spacing w:line="240" w:lineRule="auto"/>
              <w:jc w:val="left"/>
              <w:textAlignment w:val="center"/>
              <w:rPr>
                <w:rStyle w:val="77"/>
                <w:rFonts w:hint="eastAsia" w:ascii="宋体" w:hAnsi="宋体" w:eastAsia="宋体" w:cs="宋体"/>
                <w:color w:val="auto"/>
                <w:sz w:val="21"/>
                <w:szCs w:val="21"/>
                <w:lang w:bidi="ar"/>
              </w:rPr>
            </w:pPr>
            <w:r>
              <w:rPr>
                <w:rFonts w:hint="eastAsia" w:ascii="宋体" w:hAnsi="宋体" w:eastAsia="宋体" w:cs="宋体"/>
                <w:color w:val="auto"/>
                <w:kern w:val="0"/>
                <w:sz w:val="21"/>
                <w:szCs w:val="21"/>
                <w:lang w:bidi="ar"/>
              </w:rPr>
              <w:t>采用≥1000D</w:t>
            </w:r>
            <w:r>
              <w:rPr>
                <w:rStyle w:val="77"/>
                <w:rFonts w:hint="eastAsia" w:ascii="宋体" w:hAnsi="宋体" w:eastAsia="宋体" w:cs="宋体"/>
                <w:color w:val="auto"/>
                <w:sz w:val="21"/>
                <w:szCs w:val="21"/>
                <w:lang w:bidi="ar"/>
              </w:rPr>
              <w:t>尼龙面料，战术背心本体采用快拆结构，前后采用</w:t>
            </w:r>
            <w:r>
              <w:rPr>
                <w:rFonts w:hint="eastAsia" w:ascii="宋体" w:hAnsi="宋体" w:eastAsia="宋体" w:cs="宋体"/>
                <w:color w:val="auto"/>
                <w:kern w:val="0"/>
                <w:sz w:val="21"/>
                <w:szCs w:val="21"/>
                <w:lang w:bidi="ar"/>
              </w:rPr>
              <w:t>GA6</w:t>
            </w:r>
            <w:r>
              <w:rPr>
                <w:rStyle w:val="77"/>
                <w:rFonts w:hint="eastAsia" w:ascii="宋体" w:hAnsi="宋体" w:eastAsia="宋体" w:cs="宋体"/>
                <w:color w:val="auto"/>
                <w:sz w:val="21"/>
                <w:szCs w:val="21"/>
                <w:lang w:bidi="ar"/>
              </w:rPr>
              <w:t>级防护插板，护颈、护肩，护裆、肋部采用</w:t>
            </w:r>
            <w:r>
              <w:rPr>
                <w:rFonts w:hint="eastAsia" w:ascii="宋体" w:hAnsi="宋体" w:eastAsia="宋体" w:cs="宋体"/>
                <w:color w:val="auto"/>
                <w:kern w:val="0"/>
                <w:sz w:val="21"/>
                <w:szCs w:val="21"/>
                <w:lang w:bidi="ar"/>
              </w:rPr>
              <w:t>GA3</w:t>
            </w:r>
            <w:r>
              <w:rPr>
                <w:rStyle w:val="77"/>
                <w:rFonts w:hint="eastAsia" w:ascii="宋体" w:hAnsi="宋体" w:eastAsia="宋体" w:cs="宋体"/>
                <w:color w:val="auto"/>
                <w:sz w:val="21"/>
                <w:szCs w:val="21"/>
                <w:lang w:bidi="ar"/>
              </w:rPr>
              <w:t>级软质防护。</w:t>
            </w:r>
          </w:p>
          <w:p w14:paraId="710F1E92">
            <w:pPr>
              <w:widowControl/>
              <w:spacing w:line="240" w:lineRule="auto"/>
              <w:jc w:val="left"/>
              <w:textAlignment w:val="center"/>
              <w:rPr>
                <w:rStyle w:val="77"/>
                <w:rFonts w:hint="eastAsia" w:ascii="宋体" w:hAnsi="宋体" w:eastAsia="宋体" w:cs="宋体"/>
                <w:color w:val="auto"/>
                <w:sz w:val="21"/>
                <w:szCs w:val="21"/>
                <w:lang w:bidi="ar"/>
              </w:rPr>
            </w:pPr>
            <w:r>
              <w:rPr>
                <w:rStyle w:val="77"/>
                <w:rFonts w:hint="eastAsia" w:ascii="宋体" w:hAnsi="宋体" w:eastAsia="宋体" w:cs="宋体"/>
                <w:color w:val="auto"/>
                <w:sz w:val="21"/>
                <w:szCs w:val="21"/>
                <w:lang w:bidi="ar"/>
              </w:rPr>
              <w:t>▲面料要求：采用1000D 及以上高强度尼龙（锦纶）面料，具备优异的耐磨及抗撕裂性能。</w:t>
            </w:r>
          </w:p>
          <w:p w14:paraId="6A7C05D3">
            <w:pPr>
              <w:widowControl/>
              <w:spacing w:line="240" w:lineRule="auto"/>
              <w:jc w:val="left"/>
              <w:textAlignment w:val="center"/>
              <w:rPr>
                <w:rFonts w:hint="eastAsia" w:ascii="宋体" w:hAnsi="宋体" w:eastAsia="宋体" w:cs="宋体"/>
                <w:color w:val="auto"/>
                <w:sz w:val="21"/>
                <w:szCs w:val="21"/>
              </w:rPr>
            </w:pPr>
            <w:r>
              <w:rPr>
                <w:rStyle w:val="77"/>
                <w:rFonts w:hint="eastAsia" w:ascii="宋体" w:hAnsi="宋体" w:eastAsia="宋体" w:cs="宋体"/>
                <w:color w:val="auto"/>
                <w:sz w:val="21"/>
                <w:szCs w:val="21"/>
                <w:lang w:bidi="ar"/>
              </w:rPr>
              <w:t>·  内衬与舒适性：采用透气、亲肤、吸汗材质，符合人体工程学设计。</w:t>
            </w:r>
            <w:r>
              <w:rPr>
                <w:rStyle w:val="77"/>
                <w:rFonts w:hint="eastAsia" w:ascii="宋体" w:hAnsi="宋体" w:eastAsia="宋体" w:cs="宋体"/>
                <w:color w:val="auto"/>
                <w:sz w:val="21"/>
                <w:szCs w:val="21"/>
                <w:lang w:bidi="ar"/>
              </w:rPr>
              <w:br w:type="textWrapping"/>
            </w:r>
            <w:r>
              <w:rPr>
                <w:rStyle w:val="77"/>
                <w:rFonts w:hint="eastAsia" w:ascii="宋体" w:hAnsi="宋体" w:eastAsia="宋体" w:cs="宋体"/>
                <w:color w:val="auto"/>
                <w:sz w:val="21"/>
                <w:szCs w:val="21"/>
                <w:lang w:bidi="ar"/>
              </w:rPr>
              <w:t>▲织物密度： 检测标准  GB/T 4668-1995 方法 B</w:t>
            </w:r>
            <w:r>
              <w:rPr>
                <w:rStyle w:val="77"/>
                <w:rFonts w:hint="eastAsia" w:ascii="宋体" w:hAnsi="宋体" w:eastAsia="宋体" w:cs="宋体"/>
                <w:color w:val="auto"/>
                <w:sz w:val="21"/>
                <w:szCs w:val="21"/>
                <w:lang w:bidi="ar"/>
              </w:rPr>
              <w:br w:type="textWrapping"/>
            </w:r>
            <w:r>
              <w:rPr>
                <w:rStyle w:val="77"/>
                <w:rFonts w:hint="eastAsia" w:ascii="宋体" w:hAnsi="宋体" w:eastAsia="宋体" w:cs="宋体"/>
                <w:color w:val="auto"/>
                <w:sz w:val="21"/>
                <w:szCs w:val="21"/>
                <w:lang w:bidi="ar"/>
              </w:rPr>
              <w:t>检测结果：经向≥ 120 根/10cm</w:t>
            </w:r>
            <w:r>
              <w:rPr>
                <w:rStyle w:val="77"/>
                <w:rFonts w:hint="eastAsia" w:ascii="宋体" w:hAnsi="宋体" w:eastAsia="宋体" w:cs="宋体"/>
                <w:color w:val="auto"/>
                <w:sz w:val="21"/>
                <w:szCs w:val="21"/>
                <w:lang w:eastAsia="zh-CN" w:bidi="ar"/>
              </w:rPr>
              <w:t>；</w:t>
            </w:r>
            <w:r>
              <w:rPr>
                <w:rStyle w:val="77"/>
                <w:rFonts w:hint="eastAsia" w:ascii="宋体" w:hAnsi="宋体" w:eastAsia="宋体" w:cs="宋体"/>
                <w:color w:val="auto"/>
                <w:sz w:val="21"/>
                <w:szCs w:val="21"/>
                <w:lang w:bidi="ar"/>
              </w:rPr>
              <w:t>纬向≥100根/10cm</w:t>
            </w:r>
            <w:r>
              <w:rPr>
                <w:rStyle w:val="77"/>
                <w:rFonts w:hint="eastAsia" w:ascii="宋体" w:hAnsi="宋体" w:eastAsia="宋体" w:cs="宋体"/>
                <w:color w:val="auto"/>
                <w:sz w:val="21"/>
                <w:szCs w:val="21"/>
                <w:lang w:bidi="ar"/>
              </w:rPr>
              <w:br w:type="textWrapping"/>
            </w:r>
            <w:r>
              <w:rPr>
                <w:rStyle w:val="77"/>
                <w:rFonts w:hint="eastAsia" w:ascii="宋体" w:hAnsi="宋体" w:eastAsia="宋体" w:cs="宋体"/>
                <w:color w:val="auto"/>
                <w:sz w:val="21"/>
                <w:szCs w:val="21"/>
                <w:lang w:bidi="ar"/>
              </w:rPr>
              <w:t xml:space="preserve">▲耐湿摩擦色牢度(级)  检测标准 GB/T 3920-2008 </w:t>
            </w:r>
            <w:r>
              <w:rPr>
                <w:rStyle w:val="77"/>
                <w:rFonts w:hint="eastAsia" w:ascii="宋体" w:hAnsi="宋体" w:eastAsia="宋体" w:cs="宋体"/>
                <w:color w:val="auto"/>
                <w:sz w:val="21"/>
                <w:szCs w:val="21"/>
                <w:lang w:bidi="ar"/>
              </w:rPr>
              <w:br w:type="textWrapping"/>
            </w:r>
            <w:r>
              <w:rPr>
                <w:rStyle w:val="77"/>
                <w:rFonts w:hint="eastAsia" w:ascii="宋体" w:hAnsi="宋体" w:eastAsia="宋体" w:cs="宋体"/>
                <w:color w:val="auto"/>
                <w:sz w:val="21"/>
                <w:szCs w:val="21"/>
                <w:lang w:bidi="ar"/>
              </w:rPr>
              <w:t xml:space="preserve">检测结果：经向 4-5  纬向 4-5 </w:t>
            </w:r>
            <w:r>
              <w:rPr>
                <w:rStyle w:val="77"/>
                <w:rFonts w:hint="eastAsia" w:ascii="宋体" w:hAnsi="宋体" w:eastAsia="宋体" w:cs="宋体"/>
                <w:color w:val="auto"/>
                <w:sz w:val="21"/>
                <w:szCs w:val="21"/>
                <w:lang w:bidi="ar"/>
              </w:rPr>
              <w:br w:type="textWrapping"/>
            </w:r>
            <w:r>
              <w:rPr>
                <w:rStyle w:val="77"/>
                <w:rFonts w:hint="eastAsia" w:ascii="宋体" w:hAnsi="宋体" w:eastAsia="宋体" w:cs="宋体"/>
                <w:color w:val="auto"/>
                <w:sz w:val="21"/>
                <w:szCs w:val="21"/>
                <w:lang w:bidi="ar"/>
              </w:rPr>
              <w:t xml:space="preserve">▲耐干摩擦色牢度(级) 检测标准 GB/T 3920-2008 </w:t>
            </w:r>
            <w:r>
              <w:rPr>
                <w:rStyle w:val="77"/>
                <w:rFonts w:hint="eastAsia" w:ascii="宋体" w:hAnsi="宋体" w:eastAsia="宋体" w:cs="宋体"/>
                <w:color w:val="auto"/>
                <w:sz w:val="21"/>
                <w:szCs w:val="21"/>
                <w:lang w:bidi="ar"/>
              </w:rPr>
              <w:br w:type="textWrapping"/>
            </w:r>
            <w:r>
              <w:rPr>
                <w:rStyle w:val="77"/>
                <w:rFonts w:hint="eastAsia" w:ascii="宋体" w:hAnsi="宋体" w:eastAsia="宋体" w:cs="宋体"/>
                <w:color w:val="auto"/>
                <w:sz w:val="21"/>
                <w:szCs w:val="21"/>
                <w:lang w:bidi="ar"/>
              </w:rPr>
              <w:t xml:space="preserve">▲检测结果：经向 4-5    纬向 4-5 </w:t>
            </w:r>
            <w:r>
              <w:rPr>
                <w:rStyle w:val="77"/>
                <w:rFonts w:hint="eastAsia" w:ascii="宋体" w:hAnsi="宋体" w:eastAsia="宋体" w:cs="宋体"/>
                <w:color w:val="auto"/>
                <w:sz w:val="21"/>
                <w:szCs w:val="21"/>
                <w:lang w:bidi="ar"/>
              </w:rPr>
              <w:br w:type="textWrapping"/>
            </w:r>
            <w:r>
              <w:rPr>
                <w:rStyle w:val="77"/>
                <w:rFonts w:hint="eastAsia" w:ascii="宋体" w:hAnsi="宋体" w:eastAsia="宋体" w:cs="宋体"/>
                <w:color w:val="auto"/>
                <w:sz w:val="21"/>
                <w:szCs w:val="21"/>
                <w:lang w:bidi="ar"/>
              </w:rPr>
              <w:t xml:space="preserve">耐光、汗复合色牢度(级) 检测标准 GB/T 14576-2009 </w:t>
            </w:r>
            <w:r>
              <w:rPr>
                <w:rStyle w:val="77"/>
                <w:rFonts w:hint="eastAsia" w:ascii="宋体" w:hAnsi="宋体" w:eastAsia="宋体" w:cs="宋体"/>
                <w:color w:val="auto"/>
                <w:sz w:val="21"/>
                <w:szCs w:val="21"/>
                <w:lang w:bidi="ar"/>
              </w:rPr>
              <w:br w:type="textWrapping"/>
            </w:r>
            <w:r>
              <w:rPr>
                <w:rFonts w:hint="eastAsia" w:ascii="宋体" w:hAnsi="宋体" w:eastAsia="宋体" w:cs="宋体"/>
                <w:color w:val="auto"/>
                <w:kern w:val="0"/>
                <w:sz w:val="21"/>
                <w:szCs w:val="21"/>
                <w:bdr w:val="single" w:color="000000" w:sz="4" w:space="0"/>
                <w:lang w:bidi="ar"/>
              </w:rPr>
              <w:drawing>
                <wp:anchor distT="0" distB="0" distL="114300" distR="114300" simplePos="0" relativeHeight="251663360" behindDoc="0" locked="0" layoutInCell="1" allowOverlap="1">
                  <wp:simplePos x="0" y="0"/>
                  <wp:positionH relativeFrom="column">
                    <wp:posOffset>-1945005</wp:posOffset>
                  </wp:positionH>
                  <wp:positionV relativeFrom="paragraph">
                    <wp:posOffset>762635</wp:posOffset>
                  </wp:positionV>
                  <wp:extent cx="1829435" cy="2640330"/>
                  <wp:effectExtent l="0" t="0" r="18415" b="7620"/>
                  <wp:wrapNone/>
                  <wp:docPr id="317" name="图片_73"/>
                  <wp:cNvGraphicFramePr/>
                  <a:graphic xmlns:a="http://schemas.openxmlformats.org/drawingml/2006/main">
                    <a:graphicData uri="http://schemas.openxmlformats.org/drawingml/2006/picture">
                      <pic:pic xmlns:pic="http://schemas.openxmlformats.org/drawingml/2006/picture">
                        <pic:nvPicPr>
                          <pic:cNvPr id="317" name="图片_73"/>
                          <pic:cNvPicPr/>
                        </pic:nvPicPr>
                        <pic:blipFill>
                          <a:blip r:embed="rId14"/>
                          <a:stretch>
                            <a:fillRect/>
                          </a:stretch>
                        </pic:blipFill>
                        <pic:spPr>
                          <a:xfrm>
                            <a:off x="0" y="0"/>
                            <a:ext cx="1829435" cy="2640330"/>
                          </a:xfrm>
                          <a:prstGeom prst="rect">
                            <a:avLst/>
                          </a:prstGeom>
                          <a:noFill/>
                          <a:ln>
                            <a:noFill/>
                          </a:ln>
                        </pic:spPr>
                      </pic:pic>
                    </a:graphicData>
                  </a:graphic>
                </wp:anchor>
              </w:drawing>
            </w:r>
            <w:r>
              <w:rPr>
                <w:rStyle w:val="77"/>
                <w:rFonts w:hint="eastAsia" w:ascii="宋体" w:hAnsi="宋体" w:eastAsia="宋体" w:cs="宋体"/>
                <w:color w:val="auto"/>
                <w:sz w:val="21"/>
                <w:szCs w:val="21"/>
                <w:lang w:bidi="ar"/>
              </w:rPr>
              <w:t xml:space="preserve">检测结果：酸汗变色 4-5  碱汗变色 4-5 </w:t>
            </w:r>
            <w:r>
              <w:rPr>
                <w:rStyle w:val="77"/>
                <w:rFonts w:hint="eastAsia" w:ascii="宋体" w:hAnsi="宋体" w:eastAsia="宋体" w:cs="宋体"/>
                <w:color w:val="auto"/>
                <w:sz w:val="21"/>
                <w:szCs w:val="21"/>
                <w:lang w:bidi="ar"/>
              </w:rPr>
              <w:br w:type="textWrapping"/>
            </w:r>
            <w:r>
              <w:rPr>
                <w:rStyle w:val="77"/>
                <w:rFonts w:hint="eastAsia" w:ascii="宋体" w:hAnsi="宋体" w:eastAsia="宋体" w:cs="宋体"/>
                <w:color w:val="auto"/>
                <w:sz w:val="21"/>
                <w:szCs w:val="21"/>
                <w:lang w:bidi="ar"/>
              </w:rPr>
              <w:t>▲耐海水色牢度(级) 检测标准 GB/T 5714-2019</w:t>
            </w:r>
            <w:r>
              <w:rPr>
                <w:rStyle w:val="77"/>
                <w:rFonts w:hint="eastAsia" w:ascii="宋体" w:hAnsi="宋体" w:eastAsia="宋体" w:cs="宋体"/>
                <w:color w:val="auto"/>
                <w:sz w:val="21"/>
                <w:szCs w:val="21"/>
                <w:lang w:bidi="ar"/>
              </w:rPr>
              <w:br w:type="textWrapping"/>
            </w:r>
            <w:r>
              <w:rPr>
                <w:rStyle w:val="77"/>
                <w:rFonts w:hint="eastAsia" w:ascii="宋体" w:hAnsi="宋体" w:eastAsia="宋体" w:cs="宋体"/>
                <w:color w:val="auto"/>
                <w:sz w:val="21"/>
                <w:szCs w:val="21"/>
                <w:lang w:bidi="ar"/>
              </w:rPr>
              <w:t xml:space="preserve">检测结果：变色 4-5 </w:t>
            </w:r>
            <w:r>
              <w:rPr>
                <w:rStyle w:val="77"/>
                <w:rFonts w:hint="eastAsia" w:ascii="宋体" w:hAnsi="宋体" w:eastAsia="宋体" w:cs="宋体"/>
                <w:color w:val="auto"/>
                <w:sz w:val="21"/>
                <w:szCs w:val="21"/>
                <w:lang w:bidi="ar"/>
              </w:rPr>
              <w:br w:type="textWrapping"/>
            </w:r>
            <w:r>
              <w:rPr>
                <w:rStyle w:val="77"/>
                <w:rFonts w:hint="eastAsia" w:ascii="宋体" w:hAnsi="宋体" w:eastAsia="宋体" w:cs="宋体"/>
                <w:color w:val="auto"/>
                <w:sz w:val="21"/>
                <w:szCs w:val="21"/>
                <w:lang w:bidi="ar"/>
              </w:rPr>
              <w:t xml:space="preserve">起球(级)检测标准： GB/T 4802.1-2008 【压力 490cN，起毛次数：10 次，起球次数：50 次】 </w:t>
            </w:r>
            <w:r>
              <w:rPr>
                <w:rStyle w:val="77"/>
                <w:rFonts w:hint="eastAsia" w:ascii="宋体" w:hAnsi="宋体" w:eastAsia="宋体" w:cs="宋体"/>
                <w:color w:val="auto"/>
                <w:sz w:val="21"/>
                <w:szCs w:val="21"/>
                <w:lang w:bidi="ar"/>
              </w:rPr>
              <w:br w:type="textWrapping"/>
            </w:r>
            <w:r>
              <w:rPr>
                <w:rStyle w:val="77"/>
                <w:rFonts w:hint="eastAsia" w:ascii="宋体" w:hAnsi="宋体" w:eastAsia="宋体" w:cs="宋体"/>
                <w:color w:val="auto"/>
                <w:sz w:val="21"/>
                <w:szCs w:val="21"/>
                <w:lang w:bidi="ar"/>
              </w:rPr>
              <w:t>检测结果：4</w:t>
            </w:r>
            <w:r>
              <w:rPr>
                <w:rStyle w:val="77"/>
                <w:rFonts w:hint="eastAsia" w:ascii="宋体" w:hAnsi="宋体" w:eastAsia="宋体" w:cs="宋体"/>
                <w:color w:val="auto"/>
                <w:sz w:val="21"/>
                <w:szCs w:val="21"/>
                <w:lang w:bidi="ar"/>
              </w:rPr>
              <w:br w:type="textWrapping"/>
            </w:r>
            <w:r>
              <w:rPr>
                <w:rStyle w:val="77"/>
                <w:rFonts w:hint="eastAsia" w:ascii="宋体" w:hAnsi="宋体" w:eastAsia="宋体" w:cs="宋体"/>
                <w:color w:val="auto"/>
                <w:sz w:val="21"/>
                <w:szCs w:val="21"/>
                <w:lang w:bidi="ar"/>
              </w:rPr>
              <w:t>▲断裂强力(N)检测标准 GB/T 3923.1-2013</w:t>
            </w:r>
            <w:r>
              <w:rPr>
                <w:rStyle w:val="77"/>
                <w:rFonts w:hint="eastAsia" w:ascii="宋体" w:hAnsi="宋体" w:eastAsia="宋体" w:cs="宋体"/>
                <w:color w:val="auto"/>
                <w:sz w:val="21"/>
                <w:szCs w:val="21"/>
                <w:lang w:bidi="ar"/>
              </w:rPr>
              <w:br w:type="textWrapping"/>
            </w:r>
            <w:r>
              <w:rPr>
                <w:rStyle w:val="77"/>
                <w:rFonts w:hint="eastAsia" w:ascii="宋体" w:hAnsi="宋体" w:eastAsia="宋体" w:cs="宋体"/>
                <w:color w:val="auto"/>
                <w:sz w:val="21"/>
                <w:szCs w:val="21"/>
                <w:lang w:bidi="ar"/>
              </w:rPr>
              <w:t xml:space="preserve">检测结果：经向 ≥2900 </w:t>
            </w:r>
            <w:r>
              <w:rPr>
                <w:rStyle w:val="77"/>
                <w:rFonts w:hint="eastAsia" w:ascii="宋体" w:hAnsi="宋体" w:eastAsia="宋体" w:cs="宋体"/>
                <w:color w:val="auto"/>
                <w:sz w:val="21"/>
                <w:szCs w:val="21"/>
                <w:lang w:eastAsia="zh-CN" w:bidi="ar"/>
              </w:rPr>
              <w:t>；</w:t>
            </w:r>
            <w:r>
              <w:rPr>
                <w:rStyle w:val="77"/>
                <w:rFonts w:hint="eastAsia" w:ascii="宋体" w:hAnsi="宋体" w:eastAsia="宋体" w:cs="宋体"/>
                <w:color w:val="auto"/>
                <w:sz w:val="21"/>
                <w:szCs w:val="21"/>
                <w:lang w:bidi="ar"/>
              </w:rPr>
              <w:t xml:space="preserve">纬向≥ 2200  </w:t>
            </w:r>
            <w:r>
              <w:rPr>
                <w:rStyle w:val="77"/>
                <w:rFonts w:hint="eastAsia" w:ascii="宋体" w:hAnsi="宋体" w:eastAsia="宋体" w:cs="宋体"/>
                <w:color w:val="auto"/>
                <w:sz w:val="21"/>
                <w:szCs w:val="21"/>
                <w:lang w:bidi="ar"/>
              </w:rPr>
              <w:br w:type="textWrapping"/>
            </w:r>
            <w:r>
              <w:rPr>
                <w:rStyle w:val="77"/>
                <w:rFonts w:hint="eastAsia" w:ascii="宋体" w:hAnsi="宋体" w:eastAsia="宋体" w:cs="宋体"/>
                <w:color w:val="auto"/>
                <w:sz w:val="21"/>
                <w:szCs w:val="21"/>
                <w:lang w:bidi="ar"/>
              </w:rPr>
              <w:t xml:space="preserve">▲撕破强力(N) 检测标准 GB/T 3917.2-2009 </w:t>
            </w:r>
            <w:r>
              <w:rPr>
                <w:rStyle w:val="77"/>
                <w:rFonts w:hint="eastAsia" w:ascii="宋体" w:hAnsi="宋体" w:eastAsia="宋体" w:cs="宋体"/>
                <w:color w:val="auto"/>
                <w:sz w:val="21"/>
                <w:szCs w:val="21"/>
                <w:lang w:bidi="ar"/>
              </w:rPr>
              <w:br w:type="textWrapping"/>
            </w:r>
            <w:r>
              <w:rPr>
                <w:rStyle w:val="77"/>
                <w:rFonts w:hint="eastAsia" w:ascii="宋体" w:hAnsi="宋体" w:eastAsia="宋体" w:cs="宋体"/>
                <w:color w:val="auto"/>
                <w:sz w:val="21"/>
                <w:szCs w:val="21"/>
                <w:lang w:bidi="ar"/>
              </w:rPr>
              <w:t>检测结果：经向  1.7×10² ±0.2</w:t>
            </w:r>
            <w:r>
              <w:rPr>
                <w:rStyle w:val="77"/>
                <w:rFonts w:hint="eastAsia" w:ascii="宋体" w:hAnsi="宋体" w:eastAsia="宋体" w:cs="宋体"/>
                <w:color w:val="auto"/>
                <w:sz w:val="21"/>
                <w:szCs w:val="21"/>
                <w:lang w:eastAsia="zh-CN" w:bidi="ar"/>
              </w:rPr>
              <w:t>；</w:t>
            </w:r>
            <w:r>
              <w:rPr>
                <w:rStyle w:val="77"/>
                <w:rFonts w:hint="eastAsia" w:ascii="宋体" w:hAnsi="宋体" w:eastAsia="宋体" w:cs="宋体"/>
                <w:color w:val="auto"/>
                <w:sz w:val="21"/>
                <w:szCs w:val="21"/>
                <w:lang w:bidi="ar"/>
              </w:rPr>
              <w:t>纬向 1.4×10²  ±0.2</w:t>
            </w:r>
            <w:r>
              <w:rPr>
                <w:rStyle w:val="77"/>
                <w:rFonts w:hint="eastAsia" w:ascii="宋体" w:hAnsi="宋体" w:eastAsia="宋体" w:cs="宋体"/>
                <w:color w:val="auto"/>
                <w:sz w:val="21"/>
                <w:szCs w:val="21"/>
                <w:lang w:bidi="ar"/>
              </w:rPr>
              <w:br w:type="textWrapping"/>
            </w:r>
            <w:r>
              <w:rPr>
                <w:rStyle w:val="77"/>
                <w:rFonts w:hint="eastAsia" w:ascii="宋体" w:hAnsi="宋体" w:eastAsia="宋体" w:cs="宋体"/>
                <w:color w:val="auto"/>
                <w:sz w:val="21"/>
                <w:szCs w:val="21"/>
                <w:lang w:bidi="ar"/>
              </w:rPr>
              <w:t xml:space="preserve">▲缝子纰裂程度(cm) 检测标准‘ GB/T 21294-2014 条款  9.2.1 【负荷：100N】 </w:t>
            </w:r>
            <w:r>
              <w:rPr>
                <w:rStyle w:val="77"/>
                <w:rFonts w:hint="eastAsia" w:ascii="宋体" w:hAnsi="宋体" w:eastAsia="宋体" w:cs="宋体"/>
                <w:color w:val="auto"/>
                <w:sz w:val="21"/>
                <w:szCs w:val="21"/>
                <w:lang w:bidi="ar"/>
              </w:rPr>
              <w:br w:type="textWrapping"/>
            </w:r>
            <w:r>
              <w:rPr>
                <w:rStyle w:val="77"/>
                <w:rFonts w:hint="eastAsia" w:ascii="宋体" w:hAnsi="宋体" w:eastAsia="宋体" w:cs="宋体"/>
                <w:color w:val="auto"/>
                <w:sz w:val="21"/>
                <w:szCs w:val="21"/>
                <w:lang w:bidi="ar"/>
              </w:rPr>
              <w:t>检测结果：纬纱滑移  0.2 ±0.05</w:t>
            </w:r>
            <w:r>
              <w:rPr>
                <w:rStyle w:val="77"/>
                <w:rFonts w:hint="eastAsia" w:ascii="宋体" w:hAnsi="宋体" w:eastAsia="宋体" w:cs="宋体"/>
                <w:color w:val="auto"/>
                <w:sz w:val="21"/>
                <w:szCs w:val="21"/>
                <w:lang w:eastAsia="zh-CN" w:bidi="ar"/>
              </w:rPr>
              <w:t>；</w:t>
            </w:r>
            <w:r>
              <w:rPr>
                <w:rStyle w:val="77"/>
                <w:rFonts w:hint="eastAsia" w:ascii="宋体" w:hAnsi="宋体" w:eastAsia="宋体" w:cs="宋体"/>
                <w:color w:val="auto"/>
                <w:sz w:val="21"/>
                <w:szCs w:val="21"/>
                <w:lang w:bidi="ar"/>
              </w:rPr>
              <w:t>经纱滑移  0.2 ±0.05</w:t>
            </w:r>
            <w:r>
              <w:rPr>
                <w:rStyle w:val="77"/>
                <w:rFonts w:hint="eastAsia" w:ascii="宋体" w:hAnsi="宋体" w:eastAsia="宋体" w:cs="宋体"/>
                <w:color w:val="auto"/>
                <w:sz w:val="21"/>
                <w:szCs w:val="21"/>
                <w:lang w:bidi="ar"/>
              </w:rPr>
              <w:br w:type="textWrapping"/>
            </w:r>
            <w:r>
              <w:rPr>
                <w:rStyle w:val="77"/>
                <w:rFonts w:hint="eastAsia" w:ascii="宋体" w:hAnsi="宋体" w:eastAsia="宋体" w:cs="宋体"/>
                <w:color w:val="auto"/>
                <w:sz w:val="21"/>
                <w:szCs w:val="21"/>
                <w:lang w:bidi="ar"/>
              </w:rPr>
              <w:t>耐磨性能(纺织面)(次) 检测标准 检测标准 GB/T 21196.2-2007</w:t>
            </w:r>
            <w:r>
              <w:rPr>
                <w:rStyle w:val="77"/>
                <w:rFonts w:hint="eastAsia" w:ascii="宋体" w:hAnsi="宋体" w:eastAsia="宋体" w:cs="宋体"/>
                <w:color w:val="auto"/>
                <w:sz w:val="21"/>
                <w:szCs w:val="21"/>
                <w:lang w:bidi="ar"/>
              </w:rPr>
              <w:br w:type="textWrapping"/>
            </w:r>
            <w:r>
              <w:rPr>
                <w:rStyle w:val="77"/>
                <w:rFonts w:hint="eastAsia" w:ascii="宋体" w:hAnsi="宋体" w:eastAsia="宋体" w:cs="宋体"/>
                <w:color w:val="auto"/>
                <w:sz w:val="21"/>
                <w:szCs w:val="21"/>
                <w:lang w:bidi="ar"/>
              </w:rPr>
              <w:t>检测结果：&gt;20000</w:t>
            </w:r>
            <w:r>
              <w:rPr>
                <w:rStyle w:val="77"/>
                <w:rFonts w:hint="eastAsia" w:ascii="宋体" w:hAnsi="宋体" w:eastAsia="宋体" w:cs="宋体"/>
                <w:color w:val="auto"/>
                <w:sz w:val="21"/>
                <w:szCs w:val="21"/>
                <w:lang w:bidi="ar"/>
              </w:rPr>
              <w:br w:type="textWrapping"/>
            </w:r>
            <w:r>
              <w:rPr>
                <w:rStyle w:val="77"/>
                <w:rFonts w:hint="eastAsia" w:ascii="宋体" w:hAnsi="宋体" w:eastAsia="宋体" w:cs="宋体"/>
                <w:color w:val="auto"/>
                <w:sz w:val="21"/>
                <w:szCs w:val="21"/>
                <w:lang w:bidi="ar"/>
              </w:rPr>
              <w:t>▲透气率(mm/s)检测标准 GB/T 5453-1997 【压降 100Pa，试验面积 20cm²】</w:t>
            </w:r>
            <w:r>
              <w:rPr>
                <w:rStyle w:val="77"/>
                <w:rFonts w:hint="eastAsia" w:ascii="宋体" w:hAnsi="宋体" w:eastAsia="宋体" w:cs="宋体"/>
                <w:color w:val="auto"/>
                <w:sz w:val="21"/>
                <w:szCs w:val="21"/>
                <w:lang w:bidi="ar"/>
              </w:rPr>
              <w:br w:type="textWrapping"/>
            </w:r>
            <w:r>
              <w:rPr>
                <w:rStyle w:val="77"/>
                <w:rFonts w:hint="eastAsia" w:ascii="宋体" w:hAnsi="宋体" w:eastAsia="宋体" w:cs="宋体"/>
                <w:color w:val="auto"/>
                <w:sz w:val="21"/>
                <w:szCs w:val="21"/>
                <w:lang w:bidi="ar"/>
              </w:rPr>
              <w:t xml:space="preserve">检测结果：≥0.6 </w:t>
            </w:r>
            <w:r>
              <w:rPr>
                <w:rStyle w:val="77"/>
                <w:rFonts w:hint="eastAsia" w:ascii="宋体" w:hAnsi="宋体" w:eastAsia="宋体" w:cs="宋体"/>
                <w:color w:val="auto"/>
                <w:sz w:val="21"/>
                <w:szCs w:val="21"/>
                <w:lang w:bidi="ar"/>
              </w:rPr>
              <w:br w:type="textWrapping"/>
            </w:r>
            <w:r>
              <w:rPr>
                <w:rStyle w:val="77"/>
                <w:rFonts w:hint="eastAsia" w:ascii="宋体" w:hAnsi="宋体" w:eastAsia="宋体" w:cs="宋体"/>
                <w:color w:val="auto"/>
                <w:sz w:val="21"/>
                <w:szCs w:val="21"/>
                <w:lang w:bidi="ar"/>
              </w:rPr>
              <w:t xml:space="preserve">▲燃烧性能 检测标准 GB/T 14644-2014， GB/T8629-2017【4N，平铺晾干，1 次】 </w:t>
            </w:r>
            <w:r>
              <w:rPr>
                <w:rStyle w:val="77"/>
                <w:rFonts w:hint="eastAsia" w:ascii="宋体" w:hAnsi="宋体" w:eastAsia="宋体" w:cs="宋体"/>
                <w:color w:val="auto"/>
                <w:sz w:val="21"/>
                <w:szCs w:val="21"/>
                <w:lang w:bidi="ar"/>
              </w:rPr>
              <w:br w:type="textWrapping"/>
            </w:r>
            <w:r>
              <w:rPr>
                <w:rStyle w:val="77"/>
                <w:rFonts w:hint="eastAsia" w:ascii="宋体" w:hAnsi="宋体" w:eastAsia="宋体" w:cs="宋体"/>
                <w:color w:val="auto"/>
                <w:sz w:val="21"/>
                <w:szCs w:val="21"/>
                <w:lang w:bidi="ar"/>
              </w:rPr>
              <w:t xml:space="preserve">检测结果：1 级（正常可燃性） </w:t>
            </w:r>
            <w:r>
              <w:rPr>
                <w:rStyle w:val="77"/>
                <w:rFonts w:hint="eastAsia" w:ascii="宋体" w:hAnsi="宋体" w:eastAsia="宋体" w:cs="宋体"/>
                <w:color w:val="auto"/>
                <w:sz w:val="21"/>
                <w:szCs w:val="21"/>
                <w:lang w:bidi="ar"/>
              </w:rPr>
              <w:br w:type="textWrapping"/>
            </w:r>
            <w:r>
              <w:rPr>
                <w:rStyle w:val="77"/>
                <w:rFonts w:hint="eastAsia" w:ascii="宋体" w:hAnsi="宋体" w:eastAsia="宋体" w:cs="宋体"/>
                <w:color w:val="auto"/>
                <w:sz w:val="21"/>
                <w:szCs w:val="21"/>
                <w:lang w:bidi="ar"/>
              </w:rPr>
              <w:t xml:space="preserve">▲点对点电阻(洗前)(Ω )检测标准 GB 12014-2019 附录 A </w:t>
            </w:r>
            <w:r>
              <w:rPr>
                <w:rStyle w:val="77"/>
                <w:rFonts w:hint="eastAsia" w:ascii="宋体" w:hAnsi="宋体" w:eastAsia="宋体" w:cs="宋体"/>
                <w:color w:val="auto"/>
                <w:sz w:val="21"/>
                <w:szCs w:val="21"/>
                <w:lang w:bidi="ar"/>
              </w:rPr>
              <w:br w:type="textWrapping"/>
            </w:r>
            <w:r>
              <w:rPr>
                <w:rStyle w:val="77"/>
                <w:rFonts w:hint="eastAsia" w:ascii="宋体" w:hAnsi="宋体" w:eastAsia="宋体" w:cs="宋体"/>
                <w:color w:val="auto"/>
                <w:sz w:val="21"/>
                <w:szCs w:val="21"/>
                <w:lang w:bidi="ar"/>
              </w:rPr>
              <w:t>检测结果：&gt;1×10¹</w:t>
            </w:r>
            <w:r>
              <w:rPr>
                <w:rFonts w:hint="eastAsia" w:ascii="宋体" w:hAnsi="宋体" w:eastAsia="宋体" w:cs="宋体"/>
                <w:color w:val="auto"/>
                <w:kern w:val="0"/>
                <w:sz w:val="21"/>
                <w:szCs w:val="21"/>
                <w:lang w:bidi="ar"/>
              </w:rPr>
              <w:t>⁴</w:t>
            </w:r>
            <w:r>
              <w:rPr>
                <w:rStyle w:val="77"/>
                <w:rFonts w:hint="eastAsia" w:ascii="宋体" w:hAnsi="宋体" w:eastAsia="宋体" w:cs="宋体"/>
                <w:color w:val="auto"/>
                <w:sz w:val="21"/>
                <w:szCs w:val="21"/>
                <w:lang w:bidi="ar"/>
              </w:rPr>
              <w:t xml:space="preserve"> </w:t>
            </w:r>
            <w:r>
              <w:rPr>
                <w:rStyle w:val="77"/>
                <w:rFonts w:hint="eastAsia" w:ascii="宋体" w:hAnsi="宋体" w:eastAsia="宋体" w:cs="宋体"/>
                <w:color w:val="auto"/>
                <w:sz w:val="21"/>
                <w:szCs w:val="21"/>
                <w:lang w:bidi="ar"/>
              </w:rPr>
              <w:br w:type="textWrapping"/>
            </w:r>
            <w:r>
              <w:rPr>
                <w:rStyle w:val="77"/>
                <w:rFonts w:hint="eastAsia" w:ascii="宋体" w:hAnsi="宋体" w:eastAsia="宋体" w:cs="宋体"/>
                <w:color w:val="auto"/>
                <w:sz w:val="21"/>
                <w:szCs w:val="21"/>
                <w:lang w:bidi="ar"/>
              </w:rPr>
              <w:t xml:space="preserve">甲醛含量(mg/kg) 检测标准 GB/T 2912.1-2009 </w:t>
            </w:r>
            <w:r>
              <w:rPr>
                <w:rStyle w:val="77"/>
                <w:rFonts w:hint="eastAsia" w:ascii="宋体" w:hAnsi="宋体" w:eastAsia="宋体" w:cs="宋体"/>
                <w:color w:val="auto"/>
                <w:sz w:val="21"/>
                <w:szCs w:val="21"/>
                <w:lang w:bidi="ar"/>
              </w:rPr>
              <w:br w:type="textWrapping"/>
            </w:r>
            <w:r>
              <w:rPr>
                <w:rStyle w:val="77"/>
                <w:rFonts w:hint="eastAsia" w:ascii="宋体" w:hAnsi="宋体" w:eastAsia="宋体" w:cs="宋体"/>
                <w:color w:val="auto"/>
                <w:sz w:val="21"/>
                <w:szCs w:val="21"/>
                <w:lang w:bidi="ar"/>
              </w:rPr>
              <w:t>检测结果 ：未检出</w:t>
            </w:r>
            <w:r>
              <w:rPr>
                <w:rStyle w:val="77"/>
                <w:rFonts w:hint="eastAsia" w:ascii="宋体" w:hAnsi="宋体" w:eastAsia="宋体" w:cs="宋体"/>
                <w:color w:val="auto"/>
                <w:sz w:val="21"/>
                <w:szCs w:val="21"/>
                <w:lang w:bidi="ar"/>
              </w:rPr>
              <w:br w:type="textWrapping"/>
            </w:r>
            <w:r>
              <w:rPr>
                <w:rStyle w:val="77"/>
                <w:rFonts w:hint="eastAsia" w:ascii="宋体" w:hAnsi="宋体" w:eastAsia="宋体" w:cs="宋体"/>
                <w:color w:val="auto"/>
                <w:sz w:val="21"/>
                <w:szCs w:val="21"/>
                <w:lang w:bidi="ar"/>
              </w:rPr>
              <w:t xml:space="preserve">pH 值 GB/T 7573-2009【萃取液：0.1mol/L KCl 溶液，萃取液温度：26℃】 </w:t>
            </w:r>
            <w:r>
              <w:rPr>
                <w:rStyle w:val="77"/>
                <w:rFonts w:hint="eastAsia" w:ascii="宋体" w:hAnsi="宋体" w:eastAsia="宋体" w:cs="宋体"/>
                <w:color w:val="auto"/>
                <w:sz w:val="21"/>
                <w:szCs w:val="21"/>
                <w:lang w:bidi="ar"/>
              </w:rPr>
              <w:br w:type="textWrapping"/>
            </w:r>
            <w:r>
              <w:rPr>
                <w:rStyle w:val="77"/>
                <w:rFonts w:hint="eastAsia" w:ascii="宋体" w:hAnsi="宋体" w:eastAsia="宋体" w:cs="宋体"/>
                <w:color w:val="auto"/>
                <w:sz w:val="21"/>
                <w:szCs w:val="21"/>
                <w:lang w:bidi="ar"/>
              </w:rPr>
              <w:t xml:space="preserve">检测结果：6.2 </w:t>
            </w:r>
            <w:r>
              <w:rPr>
                <w:rStyle w:val="77"/>
                <w:rFonts w:hint="eastAsia" w:ascii="宋体" w:hAnsi="宋体" w:eastAsia="宋体" w:cs="宋体"/>
                <w:color w:val="auto"/>
                <w:sz w:val="21"/>
                <w:szCs w:val="21"/>
                <w:lang w:bidi="ar"/>
              </w:rPr>
              <w:br w:type="textWrapping"/>
            </w:r>
            <w:r>
              <w:rPr>
                <w:rStyle w:val="77"/>
                <w:rFonts w:hint="eastAsia" w:ascii="宋体" w:hAnsi="宋体" w:eastAsia="宋体" w:cs="宋体"/>
                <w:color w:val="auto"/>
                <w:sz w:val="21"/>
                <w:szCs w:val="21"/>
                <w:lang w:bidi="ar"/>
              </w:rPr>
              <w:t>▲快拆扣具硬度 ≥80HD</w:t>
            </w:r>
            <w:r>
              <w:rPr>
                <w:rStyle w:val="77"/>
                <w:rFonts w:hint="eastAsia" w:ascii="宋体" w:hAnsi="宋体" w:eastAsia="宋体" w:cs="宋体"/>
                <w:color w:val="auto"/>
                <w:sz w:val="21"/>
                <w:szCs w:val="21"/>
                <w:lang w:bidi="ar"/>
              </w:rPr>
              <w:br w:type="textWrapping"/>
            </w:r>
            <w:r>
              <w:rPr>
                <w:rStyle w:val="77"/>
                <w:rFonts w:hint="eastAsia" w:ascii="宋体" w:hAnsi="宋体" w:eastAsia="宋体" w:cs="宋体"/>
                <w:color w:val="auto"/>
                <w:sz w:val="21"/>
                <w:szCs w:val="21"/>
                <w:lang w:bidi="ar"/>
              </w:rPr>
              <w:t>▲快拆扣具拉力≥1500N</w:t>
            </w:r>
          </w:p>
        </w:tc>
      </w:tr>
    </w:tbl>
    <w:p w14:paraId="1ABF06F3">
      <w:pPr>
        <w:pStyle w:val="39"/>
        <w:keepNext w:val="0"/>
        <w:keepLines w:val="0"/>
        <w:pageBreakBefore w:val="0"/>
        <w:widowControl w:val="0"/>
        <w:kinsoku/>
        <w:wordWrap w:val="0"/>
        <w:overflowPunct/>
        <w:topLinePunct w:val="0"/>
        <w:autoSpaceDE/>
        <w:autoSpaceDN/>
        <w:bidi w:val="0"/>
        <w:adjustRightInd/>
        <w:snapToGrid/>
        <w:spacing w:before="157" w:beforeLines="50" w:after="157" w:afterLines="50"/>
        <w:ind w:firstLine="482"/>
        <w:textAlignment w:val="auto"/>
        <w:rPr>
          <w:rFonts w:hint="eastAsia"/>
          <w:b/>
          <w:bCs/>
          <w:snapToGrid w:val="0"/>
          <w:color w:val="auto"/>
          <w:sz w:val="30"/>
          <w:szCs w:val="30"/>
          <w:highlight w:val="none"/>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251"/>
    <w:bookmarkEnd w:id="252"/>
    <w:bookmarkEnd w:id="253"/>
    <w:tbl>
      <w:tblPr>
        <w:tblStyle w:val="30"/>
        <w:tblW w:w="5099" w:type="pct"/>
        <w:tblInd w:w="-287" w:type="dxa"/>
        <w:tblLayout w:type="fixed"/>
        <w:tblCellMar>
          <w:top w:w="0" w:type="dxa"/>
          <w:left w:w="108" w:type="dxa"/>
          <w:bottom w:w="0" w:type="dxa"/>
          <w:right w:w="108" w:type="dxa"/>
        </w:tblCellMar>
      </w:tblPr>
      <w:tblGrid>
        <w:gridCol w:w="781"/>
        <w:gridCol w:w="1705"/>
        <w:gridCol w:w="682"/>
        <w:gridCol w:w="688"/>
        <w:gridCol w:w="3076"/>
        <w:gridCol w:w="7523"/>
      </w:tblGrid>
      <w:tr w14:paraId="57E4C576">
        <w:tblPrEx>
          <w:tblCellMar>
            <w:top w:w="0" w:type="dxa"/>
            <w:left w:w="108" w:type="dxa"/>
            <w:bottom w:w="0" w:type="dxa"/>
            <w:right w:w="108" w:type="dxa"/>
          </w:tblCellMar>
        </w:tblPrEx>
        <w:trPr>
          <w:trHeight w:val="473"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noWrap/>
            <w:vAlign w:val="center"/>
          </w:tcPr>
          <w:p w14:paraId="4763C303">
            <w:pPr>
              <w:widowControl/>
              <w:spacing w:line="240" w:lineRule="auto"/>
              <w:jc w:val="center"/>
              <w:textAlignment w:val="center"/>
              <w:rPr>
                <w:rFonts w:hint="eastAsia" w:ascii="宋体" w:hAnsi="宋体" w:eastAsia="宋体" w:cs="宋体"/>
                <w:b/>
                <w:bCs/>
                <w:color w:val="auto"/>
                <w:sz w:val="21"/>
                <w:szCs w:val="21"/>
                <w:highlight w:val="none"/>
                <w:lang w:eastAsia="zh-CN"/>
              </w:rPr>
            </w:pPr>
            <w:bookmarkStart w:id="254" w:name="_Toc163492892"/>
            <w:bookmarkStart w:id="255" w:name="_Toc155185895"/>
            <w:bookmarkStart w:id="256" w:name="_Toc12252"/>
            <w:r>
              <w:rPr>
                <w:rFonts w:hint="eastAsia" w:ascii="宋体" w:hAnsi="宋体" w:eastAsia="宋体" w:cs="宋体"/>
                <w:b/>
                <w:bCs/>
                <w:color w:val="auto"/>
                <w:kern w:val="0"/>
                <w:sz w:val="21"/>
                <w:szCs w:val="21"/>
                <w:highlight w:val="none"/>
                <w:lang w:bidi="ar"/>
              </w:rPr>
              <w:t>标段2：</w:t>
            </w:r>
            <w:r>
              <w:rPr>
                <w:rFonts w:hint="eastAsia" w:ascii="宋体" w:hAnsi="宋体" w:eastAsia="宋体" w:cs="宋体"/>
                <w:b/>
                <w:bCs/>
                <w:color w:val="auto"/>
                <w:kern w:val="0"/>
                <w:sz w:val="21"/>
                <w:szCs w:val="21"/>
                <w:highlight w:val="none"/>
                <w:lang w:val="en-US" w:eastAsia="zh-CN" w:bidi="ar"/>
              </w:rPr>
              <w:t>防护用具类二（</w:t>
            </w:r>
            <w:r>
              <w:rPr>
                <w:rFonts w:hint="eastAsia" w:ascii="宋体" w:hAnsi="宋体" w:eastAsia="宋体" w:cs="宋体"/>
                <w:b/>
                <w:bCs/>
                <w:color w:val="auto"/>
                <w:kern w:val="0"/>
                <w:sz w:val="21"/>
                <w:szCs w:val="21"/>
                <w:highlight w:val="none"/>
                <w:lang w:bidi="ar"/>
              </w:rPr>
              <w:t>预算170万元</w:t>
            </w:r>
            <w:r>
              <w:rPr>
                <w:rFonts w:hint="eastAsia" w:ascii="宋体" w:hAnsi="宋体" w:eastAsia="宋体" w:cs="宋体"/>
                <w:b/>
                <w:bCs/>
                <w:color w:val="auto"/>
                <w:kern w:val="0"/>
                <w:sz w:val="21"/>
                <w:szCs w:val="21"/>
                <w:highlight w:val="none"/>
                <w:lang w:eastAsia="zh-CN" w:bidi="ar"/>
              </w:rPr>
              <w:t>）</w:t>
            </w:r>
          </w:p>
        </w:tc>
      </w:tr>
      <w:tr w14:paraId="22E626F4">
        <w:tblPrEx>
          <w:tblCellMar>
            <w:top w:w="0" w:type="dxa"/>
            <w:left w:w="108" w:type="dxa"/>
            <w:bottom w:w="0" w:type="dxa"/>
            <w:right w:w="108" w:type="dxa"/>
          </w:tblCellMar>
        </w:tblPrEx>
        <w:trPr>
          <w:trHeight w:val="300" w:hRule="atLeast"/>
        </w:trPr>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C333B67">
            <w:pPr>
              <w:widowControl/>
              <w:spacing w:line="240" w:lineRule="auto"/>
              <w:jc w:val="left"/>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序号</w:t>
            </w:r>
          </w:p>
        </w:tc>
        <w:tc>
          <w:tcPr>
            <w:tcW w:w="590" w:type="pct"/>
            <w:tcBorders>
              <w:top w:val="single" w:color="auto" w:sz="4" w:space="0"/>
              <w:left w:val="single" w:color="auto" w:sz="4" w:space="0"/>
              <w:bottom w:val="single" w:color="auto" w:sz="4" w:space="0"/>
              <w:right w:val="single" w:color="auto" w:sz="4" w:space="0"/>
            </w:tcBorders>
            <w:shd w:val="clear" w:color="auto" w:fill="auto"/>
            <w:vAlign w:val="center"/>
          </w:tcPr>
          <w:p w14:paraId="7AD80DEB">
            <w:pPr>
              <w:widowControl/>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项目建设明细</w:t>
            </w:r>
          </w:p>
        </w:tc>
        <w:tc>
          <w:tcPr>
            <w:tcW w:w="236" w:type="pct"/>
            <w:tcBorders>
              <w:top w:val="single" w:color="auto" w:sz="4" w:space="0"/>
              <w:left w:val="single" w:color="auto" w:sz="4" w:space="0"/>
              <w:bottom w:val="single" w:color="auto" w:sz="4" w:space="0"/>
              <w:right w:val="single" w:color="auto" w:sz="4" w:space="0"/>
            </w:tcBorders>
            <w:shd w:val="clear" w:color="auto" w:fill="auto"/>
            <w:vAlign w:val="center"/>
          </w:tcPr>
          <w:p w14:paraId="1130348A">
            <w:pPr>
              <w:widowControl/>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数量</w:t>
            </w:r>
          </w:p>
        </w:tc>
        <w:tc>
          <w:tcPr>
            <w:tcW w:w="23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3756574">
            <w:pPr>
              <w:widowControl/>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单位</w:t>
            </w:r>
          </w:p>
        </w:tc>
        <w:tc>
          <w:tcPr>
            <w:tcW w:w="1064"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0D2879A">
            <w:pPr>
              <w:widowControl/>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图片（仅供参考）</w:t>
            </w:r>
          </w:p>
        </w:tc>
        <w:tc>
          <w:tcPr>
            <w:tcW w:w="2599"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936A796">
            <w:pPr>
              <w:widowControl/>
              <w:spacing w:line="240" w:lineRule="auto"/>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性能参数</w:t>
            </w:r>
          </w:p>
        </w:tc>
      </w:tr>
      <w:tr w14:paraId="5A1C5E9B">
        <w:tblPrEx>
          <w:tblCellMar>
            <w:top w:w="0" w:type="dxa"/>
            <w:left w:w="108" w:type="dxa"/>
            <w:bottom w:w="0" w:type="dxa"/>
            <w:right w:w="108" w:type="dxa"/>
          </w:tblCellMar>
        </w:tblPrEx>
        <w:trPr>
          <w:trHeight w:val="1318" w:hRule="atLeast"/>
        </w:trPr>
        <w:tc>
          <w:tcPr>
            <w:tcW w:w="270"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0A8CEFD2">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p>
        </w:tc>
        <w:tc>
          <w:tcPr>
            <w:tcW w:w="590" w:type="pct"/>
            <w:tcBorders>
              <w:top w:val="single" w:color="auto" w:sz="4" w:space="0"/>
              <w:left w:val="single" w:color="000000" w:sz="4" w:space="0"/>
              <w:bottom w:val="single" w:color="000000" w:sz="4" w:space="0"/>
              <w:right w:val="single" w:color="000000" w:sz="4" w:space="0"/>
            </w:tcBorders>
            <w:shd w:val="clear" w:color="auto" w:fill="auto"/>
            <w:vAlign w:val="center"/>
          </w:tcPr>
          <w:p w14:paraId="26C235F8">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战术3级防弹盾牌（含盾牌灯+垂挂板）</w:t>
            </w:r>
          </w:p>
        </w:tc>
        <w:tc>
          <w:tcPr>
            <w:tcW w:w="236" w:type="pct"/>
            <w:tcBorders>
              <w:top w:val="single" w:color="auto" w:sz="4" w:space="0"/>
              <w:left w:val="single" w:color="000000" w:sz="4" w:space="0"/>
              <w:bottom w:val="single" w:color="000000" w:sz="4" w:space="0"/>
              <w:right w:val="single" w:color="000000" w:sz="4" w:space="0"/>
            </w:tcBorders>
            <w:shd w:val="clear" w:color="auto" w:fill="auto"/>
            <w:vAlign w:val="center"/>
          </w:tcPr>
          <w:p w14:paraId="39935838">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w:t>
            </w:r>
          </w:p>
        </w:tc>
        <w:tc>
          <w:tcPr>
            <w:tcW w:w="238" w:type="pct"/>
            <w:tcBorders>
              <w:top w:val="single" w:color="auto" w:sz="4" w:space="0"/>
              <w:left w:val="single" w:color="000000" w:sz="4" w:space="0"/>
              <w:bottom w:val="single" w:color="000000" w:sz="4" w:space="0"/>
              <w:right w:val="single" w:color="000000" w:sz="4" w:space="0"/>
            </w:tcBorders>
            <w:shd w:val="clear" w:color="auto" w:fill="auto"/>
            <w:vAlign w:val="center"/>
          </w:tcPr>
          <w:p w14:paraId="7A908D77">
            <w:pPr>
              <w:widowControl/>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套</w:t>
            </w:r>
          </w:p>
        </w:tc>
        <w:tc>
          <w:tcPr>
            <w:tcW w:w="1064" w:type="pct"/>
            <w:tcBorders>
              <w:top w:val="single" w:color="auto" w:sz="4" w:space="0"/>
              <w:left w:val="single" w:color="000000" w:sz="4" w:space="0"/>
              <w:bottom w:val="single" w:color="000000" w:sz="4" w:space="0"/>
              <w:right w:val="single" w:color="000000" w:sz="4" w:space="0"/>
            </w:tcBorders>
            <w:shd w:val="clear" w:color="auto" w:fill="auto"/>
            <w:noWrap/>
            <w:vAlign w:val="center"/>
          </w:tcPr>
          <w:p w14:paraId="20A62FD1">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bdr w:val="single" w:color="000000" w:sz="4" w:space="0"/>
                <w:lang w:bidi="ar"/>
              </w:rPr>
              <w:drawing>
                <wp:anchor distT="0" distB="0" distL="114300" distR="114300" simplePos="0" relativeHeight="251664384" behindDoc="0" locked="0" layoutInCell="1" allowOverlap="1">
                  <wp:simplePos x="0" y="0"/>
                  <wp:positionH relativeFrom="column">
                    <wp:posOffset>416560</wp:posOffset>
                  </wp:positionH>
                  <wp:positionV relativeFrom="paragraph">
                    <wp:posOffset>229235</wp:posOffset>
                  </wp:positionV>
                  <wp:extent cx="1003300" cy="1472565"/>
                  <wp:effectExtent l="0" t="0" r="6350" b="13335"/>
                  <wp:wrapNone/>
                  <wp:docPr id="311" name="图片_55"/>
                  <wp:cNvGraphicFramePr/>
                  <a:graphic xmlns:a="http://schemas.openxmlformats.org/drawingml/2006/main">
                    <a:graphicData uri="http://schemas.openxmlformats.org/drawingml/2006/picture">
                      <pic:pic xmlns:pic="http://schemas.openxmlformats.org/drawingml/2006/picture">
                        <pic:nvPicPr>
                          <pic:cNvPr id="311" name="图片_55"/>
                          <pic:cNvPicPr/>
                        </pic:nvPicPr>
                        <pic:blipFill>
                          <a:blip r:embed="rId15"/>
                          <a:stretch>
                            <a:fillRect/>
                          </a:stretch>
                        </pic:blipFill>
                        <pic:spPr>
                          <a:xfrm>
                            <a:off x="0" y="0"/>
                            <a:ext cx="1003300" cy="1472565"/>
                          </a:xfrm>
                          <a:prstGeom prst="rect">
                            <a:avLst/>
                          </a:prstGeom>
                          <a:noFill/>
                          <a:ln>
                            <a:noFill/>
                          </a:ln>
                        </pic:spPr>
                      </pic:pic>
                    </a:graphicData>
                  </a:graphic>
                </wp:anchor>
              </w:drawing>
            </w:r>
          </w:p>
        </w:tc>
        <w:tc>
          <w:tcPr>
            <w:tcW w:w="2599" w:type="pct"/>
            <w:tcBorders>
              <w:top w:val="single" w:color="auto" w:sz="4" w:space="0"/>
              <w:left w:val="single" w:color="000000" w:sz="4" w:space="0"/>
              <w:bottom w:val="single" w:color="000000" w:sz="4" w:space="0"/>
              <w:right w:val="single" w:color="000000" w:sz="4" w:space="0"/>
            </w:tcBorders>
            <w:shd w:val="clear" w:color="auto" w:fill="auto"/>
            <w:vAlign w:val="center"/>
          </w:tcPr>
          <w:p w14:paraId="41AE3757">
            <w:pPr>
              <w:widowControl/>
              <w:spacing w:line="240" w:lineRule="auto"/>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1.材料： PE超高分子聚乙烯</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2.颜色：黑色</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3.防护级别：GA-3</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4.执行标准：《GA 423-2015》</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w:t>
            </w:r>
            <w:r>
              <w:rPr>
                <w:rStyle w:val="77"/>
                <w:rFonts w:hint="eastAsia" w:ascii="宋体" w:hAnsi="宋体" w:eastAsia="宋体" w:cs="宋体"/>
                <w:color w:val="auto"/>
                <w:sz w:val="21"/>
                <w:szCs w:val="21"/>
                <w:highlight w:val="none"/>
                <w:lang w:bidi="ar"/>
              </w:rPr>
              <w:t>▲盾体</w:t>
            </w:r>
            <w:r>
              <w:rPr>
                <w:rFonts w:hint="eastAsia" w:ascii="宋体" w:hAnsi="宋体" w:eastAsia="宋体" w:cs="宋体"/>
                <w:color w:val="auto"/>
                <w:kern w:val="0"/>
                <w:sz w:val="21"/>
                <w:szCs w:val="21"/>
                <w:highlight w:val="none"/>
                <w:lang w:bidi="ar"/>
              </w:rPr>
              <w:t>防护面积：≥0.32㎡</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6.尺寸：≥长75cm*宽50cm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7.毛重：≤6±0.5kg</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8.厚度：≤8mm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9.外形：坦克切面外观设计，利用等效装甲原理，在不增加物理厚度的同时增加等效厚度，提升防御能力；</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10.盾牌背面配备有1个把手和1个固定织带（手持方式可接受定制）。适用于地形较为复杂的作战场景，在较为狭窄的楼梯或者通道中行动更为灵活，也可以更好地和枪支等武器配合；</w:t>
            </w:r>
            <w:r>
              <w:rPr>
                <w:rFonts w:hint="eastAsia" w:ascii="宋体" w:hAnsi="宋体" w:eastAsia="宋体" w:cs="宋体"/>
                <w:color w:val="auto"/>
                <w:kern w:val="0"/>
                <w:sz w:val="21"/>
                <w:szCs w:val="21"/>
                <w:highlight w:val="none"/>
                <w:lang w:bidi="ar"/>
              </w:rPr>
              <w:br w:type="textWrapping"/>
            </w:r>
            <w:r>
              <w:rPr>
                <w:rStyle w:val="77"/>
                <w:rFonts w:hint="eastAsia" w:ascii="宋体" w:hAnsi="宋体" w:eastAsia="宋体" w:cs="宋体"/>
                <w:color w:val="auto"/>
                <w:sz w:val="21"/>
                <w:szCs w:val="21"/>
                <w:highlight w:val="none"/>
                <w:lang w:bidi="ar"/>
              </w:rPr>
              <w:t>▲11.</w:t>
            </w:r>
            <w:r>
              <w:rPr>
                <w:rFonts w:hint="eastAsia" w:ascii="宋体" w:hAnsi="宋体" w:eastAsia="宋体" w:cs="宋体"/>
                <w:color w:val="auto"/>
                <w:kern w:val="0"/>
                <w:sz w:val="21"/>
                <w:szCs w:val="21"/>
                <w:highlight w:val="none"/>
                <w:lang w:bidi="ar"/>
              </w:rPr>
              <w:t>配备有防弹玻璃观察窗，便于观察外部情况，观察窗防弹级别：3级，视窗可视面积：≥100cm²，观察窗的光畸变最大量≤5’，观察窗的透光率≥80%；</w:t>
            </w:r>
            <w:r>
              <w:rPr>
                <w:rFonts w:hint="eastAsia" w:ascii="宋体" w:hAnsi="宋体" w:eastAsia="宋体" w:cs="宋体"/>
                <w:color w:val="auto"/>
                <w:kern w:val="0"/>
                <w:sz w:val="21"/>
                <w:szCs w:val="21"/>
                <w:highlight w:val="none"/>
                <w:lang w:bidi="ar"/>
              </w:rPr>
              <w:br w:type="textWrapping"/>
            </w:r>
            <w:r>
              <w:rPr>
                <w:rStyle w:val="77"/>
                <w:rFonts w:hint="eastAsia" w:ascii="宋体" w:hAnsi="宋体" w:eastAsia="宋体" w:cs="宋体"/>
                <w:color w:val="auto"/>
                <w:sz w:val="21"/>
                <w:szCs w:val="21"/>
                <w:highlight w:val="none"/>
                <w:lang w:bidi="ar"/>
              </w:rPr>
              <w:t>▲12</w:t>
            </w:r>
            <w:r>
              <w:rPr>
                <w:rFonts w:hint="eastAsia" w:ascii="宋体" w:hAnsi="宋体" w:eastAsia="宋体" w:cs="宋体"/>
                <w:color w:val="auto"/>
                <w:kern w:val="0"/>
                <w:sz w:val="21"/>
                <w:szCs w:val="21"/>
                <w:highlight w:val="none"/>
                <w:lang w:bidi="ar"/>
              </w:rPr>
              <w:t>.标配超薄LED警示灯，须满足：闪烁模式≥12种，工作电压 DC9V-DC32V，防水等级≥IP67，工作温度 - 40~75℃，符合国家相关光学标准。</w:t>
            </w:r>
          </w:p>
          <w:p w14:paraId="4F5C32F3">
            <w:pPr>
              <w:widowControl/>
              <w:spacing w:line="240" w:lineRule="auto"/>
              <w:jc w:val="left"/>
              <w:textAlignment w:val="center"/>
              <w:rPr>
                <w:rFonts w:hint="eastAsia" w:ascii="宋体" w:hAnsi="宋体" w:eastAsia="宋体" w:cs="宋体"/>
                <w:color w:val="auto"/>
                <w:kern w:val="0"/>
                <w:sz w:val="21"/>
                <w:szCs w:val="21"/>
                <w:highlight w:val="none"/>
                <w:lang w:bidi="ar"/>
              </w:rPr>
            </w:pPr>
            <w:r>
              <w:rPr>
                <w:rStyle w:val="77"/>
                <w:rFonts w:hint="eastAsia" w:ascii="宋体" w:hAnsi="宋体" w:eastAsia="宋体" w:cs="宋体"/>
                <w:color w:val="auto"/>
                <w:sz w:val="21"/>
                <w:szCs w:val="21"/>
                <w:highlight w:val="none"/>
                <w:lang w:bidi="ar"/>
              </w:rPr>
              <w:t>▲13</w:t>
            </w:r>
            <w:r>
              <w:rPr>
                <w:rFonts w:hint="eastAsia" w:ascii="宋体" w:hAnsi="宋体" w:eastAsia="宋体" w:cs="宋体"/>
                <w:color w:val="auto"/>
                <w:kern w:val="0"/>
                <w:sz w:val="21"/>
                <w:szCs w:val="21"/>
                <w:highlight w:val="none"/>
                <w:lang w:bidi="ar"/>
              </w:rPr>
              <w:t>.阻燃性能：盾体外表面续燃时间≤10s</w:t>
            </w:r>
          </w:p>
          <w:p w14:paraId="0983CE1C">
            <w:pPr>
              <w:widowControl/>
              <w:spacing w:line="240" w:lineRule="auto"/>
              <w:jc w:val="left"/>
              <w:textAlignment w:val="center"/>
              <w:rPr>
                <w:rFonts w:hint="eastAsia" w:ascii="宋体" w:hAnsi="宋体" w:eastAsia="宋体" w:cs="宋体"/>
                <w:color w:val="auto"/>
                <w:kern w:val="0"/>
                <w:sz w:val="21"/>
                <w:szCs w:val="21"/>
                <w:highlight w:val="none"/>
                <w:lang w:bidi="ar"/>
              </w:rPr>
            </w:pPr>
            <w:r>
              <w:rPr>
                <w:rStyle w:val="77"/>
                <w:rFonts w:hint="eastAsia" w:ascii="宋体" w:hAnsi="宋体" w:eastAsia="宋体" w:cs="宋体"/>
                <w:color w:val="auto"/>
                <w:sz w:val="21"/>
                <w:szCs w:val="21"/>
                <w:highlight w:val="none"/>
                <w:lang w:bidi="ar"/>
              </w:rPr>
              <w:t>▲14</w:t>
            </w:r>
            <w:r>
              <w:rPr>
                <w:rFonts w:hint="eastAsia" w:ascii="宋体" w:hAnsi="宋体" w:eastAsia="宋体" w:cs="宋体"/>
                <w:color w:val="auto"/>
                <w:kern w:val="0"/>
                <w:sz w:val="21"/>
                <w:szCs w:val="21"/>
                <w:highlight w:val="none"/>
                <w:lang w:bidi="ar"/>
              </w:rPr>
              <w:t>.连接强度：防弹盾牌的把手与盾体的连接结构强度≥590N</w:t>
            </w:r>
          </w:p>
          <w:p w14:paraId="4B54D686">
            <w:pPr>
              <w:widowControl/>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 xml:space="preserve">应用范围：警车、救护、消防、工程等车辆。 </w:t>
            </w:r>
          </w:p>
        </w:tc>
      </w:tr>
      <w:tr w14:paraId="60357B54">
        <w:tblPrEx>
          <w:tblCellMar>
            <w:top w:w="0" w:type="dxa"/>
            <w:left w:w="108" w:type="dxa"/>
            <w:bottom w:w="0" w:type="dxa"/>
            <w:right w:w="108" w:type="dxa"/>
          </w:tblCellMar>
        </w:tblPrEx>
        <w:trPr>
          <w:trHeight w:val="367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DA34A">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8F85A">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57835" cy="12065"/>
                  <wp:effectExtent l="0" t="0" r="0" b="0"/>
                  <wp:wrapNone/>
                  <wp:docPr id="313" name="图片_2"/>
                  <wp:cNvGraphicFramePr/>
                  <a:graphic xmlns:a="http://schemas.openxmlformats.org/drawingml/2006/main">
                    <a:graphicData uri="http://schemas.openxmlformats.org/drawingml/2006/picture">
                      <pic:pic xmlns:pic="http://schemas.openxmlformats.org/drawingml/2006/picture">
                        <pic:nvPicPr>
                          <pic:cNvPr id="313" name="图片_2"/>
                          <pic:cNvPicPr/>
                        </pic:nvPicPr>
                        <pic:blipFill>
                          <a:blip r:embed="rId16"/>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457835" cy="12065"/>
                  <wp:effectExtent l="0" t="0" r="0" b="0"/>
                  <wp:wrapNone/>
                  <wp:docPr id="312" name="图片_2_SpCnt_1"/>
                  <wp:cNvGraphicFramePr/>
                  <a:graphic xmlns:a="http://schemas.openxmlformats.org/drawingml/2006/main">
                    <a:graphicData uri="http://schemas.openxmlformats.org/drawingml/2006/picture">
                      <pic:pic xmlns:pic="http://schemas.openxmlformats.org/drawingml/2006/picture">
                        <pic:nvPicPr>
                          <pic:cNvPr id="312" name="图片_2_SpCnt_1"/>
                          <pic:cNvPicPr/>
                        </pic:nvPicPr>
                        <pic:blipFill>
                          <a:blip r:embed="rId17"/>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457835" cy="12065"/>
                  <wp:effectExtent l="0" t="0" r="0" b="0"/>
                  <wp:wrapNone/>
                  <wp:docPr id="314" name="图片_2_SpCnt_2"/>
                  <wp:cNvGraphicFramePr/>
                  <a:graphic xmlns:a="http://schemas.openxmlformats.org/drawingml/2006/main">
                    <a:graphicData uri="http://schemas.openxmlformats.org/drawingml/2006/picture">
                      <pic:pic xmlns:pic="http://schemas.openxmlformats.org/drawingml/2006/picture">
                        <pic:nvPicPr>
                          <pic:cNvPr id="314" name="图片_2_SpCnt_2"/>
                          <pic:cNvPicPr/>
                        </pic:nvPicPr>
                        <pic:blipFill>
                          <a:blip r:embed="rId18"/>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668480" behindDoc="0" locked="0" layoutInCell="1" allowOverlap="1">
                  <wp:simplePos x="0" y="0"/>
                  <wp:positionH relativeFrom="column">
                    <wp:posOffset>0</wp:posOffset>
                  </wp:positionH>
                  <wp:positionV relativeFrom="paragraph">
                    <wp:posOffset>0</wp:posOffset>
                  </wp:positionV>
                  <wp:extent cx="457835" cy="12065"/>
                  <wp:effectExtent l="0" t="0" r="0" b="0"/>
                  <wp:wrapNone/>
                  <wp:docPr id="325" name="图片_2_SpCnt_3"/>
                  <wp:cNvGraphicFramePr/>
                  <a:graphic xmlns:a="http://schemas.openxmlformats.org/drawingml/2006/main">
                    <a:graphicData uri="http://schemas.openxmlformats.org/drawingml/2006/picture">
                      <pic:pic xmlns:pic="http://schemas.openxmlformats.org/drawingml/2006/picture">
                        <pic:nvPicPr>
                          <pic:cNvPr id="325" name="图片_2_SpCnt_3"/>
                          <pic:cNvPicPr/>
                        </pic:nvPicPr>
                        <pic:blipFill>
                          <a:blip r:embed="rId19"/>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457835" cy="12065"/>
                  <wp:effectExtent l="0" t="0" r="0" b="0"/>
                  <wp:wrapNone/>
                  <wp:docPr id="315" name="图片_2_SpCnt_4"/>
                  <wp:cNvGraphicFramePr/>
                  <a:graphic xmlns:a="http://schemas.openxmlformats.org/drawingml/2006/main">
                    <a:graphicData uri="http://schemas.openxmlformats.org/drawingml/2006/picture">
                      <pic:pic xmlns:pic="http://schemas.openxmlformats.org/drawingml/2006/picture">
                        <pic:nvPicPr>
                          <pic:cNvPr id="315" name="图片_2_SpCnt_4"/>
                          <pic:cNvPicPr/>
                        </pic:nvPicPr>
                        <pic:blipFill>
                          <a:blip r:embed="rId18"/>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457835" cy="12065"/>
                  <wp:effectExtent l="0" t="0" r="0" b="0"/>
                  <wp:wrapNone/>
                  <wp:docPr id="316" name="图片_2_SpCnt_5"/>
                  <wp:cNvGraphicFramePr/>
                  <a:graphic xmlns:a="http://schemas.openxmlformats.org/drawingml/2006/main">
                    <a:graphicData uri="http://schemas.openxmlformats.org/drawingml/2006/picture">
                      <pic:pic xmlns:pic="http://schemas.openxmlformats.org/drawingml/2006/picture">
                        <pic:nvPicPr>
                          <pic:cNvPr id="316" name="图片_2_SpCnt_5"/>
                          <pic:cNvPicPr/>
                        </pic:nvPicPr>
                        <pic:blipFill>
                          <a:blip r:embed="rId20"/>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671552" behindDoc="0" locked="0" layoutInCell="1" allowOverlap="1">
                  <wp:simplePos x="0" y="0"/>
                  <wp:positionH relativeFrom="column">
                    <wp:posOffset>0</wp:posOffset>
                  </wp:positionH>
                  <wp:positionV relativeFrom="paragraph">
                    <wp:posOffset>0</wp:posOffset>
                  </wp:positionV>
                  <wp:extent cx="457835" cy="12065"/>
                  <wp:effectExtent l="0" t="0" r="0" b="0"/>
                  <wp:wrapNone/>
                  <wp:docPr id="318" name="图片_2_SpCnt_6"/>
                  <wp:cNvGraphicFramePr/>
                  <a:graphic xmlns:a="http://schemas.openxmlformats.org/drawingml/2006/main">
                    <a:graphicData uri="http://schemas.openxmlformats.org/drawingml/2006/picture">
                      <pic:pic xmlns:pic="http://schemas.openxmlformats.org/drawingml/2006/picture">
                        <pic:nvPicPr>
                          <pic:cNvPr id="318" name="图片_2_SpCnt_6"/>
                          <pic:cNvPicPr/>
                        </pic:nvPicPr>
                        <pic:blipFill>
                          <a:blip r:embed="rId18"/>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672576" behindDoc="0" locked="0" layoutInCell="1" allowOverlap="1">
                  <wp:simplePos x="0" y="0"/>
                  <wp:positionH relativeFrom="column">
                    <wp:posOffset>0</wp:posOffset>
                  </wp:positionH>
                  <wp:positionV relativeFrom="paragraph">
                    <wp:posOffset>0</wp:posOffset>
                  </wp:positionV>
                  <wp:extent cx="457835" cy="12065"/>
                  <wp:effectExtent l="0" t="0" r="0" b="0"/>
                  <wp:wrapNone/>
                  <wp:docPr id="319" name="图片_56"/>
                  <wp:cNvGraphicFramePr/>
                  <a:graphic xmlns:a="http://schemas.openxmlformats.org/drawingml/2006/main">
                    <a:graphicData uri="http://schemas.openxmlformats.org/drawingml/2006/picture">
                      <pic:pic xmlns:pic="http://schemas.openxmlformats.org/drawingml/2006/picture">
                        <pic:nvPicPr>
                          <pic:cNvPr id="319" name="图片_56"/>
                          <pic:cNvPicPr/>
                        </pic:nvPicPr>
                        <pic:blipFill>
                          <a:blip r:embed="rId18"/>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457835" cy="12065"/>
                  <wp:effectExtent l="0" t="0" r="0" b="0"/>
                  <wp:wrapNone/>
                  <wp:docPr id="309" name="图片_51"/>
                  <wp:cNvGraphicFramePr/>
                  <a:graphic xmlns:a="http://schemas.openxmlformats.org/drawingml/2006/main">
                    <a:graphicData uri="http://schemas.openxmlformats.org/drawingml/2006/picture">
                      <pic:pic xmlns:pic="http://schemas.openxmlformats.org/drawingml/2006/picture">
                        <pic:nvPicPr>
                          <pic:cNvPr id="309" name="图片_51"/>
                          <pic:cNvPicPr/>
                        </pic:nvPicPr>
                        <pic:blipFill>
                          <a:blip r:embed="rId21"/>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674624" behindDoc="0" locked="0" layoutInCell="1" allowOverlap="1">
                  <wp:simplePos x="0" y="0"/>
                  <wp:positionH relativeFrom="column">
                    <wp:posOffset>0</wp:posOffset>
                  </wp:positionH>
                  <wp:positionV relativeFrom="paragraph">
                    <wp:posOffset>0</wp:posOffset>
                  </wp:positionV>
                  <wp:extent cx="457835" cy="12065"/>
                  <wp:effectExtent l="0" t="0" r="0" b="0"/>
                  <wp:wrapNone/>
                  <wp:docPr id="320" name="图片_2_SpCnt_7"/>
                  <wp:cNvGraphicFramePr/>
                  <a:graphic xmlns:a="http://schemas.openxmlformats.org/drawingml/2006/main">
                    <a:graphicData uri="http://schemas.openxmlformats.org/drawingml/2006/picture">
                      <pic:pic xmlns:pic="http://schemas.openxmlformats.org/drawingml/2006/picture">
                        <pic:nvPicPr>
                          <pic:cNvPr id="320" name="图片_2_SpCnt_7"/>
                          <pic:cNvPicPr/>
                        </pic:nvPicPr>
                        <pic:blipFill>
                          <a:blip r:embed="rId18"/>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675648" behindDoc="0" locked="0" layoutInCell="1" allowOverlap="1">
                  <wp:simplePos x="0" y="0"/>
                  <wp:positionH relativeFrom="column">
                    <wp:posOffset>0</wp:posOffset>
                  </wp:positionH>
                  <wp:positionV relativeFrom="paragraph">
                    <wp:posOffset>0</wp:posOffset>
                  </wp:positionV>
                  <wp:extent cx="457835" cy="12065"/>
                  <wp:effectExtent l="0" t="0" r="0" b="0"/>
                  <wp:wrapNone/>
                  <wp:docPr id="324" name="图片_2_SpCnt_8"/>
                  <wp:cNvGraphicFramePr/>
                  <a:graphic xmlns:a="http://schemas.openxmlformats.org/drawingml/2006/main">
                    <a:graphicData uri="http://schemas.openxmlformats.org/drawingml/2006/picture">
                      <pic:pic xmlns:pic="http://schemas.openxmlformats.org/drawingml/2006/picture">
                        <pic:nvPicPr>
                          <pic:cNvPr id="324" name="图片_2_SpCnt_8"/>
                          <pic:cNvPicPr/>
                        </pic:nvPicPr>
                        <pic:blipFill>
                          <a:blip r:embed="rId22"/>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676672" behindDoc="0" locked="0" layoutInCell="1" allowOverlap="1">
                  <wp:simplePos x="0" y="0"/>
                  <wp:positionH relativeFrom="column">
                    <wp:posOffset>0</wp:posOffset>
                  </wp:positionH>
                  <wp:positionV relativeFrom="paragraph">
                    <wp:posOffset>0</wp:posOffset>
                  </wp:positionV>
                  <wp:extent cx="457835" cy="12065"/>
                  <wp:effectExtent l="0" t="0" r="0" b="0"/>
                  <wp:wrapNone/>
                  <wp:docPr id="321" name="图片_2_SpCnt_9"/>
                  <wp:cNvGraphicFramePr/>
                  <a:graphic xmlns:a="http://schemas.openxmlformats.org/drawingml/2006/main">
                    <a:graphicData uri="http://schemas.openxmlformats.org/drawingml/2006/picture">
                      <pic:pic xmlns:pic="http://schemas.openxmlformats.org/drawingml/2006/picture">
                        <pic:nvPicPr>
                          <pic:cNvPr id="321" name="图片_2_SpCnt_9"/>
                          <pic:cNvPicPr/>
                        </pic:nvPicPr>
                        <pic:blipFill>
                          <a:blip r:embed="rId23"/>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457835" cy="12065"/>
                  <wp:effectExtent l="0" t="0" r="0" b="0"/>
                  <wp:wrapNone/>
                  <wp:docPr id="323" name="图片_2_SpCnt_10"/>
                  <wp:cNvGraphicFramePr/>
                  <a:graphic xmlns:a="http://schemas.openxmlformats.org/drawingml/2006/main">
                    <a:graphicData uri="http://schemas.openxmlformats.org/drawingml/2006/picture">
                      <pic:pic xmlns:pic="http://schemas.openxmlformats.org/drawingml/2006/picture">
                        <pic:nvPicPr>
                          <pic:cNvPr id="323" name="图片_2_SpCnt_10"/>
                          <pic:cNvPicPr/>
                        </pic:nvPicPr>
                        <pic:blipFill>
                          <a:blip r:embed="rId24"/>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678720" behindDoc="0" locked="0" layoutInCell="1" allowOverlap="1">
                  <wp:simplePos x="0" y="0"/>
                  <wp:positionH relativeFrom="column">
                    <wp:posOffset>0</wp:posOffset>
                  </wp:positionH>
                  <wp:positionV relativeFrom="paragraph">
                    <wp:posOffset>0</wp:posOffset>
                  </wp:positionV>
                  <wp:extent cx="457835" cy="12065"/>
                  <wp:effectExtent l="0" t="0" r="0" b="0"/>
                  <wp:wrapNone/>
                  <wp:docPr id="310" name="图片_2_SpCnt_11"/>
                  <wp:cNvGraphicFramePr/>
                  <a:graphic xmlns:a="http://schemas.openxmlformats.org/drawingml/2006/main">
                    <a:graphicData uri="http://schemas.openxmlformats.org/drawingml/2006/picture">
                      <pic:pic xmlns:pic="http://schemas.openxmlformats.org/drawingml/2006/picture">
                        <pic:nvPicPr>
                          <pic:cNvPr id="310" name="图片_2_SpCnt_11"/>
                          <pic:cNvPicPr/>
                        </pic:nvPicPr>
                        <pic:blipFill>
                          <a:blip r:embed="rId25"/>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457835" cy="12065"/>
                  <wp:effectExtent l="0" t="0" r="0" b="0"/>
                  <wp:wrapNone/>
                  <wp:docPr id="256" name="图片_2_SpCnt_12"/>
                  <wp:cNvGraphicFramePr/>
                  <a:graphic xmlns:a="http://schemas.openxmlformats.org/drawingml/2006/main">
                    <a:graphicData uri="http://schemas.openxmlformats.org/drawingml/2006/picture">
                      <pic:pic xmlns:pic="http://schemas.openxmlformats.org/drawingml/2006/picture">
                        <pic:nvPicPr>
                          <pic:cNvPr id="256" name="图片_2_SpCnt_12"/>
                          <pic:cNvPicPr/>
                        </pic:nvPicPr>
                        <pic:blipFill>
                          <a:blip r:embed="rId26"/>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457835" cy="12065"/>
                  <wp:effectExtent l="0" t="0" r="0" b="0"/>
                  <wp:wrapNone/>
                  <wp:docPr id="295" name="图片_2_SpCnt_13"/>
                  <wp:cNvGraphicFramePr/>
                  <a:graphic xmlns:a="http://schemas.openxmlformats.org/drawingml/2006/main">
                    <a:graphicData uri="http://schemas.openxmlformats.org/drawingml/2006/picture">
                      <pic:pic xmlns:pic="http://schemas.openxmlformats.org/drawingml/2006/picture">
                        <pic:nvPicPr>
                          <pic:cNvPr id="295" name="图片_2_SpCnt_13"/>
                          <pic:cNvPicPr/>
                        </pic:nvPicPr>
                        <pic:blipFill>
                          <a:blip r:embed="rId18"/>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681792" behindDoc="0" locked="0" layoutInCell="1" allowOverlap="1">
                  <wp:simplePos x="0" y="0"/>
                  <wp:positionH relativeFrom="column">
                    <wp:posOffset>0</wp:posOffset>
                  </wp:positionH>
                  <wp:positionV relativeFrom="paragraph">
                    <wp:posOffset>0</wp:posOffset>
                  </wp:positionV>
                  <wp:extent cx="457835" cy="12065"/>
                  <wp:effectExtent l="0" t="0" r="0" b="0"/>
                  <wp:wrapNone/>
                  <wp:docPr id="299" name="图片_2_SpCnt_14"/>
                  <wp:cNvGraphicFramePr/>
                  <a:graphic xmlns:a="http://schemas.openxmlformats.org/drawingml/2006/main">
                    <a:graphicData uri="http://schemas.openxmlformats.org/drawingml/2006/picture">
                      <pic:pic xmlns:pic="http://schemas.openxmlformats.org/drawingml/2006/picture">
                        <pic:nvPicPr>
                          <pic:cNvPr id="299" name="图片_2_SpCnt_14"/>
                          <pic:cNvPicPr/>
                        </pic:nvPicPr>
                        <pic:blipFill>
                          <a:blip r:embed="rId18"/>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682816" behindDoc="0" locked="0" layoutInCell="1" allowOverlap="1">
                  <wp:simplePos x="0" y="0"/>
                  <wp:positionH relativeFrom="column">
                    <wp:posOffset>0</wp:posOffset>
                  </wp:positionH>
                  <wp:positionV relativeFrom="paragraph">
                    <wp:posOffset>0</wp:posOffset>
                  </wp:positionV>
                  <wp:extent cx="457835" cy="12065"/>
                  <wp:effectExtent l="0" t="0" r="0" b="0"/>
                  <wp:wrapNone/>
                  <wp:docPr id="298" name="图片_2_SpCnt_15"/>
                  <wp:cNvGraphicFramePr/>
                  <a:graphic xmlns:a="http://schemas.openxmlformats.org/drawingml/2006/main">
                    <a:graphicData uri="http://schemas.openxmlformats.org/drawingml/2006/picture">
                      <pic:pic xmlns:pic="http://schemas.openxmlformats.org/drawingml/2006/picture">
                        <pic:nvPicPr>
                          <pic:cNvPr id="298" name="图片_2_SpCnt_15"/>
                          <pic:cNvPicPr/>
                        </pic:nvPicPr>
                        <pic:blipFill>
                          <a:blip r:embed="rId18"/>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683840" behindDoc="0" locked="0" layoutInCell="1" allowOverlap="1">
                  <wp:simplePos x="0" y="0"/>
                  <wp:positionH relativeFrom="column">
                    <wp:posOffset>0</wp:posOffset>
                  </wp:positionH>
                  <wp:positionV relativeFrom="paragraph">
                    <wp:posOffset>0</wp:posOffset>
                  </wp:positionV>
                  <wp:extent cx="457835" cy="12065"/>
                  <wp:effectExtent l="0" t="0" r="0" b="0"/>
                  <wp:wrapNone/>
                  <wp:docPr id="303" name="图片_2_SpCnt_16"/>
                  <wp:cNvGraphicFramePr/>
                  <a:graphic xmlns:a="http://schemas.openxmlformats.org/drawingml/2006/main">
                    <a:graphicData uri="http://schemas.openxmlformats.org/drawingml/2006/picture">
                      <pic:pic xmlns:pic="http://schemas.openxmlformats.org/drawingml/2006/picture">
                        <pic:nvPicPr>
                          <pic:cNvPr id="303" name="图片_2_SpCnt_16"/>
                          <pic:cNvPicPr/>
                        </pic:nvPicPr>
                        <pic:blipFill>
                          <a:blip r:embed="rId18"/>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684864" behindDoc="0" locked="0" layoutInCell="1" allowOverlap="1">
                  <wp:simplePos x="0" y="0"/>
                  <wp:positionH relativeFrom="column">
                    <wp:posOffset>0</wp:posOffset>
                  </wp:positionH>
                  <wp:positionV relativeFrom="paragraph">
                    <wp:posOffset>0</wp:posOffset>
                  </wp:positionV>
                  <wp:extent cx="457835" cy="12065"/>
                  <wp:effectExtent l="0" t="0" r="0" b="0"/>
                  <wp:wrapNone/>
                  <wp:docPr id="308" name="图片_60"/>
                  <wp:cNvGraphicFramePr/>
                  <a:graphic xmlns:a="http://schemas.openxmlformats.org/drawingml/2006/main">
                    <a:graphicData uri="http://schemas.openxmlformats.org/drawingml/2006/picture">
                      <pic:pic xmlns:pic="http://schemas.openxmlformats.org/drawingml/2006/picture">
                        <pic:nvPicPr>
                          <pic:cNvPr id="308" name="图片_60"/>
                          <pic:cNvPicPr/>
                        </pic:nvPicPr>
                        <pic:blipFill>
                          <a:blip r:embed="rId18"/>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685888" behindDoc="0" locked="0" layoutInCell="1" allowOverlap="1">
                  <wp:simplePos x="0" y="0"/>
                  <wp:positionH relativeFrom="column">
                    <wp:posOffset>0</wp:posOffset>
                  </wp:positionH>
                  <wp:positionV relativeFrom="paragraph">
                    <wp:posOffset>0</wp:posOffset>
                  </wp:positionV>
                  <wp:extent cx="457835" cy="12065"/>
                  <wp:effectExtent l="0" t="0" r="0" b="0"/>
                  <wp:wrapNone/>
                  <wp:docPr id="305" name="图片_56_SpCnt_1"/>
                  <wp:cNvGraphicFramePr/>
                  <a:graphic xmlns:a="http://schemas.openxmlformats.org/drawingml/2006/main">
                    <a:graphicData uri="http://schemas.openxmlformats.org/drawingml/2006/picture">
                      <pic:pic xmlns:pic="http://schemas.openxmlformats.org/drawingml/2006/picture">
                        <pic:nvPicPr>
                          <pic:cNvPr id="305" name="图片_56_SpCnt_1"/>
                          <pic:cNvPicPr/>
                        </pic:nvPicPr>
                        <pic:blipFill>
                          <a:blip r:embed="rId27"/>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686912" behindDoc="0" locked="0" layoutInCell="1" allowOverlap="1">
                  <wp:simplePos x="0" y="0"/>
                  <wp:positionH relativeFrom="column">
                    <wp:posOffset>0</wp:posOffset>
                  </wp:positionH>
                  <wp:positionV relativeFrom="paragraph">
                    <wp:posOffset>0</wp:posOffset>
                  </wp:positionV>
                  <wp:extent cx="457835" cy="12065"/>
                  <wp:effectExtent l="0" t="0" r="0" b="0"/>
                  <wp:wrapNone/>
                  <wp:docPr id="294" name="图片_51_SpCnt_1"/>
                  <wp:cNvGraphicFramePr/>
                  <a:graphic xmlns:a="http://schemas.openxmlformats.org/drawingml/2006/main">
                    <a:graphicData uri="http://schemas.openxmlformats.org/drawingml/2006/picture">
                      <pic:pic xmlns:pic="http://schemas.openxmlformats.org/drawingml/2006/picture">
                        <pic:nvPicPr>
                          <pic:cNvPr id="294" name="图片_51_SpCnt_1"/>
                          <pic:cNvPicPr/>
                        </pic:nvPicPr>
                        <pic:blipFill>
                          <a:blip r:embed="rId28"/>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687936" behindDoc="0" locked="0" layoutInCell="1" allowOverlap="1">
                  <wp:simplePos x="0" y="0"/>
                  <wp:positionH relativeFrom="column">
                    <wp:posOffset>0</wp:posOffset>
                  </wp:positionH>
                  <wp:positionV relativeFrom="paragraph">
                    <wp:posOffset>0</wp:posOffset>
                  </wp:positionV>
                  <wp:extent cx="457835" cy="12065"/>
                  <wp:effectExtent l="0" t="0" r="0" b="0"/>
                  <wp:wrapNone/>
                  <wp:docPr id="296" name="图片_2_SpCnt_17"/>
                  <wp:cNvGraphicFramePr/>
                  <a:graphic xmlns:a="http://schemas.openxmlformats.org/drawingml/2006/main">
                    <a:graphicData uri="http://schemas.openxmlformats.org/drawingml/2006/picture">
                      <pic:pic xmlns:pic="http://schemas.openxmlformats.org/drawingml/2006/picture">
                        <pic:nvPicPr>
                          <pic:cNvPr id="296" name="图片_2_SpCnt_17"/>
                          <pic:cNvPicPr/>
                        </pic:nvPicPr>
                        <pic:blipFill>
                          <a:blip r:embed="rId18"/>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457835" cy="12065"/>
                  <wp:effectExtent l="0" t="0" r="0" b="0"/>
                  <wp:wrapNone/>
                  <wp:docPr id="300" name="图片_2_SpCnt_18"/>
                  <wp:cNvGraphicFramePr/>
                  <a:graphic xmlns:a="http://schemas.openxmlformats.org/drawingml/2006/main">
                    <a:graphicData uri="http://schemas.openxmlformats.org/drawingml/2006/picture">
                      <pic:pic xmlns:pic="http://schemas.openxmlformats.org/drawingml/2006/picture">
                        <pic:nvPicPr>
                          <pic:cNvPr id="300" name="图片_2_SpCnt_18"/>
                          <pic:cNvPicPr/>
                        </pic:nvPicPr>
                        <pic:blipFill>
                          <a:blip r:embed="rId18"/>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689984" behindDoc="0" locked="0" layoutInCell="1" allowOverlap="1">
                  <wp:simplePos x="0" y="0"/>
                  <wp:positionH relativeFrom="column">
                    <wp:posOffset>0</wp:posOffset>
                  </wp:positionH>
                  <wp:positionV relativeFrom="paragraph">
                    <wp:posOffset>0</wp:posOffset>
                  </wp:positionV>
                  <wp:extent cx="457835" cy="12065"/>
                  <wp:effectExtent l="0" t="0" r="0" b="0"/>
                  <wp:wrapNone/>
                  <wp:docPr id="297" name="图片_2_SpCnt_19"/>
                  <wp:cNvGraphicFramePr/>
                  <a:graphic xmlns:a="http://schemas.openxmlformats.org/drawingml/2006/main">
                    <a:graphicData uri="http://schemas.openxmlformats.org/drawingml/2006/picture">
                      <pic:pic xmlns:pic="http://schemas.openxmlformats.org/drawingml/2006/picture">
                        <pic:nvPicPr>
                          <pic:cNvPr id="297" name="图片_2_SpCnt_19"/>
                          <pic:cNvPicPr/>
                        </pic:nvPicPr>
                        <pic:blipFill>
                          <a:blip r:embed="rId29"/>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691008" behindDoc="0" locked="0" layoutInCell="1" allowOverlap="1">
                  <wp:simplePos x="0" y="0"/>
                  <wp:positionH relativeFrom="column">
                    <wp:posOffset>0</wp:posOffset>
                  </wp:positionH>
                  <wp:positionV relativeFrom="paragraph">
                    <wp:posOffset>0</wp:posOffset>
                  </wp:positionV>
                  <wp:extent cx="457835" cy="12065"/>
                  <wp:effectExtent l="0" t="0" r="0" b="0"/>
                  <wp:wrapNone/>
                  <wp:docPr id="301" name="图片_2_SpCnt_20"/>
                  <wp:cNvGraphicFramePr/>
                  <a:graphic xmlns:a="http://schemas.openxmlformats.org/drawingml/2006/main">
                    <a:graphicData uri="http://schemas.openxmlformats.org/drawingml/2006/picture">
                      <pic:pic xmlns:pic="http://schemas.openxmlformats.org/drawingml/2006/picture">
                        <pic:nvPicPr>
                          <pic:cNvPr id="301" name="图片_2_SpCnt_20"/>
                          <pic:cNvPicPr/>
                        </pic:nvPicPr>
                        <pic:blipFill>
                          <a:blip r:embed="rId18"/>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692032" behindDoc="0" locked="0" layoutInCell="1" allowOverlap="1">
                  <wp:simplePos x="0" y="0"/>
                  <wp:positionH relativeFrom="column">
                    <wp:posOffset>0</wp:posOffset>
                  </wp:positionH>
                  <wp:positionV relativeFrom="paragraph">
                    <wp:posOffset>0</wp:posOffset>
                  </wp:positionV>
                  <wp:extent cx="457835" cy="12065"/>
                  <wp:effectExtent l="0" t="0" r="0" b="0"/>
                  <wp:wrapNone/>
                  <wp:docPr id="302" name="图片_56_SpCnt_2"/>
                  <wp:cNvGraphicFramePr/>
                  <a:graphic xmlns:a="http://schemas.openxmlformats.org/drawingml/2006/main">
                    <a:graphicData uri="http://schemas.openxmlformats.org/drawingml/2006/picture">
                      <pic:pic xmlns:pic="http://schemas.openxmlformats.org/drawingml/2006/picture">
                        <pic:nvPicPr>
                          <pic:cNvPr id="302" name="图片_56_SpCnt_2"/>
                          <pic:cNvPicPr/>
                        </pic:nvPicPr>
                        <pic:blipFill>
                          <a:blip r:embed="rId18"/>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693056" behindDoc="0" locked="0" layoutInCell="1" allowOverlap="1">
                  <wp:simplePos x="0" y="0"/>
                  <wp:positionH relativeFrom="column">
                    <wp:posOffset>0</wp:posOffset>
                  </wp:positionH>
                  <wp:positionV relativeFrom="paragraph">
                    <wp:posOffset>0</wp:posOffset>
                  </wp:positionV>
                  <wp:extent cx="457835" cy="12065"/>
                  <wp:effectExtent l="0" t="0" r="0" b="0"/>
                  <wp:wrapNone/>
                  <wp:docPr id="304" name="图片_2_SpCnt_21"/>
                  <wp:cNvGraphicFramePr/>
                  <a:graphic xmlns:a="http://schemas.openxmlformats.org/drawingml/2006/main">
                    <a:graphicData uri="http://schemas.openxmlformats.org/drawingml/2006/picture">
                      <pic:pic xmlns:pic="http://schemas.openxmlformats.org/drawingml/2006/picture">
                        <pic:nvPicPr>
                          <pic:cNvPr id="304" name="图片_2_SpCnt_21"/>
                          <pic:cNvPicPr/>
                        </pic:nvPicPr>
                        <pic:blipFill>
                          <a:blip r:embed="rId23"/>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694080" behindDoc="0" locked="0" layoutInCell="1" allowOverlap="1">
                  <wp:simplePos x="0" y="0"/>
                  <wp:positionH relativeFrom="column">
                    <wp:posOffset>0</wp:posOffset>
                  </wp:positionH>
                  <wp:positionV relativeFrom="paragraph">
                    <wp:posOffset>0</wp:posOffset>
                  </wp:positionV>
                  <wp:extent cx="457835" cy="12065"/>
                  <wp:effectExtent l="0" t="0" r="0" b="0"/>
                  <wp:wrapNone/>
                  <wp:docPr id="306" name="图片_2_SpCnt_22"/>
                  <wp:cNvGraphicFramePr/>
                  <a:graphic xmlns:a="http://schemas.openxmlformats.org/drawingml/2006/main">
                    <a:graphicData uri="http://schemas.openxmlformats.org/drawingml/2006/picture">
                      <pic:pic xmlns:pic="http://schemas.openxmlformats.org/drawingml/2006/picture">
                        <pic:nvPicPr>
                          <pic:cNvPr id="306" name="图片_2_SpCnt_22"/>
                          <pic:cNvPicPr/>
                        </pic:nvPicPr>
                        <pic:blipFill>
                          <a:blip r:embed="rId18"/>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695104" behindDoc="0" locked="0" layoutInCell="1" allowOverlap="1">
                  <wp:simplePos x="0" y="0"/>
                  <wp:positionH relativeFrom="column">
                    <wp:posOffset>0</wp:posOffset>
                  </wp:positionH>
                  <wp:positionV relativeFrom="paragraph">
                    <wp:posOffset>0</wp:posOffset>
                  </wp:positionV>
                  <wp:extent cx="457835" cy="12065"/>
                  <wp:effectExtent l="0" t="0" r="0" b="0"/>
                  <wp:wrapNone/>
                  <wp:docPr id="307" name="图片_2_SpCnt_23"/>
                  <wp:cNvGraphicFramePr/>
                  <a:graphic xmlns:a="http://schemas.openxmlformats.org/drawingml/2006/main">
                    <a:graphicData uri="http://schemas.openxmlformats.org/drawingml/2006/picture">
                      <pic:pic xmlns:pic="http://schemas.openxmlformats.org/drawingml/2006/picture">
                        <pic:nvPicPr>
                          <pic:cNvPr id="307" name="图片_2_SpCnt_23"/>
                          <pic:cNvPicPr/>
                        </pic:nvPicPr>
                        <pic:blipFill>
                          <a:blip r:embed="rId18"/>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696128" behindDoc="0" locked="0" layoutInCell="1" allowOverlap="1">
                  <wp:simplePos x="0" y="0"/>
                  <wp:positionH relativeFrom="column">
                    <wp:posOffset>0</wp:posOffset>
                  </wp:positionH>
                  <wp:positionV relativeFrom="paragraph">
                    <wp:posOffset>0</wp:posOffset>
                  </wp:positionV>
                  <wp:extent cx="457835" cy="12065"/>
                  <wp:effectExtent l="0" t="0" r="0" b="0"/>
                  <wp:wrapNone/>
                  <wp:docPr id="292" name="图片_51_SpCnt_2"/>
                  <wp:cNvGraphicFramePr/>
                  <a:graphic xmlns:a="http://schemas.openxmlformats.org/drawingml/2006/main">
                    <a:graphicData uri="http://schemas.openxmlformats.org/drawingml/2006/picture">
                      <pic:pic xmlns:pic="http://schemas.openxmlformats.org/drawingml/2006/picture">
                        <pic:nvPicPr>
                          <pic:cNvPr id="292" name="图片_51_SpCnt_2"/>
                          <pic:cNvPicPr/>
                        </pic:nvPicPr>
                        <pic:blipFill>
                          <a:blip r:embed="rId18"/>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697152" behindDoc="0" locked="0" layoutInCell="1" allowOverlap="1">
                  <wp:simplePos x="0" y="0"/>
                  <wp:positionH relativeFrom="column">
                    <wp:posOffset>0</wp:posOffset>
                  </wp:positionH>
                  <wp:positionV relativeFrom="paragraph">
                    <wp:posOffset>0</wp:posOffset>
                  </wp:positionV>
                  <wp:extent cx="457835" cy="12065"/>
                  <wp:effectExtent l="0" t="0" r="0" b="0"/>
                  <wp:wrapNone/>
                  <wp:docPr id="293" name="图片_2_SpCnt_24"/>
                  <wp:cNvGraphicFramePr/>
                  <a:graphic xmlns:a="http://schemas.openxmlformats.org/drawingml/2006/main">
                    <a:graphicData uri="http://schemas.openxmlformats.org/drawingml/2006/picture">
                      <pic:pic xmlns:pic="http://schemas.openxmlformats.org/drawingml/2006/picture">
                        <pic:nvPicPr>
                          <pic:cNvPr id="293" name="图片_2_SpCnt_24"/>
                          <pic:cNvPicPr/>
                        </pic:nvPicPr>
                        <pic:blipFill>
                          <a:blip r:embed="rId18"/>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457835" cy="12065"/>
                  <wp:effectExtent l="0" t="0" r="0" b="0"/>
                  <wp:wrapNone/>
                  <wp:docPr id="275" name="图片_2_SpCnt_25"/>
                  <wp:cNvGraphicFramePr/>
                  <a:graphic xmlns:a="http://schemas.openxmlformats.org/drawingml/2006/main">
                    <a:graphicData uri="http://schemas.openxmlformats.org/drawingml/2006/picture">
                      <pic:pic xmlns:pic="http://schemas.openxmlformats.org/drawingml/2006/picture">
                        <pic:nvPicPr>
                          <pic:cNvPr id="275" name="图片_2_SpCnt_25"/>
                          <pic:cNvPicPr/>
                        </pic:nvPicPr>
                        <pic:blipFill>
                          <a:blip r:embed="rId23"/>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698176" behindDoc="0" locked="0" layoutInCell="1" allowOverlap="1">
                  <wp:simplePos x="0" y="0"/>
                  <wp:positionH relativeFrom="column">
                    <wp:posOffset>0</wp:posOffset>
                  </wp:positionH>
                  <wp:positionV relativeFrom="paragraph">
                    <wp:posOffset>0</wp:posOffset>
                  </wp:positionV>
                  <wp:extent cx="457835" cy="12065"/>
                  <wp:effectExtent l="0" t="0" r="0" b="0"/>
                  <wp:wrapNone/>
                  <wp:docPr id="282" name="图片_2_SpCnt_26"/>
                  <wp:cNvGraphicFramePr/>
                  <a:graphic xmlns:a="http://schemas.openxmlformats.org/drawingml/2006/main">
                    <a:graphicData uri="http://schemas.openxmlformats.org/drawingml/2006/picture">
                      <pic:pic xmlns:pic="http://schemas.openxmlformats.org/drawingml/2006/picture">
                        <pic:nvPicPr>
                          <pic:cNvPr id="282" name="图片_2_SpCnt_26"/>
                          <pic:cNvPicPr/>
                        </pic:nvPicPr>
                        <pic:blipFill>
                          <a:blip r:embed="rId18"/>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699200" behindDoc="0" locked="0" layoutInCell="1" allowOverlap="1">
                  <wp:simplePos x="0" y="0"/>
                  <wp:positionH relativeFrom="column">
                    <wp:posOffset>0</wp:posOffset>
                  </wp:positionH>
                  <wp:positionV relativeFrom="paragraph">
                    <wp:posOffset>0</wp:posOffset>
                  </wp:positionV>
                  <wp:extent cx="457835" cy="12065"/>
                  <wp:effectExtent l="0" t="0" r="0" b="0"/>
                  <wp:wrapNone/>
                  <wp:docPr id="278" name="图片_2_SpCnt_27"/>
                  <wp:cNvGraphicFramePr/>
                  <a:graphic xmlns:a="http://schemas.openxmlformats.org/drawingml/2006/main">
                    <a:graphicData uri="http://schemas.openxmlformats.org/drawingml/2006/picture">
                      <pic:pic xmlns:pic="http://schemas.openxmlformats.org/drawingml/2006/picture">
                        <pic:nvPicPr>
                          <pic:cNvPr id="278" name="图片_2_SpCnt_27"/>
                          <pic:cNvPicPr/>
                        </pic:nvPicPr>
                        <pic:blipFill>
                          <a:blip r:embed="rId30"/>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700224" behindDoc="0" locked="0" layoutInCell="1" allowOverlap="1">
                  <wp:simplePos x="0" y="0"/>
                  <wp:positionH relativeFrom="column">
                    <wp:posOffset>0</wp:posOffset>
                  </wp:positionH>
                  <wp:positionV relativeFrom="paragraph">
                    <wp:posOffset>0</wp:posOffset>
                  </wp:positionV>
                  <wp:extent cx="457835" cy="12065"/>
                  <wp:effectExtent l="0" t="0" r="0" b="0"/>
                  <wp:wrapNone/>
                  <wp:docPr id="289" name="图片_2_SpCnt_28"/>
                  <wp:cNvGraphicFramePr/>
                  <a:graphic xmlns:a="http://schemas.openxmlformats.org/drawingml/2006/main">
                    <a:graphicData uri="http://schemas.openxmlformats.org/drawingml/2006/picture">
                      <pic:pic xmlns:pic="http://schemas.openxmlformats.org/drawingml/2006/picture">
                        <pic:nvPicPr>
                          <pic:cNvPr id="289" name="图片_2_SpCnt_28"/>
                          <pic:cNvPicPr/>
                        </pic:nvPicPr>
                        <pic:blipFill>
                          <a:blip r:embed="rId31"/>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701248" behindDoc="0" locked="0" layoutInCell="1" allowOverlap="1">
                  <wp:simplePos x="0" y="0"/>
                  <wp:positionH relativeFrom="column">
                    <wp:posOffset>0</wp:posOffset>
                  </wp:positionH>
                  <wp:positionV relativeFrom="paragraph">
                    <wp:posOffset>0</wp:posOffset>
                  </wp:positionV>
                  <wp:extent cx="457835" cy="12065"/>
                  <wp:effectExtent l="0" t="0" r="0" b="0"/>
                  <wp:wrapNone/>
                  <wp:docPr id="288" name="图片_2_SpCnt_29"/>
                  <wp:cNvGraphicFramePr/>
                  <a:graphic xmlns:a="http://schemas.openxmlformats.org/drawingml/2006/main">
                    <a:graphicData uri="http://schemas.openxmlformats.org/drawingml/2006/picture">
                      <pic:pic xmlns:pic="http://schemas.openxmlformats.org/drawingml/2006/picture">
                        <pic:nvPicPr>
                          <pic:cNvPr id="288" name="图片_2_SpCnt_29"/>
                          <pic:cNvPicPr/>
                        </pic:nvPicPr>
                        <pic:blipFill>
                          <a:blip r:embed="rId32"/>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702272" behindDoc="0" locked="0" layoutInCell="1" allowOverlap="1">
                  <wp:simplePos x="0" y="0"/>
                  <wp:positionH relativeFrom="column">
                    <wp:posOffset>0</wp:posOffset>
                  </wp:positionH>
                  <wp:positionV relativeFrom="paragraph">
                    <wp:posOffset>0</wp:posOffset>
                  </wp:positionV>
                  <wp:extent cx="457835" cy="12065"/>
                  <wp:effectExtent l="0" t="0" r="0" b="0"/>
                  <wp:wrapNone/>
                  <wp:docPr id="291" name="图片_2_SpCnt_30"/>
                  <wp:cNvGraphicFramePr/>
                  <a:graphic xmlns:a="http://schemas.openxmlformats.org/drawingml/2006/main">
                    <a:graphicData uri="http://schemas.openxmlformats.org/drawingml/2006/picture">
                      <pic:pic xmlns:pic="http://schemas.openxmlformats.org/drawingml/2006/picture">
                        <pic:nvPicPr>
                          <pic:cNvPr id="291" name="图片_2_SpCnt_30"/>
                          <pic:cNvPicPr/>
                        </pic:nvPicPr>
                        <pic:blipFill>
                          <a:blip r:embed="rId18"/>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703296" behindDoc="0" locked="0" layoutInCell="1" allowOverlap="1">
                  <wp:simplePos x="0" y="0"/>
                  <wp:positionH relativeFrom="column">
                    <wp:posOffset>0</wp:posOffset>
                  </wp:positionH>
                  <wp:positionV relativeFrom="paragraph">
                    <wp:posOffset>0</wp:posOffset>
                  </wp:positionV>
                  <wp:extent cx="457835" cy="12065"/>
                  <wp:effectExtent l="0" t="0" r="0" b="0"/>
                  <wp:wrapNone/>
                  <wp:docPr id="284" name="图片_2_SpCnt_31"/>
                  <wp:cNvGraphicFramePr/>
                  <a:graphic xmlns:a="http://schemas.openxmlformats.org/drawingml/2006/main">
                    <a:graphicData uri="http://schemas.openxmlformats.org/drawingml/2006/picture">
                      <pic:pic xmlns:pic="http://schemas.openxmlformats.org/drawingml/2006/picture">
                        <pic:nvPicPr>
                          <pic:cNvPr id="284" name="图片_2_SpCnt_31"/>
                          <pic:cNvPicPr/>
                        </pic:nvPicPr>
                        <pic:blipFill>
                          <a:blip r:embed="rId33"/>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704320" behindDoc="0" locked="0" layoutInCell="1" allowOverlap="1">
                  <wp:simplePos x="0" y="0"/>
                  <wp:positionH relativeFrom="column">
                    <wp:posOffset>0</wp:posOffset>
                  </wp:positionH>
                  <wp:positionV relativeFrom="paragraph">
                    <wp:posOffset>0</wp:posOffset>
                  </wp:positionV>
                  <wp:extent cx="457835" cy="12065"/>
                  <wp:effectExtent l="0" t="0" r="0" b="0"/>
                  <wp:wrapNone/>
                  <wp:docPr id="290" name="图片_2_SpCnt_32"/>
                  <wp:cNvGraphicFramePr/>
                  <a:graphic xmlns:a="http://schemas.openxmlformats.org/drawingml/2006/main">
                    <a:graphicData uri="http://schemas.openxmlformats.org/drawingml/2006/picture">
                      <pic:pic xmlns:pic="http://schemas.openxmlformats.org/drawingml/2006/picture">
                        <pic:nvPicPr>
                          <pic:cNvPr id="290" name="图片_2_SpCnt_32"/>
                          <pic:cNvPicPr/>
                        </pic:nvPicPr>
                        <pic:blipFill>
                          <a:blip r:embed="rId34"/>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705344" behindDoc="0" locked="0" layoutInCell="1" allowOverlap="1">
                  <wp:simplePos x="0" y="0"/>
                  <wp:positionH relativeFrom="column">
                    <wp:posOffset>0</wp:posOffset>
                  </wp:positionH>
                  <wp:positionV relativeFrom="paragraph">
                    <wp:posOffset>0</wp:posOffset>
                  </wp:positionV>
                  <wp:extent cx="457835" cy="12065"/>
                  <wp:effectExtent l="0" t="0" r="0" b="0"/>
                  <wp:wrapNone/>
                  <wp:docPr id="276" name="图片_2_SpCnt_33"/>
                  <wp:cNvGraphicFramePr/>
                  <a:graphic xmlns:a="http://schemas.openxmlformats.org/drawingml/2006/main">
                    <a:graphicData uri="http://schemas.openxmlformats.org/drawingml/2006/picture">
                      <pic:pic xmlns:pic="http://schemas.openxmlformats.org/drawingml/2006/picture">
                        <pic:nvPicPr>
                          <pic:cNvPr id="276" name="图片_2_SpCnt_33"/>
                          <pic:cNvPicPr/>
                        </pic:nvPicPr>
                        <pic:blipFill>
                          <a:blip r:embed="rId35"/>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457835" cy="12065"/>
                  <wp:effectExtent l="0" t="0" r="0" b="0"/>
                  <wp:wrapNone/>
                  <wp:docPr id="280" name="图片_60_SpCnt_1"/>
                  <wp:cNvGraphicFramePr/>
                  <a:graphic xmlns:a="http://schemas.openxmlformats.org/drawingml/2006/main">
                    <a:graphicData uri="http://schemas.openxmlformats.org/drawingml/2006/picture">
                      <pic:pic xmlns:pic="http://schemas.openxmlformats.org/drawingml/2006/picture">
                        <pic:nvPicPr>
                          <pic:cNvPr id="280" name="图片_60_SpCnt_1"/>
                          <pic:cNvPicPr/>
                        </pic:nvPicPr>
                        <pic:blipFill>
                          <a:blip r:embed="rId18"/>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707392" behindDoc="0" locked="0" layoutInCell="1" allowOverlap="1">
                  <wp:simplePos x="0" y="0"/>
                  <wp:positionH relativeFrom="column">
                    <wp:posOffset>0</wp:posOffset>
                  </wp:positionH>
                  <wp:positionV relativeFrom="paragraph">
                    <wp:posOffset>0</wp:posOffset>
                  </wp:positionV>
                  <wp:extent cx="457835" cy="12065"/>
                  <wp:effectExtent l="0" t="0" r="0" b="0"/>
                  <wp:wrapNone/>
                  <wp:docPr id="279" name="图片_2_SpCnt_34"/>
                  <wp:cNvGraphicFramePr/>
                  <a:graphic xmlns:a="http://schemas.openxmlformats.org/drawingml/2006/main">
                    <a:graphicData uri="http://schemas.openxmlformats.org/drawingml/2006/picture">
                      <pic:pic xmlns:pic="http://schemas.openxmlformats.org/drawingml/2006/picture">
                        <pic:nvPicPr>
                          <pic:cNvPr id="279" name="图片_2_SpCnt_34"/>
                          <pic:cNvPicPr/>
                        </pic:nvPicPr>
                        <pic:blipFill>
                          <a:blip r:embed="rId18"/>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457835" cy="12065"/>
                  <wp:effectExtent l="0" t="0" r="0" b="0"/>
                  <wp:wrapNone/>
                  <wp:docPr id="281" name="图片_2_SpCnt_35"/>
                  <wp:cNvGraphicFramePr/>
                  <a:graphic xmlns:a="http://schemas.openxmlformats.org/drawingml/2006/main">
                    <a:graphicData uri="http://schemas.openxmlformats.org/drawingml/2006/picture">
                      <pic:pic xmlns:pic="http://schemas.openxmlformats.org/drawingml/2006/picture">
                        <pic:nvPicPr>
                          <pic:cNvPr id="281" name="图片_2_SpCnt_35"/>
                          <pic:cNvPicPr/>
                        </pic:nvPicPr>
                        <pic:blipFill>
                          <a:blip r:embed="rId18"/>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709440" behindDoc="0" locked="0" layoutInCell="1" allowOverlap="1">
                  <wp:simplePos x="0" y="0"/>
                  <wp:positionH relativeFrom="column">
                    <wp:posOffset>0</wp:posOffset>
                  </wp:positionH>
                  <wp:positionV relativeFrom="paragraph">
                    <wp:posOffset>0</wp:posOffset>
                  </wp:positionV>
                  <wp:extent cx="457835" cy="12065"/>
                  <wp:effectExtent l="0" t="0" r="0" b="0"/>
                  <wp:wrapNone/>
                  <wp:docPr id="283" name="图片_2_SpCnt_36"/>
                  <wp:cNvGraphicFramePr/>
                  <a:graphic xmlns:a="http://schemas.openxmlformats.org/drawingml/2006/main">
                    <a:graphicData uri="http://schemas.openxmlformats.org/drawingml/2006/picture">
                      <pic:pic xmlns:pic="http://schemas.openxmlformats.org/drawingml/2006/picture">
                        <pic:nvPicPr>
                          <pic:cNvPr id="283" name="图片_2_SpCnt_36"/>
                          <pic:cNvPicPr/>
                        </pic:nvPicPr>
                        <pic:blipFill>
                          <a:blip r:embed="rId36"/>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457835" cy="12065"/>
                  <wp:effectExtent l="0" t="0" r="0" b="0"/>
                  <wp:wrapNone/>
                  <wp:docPr id="277" name="图片_2_SpCnt_37"/>
                  <wp:cNvGraphicFramePr/>
                  <a:graphic xmlns:a="http://schemas.openxmlformats.org/drawingml/2006/main">
                    <a:graphicData uri="http://schemas.openxmlformats.org/drawingml/2006/picture">
                      <pic:pic xmlns:pic="http://schemas.openxmlformats.org/drawingml/2006/picture">
                        <pic:nvPicPr>
                          <pic:cNvPr id="277" name="图片_2_SpCnt_37"/>
                          <pic:cNvPicPr/>
                        </pic:nvPicPr>
                        <pic:blipFill>
                          <a:blip r:embed="rId37"/>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711488" behindDoc="0" locked="0" layoutInCell="1" allowOverlap="1">
                  <wp:simplePos x="0" y="0"/>
                  <wp:positionH relativeFrom="column">
                    <wp:posOffset>0</wp:posOffset>
                  </wp:positionH>
                  <wp:positionV relativeFrom="paragraph">
                    <wp:posOffset>0</wp:posOffset>
                  </wp:positionV>
                  <wp:extent cx="457835" cy="12065"/>
                  <wp:effectExtent l="0" t="0" r="0" b="0"/>
                  <wp:wrapNone/>
                  <wp:docPr id="285" name="图片_46"/>
                  <wp:cNvGraphicFramePr/>
                  <a:graphic xmlns:a="http://schemas.openxmlformats.org/drawingml/2006/main">
                    <a:graphicData uri="http://schemas.openxmlformats.org/drawingml/2006/picture">
                      <pic:pic xmlns:pic="http://schemas.openxmlformats.org/drawingml/2006/picture">
                        <pic:nvPicPr>
                          <pic:cNvPr id="285" name="图片_46"/>
                          <pic:cNvPicPr/>
                        </pic:nvPicPr>
                        <pic:blipFill>
                          <a:blip r:embed="rId38"/>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712512" behindDoc="0" locked="0" layoutInCell="1" allowOverlap="1">
                  <wp:simplePos x="0" y="0"/>
                  <wp:positionH relativeFrom="column">
                    <wp:posOffset>0</wp:posOffset>
                  </wp:positionH>
                  <wp:positionV relativeFrom="paragraph">
                    <wp:posOffset>0</wp:posOffset>
                  </wp:positionV>
                  <wp:extent cx="457835" cy="12065"/>
                  <wp:effectExtent l="0" t="0" r="0" b="0"/>
                  <wp:wrapNone/>
                  <wp:docPr id="286" name="图片_2_SpCnt_38"/>
                  <wp:cNvGraphicFramePr/>
                  <a:graphic xmlns:a="http://schemas.openxmlformats.org/drawingml/2006/main">
                    <a:graphicData uri="http://schemas.openxmlformats.org/drawingml/2006/picture">
                      <pic:pic xmlns:pic="http://schemas.openxmlformats.org/drawingml/2006/picture">
                        <pic:nvPicPr>
                          <pic:cNvPr id="286" name="图片_2_SpCnt_38"/>
                          <pic:cNvPicPr/>
                        </pic:nvPicPr>
                        <pic:blipFill>
                          <a:blip r:embed="rId39"/>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713536" behindDoc="0" locked="0" layoutInCell="1" allowOverlap="1">
                  <wp:simplePos x="0" y="0"/>
                  <wp:positionH relativeFrom="column">
                    <wp:posOffset>0</wp:posOffset>
                  </wp:positionH>
                  <wp:positionV relativeFrom="paragraph">
                    <wp:posOffset>0</wp:posOffset>
                  </wp:positionV>
                  <wp:extent cx="457835" cy="12065"/>
                  <wp:effectExtent l="0" t="0" r="0" b="0"/>
                  <wp:wrapNone/>
                  <wp:docPr id="287" name="图片_2_SpCnt_39"/>
                  <wp:cNvGraphicFramePr/>
                  <a:graphic xmlns:a="http://schemas.openxmlformats.org/drawingml/2006/main">
                    <a:graphicData uri="http://schemas.openxmlformats.org/drawingml/2006/picture">
                      <pic:pic xmlns:pic="http://schemas.openxmlformats.org/drawingml/2006/picture">
                        <pic:nvPicPr>
                          <pic:cNvPr id="287" name="图片_2_SpCnt_39"/>
                          <pic:cNvPicPr/>
                        </pic:nvPicPr>
                        <pic:blipFill>
                          <a:blip r:embed="rId18"/>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714560" behindDoc="0" locked="0" layoutInCell="1" allowOverlap="1">
                  <wp:simplePos x="0" y="0"/>
                  <wp:positionH relativeFrom="column">
                    <wp:posOffset>0</wp:posOffset>
                  </wp:positionH>
                  <wp:positionV relativeFrom="paragraph">
                    <wp:posOffset>0</wp:posOffset>
                  </wp:positionV>
                  <wp:extent cx="457835" cy="12065"/>
                  <wp:effectExtent l="0" t="0" r="0" b="0"/>
                  <wp:wrapNone/>
                  <wp:docPr id="259" name="图片_46_SpCnt_1"/>
                  <wp:cNvGraphicFramePr/>
                  <a:graphic xmlns:a="http://schemas.openxmlformats.org/drawingml/2006/main">
                    <a:graphicData uri="http://schemas.openxmlformats.org/drawingml/2006/picture">
                      <pic:pic xmlns:pic="http://schemas.openxmlformats.org/drawingml/2006/picture">
                        <pic:nvPicPr>
                          <pic:cNvPr id="259" name="图片_46_SpCnt_1"/>
                          <pic:cNvPicPr/>
                        </pic:nvPicPr>
                        <pic:blipFill>
                          <a:blip r:embed="rId18"/>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715584" behindDoc="0" locked="0" layoutInCell="1" allowOverlap="1">
                  <wp:simplePos x="0" y="0"/>
                  <wp:positionH relativeFrom="column">
                    <wp:posOffset>0</wp:posOffset>
                  </wp:positionH>
                  <wp:positionV relativeFrom="paragraph">
                    <wp:posOffset>0</wp:posOffset>
                  </wp:positionV>
                  <wp:extent cx="457835" cy="12065"/>
                  <wp:effectExtent l="0" t="0" r="0" b="0"/>
                  <wp:wrapNone/>
                  <wp:docPr id="269" name="图片_2_SpCnt_40"/>
                  <wp:cNvGraphicFramePr/>
                  <a:graphic xmlns:a="http://schemas.openxmlformats.org/drawingml/2006/main">
                    <a:graphicData uri="http://schemas.openxmlformats.org/drawingml/2006/picture">
                      <pic:pic xmlns:pic="http://schemas.openxmlformats.org/drawingml/2006/picture">
                        <pic:nvPicPr>
                          <pic:cNvPr id="269" name="图片_2_SpCnt_40"/>
                          <pic:cNvPicPr/>
                        </pic:nvPicPr>
                        <pic:blipFill>
                          <a:blip r:embed="rId18"/>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716608" behindDoc="0" locked="0" layoutInCell="1" allowOverlap="1">
                  <wp:simplePos x="0" y="0"/>
                  <wp:positionH relativeFrom="column">
                    <wp:posOffset>0</wp:posOffset>
                  </wp:positionH>
                  <wp:positionV relativeFrom="paragraph">
                    <wp:posOffset>0</wp:posOffset>
                  </wp:positionV>
                  <wp:extent cx="457835" cy="12065"/>
                  <wp:effectExtent l="0" t="0" r="0" b="0"/>
                  <wp:wrapNone/>
                  <wp:docPr id="271" name="图片_46_SpCnt_2"/>
                  <wp:cNvGraphicFramePr/>
                  <a:graphic xmlns:a="http://schemas.openxmlformats.org/drawingml/2006/main">
                    <a:graphicData uri="http://schemas.openxmlformats.org/drawingml/2006/picture">
                      <pic:pic xmlns:pic="http://schemas.openxmlformats.org/drawingml/2006/picture">
                        <pic:nvPicPr>
                          <pic:cNvPr id="271" name="图片_46_SpCnt_2"/>
                          <pic:cNvPicPr/>
                        </pic:nvPicPr>
                        <pic:blipFill>
                          <a:blip r:embed="rId40"/>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457835" cy="12065"/>
                  <wp:effectExtent l="0" t="0" r="0" b="0"/>
                  <wp:wrapNone/>
                  <wp:docPr id="258" name="图片_2_SpCnt_41"/>
                  <wp:cNvGraphicFramePr/>
                  <a:graphic xmlns:a="http://schemas.openxmlformats.org/drawingml/2006/main">
                    <a:graphicData uri="http://schemas.openxmlformats.org/drawingml/2006/picture">
                      <pic:pic xmlns:pic="http://schemas.openxmlformats.org/drawingml/2006/picture">
                        <pic:nvPicPr>
                          <pic:cNvPr id="258" name="图片_2_SpCnt_41"/>
                          <pic:cNvPicPr/>
                        </pic:nvPicPr>
                        <pic:blipFill>
                          <a:blip r:embed="rId41"/>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drawing>
                <wp:anchor distT="0" distB="0" distL="114300" distR="114300" simplePos="0" relativeHeight="251718656" behindDoc="0" locked="0" layoutInCell="1" allowOverlap="1">
                  <wp:simplePos x="0" y="0"/>
                  <wp:positionH relativeFrom="column">
                    <wp:posOffset>0</wp:posOffset>
                  </wp:positionH>
                  <wp:positionV relativeFrom="paragraph">
                    <wp:posOffset>0</wp:posOffset>
                  </wp:positionV>
                  <wp:extent cx="457835" cy="12065"/>
                  <wp:effectExtent l="0" t="0" r="0" b="0"/>
                  <wp:wrapNone/>
                  <wp:docPr id="273" name="图片_60_SpCnt_2"/>
                  <wp:cNvGraphicFramePr/>
                  <a:graphic xmlns:a="http://schemas.openxmlformats.org/drawingml/2006/main">
                    <a:graphicData uri="http://schemas.openxmlformats.org/drawingml/2006/picture">
                      <pic:pic xmlns:pic="http://schemas.openxmlformats.org/drawingml/2006/picture">
                        <pic:nvPicPr>
                          <pic:cNvPr id="273" name="图片_60_SpCnt_2"/>
                          <pic:cNvPicPr/>
                        </pic:nvPicPr>
                        <pic:blipFill>
                          <a:blip r:embed="rId42"/>
                          <a:stretch>
                            <a:fillRect/>
                          </a:stretch>
                        </pic:blipFill>
                        <pic:spPr>
                          <a:xfrm>
                            <a:off x="0" y="0"/>
                            <a:ext cx="457835" cy="12065"/>
                          </a:xfrm>
                          <a:prstGeom prst="rect">
                            <a:avLst/>
                          </a:prstGeom>
                          <a:noFill/>
                          <a:ln>
                            <a:noFill/>
                          </a:ln>
                        </pic:spPr>
                      </pic:pic>
                    </a:graphicData>
                  </a:graphic>
                </wp:anchor>
              </w:drawing>
            </w:r>
            <w:r>
              <w:rPr>
                <w:rFonts w:hint="eastAsia" w:ascii="宋体" w:hAnsi="宋体" w:eastAsia="宋体" w:cs="宋体"/>
                <w:color w:val="auto"/>
                <w:kern w:val="0"/>
                <w:sz w:val="21"/>
                <w:szCs w:val="21"/>
                <w:highlight w:val="none"/>
                <w:lang w:bidi="ar"/>
              </w:rPr>
              <w:t>战术5级防弹盾牌（含盾牌灯+垂挂板）</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94FC2">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w:t>
            </w: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5A661">
            <w:pPr>
              <w:widowControl/>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套</w:t>
            </w:r>
          </w:p>
        </w:tc>
        <w:tc>
          <w:tcPr>
            <w:tcW w:w="1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B8F94">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bdr w:val="single" w:color="000000" w:sz="4" w:space="0"/>
                <w:lang w:bidi="ar"/>
              </w:rPr>
              <w:drawing>
                <wp:anchor distT="0" distB="0" distL="114300" distR="114300" simplePos="0" relativeHeight="251719680" behindDoc="0" locked="0" layoutInCell="1" allowOverlap="1">
                  <wp:simplePos x="0" y="0"/>
                  <wp:positionH relativeFrom="column">
                    <wp:posOffset>471170</wp:posOffset>
                  </wp:positionH>
                  <wp:positionV relativeFrom="paragraph">
                    <wp:posOffset>452755</wp:posOffset>
                  </wp:positionV>
                  <wp:extent cx="1003300" cy="1471930"/>
                  <wp:effectExtent l="0" t="0" r="6350" b="13970"/>
                  <wp:wrapNone/>
                  <wp:docPr id="264" name="图片_56_SpCnt_3"/>
                  <wp:cNvGraphicFramePr/>
                  <a:graphic xmlns:a="http://schemas.openxmlformats.org/drawingml/2006/main">
                    <a:graphicData uri="http://schemas.openxmlformats.org/drawingml/2006/picture">
                      <pic:pic xmlns:pic="http://schemas.openxmlformats.org/drawingml/2006/picture">
                        <pic:nvPicPr>
                          <pic:cNvPr id="264" name="图片_56_SpCnt_3"/>
                          <pic:cNvPicPr/>
                        </pic:nvPicPr>
                        <pic:blipFill>
                          <a:blip r:embed="rId15"/>
                          <a:stretch>
                            <a:fillRect/>
                          </a:stretch>
                        </pic:blipFill>
                        <pic:spPr>
                          <a:xfrm>
                            <a:off x="0" y="0"/>
                            <a:ext cx="1003300" cy="1471930"/>
                          </a:xfrm>
                          <a:prstGeom prst="rect">
                            <a:avLst/>
                          </a:prstGeom>
                          <a:noFill/>
                          <a:ln>
                            <a:noFill/>
                          </a:ln>
                        </pic:spPr>
                      </pic:pic>
                    </a:graphicData>
                  </a:graphic>
                </wp:anchor>
              </w:drawing>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FA278">
            <w:pPr>
              <w:widowControl/>
              <w:spacing w:line="240" w:lineRule="auto"/>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1.材料： PE高分子聚乙烯</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2.颜色：黑色</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3.防护级别：GA-5</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4.执行标准：《GA 423-2015》</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 xml:space="preserve"> 1956年式7.62mm半自动步枪</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 xml:space="preserve"> 1956年式7.62mm普通弹（钢心）</w:t>
            </w:r>
            <w:r>
              <w:rPr>
                <w:rFonts w:hint="eastAsia" w:ascii="宋体" w:hAnsi="宋体" w:eastAsia="宋体" w:cs="宋体"/>
                <w:color w:val="auto"/>
                <w:kern w:val="0"/>
                <w:sz w:val="21"/>
                <w:szCs w:val="21"/>
                <w:highlight w:val="none"/>
                <w:lang w:bidi="ar"/>
              </w:rPr>
              <w:br w:type="textWrapping"/>
            </w:r>
            <w:r>
              <w:rPr>
                <w:rStyle w:val="77"/>
                <w:rFonts w:hint="eastAsia" w:ascii="宋体" w:hAnsi="宋体" w:eastAsia="宋体" w:cs="宋体"/>
                <w:color w:val="auto"/>
                <w:sz w:val="21"/>
                <w:szCs w:val="21"/>
                <w:highlight w:val="none"/>
                <w:lang w:bidi="ar"/>
              </w:rPr>
              <w:t>▲5.</w:t>
            </w:r>
            <w:r>
              <w:rPr>
                <w:rFonts w:hint="eastAsia" w:ascii="宋体" w:hAnsi="宋体" w:eastAsia="宋体" w:cs="宋体"/>
                <w:color w:val="auto"/>
                <w:kern w:val="0"/>
                <w:sz w:val="21"/>
                <w:szCs w:val="21"/>
                <w:highlight w:val="none"/>
                <w:lang w:bidi="ar"/>
              </w:rPr>
              <w:t>防护面积：≥0.30㎡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6.尺寸：≥长78cm*宽50cm</w:t>
            </w:r>
            <w:r>
              <w:rPr>
                <w:rFonts w:hint="eastAsia" w:ascii="宋体" w:hAnsi="宋体" w:eastAsia="宋体" w:cs="宋体"/>
                <w:color w:val="auto"/>
                <w:kern w:val="0"/>
                <w:sz w:val="21"/>
                <w:szCs w:val="21"/>
                <w:highlight w:val="none"/>
                <w:lang w:bidi="ar"/>
              </w:rPr>
              <w:br w:type="textWrapping"/>
            </w:r>
            <w:r>
              <w:rPr>
                <w:rStyle w:val="77"/>
                <w:rFonts w:hint="eastAsia" w:ascii="宋体" w:hAnsi="宋体" w:eastAsia="宋体" w:cs="宋体"/>
                <w:color w:val="auto"/>
                <w:sz w:val="21"/>
                <w:szCs w:val="21"/>
                <w:highlight w:val="none"/>
                <w:lang w:bidi="ar"/>
              </w:rPr>
              <w:t>7.质量</w:t>
            </w:r>
            <w:r>
              <w:rPr>
                <w:rFonts w:hint="eastAsia" w:ascii="宋体" w:hAnsi="宋体" w:eastAsia="宋体" w:cs="宋体"/>
                <w:color w:val="auto"/>
                <w:kern w:val="0"/>
                <w:sz w:val="21"/>
                <w:szCs w:val="21"/>
                <w:highlight w:val="none"/>
                <w:lang w:bidi="ar"/>
              </w:rPr>
              <w:t>：≥8±0.5kg</w:t>
            </w:r>
            <w:r>
              <w:rPr>
                <w:rFonts w:hint="eastAsia" w:ascii="宋体" w:hAnsi="宋体" w:eastAsia="宋体" w:cs="宋体"/>
                <w:color w:val="auto"/>
                <w:kern w:val="0"/>
                <w:sz w:val="21"/>
                <w:szCs w:val="21"/>
                <w:highlight w:val="none"/>
                <w:lang w:bidi="ar"/>
              </w:rPr>
              <w:br w:type="textWrapping"/>
            </w:r>
            <w:r>
              <w:rPr>
                <w:rStyle w:val="77"/>
                <w:rFonts w:hint="eastAsia" w:ascii="宋体" w:hAnsi="宋体" w:eastAsia="宋体" w:cs="宋体"/>
                <w:color w:val="auto"/>
                <w:sz w:val="21"/>
                <w:szCs w:val="21"/>
                <w:highlight w:val="none"/>
                <w:lang w:bidi="ar"/>
              </w:rPr>
              <w:t>▲8.</w:t>
            </w:r>
            <w:r>
              <w:rPr>
                <w:rFonts w:hint="eastAsia" w:ascii="宋体" w:hAnsi="宋体" w:eastAsia="宋体" w:cs="宋体"/>
                <w:color w:val="auto"/>
                <w:kern w:val="0"/>
                <w:sz w:val="21"/>
                <w:szCs w:val="21"/>
                <w:highlight w:val="none"/>
                <w:lang w:bidi="ar"/>
              </w:rPr>
              <w:t>盾体厚度：≥17–20mm</w:t>
            </w:r>
            <w:r>
              <w:rPr>
                <w:rFonts w:hint="eastAsia" w:ascii="宋体" w:hAnsi="宋体" w:eastAsia="宋体" w:cs="宋体"/>
                <w:color w:val="auto"/>
                <w:kern w:val="0"/>
                <w:sz w:val="21"/>
                <w:szCs w:val="21"/>
                <w:highlight w:val="none"/>
                <w:lang w:bidi="ar"/>
              </w:rPr>
              <w:br w:type="textWrapping"/>
            </w:r>
            <w:r>
              <w:rPr>
                <w:rStyle w:val="77"/>
                <w:rFonts w:hint="eastAsia" w:ascii="宋体" w:hAnsi="宋体" w:eastAsia="宋体" w:cs="宋体"/>
                <w:color w:val="auto"/>
                <w:sz w:val="21"/>
                <w:szCs w:val="21"/>
                <w:highlight w:val="none"/>
                <w:lang w:bidi="ar"/>
              </w:rPr>
              <w:t>▲9.</w:t>
            </w:r>
            <w:r>
              <w:rPr>
                <w:rFonts w:hint="eastAsia" w:ascii="宋体" w:hAnsi="宋体" w:eastAsia="宋体" w:cs="宋体"/>
                <w:color w:val="auto"/>
                <w:kern w:val="0"/>
                <w:sz w:val="21"/>
                <w:szCs w:val="21"/>
                <w:highlight w:val="none"/>
                <w:lang w:bidi="ar"/>
              </w:rPr>
              <w:t>观察窗：≤光畸变1.2’, 透光率≤73%，搭接宽度≤23mm，最小可视面积≤110C㎡</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10.坦克切面外观设计，利用等效装甲原理，在不增加物理厚度的同时增加等效厚度，提升防御能力；</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11.标准款为左手持盾式设计，背面配备有1个把手和1个固定织带（手持方式可接受定制）两个背带挂点。适用于地形较为复杂的作战场景，在较为狭窄的楼梯或者通道中行动更为灵活，也可以更好地和枪支等武器配合；</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“爆闪灯+视窗版”配备有防弹玻璃观察窗，便于观察外部情况，以及警示作用。</w:t>
            </w:r>
          </w:p>
          <w:p w14:paraId="33E71D9E">
            <w:pPr>
              <w:widowControl/>
              <w:spacing w:line="240" w:lineRule="auto"/>
              <w:rPr>
                <w:rFonts w:hint="eastAsia" w:ascii="宋体" w:hAnsi="宋体" w:eastAsia="宋体" w:cs="宋体"/>
                <w:color w:val="auto"/>
                <w:kern w:val="0"/>
                <w:sz w:val="21"/>
                <w:szCs w:val="21"/>
                <w:highlight w:val="none"/>
                <w:lang w:bidi="ar"/>
              </w:rPr>
            </w:pPr>
            <w:r>
              <w:rPr>
                <w:rStyle w:val="77"/>
                <w:rFonts w:hint="eastAsia" w:ascii="宋体" w:hAnsi="宋体" w:eastAsia="宋体" w:cs="宋体"/>
                <w:color w:val="auto"/>
                <w:sz w:val="21"/>
                <w:szCs w:val="21"/>
                <w:highlight w:val="none"/>
                <w:lang w:bidi="ar"/>
              </w:rPr>
              <w:t>▲12.</w:t>
            </w:r>
            <w:r>
              <w:rPr>
                <w:rFonts w:hint="eastAsia" w:ascii="宋体" w:hAnsi="宋体" w:eastAsia="宋体" w:cs="宋体"/>
                <w:color w:val="auto"/>
                <w:kern w:val="0"/>
                <w:sz w:val="21"/>
                <w:szCs w:val="21"/>
                <w:highlight w:val="none"/>
                <w:lang w:bidi="ar"/>
              </w:rPr>
              <w:t>阻燃性能：盾体外表面续燃时间≤10s</w:t>
            </w:r>
          </w:p>
          <w:p w14:paraId="32FEAD80">
            <w:pPr>
              <w:widowControl/>
              <w:spacing w:line="240" w:lineRule="auto"/>
              <w:rPr>
                <w:rFonts w:hint="eastAsia" w:ascii="宋体" w:hAnsi="宋体" w:eastAsia="宋体" w:cs="宋体"/>
                <w:color w:val="auto"/>
                <w:kern w:val="0"/>
                <w:sz w:val="21"/>
                <w:szCs w:val="21"/>
                <w:highlight w:val="none"/>
                <w:lang w:bidi="ar"/>
              </w:rPr>
            </w:pPr>
            <w:r>
              <w:rPr>
                <w:rStyle w:val="77"/>
                <w:rFonts w:hint="eastAsia" w:ascii="宋体" w:hAnsi="宋体" w:eastAsia="宋体" w:cs="宋体"/>
                <w:color w:val="auto"/>
                <w:sz w:val="21"/>
                <w:szCs w:val="21"/>
                <w:highlight w:val="none"/>
                <w:lang w:bidi="ar"/>
              </w:rPr>
              <w:t>▲1</w:t>
            </w:r>
            <w:r>
              <w:rPr>
                <w:rFonts w:hint="eastAsia" w:ascii="宋体" w:hAnsi="宋体" w:eastAsia="宋体" w:cs="宋体"/>
                <w:color w:val="auto"/>
                <w:kern w:val="0"/>
                <w:sz w:val="21"/>
                <w:szCs w:val="21"/>
                <w:highlight w:val="none"/>
                <w:lang w:bidi="ar"/>
              </w:rPr>
              <w:t>3.连接强度：防弹盾牌的把手与盾体的连接结构强度≥600N</w:t>
            </w:r>
          </w:p>
          <w:p w14:paraId="6BB1AA9A">
            <w:pPr>
              <w:widowControl/>
              <w:spacing w:line="240" w:lineRule="auto"/>
              <w:rPr>
                <w:rFonts w:hint="eastAsia" w:ascii="宋体" w:hAnsi="宋体" w:eastAsia="宋体" w:cs="宋体"/>
                <w:color w:val="auto"/>
                <w:kern w:val="0"/>
                <w:sz w:val="21"/>
                <w:szCs w:val="21"/>
                <w:highlight w:val="none"/>
                <w:lang w:bidi="ar"/>
              </w:rPr>
            </w:pPr>
            <w:r>
              <w:rPr>
                <w:rStyle w:val="77"/>
                <w:rFonts w:hint="eastAsia" w:ascii="宋体" w:hAnsi="宋体" w:eastAsia="宋体" w:cs="宋体"/>
                <w:color w:val="auto"/>
                <w:sz w:val="21"/>
                <w:szCs w:val="21"/>
                <w:highlight w:val="none"/>
                <w:lang w:bidi="ar"/>
              </w:rPr>
              <w:t>▲14.</w:t>
            </w:r>
            <w:r>
              <w:rPr>
                <w:rFonts w:hint="eastAsia" w:ascii="宋体" w:hAnsi="宋体" w:eastAsia="宋体" w:cs="宋体"/>
                <w:color w:val="auto"/>
                <w:kern w:val="0"/>
                <w:sz w:val="21"/>
                <w:szCs w:val="21"/>
                <w:highlight w:val="none"/>
                <w:lang w:bidi="ar"/>
              </w:rPr>
              <w:t>照明功能：距光源1m处光斑中心初始照度大于500 lX</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1、光通量：≥4000流明</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2、照度：高亮模式照度5m≥3000lx</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3、续航时间：≥2小时</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4、开关模式：双线控开关，一键常亮及一键爆闪</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5、电池：优质锂离子电池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6、照射距离：≥550米</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7、材质：航天铝材</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9、尺寸：185毫米（长）×85毫米（宽）×55毫米（高）（不含线控开关）</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10、重量：≤44</w:t>
            </w:r>
            <w:r>
              <w:rPr>
                <w:rFonts w:hint="eastAsia" w:ascii="宋体" w:hAnsi="宋体" w:eastAsia="宋体" w:cs="宋体"/>
                <w:color w:val="auto"/>
                <w:kern w:val="0"/>
                <w:sz w:val="21"/>
                <w:szCs w:val="21"/>
                <w:highlight w:val="none"/>
                <w:lang w:val="en-US" w:eastAsia="zh-CN" w:bidi="ar"/>
              </w:rPr>
              <w:t>0</w:t>
            </w:r>
            <w:r>
              <w:rPr>
                <w:rFonts w:hint="eastAsia" w:ascii="宋体" w:hAnsi="宋体" w:eastAsia="宋体" w:cs="宋体"/>
                <w:color w:val="auto"/>
                <w:kern w:val="0"/>
                <w:sz w:val="21"/>
                <w:szCs w:val="21"/>
                <w:highlight w:val="none"/>
                <w:lang w:bidi="ar"/>
              </w:rPr>
              <w:t>克（不含电池）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11、抗摔高度：≥1米</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12、防水等级：IPX4</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13、安装方式：标配3M胶，直接安装在盾牌</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14、垂挂板：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结构：与盾牌本体可靠连接（可采用搭扣、魔术贴等通用方式），内含GA3 级软质防弹芯片</w:t>
            </w:r>
          </w:p>
          <w:p w14:paraId="763F655A">
            <w:pPr>
              <w:widowControl/>
              <w:spacing w:line="240" w:lineRule="auto"/>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防护：额外防护面积≥0.14㎡</w:t>
            </w:r>
          </w:p>
          <w:p w14:paraId="7D83A581">
            <w:pPr>
              <w:widowControl/>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外套采用高强度阻燃面料，尺寸适配盾牌本体、不影响使用灵活性。</w:t>
            </w:r>
          </w:p>
        </w:tc>
      </w:tr>
      <w:tr w14:paraId="4CBF1CC0">
        <w:tblPrEx>
          <w:tblCellMar>
            <w:top w:w="0" w:type="dxa"/>
            <w:left w:w="108" w:type="dxa"/>
            <w:bottom w:w="0" w:type="dxa"/>
            <w:right w:w="108" w:type="dxa"/>
          </w:tblCellMar>
        </w:tblPrEx>
        <w:trPr>
          <w:trHeight w:val="2842"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A7535">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3</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033CA">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重型战术防暴服系统</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（阻燃、防酸碱、防刺等）</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A36E3">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60</w:t>
            </w: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E321E">
            <w:pPr>
              <w:widowControl/>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套</w:t>
            </w:r>
          </w:p>
        </w:tc>
        <w:tc>
          <w:tcPr>
            <w:tcW w:w="1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FC546">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bdr w:val="single" w:color="000000" w:sz="4" w:space="0"/>
                <w:lang w:bidi="ar"/>
              </w:rPr>
              <w:drawing>
                <wp:anchor distT="0" distB="0" distL="114300" distR="114300" simplePos="0" relativeHeight="251720704" behindDoc="0" locked="0" layoutInCell="1" allowOverlap="1">
                  <wp:simplePos x="0" y="0"/>
                  <wp:positionH relativeFrom="column">
                    <wp:posOffset>244475</wp:posOffset>
                  </wp:positionH>
                  <wp:positionV relativeFrom="paragraph">
                    <wp:posOffset>236220</wp:posOffset>
                  </wp:positionV>
                  <wp:extent cx="1314450" cy="1499870"/>
                  <wp:effectExtent l="0" t="0" r="0" b="5080"/>
                  <wp:wrapNone/>
                  <wp:docPr id="270" name="图片_59"/>
                  <wp:cNvGraphicFramePr/>
                  <a:graphic xmlns:a="http://schemas.openxmlformats.org/drawingml/2006/main">
                    <a:graphicData uri="http://schemas.openxmlformats.org/drawingml/2006/picture">
                      <pic:pic xmlns:pic="http://schemas.openxmlformats.org/drawingml/2006/picture">
                        <pic:nvPicPr>
                          <pic:cNvPr id="270" name="图片_59"/>
                          <pic:cNvPicPr/>
                        </pic:nvPicPr>
                        <pic:blipFill>
                          <a:blip r:embed="rId43"/>
                          <a:stretch>
                            <a:fillRect/>
                          </a:stretch>
                        </pic:blipFill>
                        <pic:spPr>
                          <a:xfrm>
                            <a:off x="0" y="0"/>
                            <a:ext cx="1314450" cy="1499870"/>
                          </a:xfrm>
                          <a:prstGeom prst="rect">
                            <a:avLst/>
                          </a:prstGeom>
                          <a:noFill/>
                          <a:ln>
                            <a:noFill/>
                          </a:ln>
                        </pic:spPr>
                      </pic:pic>
                    </a:graphicData>
                  </a:graphic>
                </wp:anchor>
              </w:drawing>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F3DE8">
            <w:pPr>
              <w:widowControl/>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战术防暴服系统是一整套针对群体性事件而全新开发的防暴服系统，总体可以分为三个部分组成，分别是阻燃防酸碱防暴作战服，防刺防砍盔甲,阻燃防刺背心,防暴盾牌</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 xml:space="preserve"> 作战服</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战术防暴服系统的核心基底是具备阻燃防酸碱能力的防暴作战服，此款防暴作战服采用防酸碱防护服和阻燃服标准的布料，缝线和辅料，可以有效阻燃和防酸碱，对应群体性事件中可能出现燃烧弹投掷或者强酸碱液体泼洒的威胁；</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▲1、织物穿透时间：酸碱类化学品防护穿透时间，洗前80%硫酸t≥30，洗后80%硫酸t≥10，洗前30%盐酸t≥30，洗后30%盐酸t≥10，洗前40%硝酸t≥30，洗后40%硝酸t≥10，洗前 30% 氢氧化钠 t≥30min，洗后 30% 氢氧化钠 t≥10min</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▲2、织物强力下降率：80%硫酸，径向≤13%，纬向≤8%，30%盐酸，经向≤10%，纬向≤6%，40%硝酸，径向≤13%，纬向≤7%，30%氢氧化钠，径向≤9%，纬向≤-1%</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3、洗涤次数不低于50次，损毁长度≤50mm，并且不熔融，滴落的标准。</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阻燃防酸碱作战服采用可调式闭合结构，穿脱便捷、连接牢固。防暴作战服可单独穿着提供最基础的防护，质量轻，透气，与常规作战服无异，在行进及搏斗中不影响四肢的灵活运动及人体跪、跳、蹲、跑、俯仰、转体等战术动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尺寸：服装（S码/M码 / L码 / XL码/XXL码）</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 xml:space="preserve"> 防刺防砍盔甲</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防刺防砍盔甲是配合在阻燃防酸碱防暴作战服之上的保护盔甲，盔甲共分为防刺防砍半身衣，护胸板，护肘，护大腿和护膝五个部分。防刺防砍盔甲符合公安部GA68-2019（警用防刺服）的相关测试标准，能有效防止刀砍、棒打等外力击打所造成的伤害。防刺防砍半身衣为穿着者提供肩部和颈部抵抗冲击和穿刺的支撑；护胸板提供前胸和背部抵抗冲击和穿刺的支撑；护肘和护膝可通过专属设计的机构安装到阻燃防酸碱防暴作战服上，形成一个整体贴身的防暴服装甲。</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1、肩部，颈部、上臂、肘部、前臂、膝、小腿、脚踝及脚面护具组成，总重量≤2kg.</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2、关键部位经100J能量冲击后，无破损、无开裂，胶泥压痕深度≤20mm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 xml:space="preserve"> 主体背心</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背心主体高强度阻燃面料、高性能阻燃织带与辅料，均符合GB8965.1 2009（阻燃服）标准A级,并且不熔融，滴落的标准。</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1、续燃时间和阴燃时间都≤2s，洗涤次数不低于50次，损毁长度≤50mm。（以检测报告为主）</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▲2、断裂强力：洗前径向撕裂强度≥2500，洗前纬向撕裂强度≥1800，洗后径向撕裂强度≥2500，洗后纬向撕裂强度≥1900（以检测报告为主）</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▲3、撕破强力：（洗前）径向：2.9×10²，纬向：：1.4×10²（以检测报告为主）</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▲4、耐摩擦度：≥4，耐皂洗≤5，耐汗迹≥4（以检测报告为主）</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▲5、热稳定性：洗前径向≥1，洗前纬向≥3，洗后径向≥2，洗后纬向≥2（以检测报告为主）</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6、甲醛（含量低于检出限：20mg/kg）</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7、色牢度：</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耐皂洗（变色／沾色）</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原样变色：4-5多纤维沾色醋纤：4-5棉：4-5锦纶：4-5聚酯纤维：4-5 腈纶：4-5 羊毛：4-5</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耐摩擦   干摩：4</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耐汗渍（变色／沾色）</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耐酸汗渍:原样变色:4-5多纤维沾色醋纤：4-5棉：4-5锦纶：4-5聚酯纤维：4-5 腈纶：4-5羊毛：4-5</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耐碱汗渍：原样变色:4-5多纤维沾色醋纤：4-5棉：4-5锦纶：4-5聚酯纤维：4-5 腈纶：4-5 羊毛：4-5</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8、适应环境温度：-20℃~+55℃。</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▲9、外套主面料技术指标（以第三方检测机构出具的带有CMA 或CNAS 标识的检测报告中体现并符合此参数，提供报告复印件）</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10、高强度耐用扣具（磁吸 / 插扣均可），连接可靠、开合便捷。</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▲11、产品提供的“尼龙织带和磁力扣连接扣”拉力检查报告，在零下负20度，冷冻8小时，扣具还可承受不小于 703N的拉力（以检测报告为准）</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▲12、产品提供常温条件下，磁力扣具，开合耐久度测试，开合次数超过 10000次（以检测报告为准）</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▲13、产品提供常温条件下，磁力扣具，背心尼龙织带和磁力扣连接扣（肩带拉扣）拉力测试≥485N，背心尼龙织带和磁力扣连接扣（腰封拉扣）拉力测试≥709N（以检测报告为准）</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14、背心内部设有可拆卸透气垫</w:t>
            </w:r>
          </w:p>
        </w:tc>
      </w:tr>
      <w:tr w14:paraId="4CB1C502">
        <w:tblPrEx>
          <w:tblCellMar>
            <w:top w:w="0" w:type="dxa"/>
            <w:left w:w="108" w:type="dxa"/>
            <w:bottom w:w="0" w:type="dxa"/>
            <w:right w:w="108" w:type="dxa"/>
          </w:tblCellMar>
        </w:tblPrEx>
        <w:trPr>
          <w:trHeight w:val="1507"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7BDBF">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415C1">
            <w:pPr>
              <w:widowControl/>
              <w:spacing w:line="240" w:lineRule="auto"/>
              <w:jc w:val="center"/>
              <w:textAlignment w:val="center"/>
              <w:rPr>
                <w:rFonts w:hint="default" w:ascii="宋体" w:hAnsi="宋体" w:eastAsia="宋体" w:cs="宋体"/>
                <w:color w:val="auto"/>
                <w:sz w:val="21"/>
                <w:szCs w:val="21"/>
                <w:highlight w:val="none"/>
                <w:lang w:val="en-US"/>
              </w:rPr>
            </w:pPr>
            <w:r>
              <w:rPr>
                <w:rFonts w:hint="eastAsia" w:cs="宋体"/>
                <w:color w:val="auto"/>
                <w:kern w:val="0"/>
                <w:sz w:val="21"/>
                <w:szCs w:val="21"/>
                <w:highlight w:val="none"/>
                <w:lang w:val="en-US" w:eastAsia="zh-CN" w:bidi="ar"/>
              </w:rPr>
              <w:t>防爆盾牌</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3E530">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250</w:t>
            </w: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BF8FB">
            <w:pPr>
              <w:widowControl/>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面</w:t>
            </w: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E9B21">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bdr w:val="single" w:color="000000" w:sz="4" w:space="0"/>
                <w:lang w:bidi="ar"/>
              </w:rPr>
              <w:drawing>
                <wp:anchor distT="0" distB="0" distL="114300" distR="114300" simplePos="0" relativeHeight="251721728" behindDoc="0" locked="0" layoutInCell="1" allowOverlap="1">
                  <wp:simplePos x="0" y="0"/>
                  <wp:positionH relativeFrom="column">
                    <wp:posOffset>258445</wp:posOffset>
                  </wp:positionH>
                  <wp:positionV relativeFrom="paragraph">
                    <wp:posOffset>225425</wp:posOffset>
                  </wp:positionV>
                  <wp:extent cx="1540510" cy="1206500"/>
                  <wp:effectExtent l="0" t="0" r="2540" b="12700"/>
                  <wp:wrapNone/>
                  <wp:docPr id="265" name="图片_60_SpCnt_3"/>
                  <wp:cNvGraphicFramePr/>
                  <a:graphic xmlns:a="http://schemas.openxmlformats.org/drawingml/2006/main">
                    <a:graphicData uri="http://schemas.openxmlformats.org/drawingml/2006/picture">
                      <pic:pic xmlns:pic="http://schemas.openxmlformats.org/drawingml/2006/picture">
                        <pic:nvPicPr>
                          <pic:cNvPr id="265" name="图片_60_SpCnt_3"/>
                          <pic:cNvPicPr/>
                        </pic:nvPicPr>
                        <pic:blipFill>
                          <a:blip r:embed="rId44"/>
                          <a:stretch>
                            <a:fillRect/>
                          </a:stretch>
                        </pic:blipFill>
                        <pic:spPr>
                          <a:xfrm>
                            <a:off x="0" y="0"/>
                            <a:ext cx="1540510" cy="1206500"/>
                          </a:xfrm>
                          <a:prstGeom prst="rect">
                            <a:avLst/>
                          </a:prstGeom>
                          <a:noFill/>
                          <a:ln>
                            <a:noFill/>
                          </a:ln>
                        </pic:spPr>
                      </pic:pic>
                    </a:graphicData>
                  </a:graphic>
                </wp:anchor>
              </w:drawing>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1A1A5">
            <w:pPr>
              <w:widowControl/>
              <w:numPr>
                <w:ilvl w:val="0"/>
                <w:numId w:val="5"/>
              </w:numPr>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功能要求</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 xml:space="preserve">  可随身携带。操作简单，可做到攻防同步的操作。从持盾→解放双手→徒手控制之间能快速转换。并且可左、右手互换及双手使用。“收”和“取”一气呵成，人盾不分离。须有腰间悬挂系统，悬挂搭载扣可安装在单警腰带上，盾牌能牢固地吸附在悬挂扣上，可随时快速取盾和收盾（取收动作≤1秒），“取”和“收”瞬间完成，无须目测辅助。兼具防守和反击能力，灵活应变，左、右手互换使用，及双手使用。盾牌360度具有8个边刃和8个切角。</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二、技术参数</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外观要求：防暴盾牌表面应光滑，无可视的凹坑、气泡、毛刺、尖角、划伤、斑点、脱漆及起皮等缺陷。防暴盾牌的握持装置应无毛刺、尖角等缺陷，便于握持、手感舒适。防暴盾牌上外露金属结构件应经表面处理，无锈蚀现象。防暴盾牌外表面无开孔（须在检验报告中体现）；</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2.▲盾边内藏式防砍结构：盾体“警察”字样正立时对应的上面四条边内嵌钢丝条，直径≤3.0mm，盾体厚度≤3.</w:t>
            </w:r>
            <w:r>
              <w:rPr>
                <w:rFonts w:hint="eastAsia" w:ascii="宋体" w:hAnsi="宋体" w:eastAsia="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bidi="ar"/>
              </w:rPr>
              <w:t>mm（须在检验报告中体现）；</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3.▲规格：外形：正八边形；边长：≥210±5mm；投影宽度：≥550±5mm（须在检验报告中体现）；</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4.防护面积：≥0.220m²；</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5.质量：防暴盾牌的质量≤2.20kg (不包含腰间磁吸悬挂件质量)；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6.连接强度：握持装置的连接部件、握持装置与盾体的连接部件应能承受大于或等于500N的拉力。试验后，不应有脱落、松动、脱扣或断裂现象；</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7.▲穿刺性能：防暴盾牌应承受147J动能的穿刺，穿刺后受力点不应有直径大于4mm穿洞或在受力点半径20mm之外出现贯穿性开裂（须在检验报告中体现）。</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8.耐击打强度：防暴盾牌应能承受线速度为18m/s±0.3m/s、能量为342J±13J的击打,击打后盾体不应破碎或出现长度大于20mm的贯穿性开裂,击打后盾体产生的最大凹陷深度应小于或等于20mm；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9.耐刀砍性能：防暴盾牌的上边沿(“警察”字样正立时对应的上面四条边)应能抵御8.5m/s±0.5m/s、能量为100J±5J的击砍，试验后刀砍痕迹深度应小于或等于8mm；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10.涂层附着力：具有涂层的防暴盾牌，其涂层附着力应大于或等于GB/T 9286-1998中2级的规定；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11.▲护环性能：护环由塑料、橡胶和磁铁构成，能提供硬质抓握与握把形成临时双手抓握使用。护环具有脱手保护性能，在盾牌受到抢夺或扭动的情况能脱离手臂保护警员。护环尾端受到≥70N的拉力时，尾端开口应≥110mm（须在检验报告中体现）；</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12.高温耐击打强度检验：防暴盾牌在环境温度为55℃±2℃的恒温箱内保持4h，取出后5min内完成击打强度试验，试验结果应符合本文件规定的耐击打强度要求；</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13.▲腰间磁吸悬挂装置：盾牌护环和腰带配件的磁吸功能具有抗抢夺性能，结合后，对护环和腰带配件施加 100N 的轴向静拉力不应分离。盾牌可通过护环磁铁与腰带配件结合，在腰间悬挂使用，盾牌护环磁铁与腰间悬挂件结合部位的自动结合距离≤55mm（须在检验报告中体现）；</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14.战术悬挂便携组件需提供磁铁性能证明文件复印件</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剩磁（Br）≥13 .2mT</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内禀磁感应强度 (KA/m)≥876KA/m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磁能积 KJ/m³≥390KJ/m³</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15.</w:t>
            </w:r>
            <w:r>
              <w:rPr>
                <w:rFonts w:hint="eastAsia" w:ascii="宋体" w:hAnsi="宋体" w:eastAsia="宋体" w:cs="宋体"/>
                <w:color w:val="auto"/>
                <w:kern w:val="0"/>
                <w:sz w:val="21"/>
                <w:szCs w:val="21"/>
                <w:highlight w:val="none"/>
                <w:lang w:val="en-US" w:eastAsia="zh-CN" w:bidi="ar"/>
              </w:rPr>
              <w:t>投标人需提供第三方检测机构出具的带CMA或CNAS标识的检测报告</w:t>
            </w:r>
            <w:r>
              <w:rPr>
                <w:rFonts w:hint="eastAsia" w:ascii="宋体" w:hAnsi="宋体" w:eastAsia="宋体" w:cs="宋体"/>
                <w:color w:val="auto"/>
                <w:kern w:val="0"/>
                <w:sz w:val="21"/>
                <w:szCs w:val="21"/>
                <w:highlight w:val="none"/>
                <w:lang w:bidi="ar"/>
              </w:rPr>
              <w:t>。</w:t>
            </w:r>
          </w:p>
        </w:tc>
      </w:tr>
      <w:tr w14:paraId="6530B499">
        <w:tblPrEx>
          <w:tblCellMar>
            <w:top w:w="0" w:type="dxa"/>
            <w:left w:w="108" w:type="dxa"/>
            <w:bottom w:w="0" w:type="dxa"/>
            <w:right w:w="108" w:type="dxa"/>
          </w:tblCellMar>
        </w:tblPrEx>
        <w:trPr>
          <w:trHeight w:val="221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45BF7">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FD9AF">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防暴服</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1DD63">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 xml:space="preserve">50 </w:t>
            </w: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54CD3">
            <w:pPr>
              <w:widowControl/>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套</w:t>
            </w: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4FA76">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bdr w:val="single" w:color="000000" w:sz="4" w:space="0"/>
                <w:lang w:bidi="ar"/>
              </w:rPr>
              <w:drawing>
                <wp:anchor distT="0" distB="0" distL="114300" distR="114300" simplePos="0" relativeHeight="251722752" behindDoc="0" locked="0" layoutInCell="1" allowOverlap="1">
                  <wp:simplePos x="0" y="0"/>
                  <wp:positionH relativeFrom="column">
                    <wp:posOffset>143510</wp:posOffset>
                  </wp:positionH>
                  <wp:positionV relativeFrom="paragraph">
                    <wp:posOffset>10160</wp:posOffset>
                  </wp:positionV>
                  <wp:extent cx="1651000" cy="1348105"/>
                  <wp:effectExtent l="0" t="0" r="6350" b="4445"/>
                  <wp:wrapNone/>
                  <wp:docPr id="266" name="图片_58"/>
                  <wp:cNvGraphicFramePr/>
                  <a:graphic xmlns:a="http://schemas.openxmlformats.org/drawingml/2006/main">
                    <a:graphicData uri="http://schemas.openxmlformats.org/drawingml/2006/picture">
                      <pic:pic xmlns:pic="http://schemas.openxmlformats.org/drawingml/2006/picture">
                        <pic:nvPicPr>
                          <pic:cNvPr id="266" name="图片_58"/>
                          <pic:cNvPicPr/>
                        </pic:nvPicPr>
                        <pic:blipFill>
                          <a:blip r:embed="rId45"/>
                          <a:stretch>
                            <a:fillRect/>
                          </a:stretch>
                        </pic:blipFill>
                        <pic:spPr>
                          <a:xfrm>
                            <a:off x="0" y="0"/>
                            <a:ext cx="1651000" cy="1348105"/>
                          </a:xfrm>
                          <a:prstGeom prst="rect">
                            <a:avLst/>
                          </a:prstGeom>
                          <a:noFill/>
                          <a:ln>
                            <a:noFill/>
                          </a:ln>
                        </pic:spPr>
                      </pic:pic>
                    </a:graphicData>
                  </a:graphic>
                </wp:anchor>
              </w:drawing>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A9D99">
            <w:pPr>
              <w:widowControl/>
              <w:spacing w:line="240" w:lineRule="auto"/>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防暴服应穿着灵活，易于穿脱。穿着后不能使两臂的自由运动及人体跪、跳、蹲、俯仰、转体等动作受到限制。防暴服的外套与防弹层部件规格相适应，应能分离。躯干防弹层部件应标明弹击面或贴身面。</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 xml:space="preserve">   防暴服的外套应无破损、浮线、漏针等缺陷。防弹层材料表面无破洞、深坑、划伤、裂痕缺口、边角毛刺等缺陷，金属材料应进行防锈处理，非金属材料应均匀平整。同一层防弹材料应均匀平整一致，无拼接、局部隆起、皱褶等缺陷，由多层防弹材料组成的防弹层，各层规格尺寸应一致。软质防弹材料不应对原材料进行化学及热粘合处理。防暴服附件的防弹层结构和材料应与躯干防弹层部件一致。防暴服和防弹插板上应有清晰永久性的产品标志，防暴服标志的位置应在后背内侧领口下方</w:t>
            </w:r>
            <w:r>
              <w:rPr>
                <w:rFonts w:hint="eastAsia" w:ascii="宋体" w:hAnsi="宋体" w:eastAsia="宋体" w:cs="宋体"/>
                <w:color w:val="auto"/>
                <w:kern w:val="0"/>
                <w:sz w:val="21"/>
                <w:szCs w:val="21"/>
                <w:highlight w:val="none"/>
                <w:lang w:val="en-US" w:eastAsia="zh-CN" w:bidi="ar"/>
              </w:rPr>
              <w:t>约</w:t>
            </w:r>
            <w:r>
              <w:rPr>
                <w:rFonts w:hint="eastAsia" w:ascii="宋体" w:hAnsi="宋体" w:eastAsia="宋体" w:cs="宋体"/>
                <w:color w:val="auto"/>
                <w:kern w:val="0"/>
                <w:sz w:val="21"/>
                <w:szCs w:val="21"/>
                <w:highlight w:val="none"/>
                <w:lang w:bidi="ar"/>
              </w:rPr>
              <w:t>10cm居中处和防弹层保护套上的弹击面上，防弹插板的标志应在弹击面右下角上。防暴服标志上的内容应包括:制造厂名称或商标、产品名称和代号、产品编号、产品规格、执行标准号、防护等级、生产日期、生产批次、有效期、使用说明及注意事项。防弹插板和防弹层保护套标志上的内容应包括:制造厂名称或商标、产品名称和代号、执行标准号、防护等级、生产日期、生产批次、有效期。</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1.材料：PE</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2.防护等级：3级</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3.防暴服后片重量：≤1.7kg；</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4.组成：由躯干防护部件、护颈、护裆、护肩、护喉等组成。防暴服躯干防护部件、护颈、护裆、护肩、护喉的防弹层结构应满足 GA 141-2010《警用防弹衣》3 级防护要求，由弹击面至内侧依次为防弹材料层与缓冲层组成，各层材料性能均匀一致，总厚度与总重量满足本参数要求。</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▲5.防护总面积：≥0.48㎡；其中躯干防护面积≥0.29㎡；护裆、护肩、护颈、护喉等部件防护面积满足整体防护需求（检测报告需体现）</w:t>
            </w:r>
          </w:p>
          <w:p w14:paraId="6EAA22A9">
            <w:pPr>
              <w:widowControl/>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6.防护枪械类型：79式7.62mm轻型冲锋枪</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7.防护弹药类型：51式7.62mm手枪弹（铅芯）</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8.背衬材料最大凹陷深度：≤15mm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▲9.防暴服材料对人体无害，易于穿脱，防弹层平整均匀，防弹层保护套耐静水压≥117kPa。（检测报告需体现）</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10.执行标准：GA 141-2010《警用防弹衣》</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11.提供具备CMA或CNAS检测资质机构出具的检测报告复印件加盖公章。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12.提供盖有制造商鲜章的责任保险不低于500万元的保险单复印件并加盖制造商鲜章。</w:t>
            </w:r>
          </w:p>
        </w:tc>
      </w:tr>
      <w:tr w14:paraId="723D4118">
        <w:tblPrEx>
          <w:tblCellMar>
            <w:top w:w="0" w:type="dxa"/>
            <w:left w:w="108" w:type="dxa"/>
            <w:bottom w:w="0" w:type="dxa"/>
            <w:right w:w="108" w:type="dxa"/>
          </w:tblCellMar>
        </w:tblPrEx>
        <w:trPr>
          <w:trHeight w:val="1222"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48B47">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6E92D7">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防暴长盾</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5E999">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50</w:t>
            </w: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D5653">
            <w:pPr>
              <w:widowControl/>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面</w:t>
            </w:r>
          </w:p>
        </w:tc>
        <w:tc>
          <w:tcPr>
            <w:tcW w:w="1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6C35DD">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bdr w:val="single" w:color="000000" w:sz="4" w:space="0"/>
                <w:lang w:bidi="ar"/>
              </w:rPr>
              <w:drawing>
                <wp:anchor distT="0" distB="0" distL="114300" distR="114300" simplePos="0" relativeHeight="251723776" behindDoc="0" locked="0" layoutInCell="1" allowOverlap="1">
                  <wp:simplePos x="0" y="0"/>
                  <wp:positionH relativeFrom="column">
                    <wp:posOffset>260350</wp:posOffset>
                  </wp:positionH>
                  <wp:positionV relativeFrom="paragraph">
                    <wp:posOffset>136525</wp:posOffset>
                  </wp:positionV>
                  <wp:extent cx="1267460" cy="2532380"/>
                  <wp:effectExtent l="0" t="0" r="8890" b="1270"/>
                  <wp:wrapNone/>
                  <wp:docPr id="261" name="图片_2_SpCnt_42"/>
                  <wp:cNvGraphicFramePr/>
                  <a:graphic xmlns:a="http://schemas.openxmlformats.org/drawingml/2006/main">
                    <a:graphicData uri="http://schemas.openxmlformats.org/drawingml/2006/picture">
                      <pic:pic xmlns:pic="http://schemas.openxmlformats.org/drawingml/2006/picture">
                        <pic:nvPicPr>
                          <pic:cNvPr id="261" name="图片_2_SpCnt_42"/>
                          <pic:cNvPicPr/>
                        </pic:nvPicPr>
                        <pic:blipFill>
                          <a:blip r:embed="rId46"/>
                          <a:stretch>
                            <a:fillRect/>
                          </a:stretch>
                        </pic:blipFill>
                        <pic:spPr>
                          <a:xfrm>
                            <a:off x="0" y="0"/>
                            <a:ext cx="1267460" cy="2532380"/>
                          </a:xfrm>
                          <a:prstGeom prst="rect">
                            <a:avLst/>
                          </a:prstGeom>
                          <a:noFill/>
                          <a:ln>
                            <a:noFill/>
                          </a:ln>
                        </pic:spPr>
                      </pic:pic>
                    </a:graphicData>
                  </a:graphic>
                </wp:anchor>
              </w:drawing>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C4030">
            <w:pPr>
              <w:widowControl/>
              <w:spacing w:line="240" w:lineRule="auto"/>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有效抵御各种攻击性冷武器（如：棍棒、刀、斧头、钢珠、石头等）以及滑膛枪发射3mm的散弹，能防御瞬间汽油燃烧弹所带来的高温灼伤的危险，坚固耐用能经得起汽车辗压且完好无损。</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盾体材料：盾体采用高密度</w:t>
            </w:r>
            <w:r>
              <w:rPr>
                <w:rFonts w:hint="eastAsia" w:ascii="宋体" w:hAnsi="宋体" w:eastAsia="宋体" w:cs="宋体"/>
                <w:color w:val="auto"/>
                <w:kern w:val="0"/>
                <w:sz w:val="21"/>
                <w:szCs w:val="21"/>
                <w:highlight w:val="none"/>
                <w:lang w:val="en-US" w:eastAsia="zh-CN" w:bidi="ar"/>
              </w:rPr>
              <w:t>约</w:t>
            </w:r>
            <w:r>
              <w:rPr>
                <w:rFonts w:hint="eastAsia" w:ascii="宋体" w:hAnsi="宋体" w:eastAsia="宋体" w:cs="宋体"/>
                <w:color w:val="auto"/>
                <w:kern w:val="0"/>
                <w:sz w:val="21"/>
                <w:szCs w:val="21"/>
                <w:highlight w:val="none"/>
                <w:lang w:bidi="ar"/>
              </w:rPr>
              <w:t>3mmPC，握把采用工程橡胶。</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缓冲设计：盾体由外防暴层、内缓冲层组成。</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表面外观：透明，无凹坑突起、气泡毛刺、尖角斑点、脱胶起皮、无锈蚀。</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正面标志：盾牌正面上方有清晰永久性中文“警察”和英文“POLICE”标志。</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握把设计：握把斜角45度，长度</w:t>
            </w:r>
            <w:r>
              <w:rPr>
                <w:rFonts w:hint="eastAsia" w:ascii="宋体" w:hAnsi="宋体" w:eastAsia="宋体" w:cs="宋体"/>
                <w:color w:val="auto"/>
                <w:kern w:val="0"/>
                <w:sz w:val="21"/>
                <w:szCs w:val="21"/>
                <w:highlight w:val="none"/>
                <w:lang w:val="en-US" w:eastAsia="zh-CN" w:bidi="ar"/>
              </w:rPr>
              <w:t>约</w:t>
            </w:r>
            <w:r>
              <w:rPr>
                <w:rFonts w:hint="eastAsia" w:ascii="宋体" w:hAnsi="宋体" w:eastAsia="宋体" w:cs="宋体"/>
                <w:color w:val="auto"/>
                <w:kern w:val="0"/>
                <w:sz w:val="21"/>
                <w:szCs w:val="21"/>
                <w:highlight w:val="none"/>
                <w:lang w:bidi="ar"/>
              </w:rPr>
              <w:t>385mm，两级螺纹设计便于双手稳固握持，手感舒适，提高了使用人员的操作稳定性,在战术中发挥“人盾合一”。无毛刺、尖角、滑手等缺陷。护肘环为弹力设计，可快速脱手保护肘臂安全。</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防护面积：外防暴层防护面积≥0.91㎡；内缓冲层防护面积≥0.29㎡，具备有效缓冲性能，缓冲层可泄放盾体受到500J动能冲击的80％。重量：≤5.5Kg。</w:t>
            </w:r>
          </w:p>
          <w:p w14:paraId="1CF27D9C">
            <w:pPr>
              <w:widowControl/>
              <w:spacing w:line="240" w:lineRule="auto"/>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性能：</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▲1、握把连接强度：握把与盾体间可承受500N拉力，没有断裂、松动或脱落现象。</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▲2、透光率：透光率≥85%</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▲3、耐冲击强度：盾体能承受170J动能冲击，冲击后受力点无穿洞或在受力点半径50mm之外出现破裂。</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▲4、耐击打性能：能承受击打试验机的击打点线速度为18m/s、击打能量为500J的击打，击打后盾体无破碎或长度大于50mm的裂纹。</w:t>
            </w:r>
          </w:p>
          <w:p w14:paraId="1DC98372">
            <w:pPr>
              <w:widowControl/>
              <w:spacing w:line="240" w:lineRule="auto"/>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bidi="ar"/>
              </w:rPr>
              <w:t>阻燃性能：防御瞬间汽油燃烧弹所带来的高温灼伤的危险，续燃时间小于10秒。</w:t>
            </w:r>
          </w:p>
          <w:p w14:paraId="56C4619D">
            <w:pPr>
              <w:widowControl/>
              <w:spacing w:line="240" w:lineRule="auto"/>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6、具有良好的防刀砍、防散弹枪性能：距离20米散弹枪12号猎枪弹射击，无洞穿。</w:t>
            </w:r>
          </w:p>
          <w:p w14:paraId="46E19C86">
            <w:pPr>
              <w:widowControl/>
              <w:spacing w:line="240" w:lineRule="auto"/>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7、具有防冲击泄力性能：缓冲层可泄放盾体受到500J动能冲击的80％。</w:t>
            </w:r>
          </w:p>
          <w:p w14:paraId="3694EA6F">
            <w:pPr>
              <w:widowControl/>
              <w:spacing w:line="240" w:lineRule="auto"/>
              <w:jc w:val="left"/>
              <w:textAlignment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bidi="ar"/>
              </w:rPr>
              <w:t>标▲的条目</w:t>
            </w:r>
            <w:r>
              <w:rPr>
                <w:rFonts w:hint="eastAsia" w:ascii="宋体" w:hAnsi="宋体" w:eastAsia="宋体" w:cs="宋体"/>
                <w:color w:val="auto"/>
                <w:kern w:val="0"/>
                <w:sz w:val="21"/>
                <w:szCs w:val="21"/>
                <w:highlight w:val="none"/>
                <w:lang w:val="en-US" w:eastAsia="zh-CN" w:bidi="ar"/>
              </w:rPr>
              <w:t>需提供第三方检测机构出具的带CMA或CNAS标识的检测报告或者</w:t>
            </w:r>
            <w:r>
              <w:rPr>
                <w:rFonts w:hint="eastAsia" w:ascii="宋体" w:hAnsi="宋体" w:eastAsia="宋体" w:cs="宋体"/>
                <w:color w:val="auto"/>
                <w:kern w:val="0"/>
                <w:sz w:val="21"/>
                <w:szCs w:val="21"/>
                <w:highlight w:val="none"/>
                <w:lang w:bidi="ar"/>
              </w:rPr>
              <w:t>提供公安部认可的检测机构提供的检测报告为依据</w:t>
            </w:r>
            <w:r>
              <w:rPr>
                <w:rFonts w:hint="eastAsia" w:ascii="宋体" w:hAnsi="宋体" w:eastAsia="宋体" w:cs="宋体"/>
                <w:color w:val="auto"/>
                <w:kern w:val="0"/>
                <w:sz w:val="21"/>
                <w:szCs w:val="21"/>
                <w:highlight w:val="none"/>
                <w:lang w:eastAsia="zh-CN" w:bidi="ar"/>
              </w:rPr>
              <w:t>。</w:t>
            </w:r>
          </w:p>
        </w:tc>
      </w:tr>
      <w:tr w14:paraId="39BD20FA">
        <w:tblPrEx>
          <w:tblCellMar>
            <w:top w:w="0" w:type="dxa"/>
            <w:left w:w="108" w:type="dxa"/>
            <w:bottom w:w="0" w:type="dxa"/>
            <w:right w:w="108" w:type="dxa"/>
          </w:tblCellMar>
        </w:tblPrEx>
        <w:trPr>
          <w:trHeight w:val="9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71417">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7</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6943C">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便衣式防刺服</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E52F6">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25</w:t>
            </w: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A1D07">
            <w:pPr>
              <w:widowControl/>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套</w:t>
            </w: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D0DAA">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bdr w:val="single" w:color="000000" w:sz="4" w:space="0"/>
                <w:lang w:bidi="ar"/>
              </w:rPr>
              <w:drawing>
                <wp:anchor distT="0" distB="0" distL="114300" distR="114300" simplePos="0" relativeHeight="251724800" behindDoc="0" locked="0" layoutInCell="1" allowOverlap="1">
                  <wp:simplePos x="0" y="0"/>
                  <wp:positionH relativeFrom="column">
                    <wp:posOffset>68580</wp:posOffset>
                  </wp:positionH>
                  <wp:positionV relativeFrom="paragraph">
                    <wp:posOffset>-85725</wp:posOffset>
                  </wp:positionV>
                  <wp:extent cx="1743710" cy="2029460"/>
                  <wp:effectExtent l="0" t="0" r="8890" b="8890"/>
                  <wp:wrapNone/>
                  <wp:docPr id="260" name="图片_1"/>
                  <wp:cNvGraphicFramePr/>
                  <a:graphic xmlns:a="http://schemas.openxmlformats.org/drawingml/2006/main">
                    <a:graphicData uri="http://schemas.openxmlformats.org/drawingml/2006/picture">
                      <pic:pic xmlns:pic="http://schemas.openxmlformats.org/drawingml/2006/picture">
                        <pic:nvPicPr>
                          <pic:cNvPr id="260" name="图片_1"/>
                          <pic:cNvPicPr/>
                        </pic:nvPicPr>
                        <pic:blipFill>
                          <a:blip r:embed="rId47"/>
                          <a:stretch>
                            <a:fillRect/>
                          </a:stretch>
                        </pic:blipFill>
                        <pic:spPr>
                          <a:xfrm>
                            <a:off x="0" y="0"/>
                            <a:ext cx="1743710" cy="2029460"/>
                          </a:xfrm>
                          <a:prstGeom prst="rect">
                            <a:avLst/>
                          </a:prstGeom>
                          <a:noFill/>
                          <a:ln>
                            <a:noFill/>
                          </a:ln>
                        </pic:spPr>
                      </pic:pic>
                    </a:graphicData>
                  </a:graphic>
                </wp:anchor>
              </w:drawing>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BAF82">
            <w:pPr>
              <w:widowControl/>
              <w:spacing w:line="240" w:lineRule="auto"/>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bidi="ar"/>
              </w:rPr>
              <w:t>防刺冲锋衣，由冲锋衣外套和防刺层内芯组成；</w:t>
            </w:r>
          </w:p>
          <w:p w14:paraId="28E8B471">
            <w:pPr>
              <w:widowControl/>
              <w:spacing w:line="240" w:lineRule="auto"/>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val="en-US" w:eastAsia="zh-CN" w:bidi="ar"/>
              </w:rPr>
              <w:t>2.</w:t>
            </w:r>
            <w:r>
              <w:rPr>
                <w:rFonts w:hint="eastAsia" w:ascii="宋体" w:hAnsi="宋体" w:eastAsia="宋体" w:cs="宋体"/>
                <w:color w:val="auto"/>
                <w:kern w:val="0"/>
                <w:sz w:val="21"/>
                <w:szCs w:val="21"/>
                <w:highlight w:val="none"/>
                <w:lang w:bidi="ar"/>
              </w:rPr>
              <w:t>▲防刺层防刺性能要求符合GA68-2024《警用防刺服》标准（需提供防刺内芯检测报告，并与检测报告一致）；</w:t>
            </w:r>
          </w:p>
          <w:p w14:paraId="025F1EF5">
            <w:pPr>
              <w:widowControl/>
              <w:spacing w:line="240" w:lineRule="auto"/>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bidi="ar"/>
              </w:rPr>
              <w:t>▲防刺层为鳞片式结构，防刺材料为碳纤维增强复合材料防护块单元和芳纶机织面料组成（需提供防刺内芯检测报告，并与检测报告一致）；</w:t>
            </w:r>
          </w:p>
          <w:p w14:paraId="1633508F">
            <w:pPr>
              <w:widowControl/>
              <w:spacing w:line="240" w:lineRule="auto"/>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val="en-US" w:eastAsia="zh-CN" w:bidi="ar"/>
              </w:rPr>
              <w:t>4.</w:t>
            </w:r>
            <w:r>
              <w:rPr>
                <w:rFonts w:hint="eastAsia" w:ascii="宋体" w:hAnsi="宋体" w:eastAsia="宋体" w:cs="宋体"/>
                <w:color w:val="auto"/>
                <w:kern w:val="0"/>
                <w:sz w:val="21"/>
                <w:szCs w:val="21"/>
                <w:highlight w:val="none"/>
                <w:lang w:bidi="ar"/>
              </w:rPr>
              <w:t>▲防刺层处于平面状态时，防护块之间可形成自锁结构（需提供防刺内芯检测报告，并与检测报告一致），在应对钝器击打时，避免防刺层形变过大，而导致内部挫伤甚至骨折风险；</w:t>
            </w:r>
          </w:p>
          <w:p w14:paraId="49A6303A">
            <w:pPr>
              <w:widowControl/>
              <w:spacing w:line="240" w:lineRule="auto"/>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val="en-US" w:eastAsia="zh-CN" w:bidi="ar"/>
              </w:rPr>
              <w:t>5.</w:t>
            </w:r>
            <w:r>
              <w:rPr>
                <w:rFonts w:hint="eastAsia" w:ascii="宋体" w:hAnsi="宋体" w:eastAsia="宋体" w:cs="宋体"/>
                <w:color w:val="auto"/>
                <w:kern w:val="0"/>
                <w:sz w:val="21"/>
                <w:szCs w:val="21"/>
                <w:highlight w:val="none"/>
                <w:lang w:bidi="ar"/>
              </w:rPr>
              <w:t>防刺冲锋衣的防护分别由左前胸、有前胸及后背三大防护区域组成，有效保护人体重要器官区域，同时位于翻领处以及手臂处，添加防割材料，有效增加对穿着者躯干的防护区域；</w:t>
            </w:r>
          </w:p>
          <w:p w14:paraId="07950D58">
            <w:pPr>
              <w:widowControl/>
              <w:spacing w:line="240" w:lineRule="auto"/>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bidi="ar"/>
              </w:rPr>
              <w:t>外套通体为黑色，外套面料为高性能防泼水面料，两侧带有口袋；</w:t>
            </w:r>
          </w:p>
          <w:p w14:paraId="7C2DAE80">
            <w:pPr>
              <w:widowControl/>
              <w:spacing w:line="240" w:lineRule="auto"/>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val="en-US" w:eastAsia="zh-CN" w:bidi="ar"/>
              </w:rPr>
              <w:t>7.</w:t>
            </w:r>
            <w:r>
              <w:rPr>
                <w:rFonts w:hint="eastAsia" w:ascii="宋体" w:hAnsi="宋体" w:eastAsia="宋体" w:cs="宋体"/>
                <w:color w:val="auto"/>
                <w:kern w:val="0"/>
                <w:sz w:val="21"/>
                <w:szCs w:val="21"/>
                <w:highlight w:val="none"/>
                <w:lang w:bidi="ar"/>
              </w:rPr>
              <w:t>外套与防刺内芯通过拉链与魔术贴固定拆卸，外套与内芯分离时，可对外套和内芯进行整洁清洗；</w:t>
            </w:r>
          </w:p>
          <w:p w14:paraId="7F8C53EA">
            <w:pPr>
              <w:widowControl/>
              <w:spacing w:line="240" w:lineRule="auto"/>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val="en-US" w:eastAsia="zh-CN" w:bidi="ar"/>
              </w:rPr>
              <w:t>8.</w:t>
            </w:r>
            <w:r>
              <w:rPr>
                <w:rFonts w:hint="eastAsia" w:ascii="宋体" w:hAnsi="宋体" w:eastAsia="宋体" w:cs="宋体"/>
                <w:color w:val="auto"/>
                <w:kern w:val="0"/>
                <w:sz w:val="21"/>
                <w:szCs w:val="21"/>
                <w:highlight w:val="none"/>
                <w:lang w:bidi="ar"/>
              </w:rPr>
              <w:t>产品承保：中国太平洋保险公司产品责任心承保金额600万；</w:t>
            </w:r>
          </w:p>
          <w:p w14:paraId="288A0C1E">
            <w:pPr>
              <w:widowControl/>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9.</w:t>
            </w:r>
            <w:r>
              <w:rPr>
                <w:rFonts w:hint="eastAsia" w:ascii="宋体" w:hAnsi="宋体" w:eastAsia="宋体" w:cs="宋体"/>
                <w:color w:val="auto"/>
                <w:kern w:val="0"/>
                <w:sz w:val="21"/>
                <w:szCs w:val="21"/>
                <w:highlight w:val="none"/>
                <w:lang w:bidi="ar"/>
              </w:rPr>
              <w:t>产品保质期：</w:t>
            </w:r>
            <w:r>
              <w:rPr>
                <w:rFonts w:hint="eastAsia" w:cs="宋体"/>
                <w:color w:val="auto"/>
                <w:kern w:val="0"/>
                <w:sz w:val="21"/>
                <w:szCs w:val="21"/>
                <w:highlight w:val="none"/>
                <w:lang w:val="en-US" w:eastAsia="zh-CN" w:bidi="ar"/>
              </w:rPr>
              <w:t>3</w:t>
            </w:r>
            <w:r>
              <w:rPr>
                <w:rFonts w:hint="eastAsia" w:ascii="宋体" w:hAnsi="宋体" w:eastAsia="宋体" w:cs="宋体"/>
                <w:color w:val="auto"/>
                <w:kern w:val="0"/>
                <w:sz w:val="21"/>
                <w:szCs w:val="21"/>
                <w:highlight w:val="none"/>
                <w:lang w:bidi="ar"/>
              </w:rPr>
              <w:t>年；</w:t>
            </w:r>
          </w:p>
        </w:tc>
      </w:tr>
      <w:tr w14:paraId="231C9C24">
        <w:tblPrEx>
          <w:tblCellMar>
            <w:top w:w="0" w:type="dxa"/>
            <w:left w:w="108" w:type="dxa"/>
            <w:bottom w:w="0" w:type="dxa"/>
            <w:right w:w="108" w:type="dxa"/>
          </w:tblCellMar>
        </w:tblPrEx>
        <w:trPr>
          <w:trHeight w:val="2777"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3397B">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w:t>
            </w:r>
          </w:p>
        </w:tc>
        <w:tc>
          <w:tcPr>
            <w:tcW w:w="5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0AF87">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战术防刺服</w:t>
            </w:r>
          </w:p>
        </w:tc>
        <w:tc>
          <w:tcPr>
            <w:tcW w:w="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2B06F">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250</w:t>
            </w: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F4213">
            <w:pPr>
              <w:widowControl/>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套</w:t>
            </w:r>
          </w:p>
        </w:tc>
        <w:tc>
          <w:tcPr>
            <w:tcW w:w="1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8105F">
            <w:pPr>
              <w:widowControl/>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bdr w:val="single" w:color="000000" w:sz="4" w:space="0"/>
                <w:lang w:bidi="ar"/>
              </w:rPr>
              <w:drawing>
                <wp:anchor distT="0" distB="0" distL="114300" distR="114300" simplePos="0" relativeHeight="251725824" behindDoc="0" locked="0" layoutInCell="1" allowOverlap="1">
                  <wp:simplePos x="0" y="0"/>
                  <wp:positionH relativeFrom="column">
                    <wp:posOffset>70485</wp:posOffset>
                  </wp:positionH>
                  <wp:positionV relativeFrom="paragraph">
                    <wp:posOffset>1216660</wp:posOffset>
                  </wp:positionV>
                  <wp:extent cx="1597025" cy="1167130"/>
                  <wp:effectExtent l="0" t="0" r="3175" b="13970"/>
                  <wp:wrapNone/>
                  <wp:docPr id="272" name="图片_67"/>
                  <wp:cNvGraphicFramePr/>
                  <a:graphic xmlns:a="http://schemas.openxmlformats.org/drawingml/2006/main">
                    <a:graphicData uri="http://schemas.openxmlformats.org/drawingml/2006/picture">
                      <pic:pic xmlns:pic="http://schemas.openxmlformats.org/drawingml/2006/picture">
                        <pic:nvPicPr>
                          <pic:cNvPr id="272" name="图片_67"/>
                          <pic:cNvPicPr/>
                        </pic:nvPicPr>
                        <pic:blipFill>
                          <a:blip r:embed="rId48"/>
                          <a:stretch>
                            <a:fillRect/>
                          </a:stretch>
                        </pic:blipFill>
                        <pic:spPr>
                          <a:xfrm>
                            <a:off x="0" y="0"/>
                            <a:ext cx="1597025" cy="1167130"/>
                          </a:xfrm>
                          <a:prstGeom prst="rect">
                            <a:avLst/>
                          </a:prstGeom>
                          <a:noFill/>
                          <a:ln>
                            <a:noFill/>
                          </a:ln>
                        </pic:spPr>
                      </pic:pic>
                    </a:graphicData>
                  </a:graphic>
                </wp:anchor>
              </w:drawing>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A4CF2">
            <w:pPr>
              <w:widowControl/>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w:t>
            </w:r>
            <w:r>
              <w:rPr>
                <w:rStyle w:val="77"/>
                <w:rFonts w:hint="eastAsia" w:ascii="宋体" w:hAnsi="宋体" w:eastAsia="宋体" w:cs="宋体"/>
                <w:color w:val="auto"/>
                <w:sz w:val="21"/>
                <w:szCs w:val="21"/>
                <w:highlight w:val="none"/>
                <w:lang w:bidi="ar"/>
              </w:rPr>
              <w:t>、功能要求：集防刺、反光、快卸、单警装备快拔套（催泪喷射器、强光手电、伸缩警棍、金属手铐等）、工作包（警务通打印机）、可佩戴肩灯等多功能为一体，具备快拆功能。</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w:t>
            </w:r>
            <w:r>
              <w:rPr>
                <w:rStyle w:val="77"/>
                <w:rFonts w:hint="eastAsia" w:ascii="宋体" w:hAnsi="宋体" w:eastAsia="宋体" w:cs="宋体"/>
                <w:color w:val="auto"/>
                <w:sz w:val="21"/>
                <w:szCs w:val="21"/>
                <w:highlight w:val="none"/>
                <w:lang w:bidi="ar"/>
              </w:rPr>
              <w:t>、结构要求：产品外套由前胸后背、腰带、肩带等部件组成。肩部和腰部大小可调节，并配有快卸部件，能够在紧急情况下快速卸下战术背心；战术背心下围配有挂袢，可随机组合配备能拆卸的催泪喷射器、伸缩警棍、强光手电、金属手铐、工作包等单警装备的快拔套件；肩部及上胸有能佩戴对讲机、执法记录仪、肩灯等装备的挂袢，并确保牢固、稳定；双肩、后背缝制有反光条以及荧光材料的字样；配有</w:t>
            </w:r>
            <w:r>
              <w:rPr>
                <w:rFonts w:hint="eastAsia" w:ascii="宋体" w:hAnsi="宋体" w:eastAsia="宋体" w:cs="宋体"/>
                <w:color w:val="auto"/>
                <w:kern w:val="0"/>
                <w:sz w:val="21"/>
                <w:szCs w:val="21"/>
                <w:highlight w:val="none"/>
                <w:lang w:bidi="ar"/>
              </w:rPr>
              <w:t>2</w:t>
            </w:r>
            <w:r>
              <w:rPr>
                <w:rStyle w:val="77"/>
                <w:rFonts w:hint="eastAsia" w:ascii="宋体" w:hAnsi="宋体" w:eastAsia="宋体" w:cs="宋体"/>
                <w:color w:val="auto"/>
                <w:sz w:val="21"/>
                <w:szCs w:val="21"/>
                <w:highlight w:val="none"/>
                <w:lang w:bidi="ar"/>
              </w:rPr>
              <w:t>片防刺内胆，防刺内胆可在夹层处安装、脱卸，脱卸后的防刺内胆可独立收纳保藏。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w:t>
            </w:r>
            <w:r>
              <w:rPr>
                <w:rStyle w:val="77"/>
                <w:rFonts w:hint="eastAsia" w:ascii="宋体" w:hAnsi="宋体" w:eastAsia="宋体" w:cs="宋体"/>
                <w:color w:val="auto"/>
                <w:sz w:val="21"/>
                <w:szCs w:val="21"/>
                <w:highlight w:val="none"/>
                <w:lang w:bidi="ar"/>
              </w:rPr>
              <w:t>、防护面积：</w:t>
            </w:r>
            <w:r>
              <w:rPr>
                <w:rFonts w:hint="eastAsia" w:ascii="宋体" w:hAnsi="宋体" w:eastAsia="宋体" w:cs="宋体"/>
                <w:color w:val="auto"/>
                <w:kern w:val="0"/>
                <w:sz w:val="21"/>
                <w:szCs w:val="21"/>
                <w:highlight w:val="none"/>
                <w:lang w:bidi="ar"/>
              </w:rPr>
              <w:t>≥0.25m²</w:t>
            </w:r>
            <w:r>
              <w:rPr>
                <w:rStyle w:val="77"/>
                <w:rFonts w:hint="eastAsia" w:ascii="宋体" w:hAnsi="宋体" w:eastAsia="宋体" w:cs="宋体"/>
                <w:color w:val="auto"/>
                <w:sz w:val="21"/>
                <w:szCs w:val="21"/>
                <w:highlight w:val="none"/>
                <w:lang w:bidi="ar"/>
              </w:rPr>
              <w:t>。</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w:t>
            </w:r>
            <w:r>
              <w:rPr>
                <w:rStyle w:val="77"/>
                <w:rFonts w:hint="eastAsia" w:ascii="宋体" w:hAnsi="宋体" w:eastAsia="宋体" w:cs="宋体"/>
                <w:color w:val="auto"/>
                <w:sz w:val="21"/>
                <w:szCs w:val="21"/>
                <w:highlight w:val="none"/>
                <w:lang w:bidi="ar"/>
              </w:rPr>
              <w:t>、防刺层厚度</w:t>
            </w:r>
            <w:r>
              <w:rPr>
                <w:rFonts w:hint="eastAsia" w:ascii="宋体" w:hAnsi="宋体" w:eastAsia="宋体" w:cs="宋体"/>
                <w:color w:val="auto"/>
                <w:kern w:val="0"/>
                <w:sz w:val="21"/>
                <w:szCs w:val="21"/>
                <w:highlight w:val="none"/>
                <w:lang w:bidi="ar"/>
              </w:rPr>
              <w:t>:≤0.8mm</w:t>
            </w:r>
            <w:r>
              <w:rPr>
                <w:rStyle w:val="77"/>
                <w:rFonts w:hint="eastAsia" w:ascii="宋体" w:hAnsi="宋体" w:eastAsia="宋体" w:cs="宋体"/>
                <w:color w:val="auto"/>
                <w:sz w:val="21"/>
                <w:szCs w:val="21"/>
                <w:highlight w:val="none"/>
                <w:lang w:bidi="ar"/>
              </w:rPr>
              <w:t>（含防刺层保护套）。</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w:t>
            </w:r>
            <w:r>
              <w:rPr>
                <w:rStyle w:val="77"/>
                <w:rFonts w:hint="eastAsia" w:ascii="宋体" w:hAnsi="宋体" w:eastAsia="宋体" w:cs="宋体"/>
                <w:color w:val="auto"/>
                <w:sz w:val="21"/>
                <w:szCs w:val="21"/>
                <w:highlight w:val="none"/>
                <w:lang w:bidi="ar"/>
              </w:rPr>
              <w:t>、防刺性能：执行标准中</w:t>
            </w:r>
            <w:r>
              <w:rPr>
                <w:rFonts w:hint="eastAsia" w:ascii="宋体" w:hAnsi="宋体" w:eastAsia="宋体" w:cs="宋体"/>
                <w:color w:val="auto"/>
                <w:kern w:val="0"/>
                <w:sz w:val="21"/>
                <w:szCs w:val="21"/>
                <w:highlight w:val="none"/>
                <w:lang w:bidi="ar"/>
              </w:rPr>
              <w:t>A</w:t>
            </w:r>
            <w:r>
              <w:rPr>
                <w:rStyle w:val="77"/>
                <w:rFonts w:hint="eastAsia" w:ascii="宋体" w:hAnsi="宋体" w:eastAsia="宋体" w:cs="宋体"/>
                <w:color w:val="auto"/>
                <w:sz w:val="21"/>
                <w:szCs w:val="21"/>
                <w:highlight w:val="none"/>
                <w:lang w:bidi="ar"/>
              </w:rPr>
              <w:t>类防刺服性能要求。防刺服用</w:t>
            </w:r>
            <w:r>
              <w:rPr>
                <w:rFonts w:hint="eastAsia" w:ascii="宋体" w:hAnsi="宋体" w:eastAsia="宋体" w:cs="宋体"/>
                <w:color w:val="auto"/>
                <w:kern w:val="0"/>
                <w:sz w:val="21"/>
                <w:szCs w:val="21"/>
                <w:highlight w:val="none"/>
                <w:lang w:bidi="ar"/>
              </w:rPr>
              <w:t>D1</w:t>
            </w:r>
            <w:r>
              <w:rPr>
                <w:rStyle w:val="77"/>
                <w:rFonts w:hint="eastAsia" w:ascii="宋体" w:hAnsi="宋体" w:eastAsia="宋体" w:cs="宋体"/>
                <w:color w:val="auto"/>
                <w:sz w:val="21"/>
                <w:szCs w:val="21"/>
                <w:highlight w:val="none"/>
                <w:lang w:bidi="ar"/>
              </w:rPr>
              <w:t>刀具、测试体</w:t>
            </w:r>
            <w:r>
              <w:rPr>
                <w:rFonts w:hint="eastAsia" w:ascii="宋体" w:hAnsi="宋体" w:eastAsia="宋体" w:cs="宋体"/>
                <w:color w:val="auto"/>
                <w:kern w:val="0"/>
                <w:sz w:val="21"/>
                <w:szCs w:val="21"/>
                <w:highlight w:val="none"/>
                <w:lang w:bidi="ar"/>
              </w:rPr>
              <w:t>32J±0.5J</w:t>
            </w:r>
            <w:r>
              <w:rPr>
                <w:rStyle w:val="77"/>
                <w:rFonts w:hint="eastAsia" w:ascii="宋体" w:hAnsi="宋体" w:eastAsia="宋体" w:cs="宋体"/>
                <w:color w:val="auto"/>
                <w:sz w:val="21"/>
                <w:szCs w:val="21"/>
                <w:highlight w:val="none"/>
                <w:lang w:bidi="ar"/>
              </w:rPr>
              <w:t>撞击能量对防刺层进行穿刺，在有效穿刺情况下，不应出现穿透。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▲6</w:t>
            </w:r>
            <w:r>
              <w:rPr>
                <w:rStyle w:val="77"/>
                <w:rFonts w:hint="eastAsia" w:ascii="宋体" w:hAnsi="宋体" w:eastAsia="宋体" w:cs="宋体"/>
                <w:color w:val="auto"/>
                <w:sz w:val="21"/>
                <w:szCs w:val="21"/>
                <w:highlight w:val="none"/>
                <w:lang w:bidi="ar"/>
              </w:rPr>
              <w:t>、高速粒子冲击：常温条件下，应能承受</w:t>
            </w:r>
            <w:r>
              <w:rPr>
                <w:rFonts w:hint="eastAsia" w:ascii="宋体" w:hAnsi="宋体" w:eastAsia="宋体" w:cs="宋体"/>
                <w:color w:val="auto"/>
                <w:kern w:val="0"/>
                <w:sz w:val="21"/>
                <w:szCs w:val="21"/>
                <w:highlight w:val="none"/>
                <w:lang w:bidi="ar"/>
              </w:rPr>
              <w:t>1g</w:t>
            </w:r>
            <w:r>
              <w:rPr>
                <w:rStyle w:val="77"/>
                <w:rFonts w:hint="eastAsia" w:ascii="宋体" w:hAnsi="宋体" w:eastAsia="宋体" w:cs="宋体"/>
                <w:color w:val="auto"/>
                <w:sz w:val="21"/>
                <w:szCs w:val="21"/>
                <w:highlight w:val="none"/>
                <w:lang w:bidi="ar"/>
              </w:rPr>
              <w:t>铅弹以</w:t>
            </w:r>
            <w:r>
              <w:rPr>
                <w:rFonts w:hint="eastAsia" w:ascii="宋体" w:hAnsi="宋体" w:eastAsia="宋体" w:cs="宋体"/>
                <w:color w:val="auto"/>
                <w:kern w:val="0"/>
                <w:sz w:val="21"/>
                <w:szCs w:val="21"/>
                <w:highlight w:val="none"/>
                <w:lang w:bidi="ar"/>
              </w:rPr>
              <w:t>150m/s±10m/s</w:t>
            </w:r>
            <w:r>
              <w:rPr>
                <w:rStyle w:val="77"/>
                <w:rFonts w:hint="eastAsia" w:ascii="宋体" w:hAnsi="宋体" w:eastAsia="宋体" w:cs="宋体"/>
                <w:color w:val="auto"/>
                <w:sz w:val="21"/>
                <w:szCs w:val="21"/>
                <w:highlight w:val="none"/>
                <w:lang w:bidi="ar"/>
              </w:rPr>
              <w:t>速度冲击，无洞穿。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7</w:t>
            </w:r>
            <w:r>
              <w:rPr>
                <w:rStyle w:val="77"/>
                <w:rFonts w:hint="eastAsia" w:ascii="宋体" w:hAnsi="宋体" w:eastAsia="宋体" w:cs="宋体"/>
                <w:color w:val="auto"/>
                <w:sz w:val="21"/>
                <w:szCs w:val="21"/>
                <w:highlight w:val="none"/>
                <w:lang w:bidi="ar"/>
              </w:rPr>
              <w:t>、单警装备快拔套要求：金属手铐套：采用一体注塑成型，材料为优质尼龙</w:t>
            </w:r>
            <w:r>
              <w:rPr>
                <w:rFonts w:hint="eastAsia" w:ascii="宋体" w:hAnsi="宋体" w:eastAsia="宋体" w:cs="宋体"/>
                <w:color w:val="auto"/>
                <w:kern w:val="0"/>
                <w:sz w:val="21"/>
                <w:szCs w:val="21"/>
                <w:highlight w:val="none"/>
                <w:lang w:bidi="ar"/>
              </w:rPr>
              <w:t>pa6</w:t>
            </w:r>
            <w:r>
              <w:rPr>
                <w:rStyle w:val="77"/>
                <w:rFonts w:hint="eastAsia" w:ascii="宋体" w:hAnsi="宋体" w:eastAsia="宋体" w:cs="宋体"/>
                <w:color w:val="auto"/>
                <w:sz w:val="21"/>
                <w:szCs w:val="21"/>
                <w:highlight w:val="none"/>
                <w:lang w:bidi="ar"/>
              </w:rPr>
              <w:t>材料，产品抗冲击性能好，不易变形，耐腐蚀，即可拔出，配挂舒适，塑压定型；催泪喷射器套：材料为黑色塑钢；伸缩警棍套：材料为黑色塑钢。套体下端应有警棍头卡槽，可供出棍时使警棍直接展开；强光手电套：材料为黑色塑钢。（每个单警装备快拔套都有防丢失设计，释放解锁按键）。</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8</w:t>
            </w:r>
            <w:r>
              <w:rPr>
                <w:rStyle w:val="77"/>
                <w:rFonts w:hint="eastAsia" w:ascii="宋体" w:hAnsi="宋体" w:eastAsia="宋体" w:cs="宋体"/>
                <w:color w:val="auto"/>
                <w:sz w:val="21"/>
                <w:szCs w:val="21"/>
                <w:highlight w:val="none"/>
                <w:lang w:bidi="ar"/>
              </w:rPr>
              <w:t>、工作包：由包体、包盖、侧袋组成。后袢与腰带结合采用滑动式和固定式，为可拆卸结构。</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9</w:t>
            </w:r>
            <w:r>
              <w:rPr>
                <w:rStyle w:val="77"/>
                <w:rFonts w:hint="eastAsia" w:ascii="宋体" w:hAnsi="宋体" w:eastAsia="宋体" w:cs="宋体"/>
                <w:color w:val="auto"/>
                <w:sz w:val="21"/>
                <w:szCs w:val="21"/>
                <w:highlight w:val="none"/>
                <w:lang w:bidi="ar"/>
              </w:rPr>
              <w:t>、反光要求：正面反光条上印有</w:t>
            </w:r>
            <w:r>
              <w:rPr>
                <w:rFonts w:hint="eastAsia" w:ascii="宋体" w:hAnsi="宋体" w:eastAsia="宋体" w:cs="宋体"/>
                <w:color w:val="auto"/>
                <w:kern w:val="0"/>
                <w:sz w:val="21"/>
                <w:szCs w:val="21"/>
                <w:highlight w:val="none"/>
                <w:lang w:bidi="ar"/>
              </w:rPr>
              <w:t>“</w:t>
            </w:r>
            <w:r>
              <w:rPr>
                <w:rStyle w:val="77"/>
                <w:rFonts w:hint="eastAsia" w:ascii="宋体" w:hAnsi="宋体" w:eastAsia="宋体" w:cs="宋体"/>
                <w:color w:val="auto"/>
                <w:sz w:val="21"/>
                <w:szCs w:val="21"/>
                <w:highlight w:val="none"/>
                <w:lang w:bidi="ar"/>
              </w:rPr>
              <w:t>警察</w:t>
            </w:r>
            <w:r>
              <w:rPr>
                <w:rFonts w:hint="eastAsia" w:ascii="宋体" w:hAnsi="宋体" w:eastAsia="宋体" w:cs="宋体"/>
                <w:color w:val="auto"/>
                <w:kern w:val="0"/>
                <w:sz w:val="21"/>
                <w:szCs w:val="21"/>
                <w:highlight w:val="none"/>
                <w:lang w:bidi="ar"/>
              </w:rPr>
              <w:t>”</w:t>
            </w:r>
            <w:r>
              <w:rPr>
                <w:rStyle w:val="77"/>
                <w:rFonts w:hint="eastAsia" w:ascii="宋体" w:hAnsi="宋体" w:eastAsia="宋体" w:cs="宋体"/>
                <w:color w:val="auto"/>
                <w:sz w:val="21"/>
                <w:szCs w:val="21"/>
                <w:highlight w:val="none"/>
                <w:lang w:bidi="ar"/>
              </w:rPr>
              <w:t>字样和警徽图案，反光材料的最小使用面积</w:t>
            </w:r>
            <w:r>
              <w:rPr>
                <w:rFonts w:hint="eastAsia" w:ascii="宋体" w:hAnsi="宋体" w:eastAsia="宋体" w:cs="宋体"/>
                <w:color w:val="auto"/>
                <w:kern w:val="0"/>
                <w:sz w:val="21"/>
                <w:szCs w:val="21"/>
                <w:highlight w:val="none"/>
                <w:lang w:bidi="ar"/>
              </w:rPr>
              <w:t>≥0.16m²</w:t>
            </w:r>
            <w:r>
              <w:rPr>
                <w:rStyle w:val="77"/>
                <w:rFonts w:hint="eastAsia" w:ascii="宋体" w:hAnsi="宋体" w:eastAsia="宋体" w:cs="宋体"/>
                <w:color w:val="auto"/>
                <w:sz w:val="21"/>
                <w:szCs w:val="21"/>
                <w:highlight w:val="none"/>
                <w:lang w:bidi="ar"/>
              </w:rPr>
              <w:t>。</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▲10</w:t>
            </w:r>
            <w:r>
              <w:rPr>
                <w:rStyle w:val="77"/>
                <w:rFonts w:hint="eastAsia" w:ascii="宋体" w:hAnsi="宋体" w:eastAsia="宋体" w:cs="宋体"/>
                <w:color w:val="auto"/>
                <w:sz w:val="21"/>
                <w:szCs w:val="21"/>
                <w:highlight w:val="none"/>
                <w:lang w:bidi="ar"/>
              </w:rPr>
              <w:t>、柔软度（弯曲度）：使用长条形压头， 柔软度（弯曲度）：防刺层弯曲20mm时的作用力≤50N。</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val="en-US" w:eastAsia="zh-CN" w:bidi="ar"/>
              </w:rPr>
              <w:t>1</w:t>
            </w:r>
            <w:r>
              <w:rPr>
                <w:rFonts w:hint="eastAsia" w:ascii="宋体" w:hAnsi="宋体" w:eastAsia="宋体" w:cs="宋体"/>
                <w:color w:val="auto"/>
                <w:kern w:val="0"/>
                <w:sz w:val="21"/>
                <w:szCs w:val="21"/>
                <w:highlight w:val="none"/>
                <w:lang w:bidi="ar"/>
              </w:rPr>
              <w:t>1</w:t>
            </w:r>
            <w:r>
              <w:rPr>
                <w:rStyle w:val="77"/>
                <w:rFonts w:hint="eastAsia" w:ascii="宋体" w:hAnsi="宋体" w:eastAsia="宋体" w:cs="宋体"/>
                <w:color w:val="auto"/>
                <w:sz w:val="21"/>
                <w:szCs w:val="21"/>
                <w:highlight w:val="none"/>
                <w:lang w:bidi="ar"/>
              </w:rPr>
              <w:t>、主要材质要求：</w:t>
            </w:r>
            <w:r>
              <w:rPr>
                <w:rFonts w:hint="eastAsia" w:ascii="宋体" w:hAnsi="宋体" w:eastAsia="宋体" w:cs="宋体"/>
                <w:color w:val="auto"/>
                <w:kern w:val="0"/>
                <w:sz w:val="21"/>
                <w:szCs w:val="21"/>
                <w:highlight w:val="none"/>
                <w:lang w:bidi="ar"/>
              </w:rPr>
              <w:br w:type="textWrapping"/>
            </w:r>
            <w:r>
              <w:rPr>
                <w:rStyle w:val="77"/>
                <w:rFonts w:hint="eastAsia" w:ascii="宋体" w:hAnsi="宋体" w:eastAsia="宋体" w:cs="宋体"/>
                <w:color w:val="auto"/>
                <w:sz w:val="21"/>
                <w:szCs w:val="21"/>
                <w:highlight w:val="none"/>
                <w:lang w:bidi="ar"/>
              </w:rPr>
              <w:t>（</w:t>
            </w:r>
            <w:r>
              <w:rPr>
                <w:rFonts w:hint="eastAsia" w:ascii="宋体" w:hAnsi="宋体" w:eastAsia="宋体" w:cs="宋体"/>
                <w:color w:val="auto"/>
                <w:kern w:val="0"/>
                <w:sz w:val="21"/>
                <w:szCs w:val="21"/>
                <w:highlight w:val="none"/>
                <w:lang w:bidi="ar"/>
              </w:rPr>
              <w:t>1</w:t>
            </w:r>
            <w:r>
              <w:rPr>
                <w:rStyle w:val="77"/>
                <w:rFonts w:hint="eastAsia" w:ascii="宋体" w:hAnsi="宋体" w:eastAsia="宋体" w:cs="宋体"/>
                <w:color w:val="auto"/>
                <w:sz w:val="21"/>
                <w:szCs w:val="21"/>
                <w:highlight w:val="none"/>
                <w:lang w:bidi="ar"/>
              </w:rPr>
              <w:t>）防刺层重量：</w:t>
            </w:r>
            <w:r>
              <w:rPr>
                <w:rFonts w:hint="eastAsia" w:ascii="宋体" w:hAnsi="宋体" w:eastAsia="宋体" w:cs="宋体"/>
                <w:color w:val="auto"/>
                <w:kern w:val="0"/>
                <w:sz w:val="21"/>
                <w:szCs w:val="21"/>
                <w:highlight w:val="none"/>
                <w:lang w:bidi="ar"/>
              </w:rPr>
              <w:t>≤2.0kg</w:t>
            </w:r>
            <w:r>
              <w:rPr>
                <w:rStyle w:val="77"/>
                <w:rFonts w:hint="eastAsia" w:ascii="宋体" w:hAnsi="宋体" w:eastAsia="宋体" w:cs="宋体"/>
                <w:color w:val="auto"/>
                <w:sz w:val="21"/>
                <w:szCs w:val="21"/>
                <w:highlight w:val="none"/>
                <w:lang w:bidi="ar"/>
              </w:rPr>
              <w:t>；</w:t>
            </w:r>
            <w:r>
              <w:rPr>
                <w:rFonts w:hint="eastAsia" w:ascii="宋体" w:hAnsi="宋体" w:eastAsia="宋体" w:cs="宋体"/>
                <w:color w:val="auto"/>
                <w:kern w:val="0"/>
                <w:sz w:val="21"/>
                <w:szCs w:val="21"/>
                <w:highlight w:val="none"/>
                <w:lang w:bidi="ar"/>
              </w:rPr>
              <w:br w:type="textWrapping"/>
            </w:r>
            <w:r>
              <w:rPr>
                <w:rStyle w:val="77"/>
                <w:rFonts w:hint="eastAsia" w:ascii="宋体" w:hAnsi="宋体" w:eastAsia="宋体" w:cs="宋体"/>
                <w:color w:val="auto"/>
                <w:sz w:val="21"/>
                <w:szCs w:val="21"/>
                <w:highlight w:val="none"/>
                <w:lang w:bidi="ar"/>
              </w:rPr>
              <w:t>（</w:t>
            </w:r>
            <w:r>
              <w:rPr>
                <w:rFonts w:hint="eastAsia" w:ascii="宋体" w:hAnsi="宋体" w:eastAsia="宋体" w:cs="宋体"/>
                <w:color w:val="auto"/>
                <w:kern w:val="0"/>
                <w:sz w:val="21"/>
                <w:szCs w:val="21"/>
                <w:highlight w:val="none"/>
                <w:lang w:bidi="ar"/>
              </w:rPr>
              <w:t>2</w:t>
            </w:r>
            <w:r>
              <w:rPr>
                <w:rStyle w:val="77"/>
                <w:rFonts w:hint="eastAsia" w:ascii="宋体" w:hAnsi="宋体" w:eastAsia="宋体" w:cs="宋体"/>
                <w:color w:val="auto"/>
                <w:sz w:val="21"/>
                <w:szCs w:val="21"/>
                <w:highlight w:val="none"/>
                <w:lang w:bidi="ar"/>
              </w:rPr>
              <w:t>）面料断裂强力</w:t>
            </w:r>
            <w:r>
              <w:rPr>
                <w:rFonts w:hint="eastAsia" w:ascii="宋体" w:hAnsi="宋体" w:eastAsia="宋体" w:cs="宋体"/>
                <w:color w:val="auto"/>
                <w:kern w:val="0"/>
                <w:sz w:val="21"/>
                <w:szCs w:val="21"/>
                <w:highlight w:val="none"/>
                <w:lang w:bidi="ar"/>
              </w:rPr>
              <w:t>≥1000N</w:t>
            </w:r>
            <w:r>
              <w:rPr>
                <w:rStyle w:val="77"/>
                <w:rFonts w:hint="eastAsia" w:ascii="宋体" w:hAnsi="宋体" w:eastAsia="宋体" w:cs="宋体"/>
                <w:color w:val="auto"/>
                <w:sz w:val="21"/>
                <w:szCs w:val="21"/>
                <w:highlight w:val="none"/>
                <w:lang w:bidi="ar"/>
              </w:rPr>
              <w:t>；面料撕破强力</w:t>
            </w:r>
            <w:r>
              <w:rPr>
                <w:rFonts w:hint="eastAsia" w:ascii="宋体" w:hAnsi="宋体" w:eastAsia="宋体" w:cs="宋体"/>
                <w:color w:val="auto"/>
                <w:kern w:val="0"/>
                <w:sz w:val="21"/>
                <w:szCs w:val="21"/>
                <w:highlight w:val="none"/>
                <w:lang w:bidi="ar"/>
              </w:rPr>
              <w:t>≥145N</w:t>
            </w:r>
            <w:r>
              <w:rPr>
                <w:rStyle w:val="77"/>
                <w:rFonts w:hint="eastAsia" w:ascii="宋体" w:hAnsi="宋体" w:eastAsia="宋体" w:cs="宋体"/>
                <w:color w:val="auto"/>
                <w:sz w:val="21"/>
                <w:szCs w:val="21"/>
                <w:highlight w:val="none"/>
                <w:lang w:bidi="ar"/>
              </w:rPr>
              <w:t>，甲醛含量</w:t>
            </w:r>
            <w:r>
              <w:rPr>
                <w:rFonts w:hint="eastAsia" w:ascii="宋体" w:hAnsi="宋体" w:eastAsia="宋体" w:cs="宋体"/>
                <w:color w:val="auto"/>
                <w:kern w:val="0"/>
                <w:sz w:val="21"/>
                <w:szCs w:val="21"/>
                <w:highlight w:val="none"/>
                <w:lang w:bidi="ar"/>
              </w:rPr>
              <w:t>≤75mg/kg</w:t>
            </w:r>
            <w:r>
              <w:rPr>
                <w:rStyle w:val="77"/>
                <w:rFonts w:hint="eastAsia" w:ascii="宋体" w:hAnsi="宋体" w:eastAsia="宋体" w:cs="宋体"/>
                <w:color w:val="auto"/>
                <w:sz w:val="21"/>
                <w:szCs w:val="21"/>
                <w:highlight w:val="none"/>
                <w:lang w:bidi="ar"/>
              </w:rPr>
              <w:t>；</w:t>
            </w:r>
            <w:r>
              <w:rPr>
                <w:rFonts w:hint="eastAsia" w:ascii="宋体" w:hAnsi="宋体" w:eastAsia="宋体" w:cs="宋体"/>
                <w:color w:val="auto"/>
                <w:kern w:val="0"/>
                <w:sz w:val="21"/>
                <w:szCs w:val="21"/>
                <w:highlight w:val="none"/>
                <w:lang w:bidi="ar"/>
              </w:rPr>
              <w:br w:type="textWrapping"/>
            </w:r>
            <w:r>
              <w:rPr>
                <w:rStyle w:val="77"/>
                <w:rFonts w:hint="eastAsia" w:ascii="宋体" w:hAnsi="宋体" w:eastAsia="宋体" w:cs="宋体"/>
                <w:color w:val="auto"/>
                <w:sz w:val="21"/>
                <w:szCs w:val="21"/>
                <w:highlight w:val="none"/>
                <w:lang w:bidi="ar"/>
              </w:rPr>
              <w:t>（</w:t>
            </w:r>
            <w:r>
              <w:rPr>
                <w:rFonts w:hint="eastAsia" w:ascii="宋体" w:hAnsi="宋体" w:eastAsia="宋体" w:cs="宋体"/>
                <w:color w:val="auto"/>
                <w:kern w:val="0"/>
                <w:sz w:val="21"/>
                <w:szCs w:val="21"/>
                <w:highlight w:val="none"/>
                <w:lang w:bidi="ar"/>
              </w:rPr>
              <w:t>3</w:t>
            </w:r>
            <w:r>
              <w:rPr>
                <w:rStyle w:val="77"/>
                <w:rFonts w:hint="eastAsia" w:ascii="宋体" w:hAnsi="宋体" w:eastAsia="宋体" w:cs="宋体"/>
                <w:color w:val="auto"/>
                <w:sz w:val="21"/>
                <w:szCs w:val="21"/>
                <w:highlight w:val="none"/>
                <w:lang w:bidi="ar"/>
              </w:rPr>
              <w:t>）面料耐摩性能：</w:t>
            </w:r>
            <w:r>
              <w:rPr>
                <w:rFonts w:hint="eastAsia" w:ascii="宋体" w:hAnsi="宋体" w:eastAsia="宋体" w:cs="宋体"/>
                <w:color w:val="auto"/>
                <w:kern w:val="0"/>
                <w:sz w:val="21"/>
                <w:szCs w:val="21"/>
                <w:highlight w:val="none"/>
                <w:lang w:bidi="ar"/>
              </w:rPr>
              <w:t>≥3000</w:t>
            </w:r>
            <w:r>
              <w:rPr>
                <w:rStyle w:val="77"/>
                <w:rFonts w:hint="eastAsia" w:ascii="宋体" w:hAnsi="宋体" w:eastAsia="宋体" w:cs="宋体"/>
                <w:color w:val="auto"/>
                <w:sz w:val="21"/>
                <w:szCs w:val="21"/>
                <w:highlight w:val="none"/>
                <w:lang w:bidi="ar"/>
              </w:rPr>
              <w:t>次；</w:t>
            </w:r>
            <w:r>
              <w:rPr>
                <w:rFonts w:hint="eastAsia" w:ascii="宋体" w:hAnsi="宋体" w:eastAsia="宋体" w:cs="宋体"/>
                <w:color w:val="auto"/>
                <w:kern w:val="0"/>
                <w:sz w:val="21"/>
                <w:szCs w:val="21"/>
                <w:highlight w:val="none"/>
                <w:lang w:bidi="ar"/>
              </w:rPr>
              <w:br w:type="textWrapping"/>
            </w:r>
            <w:r>
              <w:rPr>
                <w:rStyle w:val="77"/>
                <w:rFonts w:hint="eastAsia" w:ascii="宋体" w:hAnsi="宋体" w:eastAsia="宋体" w:cs="宋体"/>
                <w:color w:val="auto"/>
                <w:sz w:val="21"/>
                <w:szCs w:val="21"/>
                <w:highlight w:val="none"/>
                <w:lang w:bidi="ar"/>
              </w:rPr>
              <w:t>（</w:t>
            </w:r>
            <w:r>
              <w:rPr>
                <w:rFonts w:hint="eastAsia" w:ascii="宋体" w:hAnsi="宋体" w:eastAsia="宋体" w:cs="宋体"/>
                <w:color w:val="auto"/>
                <w:kern w:val="0"/>
                <w:sz w:val="21"/>
                <w:szCs w:val="21"/>
                <w:highlight w:val="none"/>
                <w:lang w:bidi="ar"/>
              </w:rPr>
              <w:t>4</w:t>
            </w:r>
            <w:r>
              <w:rPr>
                <w:rStyle w:val="77"/>
                <w:rFonts w:hint="eastAsia" w:ascii="宋体" w:hAnsi="宋体" w:eastAsia="宋体" w:cs="宋体"/>
                <w:color w:val="auto"/>
                <w:sz w:val="21"/>
                <w:szCs w:val="21"/>
                <w:highlight w:val="none"/>
                <w:lang w:bidi="ar"/>
              </w:rPr>
              <w:t>）锦丝搭扣带：折合强度</w:t>
            </w:r>
            <w:r>
              <w:rPr>
                <w:rFonts w:hint="eastAsia" w:ascii="宋体" w:hAnsi="宋体" w:eastAsia="宋体" w:cs="宋体"/>
                <w:color w:val="auto"/>
                <w:kern w:val="0"/>
                <w:sz w:val="21"/>
                <w:szCs w:val="21"/>
                <w:highlight w:val="none"/>
                <w:lang w:bidi="ar"/>
              </w:rPr>
              <w:t>≥7.0N/ cm²,</w:t>
            </w:r>
            <w:r>
              <w:rPr>
                <w:rStyle w:val="77"/>
                <w:rFonts w:hint="eastAsia" w:ascii="宋体" w:hAnsi="宋体" w:eastAsia="宋体" w:cs="宋体"/>
                <w:color w:val="auto"/>
                <w:sz w:val="21"/>
                <w:szCs w:val="21"/>
                <w:highlight w:val="none"/>
                <w:lang w:bidi="ar"/>
              </w:rPr>
              <w:t>撕揭强度</w:t>
            </w:r>
            <w:r>
              <w:rPr>
                <w:rFonts w:hint="eastAsia" w:ascii="宋体" w:hAnsi="宋体" w:eastAsia="宋体" w:cs="宋体"/>
                <w:color w:val="auto"/>
                <w:kern w:val="0"/>
                <w:sz w:val="21"/>
                <w:szCs w:val="21"/>
                <w:highlight w:val="none"/>
                <w:lang w:bidi="ar"/>
              </w:rPr>
              <w:t>≥1.3N/cm</w:t>
            </w:r>
            <w:r>
              <w:rPr>
                <w:rStyle w:val="77"/>
                <w:rFonts w:hint="eastAsia" w:ascii="宋体" w:hAnsi="宋体" w:eastAsia="宋体" w:cs="宋体"/>
                <w:color w:val="auto"/>
                <w:sz w:val="21"/>
                <w:szCs w:val="21"/>
                <w:highlight w:val="none"/>
                <w:lang w:bidi="ar"/>
              </w:rPr>
              <w:t>，耐用扣合强度</w:t>
            </w:r>
            <w:r>
              <w:rPr>
                <w:rFonts w:hint="eastAsia" w:ascii="宋体" w:hAnsi="宋体" w:eastAsia="宋体" w:cs="宋体"/>
                <w:color w:val="auto"/>
                <w:kern w:val="0"/>
                <w:sz w:val="21"/>
                <w:szCs w:val="21"/>
                <w:highlight w:val="none"/>
                <w:lang w:bidi="ar"/>
              </w:rPr>
              <w:t>≥ 6.0N/cm²</w:t>
            </w:r>
            <w:r>
              <w:rPr>
                <w:rStyle w:val="77"/>
                <w:rFonts w:hint="eastAsia" w:ascii="宋体" w:hAnsi="宋体" w:eastAsia="宋体" w:cs="宋体"/>
                <w:color w:val="auto"/>
                <w:sz w:val="21"/>
                <w:szCs w:val="21"/>
                <w:highlight w:val="none"/>
                <w:lang w:bidi="ar"/>
              </w:rPr>
              <w:t>。</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12</w:t>
            </w:r>
            <w:r>
              <w:rPr>
                <w:rStyle w:val="77"/>
                <w:rFonts w:hint="eastAsia" w:ascii="宋体" w:hAnsi="宋体" w:eastAsia="宋体" w:cs="宋体"/>
                <w:color w:val="auto"/>
                <w:sz w:val="21"/>
                <w:szCs w:val="21"/>
                <w:highlight w:val="none"/>
                <w:lang w:bidi="ar"/>
              </w:rPr>
              <w:t>、执行标准《</w:t>
            </w:r>
            <w:r>
              <w:rPr>
                <w:rFonts w:hint="eastAsia" w:ascii="宋体" w:hAnsi="宋体" w:eastAsia="宋体" w:cs="宋体"/>
                <w:color w:val="auto"/>
                <w:kern w:val="0"/>
                <w:sz w:val="21"/>
                <w:szCs w:val="21"/>
                <w:highlight w:val="none"/>
                <w:lang w:bidi="ar"/>
              </w:rPr>
              <w:t>GA68-2024</w:t>
            </w:r>
            <w:r>
              <w:rPr>
                <w:rStyle w:val="77"/>
                <w:rFonts w:hint="eastAsia" w:ascii="宋体" w:hAnsi="宋体" w:eastAsia="宋体" w:cs="宋体"/>
                <w:color w:val="auto"/>
                <w:sz w:val="21"/>
                <w:szCs w:val="21"/>
                <w:highlight w:val="none"/>
                <w:lang w:bidi="ar"/>
              </w:rPr>
              <w:t>警用防刺服》。</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13</w:t>
            </w:r>
            <w:r>
              <w:rPr>
                <w:rStyle w:val="77"/>
                <w:rFonts w:hint="eastAsia" w:ascii="宋体" w:hAnsi="宋体" w:eastAsia="宋体" w:cs="宋体"/>
                <w:color w:val="auto"/>
                <w:sz w:val="21"/>
                <w:szCs w:val="21"/>
                <w:highlight w:val="none"/>
                <w:lang w:bidi="ar"/>
              </w:rPr>
              <w:t>、</w:t>
            </w:r>
            <w:r>
              <w:rPr>
                <w:rFonts w:hint="eastAsia" w:ascii="宋体" w:hAnsi="宋体" w:eastAsia="宋体" w:cs="宋体"/>
                <w:i w:val="0"/>
                <w:iCs w:val="0"/>
                <w:color w:val="auto"/>
                <w:kern w:val="0"/>
                <w:sz w:val="21"/>
                <w:szCs w:val="21"/>
                <w:highlight w:val="none"/>
                <w:u w:val="none"/>
                <w:lang w:val="en-US" w:eastAsia="zh-CN" w:bidi="ar"/>
              </w:rPr>
              <w:t>投标人需提供第三方检测机构出具的带CMA或CNAS标识的检测报告</w:t>
            </w:r>
            <w:r>
              <w:rPr>
                <w:rStyle w:val="77"/>
                <w:rFonts w:hint="eastAsia" w:ascii="宋体" w:hAnsi="宋体" w:eastAsia="宋体" w:cs="宋体"/>
                <w:color w:val="auto"/>
                <w:sz w:val="21"/>
                <w:szCs w:val="21"/>
                <w:highlight w:val="none"/>
                <w:lang w:bidi="ar"/>
              </w:rPr>
              <w:t>。</w:t>
            </w:r>
          </w:p>
        </w:tc>
      </w:tr>
      <w:tr w14:paraId="55EE65DD">
        <w:tblPrEx>
          <w:tblCellMar>
            <w:top w:w="0" w:type="dxa"/>
            <w:left w:w="108" w:type="dxa"/>
            <w:bottom w:w="0" w:type="dxa"/>
            <w:right w:w="108" w:type="dxa"/>
          </w:tblCellMar>
        </w:tblPrEx>
        <w:trPr>
          <w:trHeight w:val="698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1934F">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9</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C2222">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电磁辐射防护服</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5D95F">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20</w:t>
            </w: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9FFD7">
            <w:pPr>
              <w:widowControl/>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套</w:t>
            </w:r>
          </w:p>
        </w:tc>
        <w:tc>
          <w:tcPr>
            <w:tcW w:w="1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74AFF">
            <w:pPr>
              <w:widowControl/>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bdr w:val="single" w:color="000000" w:sz="4" w:space="0"/>
                <w:lang w:bidi="ar"/>
              </w:rPr>
              <w:drawing>
                <wp:anchor distT="0" distB="0" distL="114300" distR="114300" simplePos="0" relativeHeight="251726848" behindDoc="0" locked="0" layoutInCell="1" allowOverlap="1">
                  <wp:simplePos x="0" y="0"/>
                  <wp:positionH relativeFrom="column">
                    <wp:posOffset>388620</wp:posOffset>
                  </wp:positionH>
                  <wp:positionV relativeFrom="paragraph">
                    <wp:posOffset>544830</wp:posOffset>
                  </wp:positionV>
                  <wp:extent cx="1379220" cy="2630805"/>
                  <wp:effectExtent l="0" t="0" r="11430" b="17145"/>
                  <wp:wrapNone/>
                  <wp:docPr id="262" name="图片_66"/>
                  <wp:cNvGraphicFramePr/>
                  <a:graphic xmlns:a="http://schemas.openxmlformats.org/drawingml/2006/main">
                    <a:graphicData uri="http://schemas.openxmlformats.org/drawingml/2006/picture">
                      <pic:pic xmlns:pic="http://schemas.openxmlformats.org/drawingml/2006/picture">
                        <pic:nvPicPr>
                          <pic:cNvPr id="262" name="图片_66"/>
                          <pic:cNvPicPr/>
                        </pic:nvPicPr>
                        <pic:blipFill>
                          <a:blip r:embed="rId49"/>
                          <a:stretch>
                            <a:fillRect/>
                          </a:stretch>
                        </pic:blipFill>
                        <pic:spPr>
                          <a:xfrm>
                            <a:off x="0" y="0"/>
                            <a:ext cx="1379220" cy="2630805"/>
                          </a:xfrm>
                          <a:prstGeom prst="rect">
                            <a:avLst/>
                          </a:prstGeom>
                          <a:noFill/>
                          <a:ln>
                            <a:noFill/>
                          </a:ln>
                        </pic:spPr>
                      </pic:pic>
                    </a:graphicData>
                  </a:graphic>
                </wp:anchor>
              </w:drawing>
            </w:r>
          </w:p>
        </w:tc>
        <w:tc>
          <w:tcPr>
            <w:tcW w:w="2599" w:type="pct"/>
            <w:tcBorders>
              <w:top w:val="single" w:color="000000" w:sz="4" w:space="0"/>
              <w:left w:val="nil"/>
              <w:bottom w:val="single" w:color="000000" w:sz="4" w:space="0"/>
              <w:right w:val="single" w:color="000000" w:sz="4" w:space="0"/>
            </w:tcBorders>
            <w:shd w:val="clear" w:color="auto" w:fill="auto"/>
            <w:vAlign w:val="center"/>
          </w:tcPr>
          <w:p w14:paraId="6A1FFCE4">
            <w:pPr>
              <w:widowControl/>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1.款式：单层连体式</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2.结构：金属混纺单层结构，带帽子</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3.重量：≤1.5kg</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4.材质：导电纤维混纺织物（可采用不锈钢纤维、银纤维、金属化纤维、导电涤纶等），外层舒适耐磨面料（涤棉、聚酯、锦纶等）</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5.功能：防电磁辐射，高频微波辐射</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6.包装:内外双层包装</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7.是否带帽：带可拆卸风帽</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8.屏蔽效能：≥60db</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9.检测频段：10khz--40ghz</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10.屏蔽率：99.99%</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11.平均表面电阻：≤0.035Ω/sq</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12.断裂强力：经向≥500N，纬向≥550N</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13.色牢度：≥4级</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14.色差：LAB</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15.经纬缩率：≤2.5%</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16.甲醛含量：≤20mg/kg</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17.环境湿度：≤75%</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18.环境温度：≤-20℃--+65℃</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19.技术标准：GJB5313-2017   QJ2809-96  GB23463-2009</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20.应用环境：各类电力机房；各种雷达站，微波站，通信站，舰船，装备等环境，同时其他有高频电磁辐射的环境均可</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21.</w:t>
            </w:r>
            <w:r>
              <w:rPr>
                <w:rFonts w:hint="eastAsia" w:ascii="宋体" w:hAnsi="宋体" w:eastAsia="宋体" w:cs="宋体"/>
                <w:i w:val="0"/>
                <w:iCs w:val="0"/>
                <w:color w:val="auto"/>
                <w:kern w:val="0"/>
                <w:sz w:val="21"/>
                <w:szCs w:val="21"/>
                <w:highlight w:val="none"/>
                <w:u w:val="none"/>
                <w:lang w:val="en-US" w:eastAsia="zh-CN" w:bidi="ar"/>
              </w:rPr>
              <w:t>投标人需提供第三方检测机构出具的带CMA或CNAS标识的检测报告。</w:t>
            </w:r>
          </w:p>
        </w:tc>
      </w:tr>
      <w:tr w14:paraId="7C02C80B">
        <w:tblPrEx>
          <w:tblCellMar>
            <w:top w:w="0" w:type="dxa"/>
            <w:left w:w="108" w:type="dxa"/>
            <w:bottom w:w="0" w:type="dxa"/>
            <w:right w:w="108" w:type="dxa"/>
          </w:tblCellMar>
        </w:tblPrEx>
        <w:trPr>
          <w:trHeight w:val="1854"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027F5">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10</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3A432">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防暴防割阻燃手套</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9EE21">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630</w:t>
            </w: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9B457">
            <w:pPr>
              <w:widowControl/>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套</w:t>
            </w: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4429B">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bdr w:val="single" w:color="000000" w:sz="4" w:space="0"/>
                <w:lang w:bidi="ar"/>
              </w:rPr>
              <w:drawing>
                <wp:anchor distT="0" distB="0" distL="114300" distR="114300" simplePos="0" relativeHeight="251727872" behindDoc="0" locked="0" layoutInCell="1" allowOverlap="1">
                  <wp:simplePos x="0" y="0"/>
                  <wp:positionH relativeFrom="column">
                    <wp:posOffset>68580</wp:posOffset>
                  </wp:positionH>
                  <wp:positionV relativeFrom="paragraph">
                    <wp:posOffset>119380</wp:posOffset>
                  </wp:positionV>
                  <wp:extent cx="1647190" cy="2387600"/>
                  <wp:effectExtent l="0" t="0" r="10160" b="12700"/>
                  <wp:wrapNone/>
                  <wp:docPr id="263" name="图片_68"/>
                  <wp:cNvGraphicFramePr/>
                  <a:graphic xmlns:a="http://schemas.openxmlformats.org/drawingml/2006/main">
                    <a:graphicData uri="http://schemas.openxmlformats.org/drawingml/2006/picture">
                      <pic:pic xmlns:pic="http://schemas.openxmlformats.org/drawingml/2006/picture">
                        <pic:nvPicPr>
                          <pic:cNvPr id="263" name="图片_68"/>
                          <pic:cNvPicPr/>
                        </pic:nvPicPr>
                        <pic:blipFill>
                          <a:blip r:embed="rId50"/>
                          <a:stretch>
                            <a:fillRect/>
                          </a:stretch>
                        </pic:blipFill>
                        <pic:spPr>
                          <a:xfrm>
                            <a:off x="0" y="0"/>
                            <a:ext cx="1647190" cy="2387600"/>
                          </a:xfrm>
                          <a:prstGeom prst="rect">
                            <a:avLst/>
                          </a:prstGeom>
                          <a:noFill/>
                          <a:ln>
                            <a:noFill/>
                          </a:ln>
                        </pic:spPr>
                      </pic:pic>
                    </a:graphicData>
                  </a:graphic>
                </wp:anchor>
              </w:drawing>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C2CBD">
            <w:pPr>
              <w:widowControl/>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一、功能要求</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手套须轻软贴合，戴着后手掌手指动作应能有最大限度的灵活性，可以灵活操作触屏手机、及执法记录仪、警务通、平板电脑等仪器，可以灵活操作长短枪、及伸缩警棍、催泪器、手铐等警械。在保护手掌手指的同时，应能满足勤务工作中的手掌手指动作需要。在基本防护功能与灵巧性之间达到完美平衡，即防止单一僵硬防割而失去灵巧性，也避免单一灵巧性而失去防护功能，确保满足一线警察正常勤务的综合性需要。</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2.须360度全方位都能抵御各种匕首、三棱刮刀、玻璃等锐器的切割伤害物体。</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3.须具有良好的防割性能、耐磨性能和抗撕拉性能、防滑性能和热接触性能，有效地保护人手不被刀具等利刃割伤。</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 xml:space="preserve">4.材料特性具有手形记忆功能：第一次使用前，可进行手形配对，材料对手型形状有记忆，佩戴后保证了最佳贴手性。材料拉伸弹性可兼容同一码数规格范围内肥瘦长短不同的手指。面料应耐汗、耐海水并耐各种干洗剂和大多数洗涤剂的清洗。 </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二、技术参数要求</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面料：混合织物（超高分子量聚乙烯、玻璃纤维、氨纶弹性纤维等），面料采用高性能防割复合弹性织物，具备透气、高弹、易弯折特性；手掌及指节部位采用防滑耐油发泡涂层，虎口加强防护结构，可常规水洗，穿戴柔软、关节活动无束缚。</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 xml:space="preserve">2.▲灵活性：国家GB/T 12624标准 ≥5级；   </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 xml:space="preserve">3.▲耐切割性：国家GB 24541标准≥5级；    </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 xml:space="preserve">4.▲耐穿刺性: 国家GB 24541标准 ≥3级；     </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 xml:space="preserve">5.▲耐撕裂性: 国家GB 24541 标准 ≥4级；    </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 xml:space="preserve">6.▲耐摩擦性：国家GB 24541标准≥4级；    </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7.接触热：热源温度100度时，≥15秒；热源温度250度时，≥7秒；</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8.颜色：黑色；</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9.重量：≤150g/副；</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10.▲撕破强力：纵向≥140，横向≥150；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11.断裂强力：纵向≥1800，横向≥900；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12.▲拉伸性能：纵向≥1800，横向≥900；</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13.耐摩擦色牢度：干磨≥4，湿摩≥4；</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14.码数：S-XL（7-10号）；</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15.</w:t>
            </w:r>
            <w:r>
              <w:rPr>
                <w:rFonts w:hint="eastAsia" w:ascii="宋体" w:hAnsi="宋体" w:eastAsia="宋体" w:cs="宋体"/>
                <w:i w:val="0"/>
                <w:iCs w:val="0"/>
                <w:color w:val="auto"/>
                <w:kern w:val="0"/>
                <w:sz w:val="21"/>
                <w:szCs w:val="21"/>
                <w:highlight w:val="none"/>
                <w:u w:val="none"/>
                <w:lang w:val="en-US" w:eastAsia="zh-CN" w:bidi="ar"/>
              </w:rPr>
              <w:t>投标人需提供第三方检测机构出具的带CMA或CNAS标识的检测报告</w:t>
            </w:r>
            <w:r>
              <w:rPr>
                <w:rFonts w:hint="eastAsia" w:ascii="宋体" w:hAnsi="宋体" w:eastAsia="宋体" w:cs="宋体"/>
                <w:color w:val="auto"/>
                <w:kern w:val="0"/>
                <w:sz w:val="21"/>
                <w:szCs w:val="21"/>
                <w:highlight w:val="none"/>
                <w:lang w:bidi="ar"/>
              </w:rPr>
              <w:t>。</w:t>
            </w:r>
          </w:p>
        </w:tc>
      </w:tr>
      <w:tr w14:paraId="6BBE3386">
        <w:tblPrEx>
          <w:tblCellMar>
            <w:top w:w="0" w:type="dxa"/>
            <w:left w:w="108" w:type="dxa"/>
            <w:bottom w:w="0" w:type="dxa"/>
            <w:right w:w="108" w:type="dxa"/>
          </w:tblCellMar>
        </w:tblPrEx>
        <w:trPr>
          <w:trHeight w:val="438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80F4A">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11</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CC4E4">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防割护颈</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09DF6">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40</w:t>
            </w: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58375">
            <w:pPr>
              <w:widowControl/>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套</w:t>
            </w: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A030B">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bdr w:val="single" w:color="000000" w:sz="4" w:space="0"/>
                <w:lang w:bidi="ar"/>
              </w:rPr>
              <w:drawing>
                <wp:anchor distT="0" distB="0" distL="114300" distR="114300" simplePos="0" relativeHeight="251728896" behindDoc="0" locked="0" layoutInCell="1" allowOverlap="1">
                  <wp:simplePos x="0" y="0"/>
                  <wp:positionH relativeFrom="column">
                    <wp:posOffset>210820</wp:posOffset>
                  </wp:positionH>
                  <wp:positionV relativeFrom="paragraph">
                    <wp:posOffset>314325</wp:posOffset>
                  </wp:positionV>
                  <wp:extent cx="1438910" cy="1311910"/>
                  <wp:effectExtent l="0" t="0" r="8890" b="2540"/>
                  <wp:wrapNone/>
                  <wp:docPr id="274" name="图片_69"/>
                  <wp:cNvGraphicFramePr/>
                  <a:graphic xmlns:a="http://schemas.openxmlformats.org/drawingml/2006/main">
                    <a:graphicData uri="http://schemas.openxmlformats.org/drawingml/2006/picture">
                      <pic:pic xmlns:pic="http://schemas.openxmlformats.org/drawingml/2006/picture">
                        <pic:nvPicPr>
                          <pic:cNvPr id="274" name="图片_69"/>
                          <pic:cNvPicPr/>
                        </pic:nvPicPr>
                        <pic:blipFill>
                          <a:blip r:embed="rId51"/>
                          <a:stretch>
                            <a:fillRect/>
                          </a:stretch>
                        </pic:blipFill>
                        <pic:spPr>
                          <a:xfrm>
                            <a:off x="0" y="0"/>
                            <a:ext cx="1438910" cy="1311910"/>
                          </a:xfrm>
                          <a:prstGeom prst="rect">
                            <a:avLst/>
                          </a:prstGeom>
                          <a:noFill/>
                          <a:ln>
                            <a:noFill/>
                          </a:ln>
                        </pic:spPr>
                      </pic:pic>
                    </a:graphicData>
                  </a:graphic>
                </wp:anchor>
              </w:drawing>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0F560">
            <w:pPr>
              <w:widowControl/>
              <w:spacing w:line="240" w:lineRule="auto"/>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防割护颈技术参数:</w:t>
            </w:r>
          </w:p>
          <w:p w14:paraId="52F62ED9">
            <w:pPr>
              <w:widowControl/>
              <w:numPr>
                <w:ilvl w:val="0"/>
                <w:numId w:val="6"/>
              </w:numPr>
              <w:spacing w:line="240" w:lineRule="auto"/>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执行标准：GA 614-2006《警用防割手套》（护颈参照）、GB 24541-2022《手部防护 机械危害防护手套》（防割性能）规格：≥（400×400×100）mm。</w:t>
            </w:r>
          </w:p>
          <w:p w14:paraId="7A7C0A6A">
            <w:pPr>
              <w:widowControl/>
              <w:numPr>
                <w:ilvl w:val="0"/>
                <w:numId w:val="6"/>
              </w:numPr>
              <w:spacing w:line="240" w:lineRule="auto"/>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颜色黑色，采用高性能复合防割织物材质，颈口搭配高弹弹性面料，边缘全包边工艺，防止毛边、杂物侵入，佩戴舒适贴合。边缘采用包边设计，可防止细小杂物侵入。</w:t>
            </w:r>
          </w:p>
          <w:p w14:paraId="51218BCA">
            <w:pPr>
              <w:widowControl/>
              <w:numPr>
                <w:ilvl w:val="0"/>
                <w:numId w:val="6"/>
              </w:numPr>
              <w:spacing w:line="240" w:lineRule="auto"/>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防割性能：防割性能按国标通用试验方法检测，整体防割性能稳定，抗锐器切割破坏能力满足高等级勤务防护要求。</w:t>
            </w:r>
          </w:p>
          <w:p w14:paraId="05020DF0">
            <w:pPr>
              <w:widowControl/>
              <w:numPr>
                <w:ilvl w:val="0"/>
                <w:numId w:val="6"/>
              </w:numPr>
              <w:spacing w:line="240" w:lineRule="auto"/>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环境适应性：低温：防割防刺护颈放入环境温度-20℃±2℃恒温箱保持2h，常温下恢复2h，然后用专用手套切割试验机，设定刀口压力为20N、刀片转速为20r/min，对被检测的防割防刺护颈进行5次切割,每次割穿发生时，切割周数不少于7周。高温：防割防刺护颈在环境温度+55℃±2℃恒温箱保持2h，然后在10min内用专用手套切割试验机，设定刀口压力为20N、刀片转速为20r/min,对被检测的防割防刺护颈进行5次切割,每次割穿发生时，切割周数不少于7周。</w:t>
            </w:r>
          </w:p>
          <w:p w14:paraId="45129ECE">
            <w:pPr>
              <w:widowControl/>
              <w:numPr>
                <w:ilvl w:val="0"/>
                <w:numId w:val="6"/>
              </w:numPr>
              <w:spacing w:line="240" w:lineRule="auto"/>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耐切割性：防割防刺护颈的耐切割性能等级应能达到5级。</w:t>
            </w:r>
          </w:p>
          <w:p w14:paraId="41D048BF">
            <w:pPr>
              <w:widowControl/>
              <w:numPr>
                <w:ilvl w:val="0"/>
                <w:numId w:val="6"/>
              </w:numPr>
              <w:spacing w:line="240" w:lineRule="auto"/>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▲耐穿刺性：耐穿刺力≥40N（1级)。</w:t>
            </w:r>
          </w:p>
          <w:p w14:paraId="4EC47179">
            <w:pPr>
              <w:widowControl/>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8、供应商需提供具备CMA或CNAS检测资质机构出具的检测报告复印件加盖公章</w:t>
            </w:r>
          </w:p>
        </w:tc>
      </w:tr>
      <w:tr w14:paraId="2A78E103">
        <w:tblPrEx>
          <w:tblCellMar>
            <w:top w:w="0" w:type="dxa"/>
            <w:left w:w="108" w:type="dxa"/>
            <w:bottom w:w="0" w:type="dxa"/>
            <w:right w:w="108" w:type="dxa"/>
          </w:tblCellMar>
        </w:tblPrEx>
        <w:trPr>
          <w:trHeight w:val="26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F1F73">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12</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0924F">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海绵盾牌</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B21CF">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50</w:t>
            </w: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75CF8">
            <w:pPr>
              <w:widowControl/>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套</w:t>
            </w: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3F307">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bdr w:val="single" w:color="000000" w:sz="4" w:space="0"/>
                <w:lang w:bidi="ar"/>
              </w:rPr>
              <w:drawing>
                <wp:anchor distT="0" distB="0" distL="114300" distR="114300" simplePos="0" relativeHeight="251729920" behindDoc="0" locked="0" layoutInCell="1" allowOverlap="1">
                  <wp:simplePos x="0" y="0"/>
                  <wp:positionH relativeFrom="column">
                    <wp:posOffset>325755</wp:posOffset>
                  </wp:positionH>
                  <wp:positionV relativeFrom="paragraph">
                    <wp:posOffset>150495</wp:posOffset>
                  </wp:positionV>
                  <wp:extent cx="1068070" cy="1423670"/>
                  <wp:effectExtent l="0" t="0" r="17780" b="5080"/>
                  <wp:wrapNone/>
                  <wp:docPr id="267" name="图片_61"/>
                  <wp:cNvGraphicFramePr/>
                  <a:graphic xmlns:a="http://schemas.openxmlformats.org/drawingml/2006/main">
                    <a:graphicData uri="http://schemas.openxmlformats.org/drawingml/2006/picture">
                      <pic:pic xmlns:pic="http://schemas.openxmlformats.org/drawingml/2006/picture">
                        <pic:nvPicPr>
                          <pic:cNvPr id="267" name="图片_61"/>
                          <pic:cNvPicPr/>
                        </pic:nvPicPr>
                        <pic:blipFill>
                          <a:blip r:embed="rId52"/>
                          <a:stretch>
                            <a:fillRect/>
                          </a:stretch>
                        </pic:blipFill>
                        <pic:spPr>
                          <a:xfrm>
                            <a:off x="0" y="0"/>
                            <a:ext cx="1068070" cy="1423670"/>
                          </a:xfrm>
                          <a:prstGeom prst="rect">
                            <a:avLst/>
                          </a:prstGeom>
                          <a:noFill/>
                          <a:ln>
                            <a:noFill/>
                          </a:ln>
                        </pic:spPr>
                      </pic:pic>
                    </a:graphicData>
                  </a:graphic>
                </wp:anchor>
              </w:drawing>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C8451">
            <w:pPr>
              <w:pStyle w:val="41"/>
              <w:widowControl/>
              <w:numPr>
                <w:ilvl w:val="0"/>
                <w:numId w:val="7"/>
              </w:numPr>
              <w:spacing w:line="240" w:lineRule="auto"/>
              <w:ind w:firstLineChars="0"/>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外观设计：盾牌正面中央印有白色圆形徽标，整体为黑色，视觉对比鲜明，便于训练中识别。</w:t>
            </w:r>
          </w:p>
          <w:p w14:paraId="13994FEA">
            <w:pPr>
              <w:pStyle w:val="41"/>
              <w:widowControl/>
              <w:numPr>
                <w:ilvl w:val="0"/>
                <w:numId w:val="0"/>
              </w:numPr>
              <w:spacing w:line="240" w:lineRule="auto"/>
              <w:ind w:leftChars="0"/>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2、材质构成：外层采用高韧性仿皮革或PU材料，内胆为高弹EVA海绵，背面材质为耐磨帆布，确保抗冲击、抗撕裂，同时具备良好缓冲吸能能力。</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3、尺寸规格：尺寸约为85cm（高）×60cm（宽）×20cm（厚），重量约1.</w:t>
            </w:r>
            <w:r>
              <w:rPr>
                <w:rFonts w:hint="eastAsia" w:ascii="宋体" w:hAnsi="宋体" w:eastAsia="宋体" w:cs="宋体"/>
                <w:color w:val="auto"/>
                <w:kern w:val="0"/>
                <w:sz w:val="21"/>
                <w:szCs w:val="21"/>
                <w:highlight w:val="none"/>
                <w:lang w:val="en-US" w:eastAsia="zh-CN" w:bidi="ar"/>
              </w:rPr>
              <w:t>6</w:t>
            </w:r>
            <w:r>
              <w:rPr>
                <w:rFonts w:hint="eastAsia" w:ascii="宋体" w:hAnsi="宋体" w:eastAsia="宋体" w:cs="宋体"/>
                <w:color w:val="auto"/>
                <w:kern w:val="0"/>
                <w:sz w:val="21"/>
                <w:szCs w:val="21"/>
                <w:highlight w:val="none"/>
                <w:lang w:bidi="ar"/>
              </w:rPr>
              <w:t>公斤，结构紧凑，便于手持操作，适合单人或双人对抗训练。</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4、防护性能：内胆高弹海绵可有效吸收击打冲击力，避免训练中造成伤害，外层材料耐磨、防泼水，可承受高强度反复击打。</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5、适用场景：专用于警用对抗训练、部队战术演练、武术表演、格斗俱乐部实战模拟、校园体育教学等，与“护具”“海绵训练棍”搭配使用。</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6、结构设计：一体成型，无金属部件，确保安全；背面设有背带或握把结构，便于手持或背负，增强操作灵活性。</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7、耐用性：外层材料经久耐用，可适应室内外多种环境，长期使用不易变形或破损，适合频繁训练使用。</w:t>
            </w:r>
          </w:p>
          <w:p w14:paraId="2EBC4C65">
            <w:pPr>
              <w:pStyle w:val="41"/>
              <w:widowControl/>
              <w:spacing w:line="240" w:lineRule="auto"/>
              <w:ind w:left="0" w:leftChars="0" w:firstLine="0" w:firstLineChars="0"/>
              <w:jc w:val="left"/>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投标人需提供第三方检测机构出具的带CMA或CNAS标识的检测报告。</w:t>
            </w:r>
          </w:p>
        </w:tc>
      </w:tr>
      <w:tr w14:paraId="68742C81">
        <w:tblPrEx>
          <w:tblCellMar>
            <w:top w:w="0" w:type="dxa"/>
            <w:left w:w="108" w:type="dxa"/>
            <w:bottom w:w="0" w:type="dxa"/>
            <w:right w:w="108" w:type="dxa"/>
          </w:tblCellMar>
        </w:tblPrEx>
        <w:trPr>
          <w:trHeight w:val="298"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38949">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13</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22E94">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短兵训练护具</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48B9B">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 xml:space="preserve">20 </w:t>
            </w: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F030F">
            <w:pPr>
              <w:widowControl/>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套</w:t>
            </w: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1EDD8">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bdr w:val="single" w:color="000000" w:sz="4" w:space="0"/>
                <w:lang w:bidi="ar"/>
              </w:rPr>
              <w:drawing>
                <wp:anchor distT="0" distB="0" distL="114300" distR="114300" simplePos="0" relativeHeight="251730944" behindDoc="0" locked="0" layoutInCell="1" allowOverlap="1">
                  <wp:simplePos x="0" y="0"/>
                  <wp:positionH relativeFrom="column">
                    <wp:posOffset>45085</wp:posOffset>
                  </wp:positionH>
                  <wp:positionV relativeFrom="paragraph">
                    <wp:posOffset>-62865</wp:posOffset>
                  </wp:positionV>
                  <wp:extent cx="1789430" cy="1480185"/>
                  <wp:effectExtent l="0" t="0" r="1270" b="5715"/>
                  <wp:wrapNone/>
                  <wp:docPr id="268" name="图片_62"/>
                  <wp:cNvGraphicFramePr/>
                  <a:graphic xmlns:a="http://schemas.openxmlformats.org/drawingml/2006/main">
                    <a:graphicData uri="http://schemas.openxmlformats.org/drawingml/2006/picture">
                      <pic:pic xmlns:pic="http://schemas.openxmlformats.org/drawingml/2006/picture">
                        <pic:nvPicPr>
                          <pic:cNvPr id="268" name="图片_62"/>
                          <pic:cNvPicPr/>
                        </pic:nvPicPr>
                        <pic:blipFill>
                          <a:blip r:embed="rId53"/>
                          <a:stretch>
                            <a:fillRect/>
                          </a:stretch>
                        </pic:blipFill>
                        <pic:spPr>
                          <a:xfrm>
                            <a:off x="0" y="0"/>
                            <a:ext cx="1789430" cy="1480185"/>
                          </a:xfrm>
                          <a:prstGeom prst="rect">
                            <a:avLst/>
                          </a:prstGeom>
                          <a:noFill/>
                          <a:ln>
                            <a:noFill/>
                          </a:ln>
                        </pic:spPr>
                      </pic:pic>
                    </a:graphicData>
                  </a:graphic>
                </wp:anchor>
              </w:drawing>
            </w:r>
          </w:p>
        </w:tc>
        <w:tc>
          <w:tcPr>
            <w:tcW w:w="2599" w:type="pct"/>
            <w:tcBorders>
              <w:top w:val="single" w:color="000000" w:sz="4" w:space="0"/>
              <w:left w:val="nil"/>
              <w:bottom w:val="single" w:color="000000" w:sz="4" w:space="0"/>
              <w:right w:val="single" w:color="000000" w:sz="4" w:space="0"/>
            </w:tcBorders>
            <w:shd w:val="clear" w:color="auto" w:fill="auto"/>
            <w:vAlign w:val="center"/>
          </w:tcPr>
          <w:p w14:paraId="55B88E7A">
            <w:pPr>
              <w:widowControl/>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1.头盔：面罩部分采用符合人体工学的弧形面罩设计，面罩采用高强度抗冲击、耐低温、高透明度（≥95%）聚碳酸酯材质，抗击打性能强，耐低温，透明度高，面罩下巴处留有透气孔防起雾。</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2.护身：延续传统护具结构设计，采用新科技、新材料、新工艺，优化对胸、肋、肩、喉、腹等重要部位的保护。其中，护胸板采用高强度抗冲击耐寒聚碳酸酯一次成型，均匀分布防滑颗粒，多片式结构（≥5 片），可靠连接工艺，周边牢固缝合。护身主体面料采用聚酰胺环保两次PU防水1680D牛津布，内里采用防水合成革，可拆洗设计；</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3.护手臂：由护手掌与护小臂组成，成连体设计。护手掌外套面料采用聚酰胺环保两次PU防水1680D牛津布，内衬为透气防水革料。</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4.护裆：外套采用合成革材质，内衬采用聚脂纤维网布，防护内胆为高强度抗冲击聚碳酸酯材质；透气性好，采用松紧带穿戴舒适，内胆形状符合人体工学设计。</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5.护具包：采用防水、防刮牛津布，拉链式开口，手提式。结实牢固，携带方便。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6.护手指：护手指采用高密聚酰胺防水牛津布缝制而成，内衬采用高效吸能XPE高压泡沫，内里采用单面拉绒透气防水革料，粘扣式设计，可调节松紧，穿戴方便。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7.护膝护腿：护腿用悬挂式穿戴设计，通过松紧带与护身相连接；护膝采用外挂设计，采用松紧与护大小腿连接，可适合不同体型大小，防护覆盖大小腿内外侧和整个膝关节。</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8.刺杀对抗木枪：采用韧性好、强度高、干缩率小的优质红钢木/玻璃纤维材料，结构细致、均匀，纹理通直、美观，顺纹抗压强度高，在刺杀对抗训练时不裂不折。</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9.教练环：具有极好抗断强度和弹性及塑性变形品质，环体为圆柱体弯曲为“8”字结构，外表面光滑不伤手。</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10.教练棍：材料采用PP、白蜡杆、聚氨酯、弹力布。棍长1800mm、球体直径150mm；棍体采用优质白蜡杆，韧性好，不易断裂，表面光滑不伤手；</w:t>
            </w:r>
          </w:p>
        </w:tc>
      </w:tr>
      <w:tr w14:paraId="267D1856">
        <w:tblPrEx>
          <w:tblCellMar>
            <w:top w:w="0" w:type="dxa"/>
            <w:left w:w="108" w:type="dxa"/>
            <w:bottom w:w="0" w:type="dxa"/>
            <w:right w:w="108" w:type="dxa"/>
          </w:tblCellMar>
        </w:tblPrEx>
        <w:trPr>
          <w:trHeight w:val="3602"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2CC76">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14</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E6FB6">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散打护具</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DCC83">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25</w:t>
            </w: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9EC29">
            <w:pPr>
              <w:widowControl/>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套</w:t>
            </w: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F0E73">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bdr w:val="single" w:color="000000" w:sz="4" w:space="0"/>
                <w:lang w:bidi="ar"/>
              </w:rPr>
              <w:drawing>
                <wp:anchor distT="0" distB="0" distL="114300" distR="114300" simplePos="0" relativeHeight="251731968" behindDoc="0" locked="0" layoutInCell="1" allowOverlap="1">
                  <wp:simplePos x="0" y="0"/>
                  <wp:positionH relativeFrom="column">
                    <wp:posOffset>87630</wp:posOffset>
                  </wp:positionH>
                  <wp:positionV relativeFrom="paragraph">
                    <wp:posOffset>107315</wp:posOffset>
                  </wp:positionV>
                  <wp:extent cx="1716405" cy="1786890"/>
                  <wp:effectExtent l="0" t="0" r="17145" b="3810"/>
                  <wp:wrapNone/>
                  <wp:docPr id="329" name="图片_63"/>
                  <wp:cNvGraphicFramePr/>
                  <a:graphic xmlns:a="http://schemas.openxmlformats.org/drawingml/2006/main">
                    <a:graphicData uri="http://schemas.openxmlformats.org/drawingml/2006/picture">
                      <pic:pic xmlns:pic="http://schemas.openxmlformats.org/drawingml/2006/picture">
                        <pic:nvPicPr>
                          <pic:cNvPr id="329" name="图片_63"/>
                          <pic:cNvPicPr/>
                        </pic:nvPicPr>
                        <pic:blipFill>
                          <a:blip r:embed="rId54"/>
                          <a:stretch>
                            <a:fillRect/>
                          </a:stretch>
                        </pic:blipFill>
                        <pic:spPr>
                          <a:xfrm>
                            <a:off x="0" y="0"/>
                            <a:ext cx="1716405" cy="1786890"/>
                          </a:xfrm>
                          <a:prstGeom prst="rect">
                            <a:avLst/>
                          </a:prstGeom>
                          <a:noFill/>
                          <a:ln>
                            <a:noFill/>
                          </a:ln>
                        </pic:spPr>
                      </pic:pic>
                    </a:graphicData>
                  </a:graphic>
                </wp:anchor>
              </w:drawing>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02DB1">
            <w:pPr>
              <w:widowControl/>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1、规格:大号(适用于身高170-185cm)，中号(适用于身高160-170cm)</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2、结构:全套由5件套组成,分为护头、护胸、护裆、护小腿、拳击手套。</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3、护头:采用高弹性EVA发泡、PU革制成</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4、护胸:采用EVA发泡、竹片和抗撕裂牛津布制成</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5、护裆:采用ABS工程塑料铸压,外套棉网布制作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6、护小腿:采用EVA发泡、竹片和牛津布制成</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7、拳击手套:聚氨酯一次成型内胆、PU革外套制成</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8、特点：整体结构设计合理，穿戴轻便灵活、防护覆盖面广、抗击打性能优异；不限制训练动作施展，可有效缓冲击打冲击力，降低训练磕碰、撞击造成的损伤。</w:t>
            </w:r>
          </w:p>
        </w:tc>
      </w:tr>
      <w:tr w14:paraId="635A2916">
        <w:tblPrEx>
          <w:tblCellMar>
            <w:top w:w="0" w:type="dxa"/>
            <w:left w:w="108" w:type="dxa"/>
            <w:bottom w:w="0" w:type="dxa"/>
            <w:right w:w="108" w:type="dxa"/>
          </w:tblCellMar>
        </w:tblPrEx>
        <w:trPr>
          <w:trHeight w:val="246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294C6">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15</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7BCA3">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训练海绵棍</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66660">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50</w:t>
            </w: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7B2AE">
            <w:pPr>
              <w:widowControl/>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根</w:t>
            </w: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A3F41">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bdr w:val="single" w:color="000000" w:sz="4" w:space="0"/>
                <w:lang w:bidi="ar"/>
              </w:rPr>
              <w:drawing>
                <wp:anchor distT="0" distB="0" distL="114300" distR="114300" simplePos="0" relativeHeight="251732992" behindDoc="0" locked="0" layoutInCell="1" allowOverlap="1">
                  <wp:simplePos x="0" y="0"/>
                  <wp:positionH relativeFrom="column">
                    <wp:posOffset>90805</wp:posOffset>
                  </wp:positionH>
                  <wp:positionV relativeFrom="paragraph">
                    <wp:posOffset>145415</wp:posOffset>
                  </wp:positionV>
                  <wp:extent cx="1494790" cy="1120775"/>
                  <wp:effectExtent l="0" t="0" r="10160" b="3175"/>
                  <wp:wrapNone/>
                  <wp:docPr id="327" name="图片_64"/>
                  <wp:cNvGraphicFramePr/>
                  <a:graphic xmlns:a="http://schemas.openxmlformats.org/drawingml/2006/main">
                    <a:graphicData uri="http://schemas.openxmlformats.org/drawingml/2006/picture">
                      <pic:pic xmlns:pic="http://schemas.openxmlformats.org/drawingml/2006/picture">
                        <pic:nvPicPr>
                          <pic:cNvPr id="327" name="图片_64"/>
                          <pic:cNvPicPr/>
                        </pic:nvPicPr>
                        <pic:blipFill>
                          <a:blip r:embed="rId55"/>
                          <a:stretch>
                            <a:fillRect/>
                          </a:stretch>
                        </pic:blipFill>
                        <pic:spPr>
                          <a:xfrm>
                            <a:off x="0" y="0"/>
                            <a:ext cx="1494790" cy="1120775"/>
                          </a:xfrm>
                          <a:prstGeom prst="rect">
                            <a:avLst/>
                          </a:prstGeom>
                          <a:noFill/>
                          <a:ln>
                            <a:noFill/>
                          </a:ln>
                        </pic:spPr>
                      </pic:pic>
                    </a:graphicData>
                  </a:graphic>
                </wp:anchor>
              </w:drawing>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B1033">
            <w:pPr>
              <w:widowControl/>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1、材质构成：外层为高韧性超纤皮或PC皮革，内芯为高密度橡胶海绵，手柄部分采用防滑尼龙纹理设计</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2、颜色配置：主体为红色或黑色，视觉醒目，便于训练中识别</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3、尺寸规格：长度约60厘米 ，直径约3-4厘米，重量轻便，适合单手持握</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4、防护性能：海绵内芯具备优异缓冲吸能能力，可有效减少击打时的冲击力，避免训练中造成伤害</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5、结构设计：一体成型，无金属部件，确保安全；手柄处有防滑纹理，增强握持稳定性</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6、耐用性：外层材料耐磨、抗撕裂，可承受高强度反复击打，使用寿命长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7、配套使用：与“护具”（如教官服、学员服）搭配使用，形成完整对抗训练体系</w:t>
            </w:r>
          </w:p>
        </w:tc>
      </w:tr>
      <w:tr w14:paraId="2812A45E">
        <w:tblPrEx>
          <w:tblCellMar>
            <w:top w:w="0" w:type="dxa"/>
            <w:left w:w="108" w:type="dxa"/>
            <w:bottom w:w="0" w:type="dxa"/>
            <w:right w:w="108" w:type="dxa"/>
          </w:tblCellMar>
        </w:tblPrEx>
        <w:trPr>
          <w:trHeight w:val="1695"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8661D">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16</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067B6">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对抗训练教官防护服</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466B9">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5</w:t>
            </w: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C7041">
            <w:pPr>
              <w:widowControl/>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套</w:t>
            </w: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5F1AB">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bdr w:val="single" w:color="000000" w:sz="4" w:space="0"/>
                <w:lang w:bidi="ar"/>
              </w:rPr>
              <w:drawing>
                <wp:anchor distT="0" distB="0" distL="114300" distR="114300" simplePos="0" relativeHeight="251734016" behindDoc="0" locked="0" layoutInCell="1" allowOverlap="1">
                  <wp:simplePos x="0" y="0"/>
                  <wp:positionH relativeFrom="column">
                    <wp:posOffset>264160</wp:posOffset>
                  </wp:positionH>
                  <wp:positionV relativeFrom="paragraph">
                    <wp:posOffset>83820</wp:posOffset>
                  </wp:positionV>
                  <wp:extent cx="1239520" cy="2400300"/>
                  <wp:effectExtent l="0" t="0" r="17780" b="0"/>
                  <wp:wrapNone/>
                  <wp:docPr id="326" name="图片_76"/>
                  <wp:cNvGraphicFramePr/>
                  <a:graphic xmlns:a="http://schemas.openxmlformats.org/drawingml/2006/main">
                    <a:graphicData uri="http://schemas.openxmlformats.org/drawingml/2006/picture">
                      <pic:pic xmlns:pic="http://schemas.openxmlformats.org/drawingml/2006/picture">
                        <pic:nvPicPr>
                          <pic:cNvPr id="326" name="图片_76"/>
                          <pic:cNvPicPr/>
                        </pic:nvPicPr>
                        <pic:blipFill>
                          <a:blip r:embed="rId56"/>
                          <a:stretch>
                            <a:fillRect/>
                          </a:stretch>
                        </pic:blipFill>
                        <pic:spPr>
                          <a:xfrm>
                            <a:off x="0" y="0"/>
                            <a:ext cx="1239520" cy="2400300"/>
                          </a:xfrm>
                          <a:prstGeom prst="rect">
                            <a:avLst/>
                          </a:prstGeom>
                          <a:noFill/>
                          <a:ln>
                            <a:noFill/>
                          </a:ln>
                        </pic:spPr>
                      </pic:pic>
                    </a:graphicData>
                  </a:graphic>
                </wp:anchor>
              </w:drawing>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3FA6D">
            <w:pPr>
              <w:widowControl/>
              <w:numPr>
                <w:ilvl w:val="0"/>
                <w:numId w:val="8"/>
              </w:numPr>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 xml:space="preserve">参数要求 </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 xml:space="preserve">1.1、防水特性，可用于水上训练，可快速清洗，可多人轮流使用，单向透气。 </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1.2、全套采用高强度环保记忆海绵制作，表面为无缝结皮工艺加工，贴近口鼻无刺鼻异味。教官服规格尺寸应符合165cm-185cm身高的使用人员穿着；穿着灵活性：教官服应穿脱方便，着装后不能使两臂的自由运动及人体跪、跳、蹲、跑、俯仰、转体等动作受到明显限制。</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▲1.3、教官服的护胸、护后背、护手臂、护大腿、一体式护膝腿等部件衬有</w:t>
            </w:r>
            <w:r>
              <w:rPr>
                <w:rFonts w:hint="eastAsia" w:ascii="宋体" w:hAnsi="宋体" w:eastAsia="宋体" w:cs="宋体"/>
                <w:color w:val="auto"/>
                <w:kern w:val="0"/>
                <w:sz w:val="21"/>
                <w:szCs w:val="21"/>
                <w:highlight w:val="none"/>
                <w:lang w:val="en-US" w:eastAsia="zh-CN" w:bidi="ar"/>
              </w:rPr>
              <w:t>约</w:t>
            </w:r>
            <w:r>
              <w:rPr>
                <w:rFonts w:hint="eastAsia" w:ascii="宋体" w:hAnsi="宋体" w:eastAsia="宋体" w:cs="宋体"/>
                <w:color w:val="auto"/>
                <w:kern w:val="0"/>
                <w:sz w:val="21"/>
                <w:szCs w:val="21"/>
                <w:highlight w:val="none"/>
                <w:lang w:bidi="ar"/>
              </w:rPr>
              <w:t>3.0mm厚PC板。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▲1.4、教官服于-35℃-+40℃的环境条件下，仍可正常使用，并具有抗击打、耐冲击性能；教官服在-35℃-+40℃的环境条件下，上下层粘合处不得开胶，漆面不得开裂；单条粘合魔术贴不得开胶，不得脱落。</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1.5、防护头盔：佩戴防护头盔后不得影响头部的灵活转动，保护头盔配钢网面罩及护目镜保护前脸部。</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1.6、护目镜：护目镜应表面光滑、无毛刺、无锐角；护目镜透光率应≥85%，应具有防雾功能；</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▲1.7、护手臂：含拳峰保护，桥梁形一片式指环套（底板长≥65mm、底板最宽位置≥75mm、底板最窄位置≥50mm），护手臂主体和拳峰弯曲处弧度≥85°。</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1.8、护胸：护胸由弧度设计，两侧弧形弯曲度≥75°，中心圆鼓型，周边辐射型组件，保护胸口、肋骨等人体重要部位，可抵御120J能量冲击；</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1.9、护后背：背部加长组件有效保护脊骨，可抵御120J能量冲击。</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2.0腿部：大小腿分两个组件，由四个拱形部件组成包裹式护大腿；一体式护膝腿及小腿肚，膝盖部位采用圆鼓型设计充分保护训练者在跪地等动作中不受伤害。</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二、标识、颜色要求</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 xml:space="preserve">   1、教官服各部件应有永久性不能擦拭的名称标识，方便使用人员对装备的辨认及穿戴。</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 xml:space="preserve">   2、教官服主体部件颜色应为红色（面罩、护目镜、松紧带、魔术贴除外</w:t>
            </w:r>
            <w:r>
              <w:rPr>
                <w:rFonts w:hint="eastAsia" w:cs="宋体"/>
                <w:color w:val="auto"/>
                <w:kern w:val="0"/>
                <w:sz w:val="21"/>
                <w:szCs w:val="21"/>
                <w:highlight w:val="none"/>
                <w:lang w:eastAsia="zh-CN" w:bidi="ar"/>
              </w:rPr>
              <w:t>）</w:t>
            </w:r>
            <w:r>
              <w:rPr>
                <w:rFonts w:hint="eastAsia" w:ascii="宋体" w:hAnsi="宋体" w:eastAsia="宋体" w:cs="宋体"/>
                <w:color w:val="auto"/>
                <w:kern w:val="0"/>
                <w:sz w:val="21"/>
                <w:szCs w:val="21"/>
                <w:highlight w:val="none"/>
                <w:lang w:bidi="ar"/>
              </w:rPr>
              <w:t>。</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三、教官服组件</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1、防护头盔1个；</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2、金属防护面罩1个；</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3、护目镜1副；</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4、护喉1个；</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5、护胸1副；</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6、侧护肋板2个；</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7、护后背1个；</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8、护上臂（护肩）1副；</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9、护手臂1副；</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10、护裆1个；</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11、护大腿背带1条；</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12、护大腿2副；</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13、护臀1副；</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14、一体式护膝腿护小腿肚1副；</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15、训练服收纳包1个；</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16、彩色使用手册1份</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i w:val="0"/>
                <w:iCs w:val="0"/>
                <w:color w:val="auto"/>
                <w:kern w:val="0"/>
                <w:sz w:val="21"/>
                <w:szCs w:val="21"/>
                <w:highlight w:val="none"/>
                <w:u w:val="none"/>
                <w:lang w:val="en-US" w:eastAsia="zh-CN" w:bidi="ar"/>
              </w:rPr>
              <w:t>投标人需提供第三方检测机构出具的带CMA或CNAS标识的检测报告。检测内容需包含</w:t>
            </w:r>
            <w:r>
              <w:rPr>
                <w:rFonts w:hint="eastAsia" w:ascii="宋体" w:hAnsi="宋体" w:eastAsia="宋体" w:cs="宋体"/>
                <w:color w:val="auto"/>
                <w:kern w:val="0"/>
                <w:sz w:val="21"/>
                <w:szCs w:val="21"/>
                <w:highlight w:val="none"/>
                <w:lang w:bidi="ar"/>
              </w:rPr>
              <w:t>▲</w:t>
            </w:r>
            <w:r>
              <w:rPr>
                <w:rFonts w:hint="eastAsia" w:ascii="宋体" w:hAnsi="宋体" w:eastAsia="宋体" w:cs="宋体"/>
                <w:i w:val="0"/>
                <w:iCs w:val="0"/>
                <w:color w:val="auto"/>
                <w:kern w:val="0"/>
                <w:sz w:val="21"/>
                <w:szCs w:val="21"/>
                <w:highlight w:val="none"/>
                <w:u w:val="none"/>
                <w:lang w:val="en-US" w:eastAsia="zh-CN" w:bidi="ar"/>
              </w:rPr>
              <w:t>关键参数。</w:t>
            </w:r>
          </w:p>
        </w:tc>
      </w:tr>
      <w:tr w14:paraId="1F934E39">
        <w:tblPrEx>
          <w:tblCellMar>
            <w:top w:w="0" w:type="dxa"/>
            <w:left w:w="108" w:type="dxa"/>
            <w:bottom w:w="0" w:type="dxa"/>
            <w:right w:w="108" w:type="dxa"/>
          </w:tblCellMar>
        </w:tblPrEx>
        <w:trPr>
          <w:trHeight w:val="4532"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6B876">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17</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3E43A">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对抗训练</w:t>
            </w:r>
            <w:r>
              <w:rPr>
                <w:rFonts w:hint="eastAsia" w:cs="宋体"/>
                <w:color w:val="auto"/>
                <w:sz w:val="21"/>
                <w:szCs w:val="21"/>
                <w:highlight w:val="none"/>
                <w:lang w:val="en-US" w:eastAsia="zh-CN"/>
              </w:rPr>
              <w:t>学员</w:t>
            </w:r>
            <w:r>
              <w:rPr>
                <w:rFonts w:hint="eastAsia" w:ascii="宋体" w:hAnsi="宋体" w:eastAsia="宋体" w:cs="宋体"/>
                <w:color w:val="auto"/>
                <w:sz w:val="21"/>
                <w:szCs w:val="21"/>
                <w:highlight w:val="none"/>
              </w:rPr>
              <w:t>防护服</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66A91">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10</w:t>
            </w: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30E7D">
            <w:pPr>
              <w:widowControl/>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套</w:t>
            </w:r>
          </w:p>
        </w:tc>
        <w:tc>
          <w:tcPr>
            <w:tcW w:w="10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39A25">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bdr w:val="single" w:color="000000" w:sz="4" w:space="0"/>
                <w:lang w:bidi="ar"/>
              </w:rPr>
              <w:drawing>
                <wp:anchor distT="0" distB="0" distL="114300" distR="114300" simplePos="0" relativeHeight="251735040" behindDoc="0" locked="0" layoutInCell="1" allowOverlap="1">
                  <wp:simplePos x="0" y="0"/>
                  <wp:positionH relativeFrom="column">
                    <wp:posOffset>207645</wp:posOffset>
                  </wp:positionH>
                  <wp:positionV relativeFrom="paragraph">
                    <wp:posOffset>244475</wp:posOffset>
                  </wp:positionV>
                  <wp:extent cx="1654175" cy="1875155"/>
                  <wp:effectExtent l="0" t="0" r="3175" b="10795"/>
                  <wp:wrapNone/>
                  <wp:docPr id="328" name="图片_77"/>
                  <wp:cNvGraphicFramePr/>
                  <a:graphic xmlns:a="http://schemas.openxmlformats.org/drawingml/2006/main">
                    <a:graphicData uri="http://schemas.openxmlformats.org/drawingml/2006/picture">
                      <pic:pic xmlns:pic="http://schemas.openxmlformats.org/drawingml/2006/picture">
                        <pic:nvPicPr>
                          <pic:cNvPr id="328" name="图片_77"/>
                          <pic:cNvPicPr/>
                        </pic:nvPicPr>
                        <pic:blipFill>
                          <a:blip r:embed="rId57"/>
                          <a:stretch>
                            <a:fillRect/>
                          </a:stretch>
                        </pic:blipFill>
                        <pic:spPr>
                          <a:xfrm>
                            <a:off x="0" y="0"/>
                            <a:ext cx="1654175" cy="1875155"/>
                          </a:xfrm>
                          <a:prstGeom prst="rect">
                            <a:avLst/>
                          </a:prstGeom>
                          <a:noFill/>
                          <a:ln>
                            <a:noFill/>
                          </a:ln>
                        </pic:spPr>
                      </pic:pic>
                    </a:graphicData>
                  </a:graphic>
                </wp:anchor>
              </w:drawing>
            </w:r>
          </w:p>
        </w:tc>
        <w:tc>
          <w:tcPr>
            <w:tcW w:w="259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1E5A0">
            <w:pPr>
              <w:widowControl/>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学员套装的合身性和舒适性使学员能够充分展示他们的培训学习经验。对头部和胸部的重要部位提供最大程度的保护。肘部和膝盖柔软，易于活动。学员们也可以共享训练服，它可以在几分钟之内清洗，消毒并干燥，供下一个人使用，再加上浸入闭孔的聚乙烯泡沫可形成屏障，为免受钝伤，和防止其他病原体的传播。使学员能够参加更贴近现实的战术攻防培训课程。</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训练服可以起到对头部，眼部、胸部、背部、手臂、肘关节、臀部、膝盖及小腿的保护作用。</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配置清单</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1.护头头盔</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2.防护钢面罩</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3.两用护目镜</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4.护胸1副</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5.护后背</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6.护手臂</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7.护小腿</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全套重量：≤3kg</w:t>
            </w:r>
          </w:p>
        </w:tc>
      </w:tr>
      <w:tr w14:paraId="204035CB">
        <w:tblPrEx>
          <w:tblCellMar>
            <w:top w:w="0" w:type="dxa"/>
            <w:left w:w="108" w:type="dxa"/>
            <w:bottom w:w="0" w:type="dxa"/>
            <w:right w:w="108" w:type="dxa"/>
          </w:tblCellMar>
        </w:tblPrEx>
        <w:trPr>
          <w:trHeight w:val="5100" w:hRule="atLeast"/>
        </w:trPr>
        <w:tc>
          <w:tcPr>
            <w:tcW w:w="2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90798">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18</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2DC09">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无人机防护背包</w:t>
            </w:r>
          </w:p>
        </w:tc>
        <w:tc>
          <w:tcPr>
            <w:tcW w:w="2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A9707">
            <w:pPr>
              <w:widowControl/>
              <w:spacing w:line="240" w:lineRule="auto"/>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27</w:t>
            </w:r>
          </w:p>
        </w:tc>
        <w:tc>
          <w:tcPr>
            <w:tcW w:w="2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65912">
            <w:pPr>
              <w:widowControl/>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套</w:t>
            </w:r>
          </w:p>
        </w:tc>
        <w:tc>
          <w:tcPr>
            <w:tcW w:w="10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139C9">
            <w:pPr>
              <w:widowControl/>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bdr w:val="single" w:color="000000" w:sz="4" w:space="0"/>
                <w:lang w:bidi="ar"/>
              </w:rPr>
              <w:drawing>
                <wp:anchor distT="0" distB="0" distL="114300" distR="114300" simplePos="0" relativeHeight="251736064" behindDoc="0" locked="0" layoutInCell="1" allowOverlap="1">
                  <wp:simplePos x="0" y="0"/>
                  <wp:positionH relativeFrom="column">
                    <wp:posOffset>177800</wp:posOffset>
                  </wp:positionH>
                  <wp:positionV relativeFrom="paragraph">
                    <wp:posOffset>596265</wp:posOffset>
                  </wp:positionV>
                  <wp:extent cx="1637665" cy="1684020"/>
                  <wp:effectExtent l="0" t="0" r="635" b="11430"/>
                  <wp:wrapNone/>
                  <wp:docPr id="330" name="图片_65"/>
                  <wp:cNvGraphicFramePr/>
                  <a:graphic xmlns:a="http://schemas.openxmlformats.org/drawingml/2006/main">
                    <a:graphicData uri="http://schemas.openxmlformats.org/drawingml/2006/picture">
                      <pic:pic xmlns:pic="http://schemas.openxmlformats.org/drawingml/2006/picture">
                        <pic:nvPicPr>
                          <pic:cNvPr id="330" name="图片_65"/>
                          <pic:cNvPicPr/>
                        </pic:nvPicPr>
                        <pic:blipFill>
                          <a:blip r:embed="rId58"/>
                          <a:stretch>
                            <a:fillRect/>
                          </a:stretch>
                        </pic:blipFill>
                        <pic:spPr>
                          <a:xfrm>
                            <a:off x="0" y="0"/>
                            <a:ext cx="1637665" cy="1684020"/>
                          </a:xfrm>
                          <a:prstGeom prst="rect">
                            <a:avLst/>
                          </a:prstGeom>
                          <a:noFill/>
                          <a:ln>
                            <a:noFill/>
                          </a:ln>
                        </pic:spPr>
                      </pic:pic>
                    </a:graphicData>
                  </a:graphic>
                </wp:anchor>
              </w:drawing>
            </w:r>
          </w:p>
        </w:tc>
        <w:tc>
          <w:tcPr>
            <w:tcW w:w="2599" w:type="pct"/>
            <w:tcBorders>
              <w:top w:val="single" w:color="000000" w:sz="4" w:space="0"/>
              <w:left w:val="nil"/>
              <w:bottom w:val="single" w:color="000000" w:sz="4" w:space="0"/>
              <w:right w:val="single" w:color="000000" w:sz="4" w:space="0"/>
            </w:tcBorders>
            <w:shd w:val="clear" w:color="auto" w:fill="auto"/>
            <w:vAlign w:val="center"/>
          </w:tcPr>
          <w:p w14:paraId="2C7C1985">
            <w:pPr>
              <w:widowControl/>
              <w:spacing w:line="240" w:lineRule="auto"/>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面料成分：</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外部面料：采用≥1000D高强度尼龙或同等性能环保耐磨面料，具备防泼水、耐磨损、抗撕裂、高承重特性，结构牢固耐用；内部拼接高对比度亮色面料，增强内部物品视觉辨识度（不限定具体色系），增强内部物品视觉辨识度。配置高品质耐用拉链、牢固扣具、高强度尼龙织带，配件顺滑耐用、连接可靠。</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产品颜色:黑色</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产品说明：</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无人机背包主要有用于收纳和携带无人机的双肩背包，内部设有多个隔层和口袋可对无人机、遥控器、电池、桨叶等配件进行分类存放。具有防泼水、防震、防撞功能，可同时收纳无人机和相机，满足航拍需求，设计简约，多个收纳空间，透气性好，肩带设计能减轻背负压力。</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功能设计：</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背包正前带魔术毛贴，可以粘贴个性识别章；两侧设有MOLLE挂载系统，可挂载带有MOLLE的装备或放在电筒等物品；背面及肩带采用舒适透气面料，便捷挂载功能，可搭配行李箱使用出行；无人机背包重量较大，护腰设计可兼顾支撑性与舒适性，保护腰部。</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bidi="ar"/>
              </w:rPr>
              <w:t>无人机轻便版背包尺寸:长约30cm±5%、宽约 20cm±5%、高约50cm±5%。</w:t>
            </w:r>
            <w:r>
              <w:rPr>
                <w:rFonts w:hint="eastAsia" w:ascii="宋体" w:hAnsi="宋体" w:eastAsia="宋体" w:cs="宋体"/>
                <w:color w:val="auto"/>
                <w:kern w:val="0"/>
                <w:sz w:val="21"/>
                <w:szCs w:val="21"/>
                <w:highlight w:val="none"/>
                <w:lang w:bidi="ar"/>
              </w:rPr>
              <w:br w:type="textWrapping"/>
            </w:r>
            <w:r>
              <w:rPr>
                <w:rFonts w:hint="eastAsia" w:ascii="宋体" w:hAnsi="宋体" w:eastAsia="宋体" w:cs="宋体"/>
                <w:color w:val="auto"/>
                <w:kern w:val="0"/>
                <w:sz w:val="21"/>
                <w:szCs w:val="21"/>
                <w:highlight w:val="none"/>
                <w:lang w:val="en-US" w:eastAsia="zh-CN" w:bidi="ar"/>
              </w:rPr>
              <w:t>投标人需提供第三方检测机构出具的带CMA或CNAS标识的检测报告。</w:t>
            </w:r>
          </w:p>
        </w:tc>
      </w:tr>
    </w:tbl>
    <w:p w14:paraId="45AF68EF">
      <w:pPr>
        <w:pStyle w:val="2"/>
        <w:keepNext/>
        <w:keepLines/>
        <w:pageBreakBefore w:val="0"/>
        <w:widowControl w:val="0"/>
        <w:numPr>
          <w:ilvl w:val="0"/>
          <w:numId w:val="0"/>
        </w:numPr>
        <w:kinsoku/>
        <w:wordWrap/>
        <w:overflowPunct/>
        <w:topLinePunct w:val="0"/>
        <w:autoSpaceDE/>
        <w:autoSpaceDN/>
        <w:bidi w:val="0"/>
        <w:adjustRightInd/>
        <w:snapToGrid/>
        <w:spacing w:before="100" w:after="10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906FA3D">
      <w:pPr>
        <w:pStyle w:val="2"/>
        <w:keepNext/>
        <w:keepLines/>
        <w:pageBreakBefore w:val="0"/>
        <w:widowControl w:val="0"/>
        <w:numPr>
          <w:ilvl w:val="0"/>
          <w:numId w:val="0"/>
        </w:numPr>
        <w:kinsoku/>
        <w:wordWrap/>
        <w:overflowPunct/>
        <w:topLinePunct w:val="0"/>
        <w:autoSpaceDE/>
        <w:autoSpaceDN/>
        <w:bidi w:val="0"/>
        <w:adjustRightInd/>
        <w:snapToGrid/>
        <w:spacing w:before="100" w:after="10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r>
        <w:rPr>
          <w:rFonts w:hint="eastAsia" w:ascii="宋体" w:hAnsi="宋体" w:eastAsia="宋体" w:cs="宋体"/>
          <w:b/>
          <w:bCs/>
          <w:color w:val="auto"/>
          <w:kern w:val="44"/>
          <w:sz w:val="36"/>
          <w:szCs w:val="36"/>
          <w:highlight w:val="none"/>
          <w:lang w:val="en-US" w:eastAsia="zh-CN" w:bidi="ar-SA"/>
        </w:rPr>
        <w:t>第四章 资格审查</w:t>
      </w:r>
      <w:bookmarkEnd w:id="254"/>
      <w:bookmarkEnd w:id="255"/>
      <w:bookmarkEnd w:id="256"/>
    </w:p>
    <w:p w14:paraId="2521A9A8">
      <w:pPr>
        <w:pStyle w:val="3"/>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color w:val="auto"/>
          <w:sz w:val="28"/>
          <w:szCs w:val="28"/>
          <w:highlight w:val="none"/>
          <w:lang w:val="zh-CN" w:eastAsia="zh-CN"/>
        </w:rPr>
      </w:pPr>
      <w:bookmarkStart w:id="257" w:name="_Toc17619"/>
      <w:r>
        <w:rPr>
          <w:rFonts w:hint="eastAsia"/>
          <w:color w:val="auto"/>
          <w:sz w:val="28"/>
          <w:szCs w:val="28"/>
          <w:highlight w:val="none"/>
          <w:lang w:val="en-US" w:eastAsia="zh-CN"/>
        </w:rPr>
        <w:t>一、资格审查程序</w:t>
      </w:r>
      <w:bookmarkEnd w:id="257"/>
      <w:r>
        <w:rPr>
          <w:rFonts w:hint="eastAsia"/>
          <w:color w:val="auto"/>
          <w:sz w:val="28"/>
          <w:szCs w:val="28"/>
          <w:highlight w:val="none"/>
          <w:lang w:val="en-US" w:eastAsia="zh-CN"/>
        </w:rPr>
        <w:t xml:space="preserve"> </w:t>
      </w:r>
    </w:p>
    <w:p w14:paraId="16EEA2D3">
      <w:pPr>
        <w:pStyle w:val="39"/>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1 开标结束后，采购人或采购代理机构将根据《资格审查要求》中的规定，对投标人进行资格审查，并形成资格审查结果。 </w:t>
      </w:r>
    </w:p>
    <w:p w14:paraId="48209E45">
      <w:pPr>
        <w:pStyle w:val="39"/>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 投标人《资格证明文件》有任何一项不符合《资格审查要求》的，资格审查不合格，其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 xml:space="preserve">。 </w:t>
      </w:r>
    </w:p>
    <w:p w14:paraId="12755477">
      <w:pPr>
        <w:pStyle w:val="39"/>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3 资格审查合格的投标人不足 3 家的，不进行评标。 </w:t>
      </w:r>
    </w:p>
    <w:p w14:paraId="04EF8027">
      <w:pPr>
        <w:pStyle w:val="3"/>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color w:val="auto"/>
          <w:sz w:val="28"/>
          <w:szCs w:val="28"/>
          <w:highlight w:val="none"/>
          <w:lang w:val="en-US" w:eastAsia="zh-CN"/>
        </w:rPr>
      </w:pPr>
      <w:bookmarkStart w:id="258" w:name="_Toc5337"/>
      <w:r>
        <w:rPr>
          <w:rFonts w:hint="eastAsia"/>
          <w:color w:val="auto"/>
          <w:sz w:val="28"/>
          <w:szCs w:val="28"/>
          <w:highlight w:val="none"/>
          <w:lang w:val="en-US" w:eastAsia="zh-CN"/>
        </w:rPr>
        <w:t>二、资格审查要求</w:t>
      </w:r>
      <w:bookmarkEnd w:id="258"/>
      <w:r>
        <w:rPr>
          <w:rFonts w:hint="eastAsia"/>
          <w:color w:val="auto"/>
          <w:sz w:val="28"/>
          <w:szCs w:val="28"/>
          <w:highlight w:val="none"/>
          <w:lang w:val="en-US" w:eastAsia="zh-CN"/>
        </w:rPr>
        <w:t xml:space="preserve"> </w:t>
      </w:r>
    </w:p>
    <w:p w14:paraId="2ED9200C">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 </w:t>
      </w:r>
    </w:p>
    <w:tbl>
      <w:tblPr>
        <w:tblStyle w:val="30"/>
        <w:tblW w:w="10592" w:type="dxa"/>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057"/>
        <w:gridCol w:w="6354"/>
        <w:gridCol w:w="432"/>
        <w:gridCol w:w="480"/>
        <w:gridCol w:w="564"/>
      </w:tblGrid>
      <w:tr w14:paraId="50C4C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705" w:type="dxa"/>
            <w:vMerge w:val="restart"/>
            <w:noWrap w:val="0"/>
            <w:vAlign w:val="center"/>
          </w:tcPr>
          <w:p w14:paraId="51A1A2B7">
            <w:pPr>
              <w:spacing w:line="360" w:lineRule="auto"/>
              <w:jc w:val="center"/>
              <w:rPr>
                <w:rFonts w:hint="eastAsia" w:ascii="宋体" w:hAnsi="宋体" w:cs="仿宋"/>
                <w:b/>
                <w:spacing w:val="-2"/>
                <w:sz w:val="24"/>
              </w:rPr>
            </w:pPr>
            <w:r>
              <w:rPr>
                <w:rFonts w:hint="eastAsia" w:ascii="宋体" w:hAnsi="宋体" w:cs="仿宋"/>
                <w:b/>
                <w:spacing w:val="-2"/>
                <w:sz w:val="24"/>
              </w:rPr>
              <w:t>序号</w:t>
            </w:r>
          </w:p>
        </w:tc>
        <w:tc>
          <w:tcPr>
            <w:tcW w:w="2057" w:type="dxa"/>
            <w:vMerge w:val="restart"/>
            <w:noWrap w:val="0"/>
            <w:vAlign w:val="center"/>
          </w:tcPr>
          <w:p w14:paraId="7EA97D28">
            <w:pPr>
              <w:spacing w:line="360" w:lineRule="auto"/>
              <w:jc w:val="center"/>
              <w:rPr>
                <w:rFonts w:hint="eastAsia" w:ascii="宋体" w:hAnsi="宋体" w:cs="仿宋"/>
                <w:b/>
                <w:spacing w:val="-2"/>
                <w:sz w:val="24"/>
              </w:rPr>
            </w:pPr>
            <w:r>
              <w:rPr>
                <w:rFonts w:hint="eastAsia" w:ascii="宋体" w:hAnsi="宋体" w:cs="仿宋"/>
                <w:b/>
                <w:spacing w:val="-2"/>
                <w:sz w:val="24"/>
              </w:rPr>
              <w:t>评审内容</w:t>
            </w:r>
          </w:p>
        </w:tc>
        <w:tc>
          <w:tcPr>
            <w:tcW w:w="6354" w:type="dxa"/>
            <w:vMerge w:val="restart"/>
            <w:noWrap w:val="0"/>
            <w:vAlign w:val="center"/>
          </w:tcPr>
          <w:p w14:paraId="3AA0919D">
            <w:pPr>
              <w:spacing w:line="360" w:lineRule="auto"/>
              <w:jc w:val="center"/>
              <w:rPr>
                <w:rFonts w:hint="eastAsia" w:ascii="宋体" w:hAnsi="宋体" w:cs="仿宋"/>
                <w:b/>
                <w:spacing w:val="-2"/>
                <w:sz w:val="24"/>
              </w:rPr>
            </w:pPr>
            <w:r>
              <w:rPr>
                <w:rFonts w:hint="eastAsia" w:ascii="宋体" w:hAnsi="宋体" w:cs="仿宋"/>
                <w:b/>
                <w:spacing w:val="-2"/>
                <w:sz w:val="24"/>
              </w:rPr>
              <w:t>评审合格标准</w:t>
            </w:r>
          </w:p>
        </w:tc>
        <w:tc>
          <w:tcPr>
            <w:tcW w:w="1476" w:type="dxa"/>
            <w:gridSpan w:val="3"/>
            <w:noWrap w:val="0"/>
            <w:vAlign w:val="bottom"/>
          </w:tcPr>
          <w:p w14:paraId="77653E4C">
            <w:pPr>
              <w:spacing w:line="360" w:lineRule="auto"/>
              <w:jc w:val="center"/>
              <w:rPr>
                <w:rFonts w:hint="eastAsia" w:ascii="宋体" w:hAnsi="宋体" w:cs="仿宋"/>
                <w:b/>
                <w:spacing w:val="-2"/>
                <w:sz w:val="24"/>
              </w:rPr>
            </w:pPr>
            <w:r>
              <w:rPr>
                <w:rFonts w:hint="eastAsia" w:ascii="宋体" w:hAnsi="宋体" w:cs="仿宋"/>
                <w:b/>
                <w:spacing w:val="-2"/>
                <w:sz w:val="24"/>
              </w:rPr>
              <w:t>投标人名称</w:t>
            </w:r>
          </w:p>
        </w:tc>
      </w:tr>
      <w:tr w14:paraId="0A962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705" w:type="dxa"/>
            <w:vMerge w:val="continue"/>
            <w:noWrap w:val="0"/>
            <w:vAlign w:val="bottom"/>
          </w:tcPr>
          <w:p w14:paraId="7D596DE4">
            <w:pPr>
              <w:spacing w:line="360" w:lineRule="auto"/>
              <w:jc w:val="center"/>
              <w:rPr>
                <w:rFonts w:hint="eastAsia" w:ascii="宋体" w:hAnsi="宋体" w:cs="仿宋"/>
                <w:b/>
                <w:spacing w:val="-2"/>
                <w:sz w:val="24"/>
              </w:rPr>
            </w:pPr>
          </w:p>
        </w:tc>
        <w:tc>
          <w:tcPr>
            <w:tcW w:w="2057" w:type="dxa"/>
            <w:vMerge w:val="continue"/>
            <w:noWrap w:val="0"/>
            <w:vAlign w:val="bottom"/>
          </w:tcPr>
          <w:p w14:paraId="75C71AC2">
            <w:pPr>
              <w:spacing w:line="360" w:lineRule="auto"/>
              <w:jc w:val="center"/>
              <w:rPr>
                <w:rFonts w:hint="eastAsia" w:ascii="宋体" w:hAnsi="宋体" w:cs="仿宋"/>
                <w:b/>
                <w:spacing w:val="-2"/>
                <w:sz w:val="24"/>
              </w:rPr>
            </w:pPr>
          </w:p>
        </w:tc>
        <w:tc>
          <w:tcPr>
            <w:tcW w:w="6354" w:type="dxa"/>
            <w:vMerge w:val="continue"/>
            <w:noWrap w:val="0"/>
            <w:vAlign w:val="bottom"/>
          </w:tcPr>
          <w:p w14:paraId="2F31BDEB">
            <w:pPr>
              <w:spacing w:line="360" w:lineRule="auto"/>
              <w:jc w:val="center"/>
              <w:rPr>
                <w:rFonts w:hint="eastAsia" w:ascii="宋体" w:hAnsi="宋体" w:cs="仿宋"/>
                <w:b/>
                <w:spacing w:val="-2"/>
                <w:sz w:val="24"/>
              </w:rPr>
            </w:pPr>
          </w:p>
        </w:tc>
        <w:tc>
          <w:tcPr>
            <w:tcW w:w="432" w:type="dxa"/>
            <w:noWrap w:val="0"/>
            <w:vAlign w:val="bottom"/>
          </w:tcPr>
          <w:p w14:paraId="2CEAE91D">
            <w:pPr>
              <w:spacing w:line="360" w:lineRule="auto"/>
              <w:jc w:val="center"/>
              <w:rPr>
                <w:rFonts w:hint="eastAsia" w:ascii="宋体" w:hAnsi="宋体" w:cs="仿宋"/>
                <w:b/>
                <w:spacing w:val="-2"/>
                <w:sz w:val="24"/>
              </w:rPr>
            </w:pPr>
          </w:p>
        </w:tc>
        <w:tc>
          <w:tcPr>
            <w:tcW w:w="480" w:type="dxa"/>
            <w:noWrap w:val="0"/>
            <w:vAlign w:val="top"/>
          </w:tcPr>
          <w:p w14:paraId="4D25349D">
            <w:pPr>
              <w:spacing w:line="360" w:lineRule="auto"/>
              <w:jc w:val="center"/>
              <w:rPr>
                <w:rFonts w:hint="eastAsia" w:ascii="宋体" w:hAnsi="宋体" w:cs="仿宋"/>
                <w:b/>
                <w:spacing w:val="-2"/>
                <w:sz w:val="24"/>
              </w:rPr>
            </w:pPr>
          </w:p>
        </w:tc>
        <w:tc>
          <w:tcPr>
            <w:tcW w:w="564" w:type="dxa"/>
            <w:noWrap w:val="0"/>
            <w:vAlign w:val="top"/>
          </w:tcPr>
          <w:p w14:paraId="2C46B78B">
            <w:pPr>
              <w:spacing w:line="360" w:lineRule="auto"/>
              <w:jc w:val="center"/>
              <w:rPr>
                <w:rFonts w:hint="eastAsia" w:ascii="宋体" w:hAnsi="宋体" w:cs="仿宋"/>
                <w:b/>
                <w:spacing w:val="-2"/>
                <w:sz w:val="24"/>
              </w:rPr>
            </w:pPr>
          </w:p>
        </w:tc>
      </w:tr>
      <w:tr w14:paraId="78D75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9" w:hRule="atLeast"/>
        </w:trPr>
        <w:tc>
          <w:tcPr>
            <w:tcW w:w="705" w:type="dxa"/>
            <w:noWrap w:val="0"/>
            <w:vAlign w:val="center"/>
          </w:tcPr>
          <w:p w14:paraId="46E15022">
            <w:pPr>
              <w:spacing w:line="360" w:lineRule="auto"/>
              <w:jc w:val="center"/>
              <w:rPr>
                <w:rFonts w:hint="eastAsia" w:ascii="宋体" w:hAnsi="宋体" w:cs="仿宋"/>
                <w:spacing w:val="-2"/>
                <w:sz w:val="24"/>
              </w:rPr>
            </w:pPr>
            <w:r>
              <w:rPr>
                <w:rFonts w:hint="eastAsia" w:ascii="宋体" w:hAnsi="宋体" w:cs="仿宋"/>
                <w:spacing w:val="-2"/>
                <w:sz w:val="24"/>
              </w:rPr>
              <w:t>1</w:t>
            </w:r>
          </w:p>
        </w:tc>
        <w:tc>
          <w:tcPr>
            <w:tcW w:w="2057" w:type="dxa"/>
            <w:noWrap w:val="0"/>
            <w:vAlign w:val="center"/>
          </w:tcPr>
          <w:p w14:paraId="4341CFEB">
            <w:pPr>
              <w:spacing w:line="360" w:lineRule="auto"/>
              <w:jc w:val="center"/>
              <w:rPr>
                <w:rFonts w:hint="eastAsia" w:ascii="宋体" w:hAnsi="宋体" w:cs="仿宋"/>
                <w:spacing w:val="-2"/>
                <w:sz w:val="24"/>
              </w:rPr>
            </w:pPr>
            <w:r>
              <w:rPr>
                <w:rFonts w:ascii="宋体" w:hAnsi="宋体" w:cs="仿宋"/>
                <w:sz w:val="24"/>
              </w:rPr>
              <w:t>营业执照等证明</w:t>
            </w:r>
          </w:p>
        </w:tc>
        <w:tc>
          <w:tcPr>
            <w:tcW w:w="6354" w:type="dxa"/>
            <w:noWrap w:val="0"/>
            <w:vAlign w:val="top"/>
          </w:tcPr>
          <w:p w14:paraId="3FD88328">
            <w:pPr>
              <w:spacing w:line="360" w:lineRule="auto"/>
              <w:jc w:val="left"/>
              <w:rPr>
                <w:rFonts w:hint="eastAsia" w:ascii="宋体" w:hAnsi="宋体" w:cs="仿宋"/>
                <w:spacing w:val="-2"/>
                <w:sz w:val="24"/>
              </w:rPr>
            </w:pPr>
            <w:r>
              <w:rPr>
                <w:rFonts w:hint="eastAsia" w:ascii="宋体" w:hAnsi="宋体" w:cs="仿宋"/>
                <w:spacing w:val="-2"/>
                <w:sz w:val="24"/>
                <w:lang w:val="en-US" w:eastAsia="zh-CN"/>
              </w:rPr>
              <w:t>投标人为企业（包括合伙企业）的，应提供“营业执照”；</w:t>
            </w:r>
            <w:r>
              <w:rPr>
                <w:rFonts w:hint="eastAsia" w:ascii="宋体" w:hAnsi="宋体" w:cs="仿宋"/>
                <w:spacing w:val="-2"/>
                <w:sz w:val="24"/>
                <w:lang w:val="en-US" w:eastAsia="zh-CN"/>
              </w:rPr>
              <w:br w:type="textWrapping"/>
            </w:r>
            <w:r>
              <w:rPr>
                <w:rFonts w:hint="eastAsia" w:ascii="宋体" w:hAnsi="宋体" w:cs="仿宋"/>
                <w:spacing w:val="-2"/>
                <w:sz w:val="24"/>
                <w:lang w:val="en-US" w:eastAsia="zh-CN"/>
              </w:rPr>
              <w:t>投标人为事业单位的，应供有效的“事业单位法人证书”；</w:t>
            </w:r>
            <w:r>
              <w:rPr>
                <w:rFonts w:hint="eastAsia" w:ascii="宋体" w:hAnsi="宋体" w:cs="仿宋"/>
                <w:spacing w:val="-2"/>
                <w:sz w:val="24"/>
                <w:lang w:val="en-US" w:eastAsia="zh-CN"/>
              </w:rPr>
              <w:br w:type="textWrapping"/>
            </w:r>
            <w:r>
              <w:rPr>
                <w:rFonts w:hint="eastAsia" w:ascii="宋体" w:hAnsi="宋体" w:cs="仿宋"/>
                <w:spacing w:val="-2"/>
                <w:sz w:val="24"/>
                <w:lang w:val="en-US" w:eastAsia="zh-CN"/>
              </w:rPr>
              <w:t>投标人是非企业机构的，应供“执业许可证”、“登记证书”等证明文件；</w:t>
            </w:r>
            <w:r>
              <w:rPr>
                <w:rFonts w:hint="eastAsia" w:ascii="宋体" w:hAnsi="宋体" w:cs="仿宋"/>
                <w:spacing w:val="-2"/>
                <w:sz w:val="24"/>
                <w:lang w:val="en-US" w:eastAsia="zh-CN"/>
              </w:rPr>
              <w:br w:type="textWrapping"/>
            </w:r>
            <w:r>
              <w:rPr>
                <w:rFonts w:hint="eastAsia" w:ascii="宋体" w:hAnsi="宋体" w:cs="仿宋"/>
                <w:spacing w:val="-2"/>
                <w:sz w:val="24"/>
                <w:lang w:val="en-US" w:eastAsia="zh-CN"/>
              </w:rPr>
              <w:t>投标人是个体工商户的，应</w:t>
            </w:r>
            <w:r>
              <w:rPr>
                <w:rFonts w:hint="eastAsia" w:cs="仿宋"/>
                <w:spacing w:val="-2"/>
                <w:sz w:val="24"/>
                <w:lang w:val="en-US" w:eastAsia="zh-CN"/>
              </w:rPr>
              <w:t>提供</w:t>
            </w:r>
            <w:r>
              <w:rPr>
                <w:rFonts w:hint="eastAsia" w:ascii="宋体" w:hAnsi="宋体" w:cs="仿宋"/>
                <w:spacing w:val="-2"/>
                <w:sz w:val="24"/>
                <w:lang w:val="en-US" w:eastAsia="zh-CN"/>
              </w:rPr>
              <w:t>“个体工商户营业执照”；</w:t>
            </w:r>
            <w:r>
              <w:rPr>
                <w:rFonts w:hint="eastAsia" w:ascii="宋体" w:hAnsi="宋体" w:cs="仿宋"/>
                <w:spacing w:val="-2"/>
                <w:sz w:val="24"/>
                <w:lang w:val="en-US" w:eastAsia="zh-CN"/>
              </w:rPr>
              <w:br w:type="textWrapping"/>
            </w:r>
            <w:r>
              <w:rPr>
                <w:rFonts w:hint="eastAsia" w:ascii="宋体" w:hAnsi="宋体" w:cs="仿宋"/>
                <w:spacing w:val="-2"/>
                <w:sz w:val="24"/>
                <w:lang w:val="en-US" w:eastAsia="zh-CN"/>
              </w:rPr>
              <w:t>投标人是自然人的，应</w:t>
            </w:r>
            <w:r>
              <w:rPr>
                <w:rFonts w:hint="eastAsia" w:cs="仿宋"/>
                <w:spacing w:val="-2"/>
                <w:sz w:val="24"/>
                <w:lang w:val="en-US" w:eastAsia="zh-CN"/>
              </w:rPr>
              <w:t>提</w:t>
            </w:r>
            <w:r>
              <w:rPr>
                <w:rFonts w:hint="eastAsia" w:ascii="宋体" w:hAnsi="宋体" w:cs="仿宋"/>
                <w:spacing w:val="-2"/>
                <w:sz w:val="24"/>
                <w:lang w:val="en-US" w:eastAsia="zh-CN"/>
              </w:rPr>
              <w:t>供自然人身份证明。</w:t>
            </w:r>
            <w:r>
              <w:rPr>
                <w:rFonts w:hint="eastAsia" w:ascii="宋体" w:hAnsi="宋体" w:cs="仿宋"/>
                <w:spacing w:val="-2"/>
                <w:sz w:val="24"/>
                <w:lang w:val="en-US" w:eastAsia="zh-CN"/>
              </w:rPr>
              <w:br w:type="textWrapping"/>
            </w:r>
            <w:r>
              <w:rPr>
                <w:rFonts w:hint="eastAsia" w:ascii="宋体" w:hAnsi="宋体" w:cs="仿宋"/>
                <w:spacing w:val="-2"/>
                <w:sz w:val="24"/>
                <w:lang w:val="en-US" w:eastAsia="zh-CN"/>
              </w:rPr>
              <w:t>分支机构参加投标的，应供该分支机构或其所属法人/其他组织的相应证明文件；同时还应提供其所属法人/其他组织出具的授权其参与本项目的授权书（格式自拟，须加盖其所属法人/其他组织的公章）；对于银行、保险、石油石化、电力、电信等行业的分支机构，可以提供上述授权，也可以提供其所属法人/其他组织的有关文件或制度等能够证明授权其独立开展业务的证明材料。</w:t>
            </w:r>
          </w:p>
        </w:tc>
        <w:tc>
          <w:tcPr>
            <w:tcW w:w="432" w:type="dxa"/>
            <w:noWrap w:val="0"/>
            <w:vAlign w:val="top"/>
          </w:tcPr>
          <w:p w14:paraId="21AF797F">
            <w:pPr>
              <w:spacing w:line="360" w:lineRule="auto"/>
              <w:jc w:val="left"/>
              <w:rPr>
                <w:rFonts w:hint="eastAsia" w:ascii="宋体" w:hAnsi="宋体" w:cs="仿宋"/>
                <w:spacing w:val="-2"/>
                <w:sz w:val="24"/>
              </w:rPr>
            </w:pPr>
          </w:p>
        </w:tc>
        <w:tc>
          <w:tcPr>
            <w:tcW w:w="480" w:type="dxa"/>
            <w:noWrap w:val="0"/>
            <w:vAlign w:val="top"/>
          </w:tcPr>
          <w:p w14:paraId="4C3493D1">
            <w:pPr>
              <w:spacing w:line="360" w:lineRule="auto"/>
              <w:jc w:val="left"/>
              <w:rPr>
                <w:rFonts w:hint="eastAsia" w:ascii="宋体" w:hAnsi="宋体" w:cs="仿宋"/>
                <w:spacing w:val="-2"/>
                <w:sz w:val="24"/>
              </w:rPr>
            </w:pPr>
          </w:p>
        </w:tc>
        <w:tc>
          <w:tcPr>
            <w:tcW w:w="564" w:type="dxa"/>
            <w:noWrap w:val="0"/>
            <w:vAlign w:val="top"/>
          </w:tcPr>
          <w:p w14:paraId="5E168FED">
            <w:pPr>
              <w:spacing w:line="360" w:lineRule="auto"/>
              <w:jc w:val="left"/>
              <w:rPr>
                <w:rFonts w:hint="eastAsia" w:ascii="宋体" w:hAnsi="宋体" w:cs="仿宋"/>
                <w:spacing w:val="-2"/>
                <w:sz w:val="24"/>
              </w:rPr>
            </w:pPr>
          </w:p>
        </w:tc>
      </w:tr>
      <w:tr w14:paraId="461D5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atLeast"/>
        </w:trPr>
        <w:tc>
          <w:tcPr>
            <w:tcW w:w="705" w:type="dxa"/>
            <w:noWrap w:val="0"/>
            <w:vAlign w:val="center"/>
          </w:tcPr>
          <w:p w14:paraId="2D0668A7">
            <w:pPr>
              <w:spacing w:line="360" w:lineRule="auto"/>
              <w:jc w:val="center"/>
              <w:rPr>
                <w:rFonts w:hint="eastAsia" w:ascii="宋体" w:hAnsi="宋体" w:cs="仿宋"/>
                <w:spacing w:val="-2"/>
                <w:sz w:val="24"/>
              </w:rPr>
            </w:pPr>
            <w:r>
              <w:rPr>
                <w:rFonts w:hint="eastAsia" w:ascii="宋体" w:hAnsi="宋体" w:cs="仿宋"/>
                <w:spacing w:val="-2"/>
                <w:sz w:val="24"/>
              </w:rPr>
              <w:t>2</w:t>
            </w:r>
          </w:p>
        </w:tc>
        <w:tc>
          <w:tcPr>
            <w:tcW w:w="2057" w:type="dxa"/>
            <w:noWrap w:val="0"/>
            <w:vAlign w:val="center"/>
          </w:tcPr>
          <w:p w14:paraId="2B879D34">
            <w:pPr>
              <w:spacing w:line="360" w:lineRule="auto"/>
              <w:jc w:val="center"/>
              <w:rPr>
                <w:rFonts w:hint="eastAsia" w:ascii="宋体" w:hAnsi="宋体" w:cs="仿宋"/>
                <w:sz w:val="24"/>
              </w:rPr>
            </w:pPr>
            <w:r>
              <w:rPr>
                <w:rFonts w:hint="eastAsia" w:ascii="宋体" w:hAnsi="宋体" w:cs="仿宋"/>
                <w:sz w:val="24"/>
              </w:rPr>
              <w:t>法定代表人身份证明书及</w:t>
            </w:r>
            <w:r>
              <w:rPr>
                <w:rFonts w:ascii="宋体" w:hAnsi="宋体" w:cs="仿宋"/>
                <w:sz w:val="24"/>
              </w:rPr>
              <w:t>法定代表人授权书</w:t>
            </w:r>
          </w:p>
        </w:tc>
        <w:tc>
          <w:tcPr>
            <w:tcW w:w="6354" w:type="dxa"/>
            <w:noWrap w:val="0"/>
            <w:vAlign w:val="top"/>
          </w:tcPr>
          <w:p w14:paraId="48287C3F">
            <w:pPr>
              <w:spacing w:line="360" w:lineRule="auto"/>
              <w:jc w:val="left"/>
              <w:rPr>
                <w:rFonts w:ascii="宋体" w:hAnsi="宋体" w:cs="仿宋"/>
                <w:spacing w:val="-2"/>
                <w:sz w:val="24"/>
              </w:rPr>
            </w:pPr>
            <w:r>
              <w:rPr>
                <w:rFonts w:hint="eastAsia" w:ascii="宋体" w:hAnsi="宋体" w:cs="仿宋"/>
                <w:spacing w:val="-2"/>
                <w:sz w:val="24"/>
              </w:rPr>
              <w:t>（1）</w:t>
            </w:r>
            <w:r>
              <w:rPr>
                <w:rFonts w:ascii="宋体" w:hAnsi="宋体" w:cs="仿宋"/>
                <w:spacing w:val="-2"/>
                <w:sz w:val="24"/>
              </w:rPr>
              <w:t>按</w:t>
            </w:r>
            <w:r>
              <w:rPr>
                <w:rFonts w:hint="eastAsia" w:ascii="宋体" w:hAnsi="宋体" w:cs="仿宋"/>
                <w:spacing w:val="-2"/>
                <w:sz w:val="24"/>
                <w:lang w:val="en-US" w:eastAsia="zh-CN"/>
              </w:rPr>
              <w:t>招标</w:t>
            </w:r>
            <w:r>
              <w:rPr>
                <w:rFonts w:ascii="宋体" w:hAnsi="宋体" w:cs="仿宋"/>
                <w:spacing w:val="-2"/>
                <w:sz w:val="24"/>
              </w:rPr>
              <w:t>文件规定的格式填写、签署和盖章；</w:t>
            </w:r>
          </w:p>
          <w:p w14:paraId="13DE9AEA">
            <w:pPr>
              <w:spacing w:line="360" w:lineRule="auto"/>
              <w:jc w:val="left"/>
              <w:rPr>
                <w:rFonts w:hint="eastAsia" w:ascii="宋体" w:hAnsi="宋体" w:cs="仿宋"/>
                <w:spacing w:val="-2"/>
                <w:sz w:val="24"/>
              </w:rPr>
            </w:pPr>
            <w:r>
              <w:rPr>
                <w:rFonts w:hint="eastAsia" w:ascii="宋体" w:hAnsi="宋体" w:cs="仿宋"/>
                <w:spacing w:val="-2"/>
                <w:sz w:val="24"/>
              </w:rPr>
              <w:t>（2）法定代表人身份证明书附完整的</w:t>
            </w:r>
            <w:r>
              <w:rPr>
                <w:rFonts w:ascii="宋体" w:hAnsi="宋体" w:cs="仿宋"/>
                <w:spacing w:val="-2"/>
                <w:sz w:val="24"/>
              </w:rPr>
              <w:t>法定代表人身份证复印件</w:t>
            </w:r>
            <w:r>
              <w:rPr>
                <w:rFonts w:hint="eastAsia" w:ascii="宋体" w:hAnsi="宋体" w:cs="仿宋"/>
                <w:spacing w:val="-2"/>
                <w:sz w:val="24"/>
              </w:rPr>
              <w:t>，并</w:t>
            </w:r>
            <w:r>
              <w:rPr>
                <w:rFonts w:ascii="宋体" w:hAnsi="宋体" w:cs="仿宋"/>
                <w:spacing w:val="-2"/>
                <w:sz w:val="24"/>
              </w:rPr>
              <w:t>加盖公章</w:t>
            </w:r>
            <w:r>
              <w:rPr>
                <w:rFonts w:hint="eastAsia" w:ascii="宋体" w:hAnsi="宋体" w:cs="仿宋"/>
                <w:spacing w:val="-2"/>
                <w:sz w:val="24"/>
              </w:rPr>
              <w:t>；</w:t>
            </w:r>
          </w:p>
          <w:p w14:paraId="141C8295">
            <w:pPr>
              <w:spacing w:line="360" w:lineRule="auto"/>
              <w:jc w:val="left"/>
              <w:rPr>
                <w:rFonts w:hint="eastAsia" w:ascii="宋体" w:hAnsi="宋体" w:cs="仿宋"/>
                <w:spacing w:val="-2"/>
                <w:sz w:val="24"/>
              </w:rPr>
            </w:pPr>
            <w:r>
              <w:rPr>
                <w:rFonts w:hint="eastAsia" w:ascii="宋体" w:hAnsi="宋体" w:cs="仿宋"/>
                <w:spacing w:val="-2"/>
                <w:sz w:val="24"/>
              </w:rPr>
              <w:t>（3）法定代表人授权委托书</w:t>
            </w:r>
            <w:r>
              <w:rPr>
                <w:rFonts w:ascii="宋体" w:hAnsi="宋体" w:cs="仿宋"/>
                <w:spacing w:val="-2"/>
                <w:sz w:val="24"/>
              </w:rPr>
              <w:t>附完整的法定代表人身份证复印件、被授权人身份证复印件，</w:t>
            </w:r>
            <w:r>
              <w:rPr>
                <w:rFonts w:hint="eastAsia" w:ascii="宋体" w:hAnsi="宋体" w:cs="仿宋"/>
                <w:spacing w:val="-2"/>
                <w:sz w:val="24"/>
              </w:rPr>
              <w:t>并</w:t>
            </w:r>
            <w:r>
              <w:rPr>
                <w:rFonts w:ascii="宋体" w:hAnsi="宋体" w:cs="仿宋"/>
                <w:spacing w:val="-2"/>
                <w:sz w:val="24"/>
              </w:rPr>
              <w:t>加盖公章；</w:t>
            </w:r>
          </w:p>
        </w:tc>
        <w:tc>
          <w:tcPr>
            <w:tcW w:w="432" w:type="dxa"/>
            <w:noWrap w:val="0"/>
            <w:vAlign w:val="top"/>
          </w:tcPr>
          <w:p w14:paraId="4B31D4ED">
            <w:pPr>
              <w:spacing w:line="360" w:lineRule="auto"/>
              <w:jc w:val="left"/>
              <w:rPr>
                <w:rFonts w:hint="eastAsia" w:ascii="宋体" w:hAnsi="宋体" w:cs="仿宋"/>
                <w:spacing w:val="-2"/>
                <w:sz w:val="24"/>
              </w:rPr>
            </w:pPr>
          </w:p>
        </w:tc>
        <w:tc>
          <w:tcPr>
            <w:tcW w:w="480" w:type="dxa"/>
            <w:noWrap w:val="0"/>
            <w:vAlign w:val="top"/>
          </w:tcPr>
          <w:p w14:paraId="12DE6682">
            <w:pPr>
              <w:spacing w:line="360" w:lineRule="auto"/>
              <w:jc w:val="left"/>
              <w:rPr>
                <w:rFonts w:hint="eastAsia" w:ascii="宋体" w:hAnsi="宋体" w:cs="仿宋"/>
                <w:spacing w:val="-2"/>
                <w:sz w:val="24"/>
              </w:rPr>
            </w:pPr>
          </w:p>
        </w:tc>
        <w:tc>
          <w:tcPr>
            <w:tcW w:w="564" w:type="dxa"/>
            <w:noWrap w:val="0"/>
            <w:vAlign w:val="top"/>
          </w:tcPr>
          <w:p w14:paraId="6D019F11">
            <w:pPr>
              <w:spacing w:line="360" w:lineRule="auto"/>
              <w:jc w:val="left"/>
              <w:rPr>
                <w:rFonts w:hint="eastAsia" w:ascii="宋体" w:hAnsi="宋体" w:cs="仿宋"/>
                <w:spacing w:val="-2"/>
                <w:sz w:val="24"/>
              </w:rPr>
            </w:pPr>
          </w:p>
        </w:tc>
      </w:tr>
      <w:tr w14:paraId="344E0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trPr>
        <w:tc>
          <w:tcPr>
            <w:tcW w:w="705" w:type="dxa"/>
            <w:noWrap w:val="0"/>
            <w:vAlign w:val="center"/>
          </w:tcPr>
          <w:p w14:paraId="019F41AE">
            <w:pPr>
              <w:spacing w:line="360" w:lineRule="auto"/>
              <w:jc w:val="center"/>
              <w:rPr>
                <w:rFonts w:hint="eastAsia" w:ascii="宋体" w:hAnsi="宋体" w:cs="仿宋"/>
                <w:spacing w:val="-2"/>
                <w:sz w:val="24"/>
              </w:rPr>
            </w:pPr>
            <w:r>
              <w:rPr>
                <w:rFonts w:hint="eastAsia" w:ascii="宋体" w:hAnsi="宋体" w:cs="仿宋"/>
                <w:spacing w:val="-2"/>
                <w:sz w:val="24"/>
              </w:rPr>
              <w:t>3</w:t>
            </w:r>
          </w:p>
        </w:tc>
        <w:tc>
          <w:tcPr>
            <w:tcW w:w="2057" w:type="dxa"/>
            <w:noWrap w:val="0"/>
            <w:vAlign w:val="center"/>
          </w:tcPr>
          <w:p w14:paraId="17CCCC32">
            <w:pPr>
              <w:spacing w:line="360" w:lineRule="auto"/>
              <w:jc w:val="center"/>
              <w:rPr>
                <w:rFonts w:hint="eastAsia" w:ascii="宋体" w:hAnsi="宋体" w:cs="仿宋"/>
                <w:spacing w:val="-2"/>
                <w:sz w:val="24"/>
              </w:rPr>
            </w:pPr>
            <w:r>
              <w:rPr>
                <w:rFonts w:hint="eastAsia" w:ascii="宋体" w:hAnsi="宋体" w:cs="仿宋"/>
                <w:sz w:val="24"/>
              </w:rPr>
              <w:t>具有良好的商业信誉和健全的财务会计制度</w:t>
            </w:r>
          </w:p>
        </w:tc>
        <w:tc>
          <w:tcPr>
            <w:tcW w:w="6354" w:type="dxa"/>
            <w:noWrap w:val="0"/>
            <w:vAlign w:val="top"/>
          </w:tcPr>
          <w:p w14:paraId="6C3B776B">
            <w:pPr>
              <w:rPr>
                <w:rFonts w:cs="仿宋"/>
                <w:color w:val="auto"/>
                <w:spacing w:val="-2"/>
                <w:highlight w:val="none"/>
              </w:rPr>
            </w:pPr>
            <w:r>
              <w:rPr>
                <w:rFonts w:hint="eastAsia" w:cs="仿宋"/>
                <w:color w:val="auto"/>
                <w:spacing w:val="-2"/>
                <w:highlight w:val="none"/>
              </w:rPr>
              <w:t>（</w:t>
            </w:r>
            <w:r>
              <w:rPr>
                <w:rFonts w:cs="仿宋"/>
                <w:color w:val="auto"/>
                <w:spacing w:val="-2"/>
                <w:highlight w:val="none"/>
              </w:rPr>
              <w:t>1）提供</w:t>
            </w:r>
            <w:r>
              <w:rPr>
                <w:rFonts w:hint="eastAsia" w:cs="宋体"/>
                <w:color w:val="auto"/>
                <w:highlight w:val="none"/>
              </w:rPr>
              <w:t>2024年度至今任意一年的财务审计报告（至少包括资产负债表、利润表、现金流量表、所有者权益变动表）或财务报表（至少包含资产负债表、利润表、现金流量表）或银行出具的资信证明</w:t>
            </w:r>
            <w:r>
              <w:rPr>
                <w:rFonts w:hint="eastAsia" w:cs="仿宋"/>
                <w:color w:val="auto"/>
                <w:spacing w:val="-2"/>
                <w:highlight w:val="none"/>
              </w:rPr>
              <w:t>；</w:t>
            </w:r>
          </w:p>
          <w:p w14:paraId="4A32D76A">
            <w:pPr>
              <w:spacing w:line="360" w:lineRule="auto"/>
              <w:jc w:val="left"/>
              <w:rPr>
                <w:rFonts w:hint="default" w:ascii="宋体" w:hAnsi="宋体" w:eastAsia="宋体" w:cs="仿宋"/>
                <w:spacing w:val="-2"/>
                <w:sz w:val="24"/>
                <w:lang w:val="en-US" w:eastAsia="zh-CN"/>
              </w:rPr>
            </w:pPr>
            <w:r>
              <w:rPr>
                <w:rFonts w:hint="eastAsia" w:cs="仿宋"/>
                <w:color w:val="auto"/>
                <w:spacing w:val="-2"/>
                <w:highlight w:val="none"/>
              </w:rPr>
              <w:t>（</w:t>
            </w:r>
            <w:r>
              <w:rPr>
                <w:rFonts w:cs="仿宋"/>
                <w:color w:val="auto"/>
                <w:spacing w:val="-2"/>
                <w:highlight w:val="none"/>
              </w:rPr>
              <w:t>2）复印件加盖</w:t>
            </w:r>
            <w:r>
              <w:rPr>
                <w:rFonts w:hint="eastAsia" w:cs="仿宋"/>
                <w:color w:val="auto"/>
                <w:spacing w:val="-2"/>
                <w:highlight w:val="none"/>
              </w:rPr>
              <w:t>投标人</w:t>
            </w:r>
            <w:r>
              <w:rPr>
                <w:rFonts w:cs="仿宋"/>
                <w:color w:val="auto"/>
                <w:spacing w:val="-2"/>
                <w:highlight w:val="none"/>
              </w:rPr>
              <w:t>公章；</w:t>
            </w:r>
          </w:p>
        </w:tc>
        <w:tc>
          <w:tcPr>
            <w:tcW w:w="432" w:type="dxa"/>
            <w:noWrap w:val="0"/>
            <w:vAlign w:val="top"/>
          </w:tcPr>
          <w:p w14:paraId="6266A8E0">
            <w:pPr>
              <w:spacing w:line="360" w:lineRule="auto"/>
              <w:jc w:val="left"/>
              <w:rPr>
                <w:rFonts w:hint="eastAsia" w:ascii="宋体" w:hAnsi="宋体" w:cs="仿宋"/>
                <w:spacing w:val="-2"/>
                <w:sz w:val="24"/>
              </w:rPr>
            </w:pPr>
          </w:p>
        </w:tc>
        <w:tc>
          <w:tcPr>
            <w:tcW w:w="480" w:type="dxa"/>
            <w:noWrap w:val="0"/>
            <w:vAlign w:val="top"/>
          </w:tcPr>
          <w:p w14:paraId="27EA6FB9">
            <w:pPr>
              <w:spacing w:line="360" w:lineRule="auto"/>
              <w:jc w:val="left"/>
              <w:rPr>
                <w:rFonts w:hint="eastAsia" w:ascii="宋体" w:hAnsi="宋体" w:cs="仿宋"/>
                <w:spacing w:val="-2"/>
                <w:sz w:val="24"/>
              </w:rPr>
            </w:pPr>
          </w:p>
        </w:tc>
        <w:tc>
          <w:tcPr>
            <w:tcW w:w="564" w:type="dxa"/>
            <w:noWrap w:val="0"/>
            <w:vAlign w:val="top"/>
          </w:tcPr>
          <w:p w14:paraId="630202F3">
            <w:pPr>
              <w:spacing w:line="360" w:lineRule="auto"/>
              <w:jc w:val="left"/>
              <w:rPr>
                <w:rFonts w:hint="eastAsia" w:ascii="宋体" w:hAnsi="宋体" w:cs="仿宋"/>
                <w:spacing w:val="-2"/>
                <w:sz w:val="24"/>
              </w:rPr>
            </w:pPr>
          </w:p>
        </w:tc>
      </w:tr>
      <w:tr w14:paraId="40D61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705" w:type="dxa"/>
            <w:noWrap w:val="0"/>
            <w:vAlign w:val="center"/>
          </w:tcPr>
          <w:p w14:paraId="7ED6A624">
            <w:pPr>
              <w:spacing w:line="360" w:lineRule="auto"/>
              <w:jc w:val="center"/>
              <w:rPr>
                <w:rFonts w:hint="eastAsia" w:ascii="宋体" w:hAnsi="宋体" w:cs="仿宋"/>
                <w:spacing w:val="-2"/>
                <w:sz w:val="24"/>
              </w:rPr>
            </w:pPr>
            <w:r>
              <w:rPr>
                <w:rFonts w:hint="eastAsia" w:ascii="宋体" w:hAnsi="宋体" w:cs="仿宋"/>
                <w:spacing w:val="-2"/>
                <w:sz w:val="24"/>
              </w:rPr>
              <w:t>4</w:t>
            </w:r>
          </w:p>
        </w:tc>
        <w:tc>
          <w:tcPr>
            <w:tcW w:w="2057" w:type="dxa"/>
            <w:noWrap w:val="0"/>
            <w:vAlign w:val="center"/>
          </w:tcPr>
          <w:p w14:paraId="72478C23">
            <w:pPr>
              <w:spacing w:line="360" w:lineRule="auto"/>
              <w:jc w:val="center"/>
              <w:rPr>
                <w:rFonts w:hint="eastAsia" w:ascii="宋体" w:hAnsi="宋体" w:cs="仿宋"/>
                <w:sz w:val="24"/>
              </w:rPr>
            </w:pPr>
            <w:r>
              <w:rPr>
                <w:rFonts w:hint="eastAsia" w:ascii="宋体" w:hAnsi="宋体" w:cs="仿宋"/>
                <w:sz w:val="24"/>
              </w:rPr>
              <w:t>具有履行合同所必需的设备和专业技术能力</w:t>
            </w:r>
          </w:p>
        </w:tc>
        <w:tc>
          <w:tcPr>
            <w:tcW w:w="6354" w:type="dxa"/>
            <w:noWrap w:val="0"/>
            <w:vAlign w:val="center"/>
          </w:tcPr>
          <w:p w14:paraId="376C93E7">
            <w:pPr>
              <w:spacing w:line="360" w:lineRule="auto"/>
              <w:jc w:val="left"/>
              <w:rPr>
                <w:rFonts w:hint="eastAsia" w:ascii="宋体" w:hAnsi="宋体" w:cs="仿宋"/>
                <w:spacing w:val="-2"/>
                <w:sz w:val="24"/>
              </w:rPr>
            </w:pPr>
            <w:r>
              <w:rPr>
                <w:rFonts w:hint="eastAsia" w:ascii="宋体" w:hAnsi="宋体" w:cs="仿宋"/>
                <w:spacing w:val="-2"/>
                <w:sz w:val="24"/>
              </w:rPr>
              <w:t>提供了可充分满足履行合同所需设备和专业技术能力的承诺（格式自拟）</w:t>
            </w:r>
          </w:p>
        </w:tc>
        <w:tc>
          <w:tcPr>
            <w:tcW w:w="432" w:type="dxa"/>
            <w:noWrap w:val="0"/>
            <w:vAlign w:val="top"/>
          </w:tcPr>
          <w:p w14:paraId="107FE0FE">
            <w:pPr>
              <w:spacing w:line="360" w:lineRule="auto"/>
              <w:jc w:val="left"/>
              <w:rPr>
                <w:rFonts w:hint="eastAsia" w:ascii="宋体" w:hAnsi="宋体" w:cs="仿宋"/>
                <w:spacing w:val="-2"/>
                <w:sz w:val="24"/>
              </w:rPr>
            </w:pPr>
          </w:p>
        </w:tc>
        <w:tc>
          <w:tcPr>
            <w:tcW w:w="480" w:type="dxa"/>
            <w:noWrap w:val="0"/>
            <w:vAlign w:val="top"/>
          </w:tcPr>
          <w:p w14:paraId="5C590D54">
            <w:pPr>
              <w:spacing w:line="360" w:lineRule="auto"/>
              <w:jc w:val="left"/>
              <w:rPr>
                <w:rFonts w:hint="eastAsia" w:ascii="宋体" w:hAnsi="宋体" w:cs="仿宋"/>
                <w:spacing w:val="-2"/>
                <w:sz w:val="24"/>
              </w:rPr>
            </w:pPr>
          </w:p>
        </w:tc>
        <w:tc>
          <w:tcPr>
            <w:tcW w:w="564" w:type="dxa"/>
            <w:noWrap w:val="0"/>
            <w:vAlign w:val="top"/>
          </w:tcPr>
          <w:p w14:paraId="5AE5BD27">
            <w:pPr>
              <w:spacing w:line="360" w:lineRule="auto"/>
              <w:jc w:val="left"/>
              <w:rPr>
                <w:rFonts w:hint="eastAsia" w:ascii="宋体" w:hAnsi="宋体" w:cs="仿宋"/>
                <w:spacing w:val="-2"/>
                <w:sz w:val="24"/>
              </w:rPr>
            </w:pPr>
          </w:p>
        </w:tc>
      </w:tr>
      <w:tr w14:paraId="2C0A7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noWrap w:val="0"/>
            <w:vAlign w:val="center"/>
          </w:tcPr>
          <w:p w14:paraId="2B59D0E8">
            <w:pPr>
              <w:spacing w:line="360" w:lineRule="auto"/>
              <w:jc w:val="center"/>
              <w:rPr>
                <w:rFonts w:hint="eastAsia" w:ascii="宋体" w:hAnsi="宋体" w:cs="仿宋"/>
                <w:spacing w:val="-2"/>
                <w:sz w:val="24"/>
              </w:rPr>
            </w:pPr>
            <w:r>
              <w:rPr>
                <w:rFonts w:hint="eastAsia" w:ascii="宋体" w:hAnsi="宋体" w:cs="仿宋"/>
                <w:spacing w:val="-2"/>
                <w:sz w:val="24"/>
              </w:rPr>
              <w:t>5</w:t>
            </w:r>
          </w:p>
        </w:tc>
        <w:tc>
          <w:tcPr>
            <w:tcW w:w="2057" w:type="dxa"/>
            <w:noWrap w:val="0"/>
            <w:vAlign w:val="center"/>
          </w:tcPr>
          <w:p w14:paraId="69AC0A78">
            <w:pPr>
              <w:spacing w:line="360" w:lineRule="auto"/>
              <w:jc w:val="center"/>
              <w:rPr>
                <w:rFonts w:hint="eastAsia" w:ascii="宋体" w:hAnsi="宋体" w:cs="仿宋"/>
                <w:sz w:val="24"/>
              </w:rPr>
            </w:pPr>
            <w:r>
              <w:rPr>
                <w:rFonts w:hint="eastAsia" w:ascii="宋体" w:hAnsi="宋体" w:cs="仿宋"/>
                <w:sz w:val="24"/>
              </w:rPr>
              <w:t>有依法缴纳税收和社会保障资金的良好记录</w:t>
            </w:r>
          </w:p>
        </w:tc>
        <w:tc>
          <w:tcPr>
            <w:tcW w:w="6354" w:type="dxa"/>
            <w:noWrap w:val="0"/>
            <w:vAlign w:val="top"/>
          </w:tcPr>
          <w:p w14:paraId="6C78D375">
            <w:pPr>
              <w:spacing w:line="360" w:lineRule="auto"/>
              <w:jc w:val="left"/>
              <w:rPr>
                <w:rFonts w:hint="eastAsia" w:ascii="宋体" w:hAnsi="宋体" w:cs="仿宋"/>
                <w:spacing w:val="-2"/>
                <w:sz w:val="24"/>
              </w:rPr>
            </w:pPr>
            <w:r>
              <w:rPr>
                <w:rFonts w:hint="eastAsia" w:ascii="宋体" w:hAnsi="宋体" w:cs="仿宋"/>
                <w:spacing w:val="-2"/>
                <w:sz w:val="24"/>
              </w:rPr>
              <w:t>（1）提供开标前</w:t>
            </w:r>
            <w:r>
              <w:rPr>
                <w:rFonts w:hint="eastAsia" w:ascii="宋体" w:hAnsi="宋体" w:cs="仿宋"/>
                <w:spacing w:val="-2"/>
                <w:sz w:val="24"/>
                <w:lang w:eastAsia="zh-CN"/>
              </w:rPr>
              <w:t>六</w:t>
            </w:r>
            <w:r>
              <w:rPr>
                <w:rFonts w:hint="eastAsia" w:ascii="宋体" w:hAnsi="宋体" w:cs="仿宋"/>
                <w:spacing w:val="-2"/>
                <w:sz w:val="24"/>
              </w:rPr>
              <w:t>个月</w:t>
            </w:r>
            <w:r>
              <w:rPr>
                <w:rFonts w:hint="eastAsia" w:cs="仿宋"/>
                <w:spacing w:val="-2"/>
                <w:sz w:val="24"/>
                <w:lang w:val="en-US" w:eastAsia="zh-CN"/>
              </w:rPr>
              <w:t>任意一个月</w:t>
            </w:r>
            <w:r>
              <w:rPr>
                <w:rFonts w:hint="eastAsia" w:ascii="宋体" w:hAnsi="宋体" w:cs="仿宋"/>
                <w:spacing w:val="-2"/>
                <w:sz w:val="24"/>
                <w:lang w:eastAsia="zh-CN"/>
              </w:rPr>
              <w:t>的</w:t>
            </w:r>
            <w:r>
              <w:rPr>
                <w:rFonts w:hint="eastAsia" w:ascii="宋体" w:hAnsi="宋体" w:cs="仿宋"/>
                <w:spacing w:val="-2"/>
                <w:sz w:val="24"/>
              </w:rPr>
              <w:t>依法缴纳税收证明，证明材料可以是缴费的银行单据等复印件并加盖公章或免缴纳证明；</w:t>
            </w:r>
          </w:p>
          <w:p w14:paraId="79177546">
            <w:pPr>
              <w:spacing w:line="360" w:lineRule="auto"/>
              <w:jc w:val="left"/>
              <w:rPr>
                <w:rFonts w:hint="eastAsia" w:eastAsia="仿宋"/>
              </w:rPr>
            </w:pPr>
            <w:r>
              <w:rPr>
                <w:rFonts w:hint="eastAsia" w:ascii="宋体" w:hAnsi="宋体" w:cs="仿宋"/>
                <w:spacing w:val="-2"/>
                <w:sz w:val="24"/>
              </w:rPr>
              <w:t>（2）提供开标前</w:t>
            </w:r>
            <w:r>
              <w:rPr>
                <w:rFonts w:hint="eastAsia" w:ascii="宋体" w:hAnsi="宋体" w:cs="仿宋"/>
                <w:spacing w:val="-2"/>
                <w:sz w:val="24"/>
                <w:lang w:eastAsia="zh-CN"/>
              </w:rPr>
              <w:t>六</w:t>
            </w:r>
            <w:r>
              <w:rPr>
                <w:rFonts w:hint="eastAsia" w:ascii="宋体" w:hAnsi="宋体" w:cs="仿宋"/>
                <w:spacing w:val="-2"/>
                <w:sz w:val="24"/>
              </w:rPr>
              <w:t>个月</w:t>
            </w:r>
            <w:r>
              <w:rPr>
                <w:rFonts w:hint="eastAsia" w:cs="仿宋"/>
                <w:spacing w:val="-2"/>
                <w:sz w:val="24"/>
                <w:lang w:val="en-US" w:eastAsia="zh-CN"/>
              </w:rPr>
              <w:t>任意一个月</w:t>
            </w:r>
            <w:r>
              <w:rPr>
                <w:rFonts w:hint="eastAsia" w:ascii="宋体" w:hAnsi="宋体" w:cs="仿宋"/>
                <w:spacing w:val="-2"/>
                <w:sz w:val="24"/>
                <w:lang w:eastAsia="zh-CN"/>
              </w:rPr>
              <w:t>的</w:t>
            </w:r>
            <w:r>
              <w:rPr>
                <w:rFonts w:hint="eastAsia" w:ascii="宋体" w:hAnsi="宋体" w:cs="仿宋"/>
                <w:spacing w:val="-2"/>
                <w:sz w:val="24"/>
              </w:rPr>
              <w:t>依法缴纳社保证明，证明材料可以是缴费的银行单据或社保机构开具的证明等复印件并加盖公章或免缴纳证明。</w:t>
            </w:r>
          </w:p>
        </w:tc>
        <w:tc>
          <w:tcPr>
            <w:tcW w:w="432" w:type="dxa"/>
            <w:noWrap w:val="0"/>
            <w:vAlign w:val="top"/>
          </w:tcPr>
          <w:p w14:paraId="5EDD35B8">
            <w:pPr>
              <w:spacing w:line="360" w:lineRule="auto"/>
              <w:jc w:val="left"/>
              <w:rPr>
                <w:rFonts w:hint="eastAsia" w:ascii="宋体" w:hAnsi="宋体" w:cs="仿宋"/>
                <w:spacing w:val="-2"/>
                <w:sz w:val="24"/>
              </w:rPr>
            </w:pPr>
          </w:p>
        </w:tc>
        <w:tc>
          <w:tcPr>
            <w:tcW w:w="480" w:type="dxa"/>
            <w:noWrap w:val="0"/>
            <w:vAlign w:val="top"/>
          </w:tcPr>
          <w:p w14:paraId="1D2FE381">
            <w:pPr>
              <w:spacing w:line="360" w:lineRule="auto"/>
              <w:jc w:val="left"/>
              <w:rPr>
                <w:rFonts w:hint="eastAsia" w:ascii="宋体" w:hAnsi="宋体" w:cs="仿宋"/>
                <w:spacing w:val="-2"/>
                <w:sz w:val="24"/>
              </w:rPr>
            </w:pPr>
          </w:p>
        </w:tc>
        <w:tc>
          <w:tcPr>
            <w:tcW w:w="564" w:type="dxa"/>
            <w:noWrap w:val="0"/>
            <w:vAlign w:val="top"/>
          </w:tcPr>
          <w:p w14:paraId="378A4269">
            <w:pPr>
              <w:spacing w:line="360" w:lineRule="auto"/>
              <w:jc w:val="left"/>
              <w:rPr>
                <w:rFonts w:hint="eastAsia" w:ascii="宋体" w:hAnsi="宋体" w:cs="仿宋"/>
                <w:spacing w:val="-2"/>
                <w:sz w:val="24"/>
              </w:rPr>
            </w:pPr>
          </w:p>
        </w:tc>
      </w:tr>
      <w:tr w14:paraId="4B3CF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5" w:type="dxa"/>
            <w:noWrap w:val="0"/>
            <w:vAlign w:val="center"/>
          </w:tcPr>
          <w:p w14:paraId="75D9758A">
            <w:pPr>
              <w:spacing w:line="360" w:lineRule="auto"/>
              <w:jc w:val="center"/>
              <w:rPr>
                <w:rFonts w:hint="eastAsia" w:ascii="宋体" w:hAnsi="宋体" w:cs="仿宋" w:eastAsiaTheme="minorEastAsia"/>
                <w:spacing w:val="-2"/>
                <w:sz w:val="24"/>
                <w:lang w:val="en-US" w:eastAsia="zh-CN"/>
              </w:rPr>
            </w:pPr>
            <w:r>
              <w:rPr>
                <w:rFonts w:hint="eastAsia" w:ascii="宋体" w:hAnsi="宋体" w:cs="仿宋"/>
                <w:spacing w:val="-2"/>
                <w:sz w:val="24"/>
                <w:lang w:val="en-US" w:eastAsia="zh-CN"/>
              </w:rPr>
              <w:t>6</w:t>
            </w:r>
          </w:p>
        </w:tc>
        <w:tc>
          <w:tcPr>
            <w:tcW w:w="2057" w:type="dxa"/>
            <w:noWrap w:val="0"/>
            <w:vAlign w:val="center"/>
          </w:tcPr>
          <w:p w14:paraId="54320717">
            <w:pPr>
              <w:spacing w:line="360" w:lineRule="auto"/>
              <w:jc w:val="center"/>
              <w:rPr>
                <w:rFonts w:hint="eastAsia" w:ascii="宋体" w:hAnsi="宋体" w:cs="仿宋"/>
                <w:color w:val="auto"/>
                <w:sz w:val="24"/>
              </w:rPr>
            </w:pPr>
            <w:r>
              <w:rPr>
                <w:rFonts w:hint="eastAsia" w:ascii="宋体" w:hAnsi="宋体" w:cs="仿宋"/>
                <w:color w:val="auto"/>
                <w:sz w:val="24"/>
                <w:lang w:val="en-US" w:eastAsia="zh-CN"/>
              </w:rPr>
              <w:t>政府采购供应商信用承诺函</w:t>
            </w:r>
          </w:p>
        </w:tc>
        <w:tc>
          <w:tcPr>
            <w:tcW w:w="6354" w:type="dxa"/>
            <w:noWrap w:val="0"/>
            <w:vAlign w:val="top"/>
          </w:tcPr>
          <w:p w14:paraId="1EBABDE2">
            <w:pPr>
              <w:spacing w:line="360" w:lineRule="auto"/>
              <w:jc w:val="left"/>
              <w:rPr>
                <w:rFonts w:hint="eastAsia"/>
                <w:color w:val="auto"/>
                <w:sz w:val="24"/>
                <w:szCs w:val="32"/>
                <w:lang w:eastAsia="zh-CN"/>
              </w:rPr>
            </w:pPr>
            <w:r>
              <w:rPr>
                <w:rFonts w:hint="eastAsia"/>
                <w:color w:val="auto"/>
                <w:sz w:val="24"/>
                <w:szCs w:val="32"/>
              </w:rPr>
              <w:t>提供针对本次项目</w:t>
            </w:r>
            <w:r>
              <w:rPr>
                <w:rFonts w:hint="eastAsia"/>
                <w:color w:val="auto"/>
                <w:sz w:val="24"/>
                <w:szCs w:val="32"/>
                <w:lang w:val="en-US" w:eastAsia="zh-CN"/>
              </w:rPr>
              <w:t>《政府采购供应商信用承诺函》</w:t>
            </w:r>
            <w:r>
              <w:rPr>
                <w:rFonts w:hint="eastAsia"/>
                <w:color w:val="auto"/>
                <w:sz w:val="24"/>
                <w:szCs w:val="32"/>
                <w:lang w:eastAsia="zh-CN"/>
              </w:rPr>
              <w:t>。</w:t>
            </w:r>
          </w:p>
          <w:p w14:paraId="2788BCBB">
            <w:pPr>
              <w:spacing w:line="360" w:lineRule="auto"/>
              <w:jc w:val="left"/>
              <w:rPr>
                <w:rFonts w:hint="eastAsia" w:ascii="宋体" w:hAnsi="宋体" w:cs="仿宋" w:eastAsiaTheme="minorEastAsia"/>
                <w:color w:val="auto"/>
                <w:spacing w:val="-2"/>
                <w:sz w:val="24"/>
                <w:lang w:eastAsia="zh-CN"/>
              </w:rPr>
            </w:pPr>
            <w:r>
              <w:rPr>
                <w:rFonts w:hint="eastAsia" w:ascii="宋体" w:hAnsi="宋体" w:cs="仿宋"/>
                <w:color w:val="auto"/>
                <w:spacing w:val="-2"/>
                <w:sz w:val="24"/>
              </w:rPr>
              <w:t>（</w:t>
            </w:r>
            <w:r>
              <w:rPr>
                <w:rFonts w:hint="eastAsia" w:ascii="宋体" w:hAnsi="宋体" w:cs="仿宋"/>
                <w:color w:val="auto"/>
                <w:spacing w:val="-2"/>
                <w:sz w:val="24"/>
                <w:lang w:val="en-US" w:eastAsia="zh-CN"/>
              </w:rPr>
              <w:t>格式见《第七章 投标文件格式》</w:t>
            </w:r>
            <w:r>
              <w:rPr>
                <w:rFonts w:hint="eastAsia" w:ascii="宋体" w:hAnsi="宋体" w:cs="仿宋"/>
                <w:color w:val="auto"/>
                <w:spacing w:val="-2"/>
                <w:sz w:val="24"/>
              </w:rPr>
              <w:t>）</w:t>
            </w:r>
          </w:p>
        </w:tc>
        <w:tc>
          <w:tcPr>
            <w:tcW w:w="432" w:type="dxa"/>
            <w:noWrap w:val="0"/>
            <w:vAlign w:val="top"/>
          </w:tcPr>
          <w:p w14:paraId="7140106C">
            <w:pPr>
              <w:spacing w:line="360" w:lineRule="auto"/>
              <w:jc w:val="left"/>
              <w:rPr>
                <w:rFonts w:hint="eastAsia" w:ascii="宋体" w:hAnsi="宋体" w:cs="仿宋"/>
                <w:spacing w:val="-2"/>
                <w:sz w:val="24"/>
              </w:rPr>
            </w:pPr>
          </w:p>
        </w:tc>
        <w:tc>
          <w:tcPr>
            <w:tcW w:w="480" w:type="dxa"/>
            <w:noWrap w:val="0"/>
            <w:vAlign w:val="top"/>
          </w:tcPr>
          <w:p w14:paraId="359A28E8">
            <w:pPr>
              <w:spacing w:line="360" w:lineRule="auto"/>
              <w:jc w:val="left"/>
              <w:rPr>
                <w:rFonts w:hint="eastAsia" w:ascii="宋体" w:hAnsi="宋体" w:cs="仿宋"/>
                <w:spacing w:val="-2"/>
                <w:sz w:val="24"/>
              </w:rPr>
            </w:pPr>
          </w:p>
        </w:tc>
        <w:tc>
          <w:tcPr>
            <w:tcW w:w="564" w:type="dxa"/>
            <w:noWrap w:val="0"/>
            <w:vAlign w:val="top"/>
          </w:tcPr>
          <w:p w14:paraId="112BB3C4">
            <w:pPr>
              <w:spacing w:line="360" w:lineRule="auto"/>
              <w:jc w:val="left"/>
              <w:rPr>
                <w:rFonts w:hint="eastAsia" w:ascii="宋体" w:hAnsi="宋体" w:cs="仿宋"/>
                <w:spacing w:val="-2"/>
                <w:sz w:val="24"/>
              </w:rPr>
            </w:pPr>
          </w:p>
        </w:tc>
      </w:tr>
      <w:tr w14:paraId="4C2F5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4" w:hRule="atLeast"/>
        </w:trPr>
        <w:tc>
          <w:tcPr>
            <w:tcW w:w="705" w:type="dxa"/>
            <w:noWrap w:val="0"/>
            <w:vAlign w:val="center"/>
          </w:tcPr>
          <w:p w14:paraId="1CAA62DD">
            <w:pPr>
              <w:spacing w:line="360" w:lineRule="auto"/>
              <w:jc w:val="center"/>
              <w:rPr>
                <w:rFonts w:hint="eastAsia" w:ascii="宋体" w:hAnsi="宋体" w:cs="仿宋" w:eastAsiaTheme="minorEastAsia"/>
                <w:spacing w:val="-2"/>
                <w:sz w:val="24"/>
                <w:lang w:eastAsia="zh-CN"/>
              </w:rPr>
            </w:pPr>
            <w:r>
              <w:rPr>
                <w:rFonts w:hint="eastAsia" w:ascii="宋体" w:hAnsi="宋体" w:cs="仿宋"/>
                <w:spacing w:val="-2"/>
                <w:sz w:val="24"/>
                <w:lang w:val="en-US" w:eastAsia="zh-CN"/>
              </w:rPr>
              <w:t>7</w:t>
            </w:r>
          </w:p>
        </w:tc>
        <w:tc>
          <w:tcPr>
            <w:tcW w:w="2057" w:type="dxa"/>
            <w:noWrap w:val="0"/>
            <w:vAlign w:val="center"/>
          </w:tcPr>
          <w:p w14:paraId="65983707">
            <w:pPr>
              <w:spacing w:line="360" w:lineRule="auto"/>
              <w:jc w:val="center"/>
              <w:rPr>
                <w:rFonts w:hint="eastAsia" w:ascii="宋体" w:hAnsi="宋体" w:cs="仿宋"/>
                <w:sz w:val="24"/>
              </w:rPr>
            </w:pPr>
            <w:r>
              <w:rPr>
                <w:rFonts w:hint="eastAsia" w:ascii="宋体" w:hAnsi="宋体" w:cs="仿宋"/>
                <w:sz w:val="24"/>
              </w:rPr>
              <w:t>投标人声明函</w:t>
            </w:r>
          </w:p>
        </w:tc>
        <w:tc>
          <w:tcPr>
            <w:tcW w:w="6354" w:type="dxa"/>
            <w:noWrap w:val="0"/>
            <w:vAlign w:val="top"/>
          </w:tcPr>
          <w:p w14:paraId="585B6CF7">
            <w:pPr>
              <w:spacing w:line="360" w:lineRule="auto"/>
              <w:rPr>
                <w:rFonts w:hint="eastAsia" w:ascii="宋体" w:hAnsi="宋体" w:cs="仿宋"/>
                <w:sz w:val="24"/>
              </w:rPr>
            </w:pPr>
            <w:r>
              <w:rPr>
                <w:rFonts w:hint="eastAsia" w:ascii="宋体" w:hAnsi="宋体" w:cs="仿宋"/>
                <w:sz w:val="24"/>
              </w:rPr>
              <w:t>提供了参加政府采购活动前三年内，在经营活动中没有重大违法记录的书面声明；</w:t>
            </w:r>
            <w:r>
              <w:rPr>
                <w:rFonts w:hint="eastAsia" w:ascii="宋体" w:hAnsi="宋体" w:cs="仿宋"/>
                <w:spacing w:val="-2"/>
                <w:sz w:val="24"/>
              </w:rPr>
              <w:t>（格式自拟）</w:t>
            </w:r>
          </w:p>
          <w:p w14:paraId="3D7F4DC3">
            <w:pPr>
              <w:spacing w:line="360" w:lineRule="auto"/>
              <w:rPr>
                <w:rFonts w:hint="eastAsia" w:ascii="宋体" w:hAnsi="宋体" w:cs="仿宋"/>
                <w:sz w:val="24"/>
              </w:rPr>
            </w:pPr>
            <w:r>
              <w:rPr>
                <w:rFonts w:hint="eastAsia" w:ascii="宋体" w:hAnsi="宋体" w:cs="宋体"/>
                <w:sz w:val="24"/>
              </w:rPr>
              <w:t>单位负责人为同一人或者存在直接控股、管理关系的不同投标人，不得参加同一合同项下的政府采购活动。除单一来源采购项目外，为采购项目提供整体设计、规范编制或者项目管理、监理、检测等服务的投标人，不得再参加该采购项目的其他采购活动的书面声明。</w:t>
            </w:r>
            <w:r>
              <w:rPr>
                <w:rFonts w:hint="eastAsia" w:ascii="宋体" w:hAnsi="宋体" w:cs="仿宋"/>
                <w:spacing w:val="-2"/>
                <w:sz w:val="24"/>
              </w:rPr>
              <w:t>（格式自拟）</w:t>
            </w:r>
          </w:p>
        </w:tc>
        <w:tc>
          <w:tcPr>
            <w:tcW w:w="432" w:type="dxa"/>
            <w:noWrap w:val="0"/>
            <w:vAlign w:val="top"/>
          </w:tcPr>
          <w:p w14:paraId="6E7F3B82">
            <w:pPr>
              <w:spacing w:line="360" w:lineRule="auto"/>
              <w:jc w:val="left"/>
              <w:rPr>
                <w:rFonts w:hint="eastAsia" w:ascii="宋体" w:hAnsi="宋体" w:cs="仿宋"/>
                <w:spacing w:val="-2"/>
                <w:sz w:val="24"/>
              </w:rPr>
            </w:pPr>
          </w:p>
        </w:tc>
        <w:tc>
          <w:tcPr>
            <w:tcW w:w="480" w:type="dxa"/>
            <w:noWrap w:val="0"/>
            <w:vAlign w:val="top"/>
          </w:tcPr>
          <w:p w14:paraId="1D5D92EC">
            <w:pPr>
              <w:spacing w:line="360" w:lineRule="auto"/>
              <w:jc w:val="left"/>
              <w:rPr>
                <w:rFonts w:hint="eastAsia" w:ascii="宋体" w:hAnsi="宋体" w:cs="仿宋"/>
                <w:spacing w:val="-2"/>
                <w:sz w:val="24"/>
              </w:rPr>
            </w:pPr>
          </w:p>
        </w:tc>
        <w:tc>
          <w:tcPr>
            <w:tcW w:w="564" w:type="dxa"/>
            <w:noWrap w:val="0"/>
            <w:vAlign w:val="top"/>
          </w:tcPr>
          <w:p w14:paraId="38F49DE0">
            <w:pPr>
              <w:spacing w:line="360" w:lineRule="auto"/>
              <w:jc w:val="left"/>
              <w:rPr>
                <w:rFonts w:hint="eastAsia" w:ascii="宋体" w:hAnsi="宋体" w:cs="仿宋"/>
                <w:spacing w:val="-2"/>
                <w:sz w:val="24"/>
              </w:rPr>
            </w:pPr>
          </w:p>
        </w:tc>
      </w:tr>
      <w:tr w14:paraId="1B044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9" w:hRule="atLeast"/>
        </w:trPr>
        <w:tc>
          <w:tcPr>
            <w:tcW w:w="705" w:type="dxa"/>
            <w:noWrap w:val="0"/>
            <w:vAlign w:val="center"/>
          </w:tcPr>
          <w:p w14:paraId="3583627C">
            <w:pPr>
              <w:spacing w:line="360" w:lineRule="auto"/>
              <w:jc w:val="center"/>
              <w:rPr>
                <w:rFonts w:hint="eastAsia" w:ascii="宋体" w:hAnsi="宋体" w:cs="仿宋" w:eastAsiaTheme="minorEastAsia"/>
                <w:spacing w:val="-2"/>
                <w:sz w:val="24"/>
                <w:lang w:eastAsia="zh-CN"/>
              </w:rPr>
            </w:pPr>
            <w:r>
              <w:rPr>
                <w:rFonts w:hint="eastAsia" w:ascii="宋体" w:hAnsi="宋体" w:cs="仿宋"/>
                <w:spacing w:val="-2"/>
                <w:sz w:val="24"/>
                <w:lang w:val="en-US" w:eastAsia="zh-CN"/>
              </w:rPr>
              <w:t>8</w:t>
            </w:r>
          </w:p>
        </w:tc>
        <w:tc>
          <w:tcPr>
            <w:tcW w:w="2057" w:type="dxa"/>
            <w:noWrap w:val="0"/>
            <w:vAlign w:val="center"/>
          </w:tcPr>
          <w:p w14:paraId="58180516">
            <w:pPr>
              <w:spacing w:line="360" w:lineRule="auto"/>
              <w:jc w:val="center"/>
              <w:rPr>
                <w:rFonts w:hint="eastAsia" w:ascii="宋体" w:hAnsi="宋体" w:cs="仿宋"/>
                <w:sz w:val="24"/>
              </w:rPr>
            </w:pPr>
            <w:r>
              <w:rPr>
                <w:rFonts w:hint="eastAsia" w:ascii="宋体" w:hAnsi="宋体" w:cs="仿宋"/>
                <w:sz w:val="24"/>
              </w:rPr>
              <w:t>信用信息查询</w:t>
            </w:r>
          </w:p>
        </w:tc>
        <w:tc>
          <w:tcPr>
            <w:tcW w:w="6354" w:type="dxa"/>
            <w:noWrap w:val="0"/>
            <w:vAlign w:val="top"/>
          </w:tcPr>
          <w:p w14:paraId="446B511A">
            <w:pPr>
              <w:spacing w:line="360" w:lineRule="auto"/>
              <w:jc w:val="left"/>
              <w:rPr>
                <w:rFonts w:hint="eastAsia" w:ascii="宋体" w:hAnsi="宋体" w:cs="仿宋"/>
                <w:spacing w:val="-2"/>
                <w:sz w:val="24"/>
              </w:rPr>
            </w:pPr>
            <w:r>
              <w:rPr>
                <w:rFonts w:hint="eastAsia" w:ascii="宋体" w:hAnsi="宋体" w:cs="仿宋"/>
                <w:spacing w:val="-2"/>
                <w:sz w:val="24"/>
                <w:lang w:val="en-US" w:eastAsia="zh-CN"/>
              </w:rPr>
              <w:t>查询渠道：信用中国网站和中国政府采购网（www.creditchina.gov.cn 、www.ccgp.gov.cn）；</w:t>
            </w:r>
            <w:r>
              <w:rPr>
                <w:rFonts w:hint="eastAsia" w:ascii="宋体" w:hAnsi="宋体" w:cs="仿宋"/>
                <w:spacing w:val="-2"/>
                <w:sz w:val="24"/>
                <w:lang w:val="en-US" w:eastAsia="zh-CN"/>
              </w:rPr>
              <w:br w:type="textWrapping"/>
            </w:r>
            <w:r>
              <w:rPr>
                <w:rFonts w:hint="eastAsia" w:ascii="宋体" w:hAnsi="宋体" w:cs="仿宋"/>
                <w:spacing w:val="-2"/>
                <w:sz w:val="24"/>
                <w:lang w:val="en-US" w:eastAsia="zh-CN"/>
              </w:rPr>
              <w:t>截止时点：投标截止时间以后、资格审查阶段采购人或采购代理机构的实际查询时间；</w:t>
            </w:r>
            <w:r>
              <w:rPr>
                <w:rFonts w:hint="eastAsia" w:ascii="宋体" w:hAnsi="宋体" w:cs="仿宋"/>
                <w:spacing w:val="-2"/>
                <w:sz w:val="24"/>
                <w:lang w:val="en-US" w:eastAsia="zh-CN"/>
              </w:rPr>
              <w:br w:type="textWrapping"/>
            </w:r>
            <w:r>
              <w:rPr>
                <w:rFonts w:hint="eastAsia" w:ascii="宋体" w:hAnsi="宋体" w:cs="仿宋"/>
                <w:spacing w:val="-2"/>
                <w:sz w:val="24"/>
                <w:lang w:val="en-US" w:eastAsia="zh-CN"/>
              </w:rPr>
              <w:t>信用信息的使用原则：经认定的被列入失信被执行人、重大税收违法案件当事人名单、政府采购严重违法失信行为记录名单的投标人，其投标无效。联合体形式投标的，联合体成员存在不良信用记录，视同联合体存在不良信用记录。</w:t>
            </w:r>
          </w:p>
        </w:tc>
        <w:tc>
          <w:tcPr>
            <w:tcW w:w="432" w:type="dxa"/>
            <w:noWrap w:val="0"/>
            <w:vAlign w:val="top"/>
          </w:tcPr>
          <w:p w14:paraId="1143C4EE">
            <w:pPr>
              <w:spacing w:line="360" w:lineRule="auto"/>
              <w:jc w:val="left"/>
              <w:rPr>
                <w:rFonts w:hint="eastAsia" w:ascii="宋体" w:hAnsi="宋体" w:cs="仿宋"/>
                <w:spacing w:val="-2"/>
                <w:sz w:val="24"/>
              </w:rPr>
            </w:pPr>
          </w:p>
        </w:tc>
        <w:tc>
          <w:tcPr>
            <w:tcW w:w="480" w:type="dxa"/>
            <w:noWrap w:val="0"/>
            <w:vAlign w:val="top"/>
          </w:tcPr>
          <w:p w14:paraId="7448FD35">
            <w:pPr>
              <w:spacing w:line="360" w:lineRule="auto"/>
              <w:jc w:val="left"/>
              <w:rPr>
                <w:rFonts w:hint="eastAsia" w:ascii="宋体" w:hAnsi="宋体" w:cs="仿宋"/>
                <w:spacing w:val="-2"/>
                <w:sz w:val="24"/>
              </w:rPr>
            </w:pPr>
          </w:p>
        </w:tc>
        <w:tc>
          <w:tcPr>
            <w:tcW w:w="564" w:type="dxa"/>
            <w:noWrap w:val="0"/>
            <w:vAlign w:val="top"/>
          </w:tcPr>
          <w:p w14:paraId="35841D96">
            <w:pPr>
              <w:spacing w:line="360" w:lineRule="auto"/>
              <w:jc w:val="left"/>
              <w:rPr>
                <w:rFonts w:hint="eastAsia" w:ascii="宋体" w:hAnsi="宋体" w:cs="仿宋"/>
                <w:spacing w:val="-2"/>
                <w:sz w:val="24"/>
              </w:rPr>
            </w:pPr>
          </w:p>
        </w:tc>
      </w:tr>
      <w:tr w14:paraId="3B5DB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705" w:type="dxa"/>
            <w:noWrap w:val="0"/>
            <w:vAlign w:val="center"/>
          </w:tcPr>
          <w:p w14:paraId="339C1059">
            <w:pPr>
              <w:spacing w:line="360" w:lineRule="auto"/>
              <w:jc w:val="center"/>
              <w:rPr>
                <w:rFonts w:hint="default" w:cs="仿宋"/>
                <w:spacing w:val="-2"/>
                <w:sz w:val="24"/>
                <w:lang w:val="en-US" w:eastAsia="zh-CN"/>
              </w:rPr>
            </w:pPr>
            <w:r>
              <w:rPr>
                <w:rFonts w:hint="eastAsia" w:cs="仿宋"/>
                <w:spacing w:val="-2"/>
                <w:sz w:val="24"/>
                <w:lang w:val="en-US" w:eastAsia="zh-CN"/>
              </w:rPr>
              <w:t>9</w:t>
            </w:r>
          </w:p>
        </w:tc>
        <w:tc>
          <w:tcPr>
            <w:tcW w:w="2057" w:type="dxa"/>
            <w:noWrap w:val="0"/>
            <w:vAlign w:val="center"/>
          </w:tcPr>
          <w:p w14:paraId="25834BA8">
            <w:pPr>
              <w:spacing w:line="360" w:lineRule="auto"/>
              <w:jc w:val="center"/>
              <w:rPr>
                <w:rFonts w:hint="default" w:cs="仿宋"/>
                <w:sz w:val="24"/>
                <w:highlight w:val="none"/>
                <w:lang w:val="en-US" w:eastAsia="zh-CN"/>
              </w:rPr>
            </w:pPr>
            <w:r>
              <w:rPr>
                <w:rFonts w:hint="eastAsia" w:cs="仿宋"/>
                <w:sz w:val="24"/>
                <w:highlight w:val="none"/>
                <w:lang w:val="en-US" w:eastAsia="zh-CN"/>
              </w:rPr>
              <w:t>采购政策</w:t>
            </w:r>
          </w:p>
        </w:tc>
        <w:tc>
          <w:tcPr>
            <w:tcW w:w="6354" w:type="dxa"/>
            <w:noWrap w:val="0"/>
            <w:vAlign w:val="top"/>
          </w:tcPr>
          <w:p w14:paraId="2EB8BC33">
            <w:pPr>
              <w:spacing w:line="360" w:lineRule="auto"/>
              <w:rPr>
                <w:rFonts w:hint="default" w:ascii="宋体" w:hAnsi="宋体" w:eastAsia="宋体" w:cs="宋体"/>
                <w:color w:val="auto"/>
                <w:sz w:val="24"/>
                <w:szCs w:val="24"/>
                <w:highlight w:val="none"/>
                <w:lang w:val="en-US" w:eastAsia="zh-CN"/>
              </w:rPr>
            </w:pPr>
            <w:r>
              <w:rPr>
                <w:rFonts w:hint="eastAsia" w:cs="宋体"/>
                <w:color w:val="auto"/>
                <w:sz w:val="24"/>
                <w:highlight w:val="none"/>
                <w:u w:val="none"/>
                <w:lang w:val="en-US" w:eastAsia="zh-CN"/>
              </w:rPr>
              <w:t>本项目标项一</w:t>
            </w:r>
            <w:r>
              <w:rPr>
                <w:rFonts w:hint="eastAsia" w:ascii="宋体" w:hAnsi="宋体" w:eastAsia="宋体" w:cs="宋体"/>
                <w:color w:val="auto"/>
                <w:sz w:val="24"/>
                <w:highlight w:val="none"/>
                <w:u w:val="none"/>
                <w:lang w:val="en-US" w:eastAsia="zh-CN"/>
              </w:rPr>
              <w:t>专门面向</w:t>
            </w:r>
            <w:r>
              <w:rPr>
                <w:rFonts w:hint="eastAsia" w:cs="宋体"/>
                <w:color w:val="auto"/>
                <w:sz w:val="24"/>
                <w:highlight w:val="none"/>
                <w:u w:val="none"/>
                <w:lang w:val="en-US" w:eastAsia="zh-CN"/>
              </w:rPr>
              <w:t>小微</w:t>
            </w:r>
            <w:r>
              <w:rPr>
                <w:rFonts w:hint="eastAsia" w:ascii="宋体" w:hAnsi="宋体" w:eastAsia="宋体" w:cs="宋体"/>
                <w:color w:val="auto"/>
                <w:sz w:val="24"/>
                <w:highlight w:val="none"/>
                <w:u w:val="none"/>
                <w:lang w:val="en-US" w:eastAsia="zh-CN"/>
              </w:rPr>
              <w:t>企业</w:t>
            </w:r>
            <w:r>
              <w:rPr>
                <w:rFonts w:hint="eastAsia" w:cs="宋体"/>
                <w:color w:val="auto"/>
                <w:sz w:val="24"/>
                <w:highlight w:val="none"/>
                <w:u w:val="none"/>
                <w:lang w:val="en-US" w:eastAsia="zh-CN"/>
              </w:rPr>
              <w:t>；标项二专门面向中小企业</w:t>
            </w:r>
            <w:r>
              <w:rPr>
                <w:rFonts w:hint="eastAsia" w:cs="宋体"/>
                <w:color w:val="auto"/>
                <w:sz w:val="24"/>
                <w:szCs w:val="24"/>
                <w:highlight w:val="none"/>
                <w:lang w:val="en-US" w:eastAsia="zh-CN"/>
              </w:rPr>
              <w:t>，需提供中小企业声明函。</w:t>
            </w:r>
          </w:p>
        </w:tc>
        <w:tc>
          <w:tcPr>
            <w:tcW w:w="432" w:type="dxa"/>
            <w:noWrap w:val="0"/>
            <w:vAlign w:val="top"/>
          </w:tcPr>
          <w:p w14:paraId="52DE176F">
            <w:pPr>
              <w:spacing w:line="360" w:lineRule="auto"/>
              <w:jc w:val="left"/>
              <w:rPr>
                <w:rFonts w:hint="eastAsia" w:ascii="宋体" w:hAnsi="宋体" w:cs="仿宋"/>
                <w:spacing w:val="-2"/>
                <w:sz w:val="24"/>
              </w:rPr>
            </w:pPr>
          </w:p>
        </w:tc>
        <w:tc>
          <w:tcPr>
            <w:tcW w:w="480" w:type="dxa"/>
            <w:noWrap w:val="0"/>
            <w:vAlign w:val="top"/>
          </w:tcPr>
          <w:p w14:paraId="6A584DEE">
            <w:pPr>
              <w:spacing w:line="360" w:lineRule="auto"/>
              <w:jc w:val="left"/>
              <w:rPr>
                <w:rFonts w:hint="eastAsia" w:ascii="宋体" w:hAnsi="宋体" w:cs="仿宋"/>
                <w:spacing w:val="-2"/>
                <w:sz w:val="24"/>
              </w:rPr>
            </w:pPr>
          </w:p>
        </w:tc>
        <w:tc>
          <w:tcPr>
            <w:tcW w:w="564" w:type="dxa"/>
            <w:noWrap w:val="0"/>
            <w:vAlign w:val="top"/>
          </w:tcPr>
          <w:p w14:paraId="259CE355">
            <w:pPr>
              <w:spacing w:line="360" w:lineRule="auto"/>
              <w:jc w:val="left"/>
              <w:rPr>
                <w:rFonts w:hint="eastAsia" w:ascii="宋体" w:hAnsi="宋体" w:cs="仿宋"/>
                <w:spacing w:val="-2"/>
                <w:sz w:val="24"/>
              </w:rPr>
            </w:pPr>
          </w:p>
        </w:tc>
      </w:tr>
      <w:tr w14:paraId="4893A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762" w:type="dxa"/>
            <w:gridSpan w:val="2"/>
            <w:noWrap w:val="0"/>
            <w:vAlign w:val="center"/>
          </w:tcPr>
          <w:p w14:paraId="6522EE28">
            <w:pPr>
              <w:spacing w:line="360" w:lineRule="auto"/>
              <w:jc w:val="both"/>
              <w:rPr>
                <w:rFonts w:hint="eastAsia" w:ascii="宋体" w:hAnsi="宋体" w:cs="仿宋"/>
                <w:sz w:val="24"/>
              </w:rPr>
            </w:pPr>
            <w:r>
              <w:rPr>
                <w:rFonts w:hint="eastAsia" w:ascii="宋体" w:hAnsi="宋体" w:cs="仿宋"/>
                <w:spacing w:val="-2"/>
                <w:sz w:val="24"/>
              </w:rPr>
              <w:t>结论</w:t>
            </w:r>
          </w:p>
        </w:tc>
        <w:tc>
          <w:tcPr>
            <w:tcW w:w="6354" w:type="dxa"/>
            <w:noWrap w:val="0"/>
            <w:vAlign w:val="top"/>
          </w:tcPr>
          <w:p w14:paraId="7ADA226F">
            <w:pPr>
              <w:spacing w:line="360" w:lineRule="auto"/>
              <w:jc w:val="left"/>
              <w:rPr>
                <w:rFonts w:hint="eastAsia" w:ascii="宋体" w:hAnsi="宋体" w:cs="仿宋"/>
                <w:spacing w:val="-2"/>
                <w:sz w:val="24"/>
              </w:rPr>
            </w:pPr>
          </w:p>
        </w:tc>
        <w:tc>
          <w:tcPr>
            <w:tcW w:w="432" w:type="dxa"/>
            <w:noWrap w:val="0"/>
            <w:vAlign w:val="top"/>
          </w:tcPr>
          <w:p w14:paraId="53F84C4D">
            <w:pPr>
              <w:spacing w:line="360" w:lineRule="auto"/>
              <w:jc w:val="left"/>
              <w:rPr>
                <w:rFonts w:hint="eastAsia" w:ascii="宋体" w:hAnsi="宋体" w:cs="仿宋"/>
                <w:spacing w:val="-2"/>
                <w:sz w:val="24"/>
              </w:rPr>
            </w:pPr>
          </w:p>
        </w:tc>
        <w:tc>
          <w:tcPr>
            <w:tcW w:w="480" w:type="dxa"/>
            <w:noWrap w:val="0"/>
            <w:vAlign w:val="top"/>
          </w:tcPr>
          <w:p w14:paraId="4EAACC19">
            <w:pPr>
              <w:spacing w:line="360" w:lineRule="auto"/>
              <w:jc w:val="left"/>
              <w:rPr>
                <w:rFonts w:hint="eastAsia" w:ascii="宋体" w:hAnsi="宋体" w:cs="仿宋"/>
                <w:spacing w:val="-2"/>
                <w:sz w:val="24"/>
              </w:rPr>
            </w:pPr>
          </w:p>
        </w:tc>
        <w:tc>
          <w:tcPr>
            <w:tcW w:w="564" w:type="dxa"/>
            <w:noWrap w:val="0"/>
            <w:vAlign w:val="top"/>
          </w:tcPr>
          <w:p w14:paraId="3AEFFF8F">
            <w:pPr>
              <w:spacing w:line="360" w:lineRule="auto"/>
              <w:jc w:val="left"/>
              <w:rPr>
                <w:rFonts w:hint="eastAsia" w:ascii="宋体" w:hAnsi="宋体" w:cs="仿宋"/>
                <w:spacing w:val="-2"/>
                <w:sz w:val="24"/>
              </w:rPr>
            </w:pPr>
          </w:p>
        </w:tc>
      </w:tr>
    </w:tbl>
    <w:p w14:paraId="74B46938">
      <w:pPr>
        <w:keepNext w:val="0"/>
        <w:keepLines w:val="0"/>
        <w:widowControl/>
        <w:suppressLineNumbers w:val="0"/>
        <w:jc w:val="left"/>
        <w:rPr>
          <w:color w:val="auto"/>
          <w:highlight w:val="none"/>
        </w:rPr>
      </w:pPr>
    </w:p>
    <w:p w14:paraId="183D38D9">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宋体" w:hAnsi="宋体" w:eastAsia="宋体" w:cs="宋体"/>
          <w:color w:val="auto"/>
          <w:kern w:val="0"/>
          <w:sz w:val="24"/>
          <w:szCs w:val="24"/>
          <w:highlight w:val="none"/>
          <w:lang w:val="en-US" w:eastAsia="zh-CN" w:bidi="ar"/>
        </w:rPr>
        <w:t xml:space="preserve"> </w:t>
      </w:r>
    </w:p>
    <w:p w14:paraId="0097766A">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259" w:name="_Toc155185903"/>
      <w:bookmarkStart w:id="260" w:name="_Toc163492899"/>
      <w:bookmarkStart w:id="261" w:name="_Toc23606"/>
      <w:r>
        <w:rPr>
          <w:rFonts w:hint="eastAsia" w:ascii="宋体" w:hAnsi="宋体" w:eastAsia="宋体" w:cs="宋体"/>
          <w:b/>
          <w:bCs/>
          <w:color w:val="auto"/>
          <w:kern w:val="44"/>
          <w:sz w:val="36"/>
          <w:szCs w:val="36"/>
          <w:highlight w:val="none"/>
          <w:lang w:val="en-US" w:eastAsia="zh-CN" w:bidi="ar-SA"/>
        </w:rPr>
        <w:t>第五章 评标方法</w:t>
      </w:r>
      <w:bookmarkEnd w:id="259"/>
      <w:r>
        <w:rPr>
          <w:rFonts w:hint="eastAsia" w:ascii="宋体" w:hAnsi="宋体" w:eastAsia="宋体" w:cs="宋体"/>
          <w:b/>
          <w:bCs/>
          <w:color w:val="auto"/>
          <w:kern w:val="44"/>
          <w:sz w:val="36"/>
          <w:szCs w:val="36"/>
          <w:highlight w:val="none"/>
          <w:lang w:val="en-US" w:eastAsia="zh-CN" w:bidi="ar-SA"/>
        </w:rPr>
        <w:t>及标准</w:t>
      </w:r>
      <w:bookmarkEnd w:id="260"/>
      <w:r>
        <w:rPr>
          <w:rFonts w:hint="eastAsia" w:ascii="宋体" w:hAnsi="宋体" w:eastAsia="宋体" w:cs="宋体"/>
          <w:b/>
          <w:bCs/>
          <w:color w:val="auto"/>
          <w:kern w:val="44"/>
          <w:sz w:val="36"/>
          <w:szCs w:val="36"/>
          <w:highlight w:val="none"/>
          <w:lang w:val="en-US" w:eastAsia="zh-CN" w:bidi="ar-SA"/>
        </w:rPr>
        <w:t>(综合评分法)</w:t>
      </w:r>
      <w:bookmarkEnd w:id="261"/>
    </w:p>
    <w:p w14:paraId="78336777">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根据《中华人民共和国政府采购法》及其实施条例、《政府采购货物和服务招标投标管理办法》</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rPr>
        <w:t>相关法律法规确定以下评标</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rPr>
        <w:t>法及标准。</w:t>
      </w:r>
    </w:p>
    <w:p w14:paraId="7C6A3FD8">
      <w:pPr>
        <w:pStyle w:val="3"/>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zh-CN" w:eastAsia="zh-CN"/>
        </w:rPr>
      </w:pPr>
      <w:bookmarkStart w:id="262" w:name="_Toc29507"/>
      <w:bookmarkStart w:id="263" w:name="_Toc163492900"/>
      <w:bookmarkStart w:id="264" w:name="_Toc278891606"/>
      <w:bookmarkStart w:id="265" w:name="_Toc511894518"/>
      <w:bookmarkStart w:id="266" w:name="_Toc140132826"/>
      <w:bookmarkStart w:id="267" w:name="_Toc272247709"/>
      <w:bookmarkStart w:id="268" w:name="_Toc494561962"/>
      <w:bookmarkStart w:id="269" w:name="_Toc155185905"/>
      <w:bookmarkStart w:id="270" w:name="_Toc109900322"/>
      <w:bookmarkStart w:id="271" w:name="_Toc61280402"/>
      <w:bookmarkStart w:id="272" w:name="_Toc109899484"/>
      <w:bookmarkStart w:id="273" w:name="_Toc109899903"/>
      <w:r>
        <w:rPr>
          <w:rFonts w:hint="eastAsia" w:ascii="宋体" w:hAnsi="宋体" w:eastAsia="宋体" w:cs="宋体"/>
          <w:color w:val="auto"/>
          <w:sz w:val="28"/>
          <w:szCs w:val="28"/>
          <w:highlight w:val="none"/>
          <w:lang w:val="zh-CN" w:eastAsia="zh-CN"/>
        </w:rPr>
        <w:t>一、评标</w:t>
      </w:r>
      <w:r>
        <w:rPr>
          <w:rFonts w:hint="eastAsia" w:ascii="宋体" w:hAnsi="宋体" w:eastAsia="宋体" w:cs="宋体"/>
          <w:color w:val="auto"/>
          <w:sz w:val="28"/>
          <w:szCs w:val="28"/>
          <w:highlight w:val="none"/>
          <w:lang w:val="en-US" w:eastAsia="zh-CN"/>
        </w:rPr>
        <w:t>方</w:t>
      </w:r>
      <w:r>
        <w:rPr>
          <w:rFonts w:hint="eastAsia" w:ascii="宋体" w:hAnsi="宋体" w:eastAsia="宋体" w:cs="宋体"/>
          <w:color w:val="auto"/>
          <w:sz w:val="28"/>
          <w:szCs w:val="28"/>
          <w:highlight w:val="none"/>
          <w:lang w:val="zh-CN" w:eastAsia="zh-CN"/>
        </w:rPr>
        <w:t>法</w:t>
      </w:r>
      <w:bookmarkEnd w:id="262"/>
      <w:bookmarkEnd w:id="263"/>
    </w:p>
    <w:p w14:paraId="437A980A">
      <w:pPr>
        <w:pStyle w:val="39"/>
        <w:rPr>
          <w:color w:val="auto"/>
          <w:highlight w:val="none"/>
        </w:rPr>
      </w:pPr>
      <w:r>
        <w:rPr>
          <w:rFonts w:hint="eastAsia"/>
          <w:color w:val="auto"/>
          <w:highlight w:val="none"/>
        </w:rPr>
        <w:t>1.</w:t>
      </w:r>
      <w:r>
        <w:rPr>
          <w:rFonts w:hint="eastAsia"/>
          <w:b/>
          <w:bCs/>
          <w:color w:val="auto"/>
          <w:highlight w:val="none"/>
        </w:rPr>
        <w:t>本项目采用综合评分法</w:t>
      </w:r>
      <w:r>
        <w:rPr>
          <w:rFonts w:hint="eastAsia"/>
          <w:color w:val="auto"/>
          <w:highlight w:val="none"/>
        </w:rPr>
        <w:t>。综合评分法，是指投标文件满足招标文件全部实质性要求，且按照评审因素的量化指标评审得分最高的投标人为中标候选人的评标方法。</w:t>
      </w:r>
    </w:p>
    <w:p w14:paraId="0E8F0DF8">
      <w:pPr>
        <w:pStyle w:val="3"/>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zh-CN" w:eastAsia="zh-CN"/>
        </w:rPr>
      </w:pPr>
      <w:bookmarkStart w:id="274" w:name="_Toc27741"/>
      <w:r>
        <w:rPr>
          <w:rFonts w:hint="eastAsia" w:ascii="宋体" w:hAnsi="宋体" w:eastAsia="宋体" w:cs="宋体"/>
          <w:color w:val="auto"/>
          <w:sz w:val="28"/>
          <w:szCs w:val="28"/>
          <w:highlight w:val="none"/>
          <w:lang w:val="en-US" w:eastAsia="zh-CN"/>
        </w:rPr>
        <w:t>二</w:t>
      </w:r>
      <w:r>
        <w:rPr>
          <w:rFonts w:hint="eastAsia" w:ascii="宋体" w:hAnsi="宋体" w:eastAsia="宋体" w:cs="宋体"/>
          <w:color w:val="auto"/>
          <w:sz w:val="28"/>
          <w:szCs w:val="28"/>
          <w:highlight w:val="none"/>
          <w:lang w:val="zh-CN" w:eastAsia="zh-CN"/>
        </w:rPr>
        <w:t>、评标程序</w:t>
      </w:r>
      <w:bookmarkEnd w:id="274"/>
    </w:p>
    <w:p w14:paraId="1E6040C2">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b/>
          <w:bCs/>
          <w:color w:val="auto"/>
          <w:kern w:val="2"/>
          <w:sz w:val="24"/>
          <w:szCs w:val="24"/>
          <w:highlight w:val="none"/>
          <w:lang w:val="zh-CN" w:eastAsia="zh-CN" w:bidi="ar-SA"/>
        </w:rPr>
        <w:t>（一）符合性审查</w:t>
      </w:r>
    </w:p>
    <w:p w14:paraId="4E7A0673">
      <w:pPr>
        <w:pStyle w:val="3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评标委员会应当对</w:t>
      </w:r>
      <w:r>
        <w:rPr>
          <w:rFonts w:hint="eastAsia" w:ascii="宋体" w:hAnsi="宋体" w:eastAsia="宋体" w:cs="宋体"/>
          <w:color w:val="auto"/>
          <w:sz w:val="24"/>
          <w:szCs w:val="24"/>
          <w:highlight w:val="none"/>
          <w:lang w:val="en-US" w:eastAsia="zh-CN"/>
        </w:rPr>
        <w:t>通过</w:t>
      </w:r>
      <w:r>
        <w:rPr>
          <w:rFonts w:hint="eastAsia" w:ascii="宋体" w:hAnsi="宋体" w:eastAsia="宋体" w:cs="宋体"/>
          <w:color w:val="auto"/>
          <w:sz w:val="24"/>
          <w:szCs w:val="24"/>
          <w:highlight w:val="none"/>
        </w:rPr>
        <w:t>资格</w:t>
      </w:r>
      <w:r>
        <w:rPr>
          <w:rFonts w:hint="eastAsia" w:ascii="宋体" w:hAnsi="宋体" w:eastAsia="宋体" w:cs="宋体"/>
          <w:color w:val="auto"/>
          <w:sz w:val="24"/>
          <w:szCs w:val="24"/>
          <w:highlight w:val="none"/>
          <w:lang w:val="en-US" w:eastAsia="zh-CN"/>
        </w:rPr>
        <w:t>审查</w:t>
      </w:r>
      <w:r>
        <w:rPr>
          <w:rFonts w:hint="eastAsia" w:ascii="宋体" w:hAnsi="宋体" w:eastAsia="宋体" w:cs="宋体"/>
          <w:color w:val="auto"/>
          <w:sz w:val="24"/>
          <w:szCs w:val="24"/>
          <w:highlight w:val="none"/>
        </w:rPr>
        <w:t>的投标人的投标文件进行符合性审查，以确定其是否满足招标文件的实质性要求。投标人必须通过符合性审查的全部评审指标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不满足招标文件的实质性要求的，</w:t>
      </w:r>
      <w:r>
        <w:rPr>
          <w:rFonts w:hint="eastAsia" w:ascii="宋体" w:hAnsi="宋体" w:eastAsia="宋体" w:cs="宋体"/>
          <w:color w:val="auto"/>
          <w:sz w:val="24"/>
          <w:szCs w:val="24"/>
          <w:highlight w:val="none"/>
          <w:lang w:val="en-US" w:eastAsia="zh-CN"/>
        </w:rPr>
        <w:t>其</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具体内容详</w:t>
      </w:r>
      <w:r>
        <w:rPr>
          <w:rFonts w:hint="eastAsia" w:ascii="宋体" w:hAnsi="宋体" w:eastAsia="宋体" w:cs="宋体"/>
          <w:color w:val="auto"/>
          <w:sz w:val="24"/>
          <w:szCs w:val="24"/>
          <w:highlight w:val="none"/>
          <w:lang w:val="zh-CN"/>
        </w:rPr>
        <w:t>本章“</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lang w:val="zh-CN"/>
        </w:rPr>
        <w:t>、评标标准”中</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lang w:val="zh-CN"/>
        </w:rPr>
        <w:t>“（一）符合性审查”。</w:t>
      </w:r>
    </w:p>
    <w:p w14:paraId="231DE061">
      <w:pPr>
        <w:pStyle w:val="39"/>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通过</w:t>
      </w:r>
      <w:r>
        <w:rPr>
          <w:rFonts w:hint="eastAsia" w:ascii="宋体" w:hAnsi="宋体" w:eastAsia="宋体" w:cs="宋体"/>
          <w:color w:val="auto"/>
          <w:sz w:val="24"/>
          <w:szCs w:val="24"/>
          <w:highlight w:val="none"/>
        </w:rPr>
        <w:t>符合性审查</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有效</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不足3家的应当终止采购活动，发布项目终止公告并说明原因，重新开展采购活动。</w:t>
      </w:r>
    </w:p>
    <w:p w14:paraId="148756C1">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275" w:name="_Toc102116048"/>
      <w:bookmarkStart w:id="276" w:name="_Toc102057744"/>
      <w:bookmarkStart w:id="277" w:name="_Toc155185907"/>
      <w:bookmarkStart w:id="278" w:name="_Toc102114946"/>
      <w:bookmarkStart w:id="279" w:name="_Toc102119879"/>
      <w:bookmarkStart w:id="280" w:name="_Toc102056244"/>
      <w:bookmarkStart w:id="281" w:name="_Toc102116178"/>
      <w:bookmarkStart w:id="282" w:name="_Toc163492903"/>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二</w:t>
      </w:r>
      <w:r>
        <w:rPr>
          <w:rFonts w:hint="eastAsia" w:ascii="宋体" w:hAnsi="宋体" w:eastAsia="宋体" w:cs="宋体"/>
          <w:b/>
          <w:bCs/>
          <w:color w:val="auto"/>
          <w:kern w:val="2"/>
          <w:sz w:val="24"/>
          <w:szCs w:val="24"/>
          <w:highlight w:val="none"/>
          <w:lang w:val="zh-CN" w:eastAsia="zh-CN" w:bidi="ar-SA"/>
        </w:rPr>
        <w:t>）投标文件澄清</w:t>
      </w:r>
      <w:bookmarkEnd w:id="275"/>
      <w:bookmarkEnd w:id="276"/>
      <w:bookmarkEnd w:id="277"/>
      <w:bookmarkEnd w:id="278"/>
      <w:bookmarkEnd w:id="279"/>
      <w:bookmarkEnd w:id="280"/>
      <w:bookmarkEnd w:id="281"/>
      <w:r>
        <w:rPr>
          <w:rFonts w:hint="eastAsia" w:ascii="宋体" w:hAnsi="宋体" w:eastAsia="宋体" w:cs="宋体"/>
          <w:b/>
          <w:bCs/>
          <w:color w:val="auto"/>
          <w:kern w:val="2"/>
          <w:sz w:val="24"/>
          <w:szCs w:val="24"/>
          <w:highlight w:val="none"/>
          <w:lang w:val="zh-CN" w:eastAsia="zh-CN" w:bidi="ar-SA"/>
        </w:rPr>
        <w:t>及修正</w:t>
      </w:r>
      <w:bookmarkEnd w:id="282"/>
    </w:p>
    <w:p w14:paraId="2BD70C6C">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.评标期间，对于投标文件中含义不明确、同类问题表述不一致或者有明显文字和计算错误的内容需要投标人作出必要的澄清、说明或者补正的，评标委员会应当在</w:t>
      </w:r>
      <w:r>
        <w:rPr>
          <w:rFonts w:hint="eastAsia" w:ascii="宋体" w:hAnsi="宋体" w:eastAsia="宋体" w:cs="宋体"/>
          <w:color w:val="auto"/>
          <w:sz w:val="24"/>
          <w:szCs w:val="24"/>
          <w:highlight w:val="none"/>
          <w:lang w:val="en-US" w:eastAsia="zh-CN"/>
        </w:rPr>
        <w:t>政采云平台评标</w:t>
      </w:r>
      <w:r>
        <w:rPr>
          <w:rFonts w:hint="eastAsia" w:ascii="宋体" w:hAnsi="宋体" w:eastAsia="宋体" w:cs="宋体"/>
          <w:color w:val="auto"/>
          <w:sz w:val="24"/>
          <w:szCs w:val="24"/>
          <w:highlight w:val="none"/>
        </w:rPr>
        <w:t>系统中以书面形式要求投标人作出必要的澄清、说明或者补正。</w:t>
      </w:r>
    </w:p>
    <w:p w14:paraId="6BF80952">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.投标人应按照评标委员会要求在规定时间内作出澄清、说明或者补正，澄清、说明或者补正不得超出投标文件的范围或者改变投标文件的实质性内容。</w:t>
      </w:r>
    </w:p>
    <w:p w14:paraId="37BD7EBF">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.投标人的澄清、说明或者补正是其投标文件的有效组成部分，澄清、说明或者补正应当在</w:t>
      </w:r>
      <w:r>
        <w:rPr>
          <w:rFonts w:hint="eastAsia" w:ascii="宋体" w:hAnsi="宋体" w:eastAsia="宋体" w:cs="宋体"/>
          <w:color w:val="auto"/>
          <w:sz w:val="24"/>
          <w:szCs w:val="24"/>
          <w:highlight w:val="none"/>
          <w:lang w:val="en-US" w:eastAsia="zh-CN"/>
        </w:rPr>
        <w:t>政采云平台评标</w:t>
      </w:r>
      <w:r>
        <w:rPr>
          <w:rFonts w:hint="eastAsia" w:ascii="宋体" w:hAnsi="宋体" w:eastAsia="宋体" w:cs="宋体"/>
          <w:color w:val="auto"/>
          <w:sz w:val="24"/>
          <w:szCs w:val="24"/>
          <w:highlight w:val="none"/>
        </w:rPr>
        <w:t>系统中加盖电子印章后提交。</w:t>
      </w:r>
    </w:p>
    <w:p w14:paraId="29614945">
      <w:pPr>
        <w:pStyle w:val="39"/>
        <w:rPr>
          <w:rFonts w:hint="eastAsia" w:cs="宋体"/>
          <w:b/>
          <w:bCs/>
          <w:color w:val="auto"/>
          <w:sz w:val="24"/>
          <w:szCs w:val="24"/>
          <w:highlight w:val="none"/>
          <w:lang w:val="en-US" w:eastAsia="zh-CN"/>
        </w:rPr>
      </w:pPr>
      <w:r>
        <w:rPr>
          <w:rFonts w:hint="eastAsia" w:cs="宋体"/>
          <w:color w:val="auto"/>
          <w:sz w:val="24"/>
          <w:szCs w:val="24"/>
          <w:highlight w:val="none"/>
          <w:lang w:val="en-US" w:eastAsia="zh-CN"/>
        </w:rPr>
        <w:t>6.</w:t>
      </w:r>
      <w:r>
        <w:rPr>
          <w:rFonts w:hint="eastAsia" w:cs="宋体"/>
          <w:b/>
          <w:bCs/>
          <w:color w:val="auto"/>
          <w:sz w:val="24"/>
          <w:szCs w:val="24"/>
          <w:highlight w:val="none"/>
          <w:lang w:val="en-US" w:eastAsia="zh-CN"/>
        </w:rPr>
        <w:t>报价合理性说明</w:t>
      </w:r>
    </w:p>
    <w:p w14:paraId="1171ADF4">
      <w:pPr>
        <w:pStyle w:val="39"/>
        <w:rPr>
          <w:rFonts w:hint="eastAsia" w:ascii="宋体" w:hAnsi="宋体" w:eastAsia="宋体" w:cs="宋体"/>
          <w:color w:val="auto"/>
          <w:sz w:val="24"/>
          <w:szCs w:val="24"/>
          <w:highlight w:val="none"/>
          <w:lang w:val="en-US" w:eastAsia="zh-CN"/>
        </w:rPr>
      </w:pPr>
      <w:r>
        <w:rPr>
          <w:rFonts w:hint="eastAsia" w:cs="宋体"/>
          <w:b w:val="0"/>
          <w:bCs w:val="0"/>
          <w:color w:val="auto"/>
          <w:sz w:val="24"/>
          <w:szCs w:val="24"/>
          <w:highlight w:val="none"/>
          <w:lang w:val="en-US" w:eastAsia="zh-CN"/>
        </w:rPr>
        <w:t>6.1</w:t>
      </w:r>
      <w:r>
        <w:rPr>
          <w:rFonts w:hint="eastAsia" w:ascii="宋体" w:hAnsi="宋体" w:eastAsia="宋体" w:cs="宋体"/>
          <w:color w:val="auto"/>
          <w:sz w:val="24"/>
          <w:szCs w:val="24"/>
          <w:highlight w:val="none"/>
          <w:lang w:val="en-US" w:eastAsia="zh-CN"/>
        </w:rPr>
        <w:t>政府采购评审中出现下列情形之一的，评审委员会应当启动异常低价投标（响应）审查程序：</w:t>
      </w:r>
    </w:p>
    <w:p w14:paraId="60631337">
      <w:pPr>
        <w:pStyle w:val="39"/>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（1）</w:t>
      </w:r>
      <w:r>
        <w:rPr>
          <w:rFonts w:hint="eastAsia" w:ascii="宋体" w:hAnsi="宋体" w:eastAsia="宋体" w:cs="宋体"/>
          <w:color w:val="auto"/>
          <w:sz w:val="24"/>
          <w:szCs w:val="24"/>
          <w:highlight w:val="none"/>
          <w:lang w:val="en-US" w:eastAsia="zh-CN"/>
        </w:rPr>
        <w:t>投标（响应）报价低于全部通过符合性审查供应商投标（响应）报价平均值50%的，即投标（响应）报价&lt;全部通过符合性审查供应商投标（响应）报价平均值×50%；</w:t>
      </w:r>
    </w:p>
    <w:p w14:paraId="462028FB">
      <w:pPr>
        <w:pStyle w:val="39"/>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投标（响应）报价低于通过符合性审查的次低报价供应商投标（响应）报价50%的，即投标（响应）报价&lt;通过符合性审查的次低报价供应商投标（响应）报价×50%；</w:t>
      </w:r>
    </w:p>
    <w:p w14:paraId="0188E5F1">
      <w:pPr>
        <w:pStyle w:val="39"/>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投标（响应）报价低于采购项目最高限价45%的，即投标（响应）报价&lt;采购项目最高限价×45%；</w:t>
      </w:r>
    </w:p>
    <w:p w14:paraId="70EBE72E">
      <w:pPr>
        <w:pStyle w:val="39"/>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评审委员会基于专业判断，认为供应商报价过低，有可能影响产品质量或者不能诚信履约的其他情形。</w:t>
      </w:r>
    </w:p>
    <w:p w14:paraId="6FA3CEB4">
      <w:pPr>
        <w:pStyle w:val="39"/>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6.2</w:t>
      </w:r>
      <w:r>
        <w:rPr>
          <w:rFonts w:hint="eastAsia" w:ascii="宋体" w:hAnsi="宋体" w:eastAsia="宋体" w:cs="宋体"/>
          <w:color w:val="auto"/>
          <w:sz w:val="24"/>
          <w:szCs w:val="24"/>
          <w:highlight w:val="none"/>
          <w:lang w:val="en-US" w:eastAsia="zh-CN"/>
        </w:rPr>
        <w:t>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w:t>
      </w:r>
    </w:p>
    <w:p w14:paraId="66E8A0F9">
      <w:pPr>
        <w:pStyle w:val="3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其中，属于第3项情形，供应商已随投标（响应）文件一并提交相关书面说明及必要的证明材料的，在评审现场可不再重复提交。评审委员会依据专业经验，参考同类项目中标（成交）价格、类似产品市场价格水平、行业人工费用标准、国家有关部门指导行业协会发布的行业平均成本等情况，对报价合理性进行判断。</w:t>
      </w:r>
    </w:p>
    <w:p w14:paraId="6DCFCF86">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投标（响应）供应商不能提供书面说明、证明材料，或者提供的书面说明、证明材料不能证明其报价合理性的，评审委员会应当将其作为无效投标（响应）处理。</w:t>
      </w:r>
    </w:p>
    <w:p w14:paraId="07B0D50D">
      <w:pPr>
        <w:pStyle w:val="39"/>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2DDC656B">
      <w:pPr>
        <w:pStyle w:val="39"/>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8.投标文件报价出现前后不一致的，除招标文件另有规定外，按照下列规定修正：</w:t>
      </w:r>
    </w:p>
    <w:p w14:paraId="06AFCFF5">
      <w:pPr>
        <w:pStyle w:val="39"/>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8.1投标文件中开标一览表（报价表）内容与投标文件中相应内容不一致的，以开标一览表（报价表）为准；</w:t>
      </w:r>
    </w:p>
    <w:p w14:paraId="291C5943">
      <w:pPr>
        <w:pStyle w:val="39"/>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8.2大写金额和小写金额不一致的，以大写金额为准；</w:t>
      </w:r>
    </w:p>
    <w:p w14:paraId="10BDA093">
      <w:pPr>
        <w:pStyle w:val="39"/>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8.3单价金额小数点或者百分比有明显错位的，以开标一览表的总价为准，并修改单价；</w:t>
      </w:r>
    </w:p>
    <w:p w14:paraId="4F0856FA">
      <w:pPr>
        <w:pStyle w:val="39"/>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8.4总价金额与按单价汇总金额不一致的，以单价金额计算结果为准。</w:t>
      </w:r>
    </w:p>
    <w:p w14:paraId="39651E25">
      <w:pPr>
        <w:pStyle w:val="39"/>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同时出现两种以上不一致的，按照8.1—8.4的顺序修正。修正后的报价采用书面形式，并加盖公章，或者由法定代表人或其授权的代表签字，经投标人确认后产生约束力，投标人不确认的，其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7F253672">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kern w:val="2"/>
          <w:sz w:val="24"/>
          <w:szCs w:val="24"/>
          <w:highlight w:val="none"/>
          <w:lang w:val="zh-CN" w:eastAsia="zh-CN" w:bidi="ar-SA"/>
        </w:rPr>
        <w:t>）比较与评价</w:t>
      </w:r>
    </w:p>
    <w:p w14:paraId="45BAC3B7">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评标委员会应当按照招标文件中规定的评标方法和标准，对符合性审查合格的投标文件进行商务和技术评</w:t>
      </w:r>
      <w:r>
        <w:rPr>
          <w:rFonts w:hint="eastAsia" w:ascii="宋体" w:hAnsi="宋体" w:eastAsia="宋体" w:cs="宋体"/>
          <w:color w:val="auto"/>
          <w:sz w:val="24"/>
          <w:szCs w:val="24"/>
          <w:highlight w:val="none"/>
          <w:lang w:val="en-US" w:eastAsia="zh-CN"/>
        </w:rPr>
        <w:t>估</w:t>
      </w:r>
      <w:r>
        <w:rPr>
          <w:rFonts w:hint="eastAsia" w:ascii="宋体" w:hAnsi="宋体" w:eastAsia="宋体" w:cs="宋体"/>
          <w:color w:val="auto"/>
          <w:sz w:val="24"/>
          <w:szCs w:val="24"/>
          <w:highlight w:val="none"/>
        </w:rPr>
        <w:t>，综合比较与评价</w:t>
      </w:r>
      <w:r>
        <w:rPr>
          <w:rFonts w:hint="eastAsia" w:ascii="宋体" w:hAnsi="宋体" w:eastAsia="宋体" w:cs="宋体"/>
          <w:color w:val="auto"/>
          <w:sz w:val="24"/>
          <w:szCs w:val="24"/>
          <w:highlight w:val="none"/>
          <w:lang w:val="en-US" w:eastAsia="zh-CN"/>
        </w:rPr>
        <w:t>；未通过符合性审查的投标文件不得进入比较与评价</w:t>
      </w:r>
      <w:r>
        <w:rPr>
          <w:rFonts w:hint="eastAsia" w:ascii="宋体" w:hAnsi="宋体" w:eastAsia="宋体" w:cs="宋体"/>
          <w:color w:val="auto"/>
          <w:sz w:val="24"/>
          <w:szCs w:val="24"/>
          <w:highlight w:val="none"/>
        </w:rPr>
        <w:t>。评审因素包括投标报价、商务技术以及落实政府采购政策。评审因素及标准见本章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评</w:t>
      </w:r>
      <w:r>
        <w:rPr>
          <w:rFonts w:hint="eastAsia" w:ascii="宋体" w:hAnsi="宋体" w:eastAsia="宋体" w:cs="宋体"/>
          <w:color w:val="auto"/>
          <w:sz w:val="24"/>
          <w:szCs w:val="24"/>
          <w:highlight w:val="none"/>
          <w:lang w:val="en-US" w:eastAsia="zh-CN"/>
        </w:rPr>
        <w:t>标</w:t>
      </w:r>
      <w:r>
        <w:rPr>
          <w:rFonts w:hint="eastAsia" w:ascii="宋体" w:hAnsi="宋体" w:eastAsia="宋体" w:cs="宋体"/>
          <w:color w:val="auto"/>
          <w:sz w:val="24"/>
          <w:szCs w:val="24"/>
          <w:highlight w:val="none"/>
        </w:rPr>
        <w:t>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09442578">
      <w:pPr>
        <w:pStyle w:val="3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10.相同品牌处理原则</w:t>
      </w:r>
    </w:p>
    <w:p w14:paraId="3252CF13">
      <w:pPr>
        <w:pStyle w:val="39"/>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.1单一产品采购（或非单一产品采购中的核心产品），提供相同品牌产品且通过资格审查、符合性审查的不同投标人参加同一合同项下投标的，按一家投标人计算。</w:t>
      </w:r>
    </w:p>
    <w:p w14:paraId="6749EBC3">
      <w:pPr>
        <w:pStyle w:val="39"/>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.2非单一产品采购项目，采购人应当根据采购项目技术构成、产品价格比重等合理确定</w:t>
      </w:r>
      <w:r>
        <w:rPr>
          <w:rFonts w:hint="eastAsia" w:ascii="宋体" w:hAnsi="宋体" w:eastAsia="宋体" w:cs="宋体"/>
          <w:color w:val="auto"/>
          <w:sz w:val="24"/>
          <w:szCs w:val="24"/>
          <w:highlight w:val="none"/>
          <w:lang w:eastAsia="zh-CN"/>
        </w:rPr>
        <w:t>核心产品</w:t>
      </w:r>
      <w:r>
        <w:rPr>
          <w:rFonts w:hint="eastAsia" w:ascii="宋体" w:hAnsi="宋体" w:eastAsia="宋体" w:cs="宋体"/>
          <w:color w:val="auto"/>
          <w:sz w:val="24"/>
          <w:szCs w:val="24"/>
          <w:highlight w:val="none"/>
        </w:rPr>
        <w:t>（采购清单中作“与核心产品相同〈或同一〉品牌”实质性要求的产品，视为</w:t>
      </w:r>
      <w:r>
        <w:rPr>
          <w:rFonts w:hint="eastAsia" w:ascii="宋体" w:hAnsi="宋体" w:eastAsia="宋体" w:cs="宋体"/>
          <w:color w:val="auto"/>
          <w:sz w:val="24"/>
          <w:szCs w:val="24"/>
          <w:highlight w:val="none"/>
          <w:lang w:eastAsia="zh-CN"/>
        </w:rPr>
        <w:t>核心产品</w:t>
      </w:r>
      <w:r>
        <w:rPr>
          <w:rFonts w:hint="eastAsia" w:ascii="宋体" w:hAnsi="宋体" w:eastAsia="宋体" w:cs="宋体"/>
          <w:color w:val="auto"/>
          <w:sz w:val="24"/>
          <w:szCs w:val="24"/>
          <w:highlight w:val="none"/>
        </w:rPr>
        <w:t>），并以“核心产品”在“投标人须知前附表”中载明，评审时按前款规定处理。</w:t>
      </w:r>
    </w:p>
    <w:p w14:paraId="3B28DCC0">
      <w:pPr>
        <w:pStyle w:val="39"/>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.3有效投标品牌不足3家的应按</w:t>
      </w:r>
      <w:r>
        <w:rPr>
          <w:rFonts w:hint="eastAsia" w:ascii="宋体" w:hAnsi="宋体" w:eastAsia="宋体" w:cs="宋体"/>
          <w:b/>
          <w:bCs/>
          <w:color w:val="auto"/>
          <w:sz w:val="24"/>
          <w:szCs w:val="24"/>
          <w:highlight w:val="none"/>
        </w:rPr>
        <w:t>废标</w:t>
      </w:r>
      <w:r>
        <w:rPr>
          <w:rFonts w:hint="eastAsia" w:ascii="宋体" w:hAnsi="宋体" w:eastAsia="宋体" w:cs="宋体"/>
          <w:color w:val="auto"/>
          <w:sz w:val="24"/>
          <w:szCs w:val="24"/>
          <w:highlight w:val="none"/>
        </w:rPr>
        <w:t>处理。</w:t>
      </w:r>
    </w:p>
    <w:p w14:paraId="7C6F6618">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四</w:t>
      </w:r>
      <w:r>
        <w:rPr>
          <w:rFonts w:hint="eastAsia" w:ascii="宋体" w:hAnsi="宋体" w:eastAsia="宋体" w:cs="宋体"/>
          <w:b/>
          <w:bCs/>
          <w:color w:val="auto"/>
          <w:kern w:val="2"/>
          <w:sz w:val="24"/>
          <w:szCs w:val="24"/>
          <w:highlight w:val="none"/>
          <w:lang w:val="zh-CN" w:eastAsia="zh-CN" w:bidi="ar-SA"/>
        </w:rPr>
        <w:t>）报价评审</w:t>
      </w:r>
    </w:p>
    <w:p w14:paraId="15351A6E">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投标报价评审</w:t>
      </w:r>
    </w:p>
    <w:p w14:paraId="59B61E72">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货物项目的价格分值占总分值的比重不得低于30%。执行国家统一定价标准和采用固定价格采购的项目，其价格不列为评审因素。</w:t>
      </w:r>
      <w:r>
        <w:rPr>
          <w:rFonts w:hint="eastAsia" w:ascii="宋体" w:hAnsi="宋体" w:eastAsia="宋体" w:cs="宋体"/>
          <w:color w:val="auto"/>
          <w:sz w:val="24"/>
          <w:szCs w:val="24"/>
          <w:highlight w:val="none"/>
        </w:rPr>
        <w:t>价格分应当采用低价优先法计算，即满足招标文件要求且投标价格最低的投标报价为评标基准价，其价格分为满分。其他投标人的价格分统一按照下列公式计算：</w:t>
      </w:r>
    </w:p>
    <w:p w14:paraId="05B94B0A">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投标报价得分=(评标基准价／投标报价)×价格分值</w:t>
      </w:r>
    </w:p>
    <w:p w14:paraId="1B83B910">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评标过程中，不得去掉报价中的最高报价和最低报价。</w:t>
      </w:r>
    </w:p>
    <w:p w14:paraId="3E5BDC2E">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2</w:t>
      </w:r>
      <w:r>
        <w:rPr>
          <w:rFonts w:hint="eastAsia" w:ascii="宋体" w:hAnsi="宋体" w:eastAsia="宋体" w:cs="宋体"/>
          <w:iCs/>
          <w:color w:val="auto"/>
          <w:spacing w:val="-6"/>
          <w:sz w:val="24"/>
          <w:szCs w:val="24"/>
          <w:highlight w:val="none"/>
        </w:rPr>
        <w:t>除算术修正和落实政府采购政策的价格扣除外，不对投标报价进行调整；</w:t>
      </w:r>
    </w:p>
    <w:p w14:paraId="75D2F307">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3价格</w:t>
      </w:r>
      <w:r>
        <w:rPr>
          <w:rFonts w:hint="eastAsia" w:ascii="宋体" w:hAnsi="宋体" w:eastAsia="宋体" w:cs="宋体"/>
          <w:color w:val="auto"/>
          <w:sz w:val="24"/>
          <w:szCs w:val="24"/>
          <w:highlight w:val="none"/>
          <w:lang w:eastAsia="zh-CN"/>
        </w:rPr>
        <w:t>分值</w:t>
      </w:r>
      <w:r>
        <w:rPr>
          <w:rFonts w:hint="eastAsia" w:ascii="宋体" w:hAnsi="宋体" w:eastAsia="宋体" w:cs="宋体"/>
          <w:color w:val="auto"/>
          <w:sz w:val="24"/>
          <w:szCs w:val="24"/>
          <w:highlight w:val="none"/>
        </w:rPr>
        <w:t>见本章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四、</w:t>
      </w:r>
      <w:r>
        <w:rPr>
          <w:rFonts w:hint="eastAsia" w:ascii="宋体" w:hAnsi="宋体" w:eastAsia="宋体" w:cs="宋体"/>
          <w:color w:val="auto"/>
          <w:sz w:val="24"/>
          <w:szCs w:val="24"/>
          <w:highlight w:val="none"/>
        </w:rPr>
        <w:t>评</w:t>
      </w:r>
      <w:r>
        <w:rPr>
          <w:rFonts w:hint="eastAsia" w:ascii="宋体" w:hAnsi="宋体" w:eastAsia="宋体" w:cs="宋体"/>
          <w:color w:val="auto"/>
          <w:sz w:val="24"/>
          <w:szCs w:val="24"/>
          <w:highlight w:val="none"/>
          <w:lang w:val="en-US" w:eastAsia="zh-CN"/>
        </w:rPr>
        <w:t>标</w:t>
      </w:r>
      <w:r>
        <w:rPr>
          <w:rFonts w:hint="eastAsia" w:ascii="宋体" w:hAnsi="宋体" w:eastAsia="宋体" w:cs="宋体"/>
          <w:color w:val="auto"/>
          <w:sz w:val="24"/>
          <w:szCs w:val="24"/>
          <w:highlight w:val="none"/>
        </w:rPr>
        <w:t>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14:paraId="779E0871">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.政府采购政策评审</w:t>
      </w:r>
    </w:p>
    <w:p w14:paraId="60946679">
      <w:pPr>
        <w:pStyle w:val="39"/>
        <w:numPr>
          <w:ilvl w:val="0"/>
          <w:numId w:val="0"/>
        </w:numPr>
        <w:ind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.1非专门面向中小企业的采购项目或采购包，对符合规定的小微企业（</w:t>
      </w:r>
      <w:r>
        <w:rPr>
          <w:rFonts w:hint="eastAsia" w:ascii="宋体" w:hAnsi="宋体" w:eastAsia="宋体" w:cs="宋体"/>
          <w:color w:val="auto"/>
          <w:sz w:val="24"/>
          <w:szCs w:val="24"/>
          <w:highlight w:val="none"/>
          <w:lang w:val="en-US" w:eastAsia="zh-CN"/>
        </w:rPr>
        <w:t>含</w:t>
      </w:r>
      <w:r>
        <w:rPr>
          <w:rFonts w:hint="eastAsia" w:ascii="宋体" w:hAnsi="宋体" w:eastAsia="宋体" w:cs="宋体"/>
          <w:color w:val="auto"/>
          <w:sz w:val="24"/>
          <w:szCs w:val="24"/>
          <w:highlight w:val="none"/>
        </w:rPr>
        <w:t>监狱企业、残疾人福利性单位、联合体各方均为小微企业的联合体、符合小微企业划分标准的个体工商户视同小微企业）报价按照本招标文件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投标人须知前附表”中的规定扣除，对小微企业中的监狱企业、残疾人福利性单位的报价按照本</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须知前附表”中的规定扣除，用扣除后的价格</w:t>
      </w:r>
      <w:r>
        <w:rPr>
          <w:rFonts w:hint="eastAsia" w:cs="宋体"/>
          <w:color w:val="auto"/>
          <w:sz w:val="24"/>
          <w:szCs w:val="24"/>
          <w:highlight w:val="none"/>
          <w:lang w:val="en-US" w:eastAsia="zh-CN"/>
        </w:rPr>
        <w:t>参与</w:t>
      </w:r>
      <w:r>
        <w:rPr>
          <w:rFonts w:hint="eastAsia" w:ascii="宋体" w:hAnsi="宋体" w:eastAsia="宋体" w:cs="宋体"/>
          <w:color w:val="auto"/>
          <w:sz w:val="24"/>
          <w:szCs w:val="24"/>
          <w:highlight w:val="none"/>
        </w:rPr>
        <w:t>评审</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rPr>
        <w:t>采购产品纳入创新产品应用示范推荐目录内企业、采购产品获得节能产品或环境标志产品认证证书</w:t>
      </w:r>
      <w:r>
        <w:rPr>
          <w:rFonts w:hint="eastAsia" w:cs="宋体"/>
          <w:color w:val="auto"/>
          <w:sz w:val="24"/>
          <w:szCs w:val="24"/>
          <w:highlight w:val="none"/>
          <w:lang w:val="en-US" w:eastAsia="zh-CN"/>
        </w:rPr>
        <w:t>的投标人</w:t>
      </w:r>
      <w:r>
        <w:rPr>
          <w:rFonts w:hint="eastAsia" w:ascii="宋体" w:hAnsi="宋体" w:eastAsia="宋体" w:cs="宋体"/>
          <w:color w:val="auto"/>
          <w:sz w:val="24"/>
          <w:szCs w:val="24"/>
          <w:highlight w:val="none"/>
        </w:rPr>
        <w:t>按照本</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须知前附表”中的规定</w:t>
      </w:r>
      <w:r>
        <w:rPr>
          <w:rFonts w:hint="eastAsia" w:cs="宋体"/>
          <w:color w:val="auto"/>
          <w:sz w:val="24"/>
          <w:szCs w:val="24"/>
          <w:highlight w:val="none"/>
          <w:lang w:val="en-US" w:eastAsia="zh-CN"/>
        </w:rPr>
        <w:t>给予评审优惠</w:t>
      </w:r>
      <w:r>
        <w:rPr>
          <w:rFonts w:hint="eastAsia" w:ascii="宋体" w:hAnsi="宋体" w:eastAsia="宋体" w:cs="宋体"/>
          <w:color w:val="auto"/>
          <w:sz w:val="24"/>
          <w:szCs w:val="24"/>
          <w:highlight w:val="none"/>
          <w:lang w:eastAsia="zh-CN"/>
        </w:rPr>
        <w:t>。</w:t>
      </w:r>
    </w:p>
    <w:p w14:paraId="5F48523C">
      <w:pPr>
        <w:pStyle w:val="39"/>
        <w:numPr>
          <w:ilvl w:val="0"/>
          <w:numId w:val="0"/>
        </w:num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lang w:val="zh-CN" w:eastAsia="zh-CN"/>
        </w:rPr>
        <w:t>2</w:t>
      </w:r>
      <w:r>
        <w:rPr>
          <w:rFonts w:hint="eastAsia" w:ascii="宋体" w:hAnsi="宋体" w:eastAsia="宋体" w:cs="宋体"/>
          <w:color w:val="auto"/>
          <w:sz w:val="24"/>
          <w:szCs w:val="24"/>
          <w:highlight w:val="none"/>
        </w:rPr>
        <w:t>参加政府采购活动的小微企业（含节能环保、创新产品企业）未提供“中小企业声明函”的；监狱企业未提供“监狱企业证明文件”的；残疾人福利性单位未提供“残疾人福利性单位声明函”的；不得享受相应的价格扣除优惠。组成联合体或者接受分包的小微企业与联合体内其他企业、分包企业之间存在直接控股、管理关系的，不得享受价格扣除优惠。</w:t>
      </w:r>
      <w:r>
        <w:rPr>
          <w:rFonts w:hint="eastAsia" w:ascii="宋体" w:hAnsi="宋体" w:eastAsia="宋体" w:cs="宋体"/>
          <w:color w:val="auto"/>
          <w:sz w:val="24"/>
          <w:szCs w:val="24"/>
          <w:highlight w:val="none"/>
          <w:lang w:val="en-US" w:eastAsia="zh-CN"/>
        </w:rPr>
        <w:t>若供应商同时属于小型或微型企业、监狱企业、残疾人福利性单位 中的两种及以上，将不重复享受小微企业价格扣减的优惠政策。</w:t>
      </w:r>
    </w:p>
    <w:p w14:paraId="692DD1CD">
      <w:pPr>
        <w:pStyle w:val="39"/>
        <w:numPr>
          <w:ilvl w:val="0"/>
          <w:numId w:val="0"/>
        </w:numPr>
        <w:shd w:val="clear" w:color="auto" w:fill="FFFFFF" w:themeFill="background1"/>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组成联合体或者接受分包的小微企业与联合体内其他企业、分包企业之间存在直接控股、管理关系的，不享受价格扣除优惠政策。</w:t>
      </w:r>
    </w:p>
    <w:p w14:paraId="79851C1B">
      <w:pPr>
        <w:pStyle w:val="39"/>
        <w:numPr>
          <w:ilvl w:val="0"/>
          <w:numId w:val="0"/>
        </w:num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价格扣除比例对小型企业和微型企业同等对待，不作区分。</w:t>
      </w:r>
    </w:p>
    <w:p w14:paraId="757E3309">
      <w:pPr>
        <w:pStyle w:val="39"/>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12.</w:t>
      </w:r>
      <w:r>
        <w:rPr>
          <w:rFonts w:hint="eastAsia" w:ascii="宋体" w:hAnsi="宋体" w:eastAsia="宋体" w:cs="宋体"/>
          <w:iCs/>
          <w:color w:val="auto"/>
          <w:kern w:val="2"/>
          <w:sz w:val="24"/>
          <w:szCs w:val="24"/>
          <w:highlight w:val="none"/>
          <w:shd w:val="clear" w:fill="FFFFFF" w:themeFill="background1"/>
          <w:lang w:val="zh-CN" w:eastAsia="zh-CN" w:bidi="ar-SA"/>
        </w:rPr>
        <w:t>3</w:t>
      </w:r>
      <w:r>
        <w:rPr>
          <w:rFonts w:hint="eastAsia" w:ascii="宋体" w:hAnsi="宋体" w:eastAsia="宋体" w:cs="宋体"/>
          <w:color w:val="auto"/>
          <w:sz w:val="24"/>
          <w:szCs w:val="24"/>
          <w:highlight w:val="none"/>
        </w:rPr>
        <w:t>专门面向中小企业、预留部分采购份额面向中小企业采购的项目或采购包，评审时不再进行价格扣除。</w:t>
      </w:r>
    </w:p>
    <w:p w14:paraId="68C8DE57">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12.4</w:t>
      </w:r>
      <w:r>
        <w:rPr>
          <w:rFonts w:hint="eastAsia" w:ascii="宋体" w:hAnsi="宋体" w:eastAsia="宋体" w:cs="宋体"/>
          <w:color w:val="auto"/>
          <w:sz w:val="24"/>
          <w:szCs w:val="24"/>
          <w:highlight w:val="none"/>
        </w:rPr>
        <w:t>对于未预留份额专门面向中小企业的政府采购项目，以及预留份额政府采购项目中的非预留部分标项，对小型和微型企业的投标报价给予10%-20%的扣除，用扣除后的价格参与评审。接受大中型企业与小微企业组成联合体或者允许大中型企业向一家或者多家小微企业分包的政府采购项目，对于联合</w:t>
      </w:r>
      <w:r>
        <w:rPr>
          <w:rFonts w:hint="eastAsia" w:ascii="宋体" w:hAnsi="宋体" w:eastAsia="宋体" w:cs="宋体"/>
          <w:color w:val="auto"/>
          <w:sz w:val="24"/>
          <w:szCs w:val="24"/>
          <w:highlight w:val="none"/>
          <w:lang w:val="en-US" w:eastAsia="zh-CN"/>
        </w:rPr>
        <w:t>体</w:t>
      </w:r>
      <w:r>
        <w:rPr>
          <w:rFonts w:hint="eastAsia" w:ascii="宋体" w:hAnsi="宋体" w:eastAsia="宋体" w:cs="宋体"/>
          <w:color w:val="auto"/>
          <w:sz w:val="24"/>
          <w:szCs w:val="24"/>
          <w:highlight w:val="none"/>
        </w:rPr>
        <w:t>协议</w:t>
      </w:r>
      <w:r>
        <w:rPr>
          <w:rFonts w:hint="eastAsia" w:ascii="宋体" w:hAnsi="宋体" w:eastAsia="宋体" w:cs="宋体"/>
          <w:color w:val="auto"/>
          <w:sz w:val="24"/>
          <w:szCs w:val="24"/>
          <w:highlight w:val="none"/>
          <w:lang w:val="en-US" w:eastAsia="zh-CN"/>
        </w:rPr>
        <w:t>书</w:t>
      </w:r>
      <w:r>
        <w:rPr>
          <w:rFonts w:hint="eastAsia" w:ascii="宋体" w:hAnsi="宋体" w:eastAsia="宋体" w:cs="宋体"/>
          <w:color w:val="auto"/>
          <w:sz w:val="24"/>
          <w:szCs w:val="24"/>
          <w:highlight w:val="none"/>
        </w:rPr>
        <w:t>或者分包意向协议</w:t>
      </w:r>
      <w:r>
        <w:rPr>
          <w:rFonts w:hint="eastAsia" w:ascii="宋体" w:hAnsi="宋体" w:eastAsia="宋体" w:cs="宋体"/>
          <w:color w:val="auto"/>
          <w:sz w:val="24"/>
          <w:szCs w:val="24"/>
          <w:highlight w:val="none"/>
          <w:lang w:val="en-US" w:eastAsia="zh-CN"/>
        </w:rPr>
        <w:t>书</w:t>
      </w:r>
      <w:r>
        <w:rPr>
          <w:rFonts w:hint="eastAsia" w:ascii="宋体" w:hAnsi="宋体" w:eastAsia="宋体" w:cs="宋体"/>
          <w:color w:val="auto"/>
          <w:sz w:val="24"/>
          <w:szCs w:val="24"/>
          <w:highlight w:val="none"/>
        </w:rPr>
        <w:t>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40A2EE6C">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五</w:t>
      </w:r>
      <w:r>
        <w:rPr>
          <w:rFonts w:hint="eastAsia" w:ascii="宋体" w:hAnsi="宋体" w:eastAsia="宋体" w:cs="宋体"/>
          <w:b/>
          <w:bCs/>
          <w:color w:val="auto"/>
          <w:kern w:val="2"/>
          <w:sz w:val="24"/>
          <w:szCs w:val="24"/>
          <w:highlight w:val="none"/>
          <w:lang w:val="zh-CN" w:eastAsia="zh-CN" w:bidi="ar-SA"/>
        </w:rPr>
        <w:t>）评标得分及复核</w:t>
      </w:r>
    </w:p>
    <w:p w14:paraId="2C18ECCF">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13.</w:t>
      </w:r>
      <w:r>
        <w:rPr>
          <w:rFonts w:hint="eastAsia" w:ascii="宋体" w:hAnsi="宋体" w:eastAsia="宋体" w:cs="宋体"/>
          <w:color w:val="auto"/>
          <w:sz w:val="24"/>
          <w:szCs w:val="24"/>
          <w:highlight w:val="none"/>
        </w:rPr>
        <w:t>评标过程中，各项分值一般精确到小数点后两位，评标得分应为商务评分、技术评分、报价评分之和。评标委员会各成员应汇总每个投标人的得分。</w:t>
      </w:r>
    </w:p>
    <w:p w14:paraId="0BCE3B04">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14.</w:t>
      </w:r>
      <w:r>
        <w:rPr>
          <w:rFonts w:hint="eastAsia" w:ascii="宋体" w:hAnsi="宋体" w:eastAsia="宋体" w:cs="宋体"/>
          <w:iCs/>
          <w:color w:val="auto"/>
          <w:spacing w:val="-6"/>
          <w:sz w:val="24"/>
          <w:szCs w:val="24"/>
          <w:highlight w:val="none"/>
        </w:rPr>
        <w:t>评标结果汇总完成后，采购代理机构应对评标结果进行复核。经复核发现存在以下情形之一的，评标委员会应当当场修改评标结果，并在评标报告中记载：</w:t>
      </w:r>
    </w:p>
    <w:p w14:paraId="2C6CD873">
      <w:pPr>
        <w:pStyle w:val="39"/>
        <w:numPr>
          <w:ilvl w:val="0"/>
          <w:numId w:val="0"/>
        </w:numPr>
        <w:ind w:left="900" w:leftChars="0" w:hanging="420" w:firstLineChars="0"/>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14.1</w:t>
      </w:r>
      <w:r>
        <w:rPr>
          <w:rFonts w:hint="eastAsia" w:ascii="宋体" w:hAnsi="宋体" w:eastAsia="宋体" w:cs="宋体"/>
          <w:color w:val="auto"/>
          <w:sz w:val="24"/>
          <w:szCs w:val="24"/>
          <w:highlight w:val="none"/>
        </w:rPr>
        <w:t>分值汇总计算错误的；</w:t>
      </w:r>
    </w:p>
    <w:p w14:paraId="74511559">
      <w:pPr>
        <w:pStyle w:val="39"/>
        <w:numPr>
          <w:ilvl w:val="0"/>
          <w:numId w:val="0"/>
        </w:numPr>
        <w:ind w:left="900" w:leftChars="0" w:hanging="420" w:firstLineChars="0"/>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14.2</w:t>
      </w:r>
      <w:r>
        <w:rPr>
          <w:rFonts w:hint="eastAsia" w:ascii="宋体" w:hAnsi="宋体" w:eastAsia="宋体" w:cs="宋体"/>
          <w:color w:val="auto"/>
          <w:sz w:val="24"/>
          <w:szCs w:val="24"/>
          <w:highlight w:val="none"/>
        </w:rPr>
        <w:t>分项评分超出评分标准范围的；</w:t>
      </w:r>
    </w:p>
    <w:p w14:paraId="50DD7AD5">
      <w:pPr>
        <w:pStyle w:val="39"/>
        <w:numPr>
          <w:ilvl w:val="0"/>
          <w:numId w:val="0"/>
        </w:numPr>
        <w:ind w:left="900" w:leftChars="0" w:hanging="420" w:firstLineChars="0"/>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14.3</w:t>
      </w:r>
      <w:r>
        <w:rPr>
          <w:rFonts w:hint="eastAsia" w:ascii="宋体" w:hAnsi="宋体" w:eastAsia="宋体" w:cs="宋体"/>
          <w:color w:val="auto"/>
          <w:sz w:val="24"/>
          <w:szCs w:val="24"/>
          <w:highlight w:val="none"/>
        </w:rPr>
        <w:t>评标委员会成员对客观评审因素评分不一致的；</w:t>
      </w:r>
    </w:p>
    <w:p w14:paraId="775B1B98">
      <w:pPr>
        <w:pStyle w:val="39"/>
        <w:numPr>
          <w:ilvl w:val="0"/>
          <w:numId w:val="0"/>
        </w:numPr>
        <w:ind w:left="900" w:leftChars="0" w:hanging="420" w:firstLineChars="0"/>
        <w:rPr>
          <w:rFonts w:hint="eastAsia" w:ascii="宋体" w:hAnsi="宋体" w:eastAsia="宋体" w:cs="宋体"/>
          <w:color w:val="auto"/>
          <w:sz w:val="24"/>
          <w:szCs w:val="24"/>
          <w:highlight w:val="none"/>
        </w:rPr>
      </w:pPr>
      <w:r>
        <w:rPr>
          <w:rFonts w:hint="eastAsia" w:ascii="宋体" w:hAnsi="宋体" w:eastAsia="宋体" w:cs="宋体"/>
          <w:iCs/>
          <w:color w:val="auto"/>
          <w:kern w:val="2"/>
          <w:sz w:val="24"/>
          <w:szCs w:val="24"/>
          <w:highlight w:val="none"/>
          <w:shd w:val="clear" w:fill="FFFFFF" w:themeFill="background1"/>
          <w:lang w:val="en-US" w:eastAsia="zh-CN" w:bidi="ar-SA"/>
        </w:rPr>
        <w:t>14.4</w:t>
      </w:r>
      <w:r>
        <w:rPr>
          <w:rFonts w:hint="eastAsia" w:ascii="宋体" w:hAnsi="宋体" w:eastAsia="宋体" w:cs="宋体"/>
          <w:color w:val="auto"/>
          <w:sz w:val="24"/>
          <w:szCs w:val="24"/>
          <w:highlight w:val="none"/>
        </w:rPr>
        <w:t>经评标委员会认定评分畸高、畸低的。</w:t>
      </w:r>
    </w:p>
    <w:p w14:paraId="6351F23E">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各投标人的最终得分为评标委员会所有成员对各投标人评标得分汇总后的算术平均值。</w:t>
      </w:r>
    </w:p>
    <w:p w14:paraId="5E122C72">
      <w:pPr>
        <w:pStyle w:val="3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15.1除资格性检查认定错误、分值汇总计算错误、分项评分超出评分标准范围、客观分评分不一致、经评标委员会一致认定评分畸高、畸低的情形外，采购人或者采购代理机构不得以任何理由组织重新评审。采购人、采购代理机构发现评标委员会未按照招标文件规定的评审标准进行评审的，应当重新开展采购活动，并同时书面报告本级财政部门。</w:t>
      </w:r>
    </w:p>
    <w:p w14:paraId="2B044A6D">
      <w:pPr>
        <w:pStyle w:val="3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15.2采购人或者采购代理机构不得通过对样品进行检测、对投标人进行考察等方式改变评审结果。</w:t>
      </w:r>
    </w:p>
    <w:p w14:paraId="0537CEBE">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六</w:t>
      </w:r>
      <w:r>
        <w:rPr>
          <w:rFonts w:hint="eastAsia" w:ascii="宋体" w:hAnsi="宋体" w:eastAsia="宋体" w:cs="宋体"/>
          <w:b/>
          <w:bCs/>
          <w:color w:val="auto"/>
          <w:kern w:val="2"/>
          <w:sz w:val="24"/>
          <w:szCs w:val="24"/>
          <w:highlight w:val="none"/>
          <w:lang w:val="zh-CN" w:eastAsia="zh-CN" w:bidi="ar-SA"/>
        </w:rPr>
        <w:t>）排序与推荐</w:t>
      </w:r>
    </w:p>
    <w:p w14:paraId="38D4B186">
      <w:pPr>
        <w:pStyle w:val="39"/>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评标结果按评审后得分由高到低顺序排列。投标文件满足招标文件全部实质性要求，且按照评审因素的量化指标评审得分最高的投标人为排名第一的中标候选人。得分相同的，按投标报价由低到高顺序排列。得分且投标报价相同的，按技术指标优劣顺序排列。</w:t>
      </w:r>
    </w:p>
    <w:p w14:paraId="6941CA92">
      <w:pPr>
        <w:pStyle w:val="39"/>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招标文件未规定的采取随机抽取方式确定，其他同品牌投标人不作为中标候选人。</w:t>
      </w:r>
    </w:p>
    <w:p w14:paraId="6BB23D65">
      <w:pPr>
        <w:pStyle w:val="3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18.中标候选人推荐家数详见“投标人须知前附表”。</w:t>
      </w:r>
    </w:p>
    <w:p w14:paraId="0EBC519E">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七</w:t>
      </w:r>
      <w:r>
        <w:rPr>
          <w:rFonts w:hint="eastAsia" w:ascii="宋体" w:hAnsi="宋体" w:eastAsia="宋体" w:cs="宋体"/>
          <w:b/>
          <w:bCs/>
          <w:color w:val="auto"/>
          <w:kern w:val="2"/>
          <w:sz w:val="24"/>
          <w:szCs w:val="24"/>
          <w:highlight w:val="none"/>
          <w:lang w:val="zh-CN" w:eastAsia="zh-CN" w:bidi="ar-SA"/>
        </w:rPr>
        <w:t>）编写评标报告</w:t>
      </w:r>
    </w:p>
    <w:p w14:paraId="101636A8">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评标委员会根据全体评标成员签字的原始评标记录和评标结果编写评标报告。评标委员会应当在评标报告上签名，对自己的评审意见承担法律责任。评标委员会成员对需要共同认定的事项存在争议的，应当按照少数服从多数的原则作出结论。持不同意见的评标委员会成员应当在评标报告上签署不同意见，并说明理由，否则视为同意评标报告。</w:t>
      </w:r>
    </w:p>
    <w:p w14:paraId="4293A570">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283" w:name="_Toc102116021"/>
      <w:bookmarkStart w:id="284" w:name="_Toc102114919"/>
      <w:bookmarkStart w:id="285" w:name="_Toc163492906"/>
      <w:bookmarkStart w:id="286" w:name="_Toc102057717"/>
      <w:bookmarkStart w:id="287" w:name="_Toc102056217"/>
      <w:bookmarkStart w:id="288" w:name="_Toc155185913"/>
      <w:bookmarkStart w:id="289" w:name="_Toc102119852"/>
      <w:bookmarkStart w:id="290" w:name="_Toc102116151"/>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八</w:t>
      </w:r>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投标无效及</w:t>
      </w:r>
      <w:r>
        <w:rPr>
          <w:rFonts w:hint="eastAsia" w:ascii="宋体" w:hAnsi="宋体" w:eastAsia="宋体" w:cs="宋体"/>
          <w:b/>
          <w:bCs/>
          <w:color w:val="auto"/>
          <w:kern w:val="2"/>
          <w:sz w:val="24"/>
          <w:szCs w:val="24"/>
          <w:highlight w:val="none"/>
          <w:lang w:val="zh-CN" w:eastAsia="zh-CN" w:bidi="ar-SA"/>
        </w:rPr>
        <w:t>应予废标的情形</w:t>
      </w:r>
      <w:bookmarkEnd w:id="283"/>
      <w:bookmarkEnd w:id="284"/>
      <w:bookmarkEnd w:id="285"/>
      <w:bookmarkEnd w:id="286"/>
      <w:bookmarkEnd w:id="287"/>
      <w:bookmarkEnd w:id="288"/>
      <w:bookmarkEnd w:id="289"/>
      <w:bookmarkEnd w:id="290"/>
    </w:p>
    <w:p w14:paraId="0577929E">
      <w:pPr>
        <w:pStyle w:val="3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20.投标人存在下列情形之一的，</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71FF3340">
      <w:pPr>
        <w:pStyle w:val="3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1</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不具备《中华人民共和国政府采购法》第二十二条规定条件</w:t>
      </w:r>
      <w:r>
        <w:rPr>
          <w:rFonts w:hint="eastAsia" w:ascii="宋体" w:hAnsi="宋体" w:eastAsia="宋体" w:cs="宋体"/>
          <w:color w:val="auto"/>
          <w:sz w:val="24"/>
          <w:szCs w:val="24"/>
          <w:highlight w:val="none"/>
          <w:lang w:val="en-US" w:eastAsia="zh-CN"/>
        </w:rPr>
        <w:t>；</w:t>
      </w:r>
    </w:p>
    <w:p w14:paraId="538A4E4E">
      <w:pPr>
        <w:pStyle w:val="3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2</w:t>
      </w:r>
      <w:r>
        <w:rPr>
          <w:rFonts w:hint="eastAsia" w:ascii="宋体" w:hAnsi="宋体" w:eastAsia="宋体" w:cs="宋体"/>
          <w:color w:val="auto"/>
          <w:sz w:val="24"/>
          <w:szCs w:val="24"/>
          <w:highlight w:val="none"/>
        </w:rPr>
        <w:t>投标文件未按招标文件要求签署、盖章的</w:t>
      </w:r>
      <w:r>
        <w:rPr>
          <w:rFonts w:hint="eastAsia" w:ascii="宋体" w:hAnsi="宋体" w:eastAsia="宋体" w:cs="宋体"/>
          <w:color w:val="auto"/>
          <w:sz w:val="24"/>
          <w:szCs w:val="24"/>
          <w:highlight w:val="none"/>
          <w:lang w:val="en-US" w:eastAsia="zh-CN"/>
        </w:rPr>
        <w:t>；</w:t>
      </w:r>
    </w:p>
    <w:p w14:paraId="792A1CAC">
      <w:pPr>
        <w:pStyle w:val="3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3</w:t>
      </w:r>
      <w:r>
        <w:rPr>
          <w:rFonts w:hint="eastAsia" w:ascii="宋体" w:hAnsi="宋体" w:eastAsia="宋体" w:cs="宋体"/>
          <w:color w:val="auto"/>
          <w:sz w:val="24"/>
          <w:szCs w:val="24"/>
          <w:highlight w:val="none"/>
          <w:lang w:val="en-US" w:eastAsia="zh-CN"/>
        </w:rPr>
        <w:t>不具备招标文件中规定的资格要求的（投标人未提供有效资格文件的，视为投标人不具备招标文件中规定的资格要求）；</w:t>
      </w:r>
    </w:p>
    <w:p w14:paraId="56A3C75F">
      <w:pPr>
        <w:pStyle w:val="3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4</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文件提供虚假材料的</w:t>
      </w:r>
      <w:r>
        <w:rPr>
          <w:rFonts w:hint="eastAsia" w:ascii="宋体" w:hAnsi="宋体" w:eastAsia="宋体" w:cs="宋体"/>
          <w:color w:val="auto"/>
          <w:sz w:val="24"/>
          <w:szCs w:val="24"/>
          <w:highlight w:val="none"/>
          <w:lang w:val="en-US" w:eastAsia="zh-CN"/>
        </w:rPr>
        <w:t>；</w:t>
      </w:r>
    </w:p>
    <w:p w14:paraId="1655CB92">
      <w:pPr>
        <w:pStyle w:val="3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5</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文件不满足</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val="zh-CN" w:eastAsia="zh-CN"/>
        </w:rPr>
        <w:t>文件中标注“★”号的实质性条款（或指标）要求的</w:t>
      </w:r>
      <w:r>
        <w:rPr>
          <w:rFonts w:hint="eastAsia" w:ascii="宋体" w:hAnsi="宋体" w:eastAsia="宋体" w:cs="宋体"/>
          <w:color w:val="auto"/>
          <w:sz w:val="24"/>
          <w:szCs w:val="24"/>
          <w:highlight w:val="none"/>
          <w:lang w:val="en-US" w:eastAsia="zh-CN"/>
        </w:rPr>
        <w:t>；</w:t>
      </w:r>
    </w:p>
    <w:p w14:paraId="0AFBB1ED">
      <w:pPr>
        <w:pStyle w:val="3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6</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报价超过招标文件中规定的最高限价或者预算金额的</w:t>
      </w:r>
      <w:r>
        <w:rPr>
          <w:rFonts w:hint="eastAsia" w:ascii="宋体" w:hAnsi="宋体" w:eastAsia="宋体" w:cs="宋体"/>
          <w:color w:val="auto"/>
          <w:sz w:val="24"/>
          <w:szCs w:val="24"/>
          <w:highlight w:val="none"/>
          <w:lang w:val="en-US" w:eastAsia="zh-CN"/>
        </w:rPr>
        <w:t>；</w:t>
      </w:r>
    </w:p>
    <w:p w14:paraId="295783D3">
      <w:pPr>
        <w:pStyle w:val="3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7联合体的供应商未提交各方共同签署的</w:t>
      </w:r>
      <w:r>
        <w:rPr>
          <w:rFonts w:hint="eastAsia" w:ascii="宋体" w:hAnsi="宋体" w:eastAsia="宋体" w:cs="宋体"/>
          <w:color w:val="auto"/>
          <w:sz w:val="24"/>
          <w:szCs w:val="24"/>
          <w:highlight w:val="none"/>
          <w:lang w:val="en-US" w:eastAsia="zh-CN"/>
        </w:rPr>
        <w:t>联合体</w:t>
      </w:r>
      <w:r>
        <w:rPr>
          <w:rFonts w:hint="eastAsia" w:ascii="宋体" w:hAnsi="宋体" w:eastAsia="宋体" w:cs="宋体"/>
          <w:color w:val="auto"/>
          <w:sz w:val="24"/>
          <w:szCs w:val="24"/>
          <w:highlight w:val="none"/>
          <w:lang w:val="zh-CN" w:eastAsia="zh-CN"/>
        </w:rPr>
        <w:t>协议</w:t>
      </w:r>
      <w:r>
        <w:rPr>
          <w:rFonts w:hint="eastAsia" w:ascii="宋体" w:hAnsi="宋体" w:eastAsia="宋体" w:cs="宋体"/>
          <w:color w:val="auto"/>
          <w:sz w:val="24"/>
          <w:szCs w:val="24"/>
          <w:highlight w:val="none"/>
          <w:lang w:val="en-US" w:eastAsia="zh-CN"/>
        </w:rPr>
        <w:t>的；</w:t>
      </w:r>
    </w:p>
    <w:p w14:paraId="0FB58A8E">
      <w:pPr>
        <w:pStyle w:val="3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8</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未按</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lang w:val="zh-CN" w:eastAsia="zh-CN"/>
        </w:rPr>
        <w:t>文件</w:t>
      </w:r>
      <w:r>
        <w:rPr>
          <w:rFonts w:hint="eastAsia" w:ascii="宋体" w:hAnsi="宋体" w:eastAsia="宋体" w:cs="宋体"/>
          <w:color w:val="auto"/>
          <w:sz w:val="24"/>
          <w:szCs w:val="24"/>
          <w:highlight w:val="none"/>
          <w:lang w:val="en-US" w:eastAsia="zh-CN"/>
        </w:rPr>
        <w:t>的规定</w:t>
      </w:r>
      <w:r>
        <w:rPr>
          <w:rFonts w:hint="eastAsia" w:ascii="宋体" w:hAnsi="宋体" w:eastAsia="宋体" w:cs="宋体"/>
          <w:color w:val="auto"/>
          <w:sz w:val="24"/>
          <w:szCs w:val="24"/>
          <w:highlight w:val="none"/>
          <w:lang w:val="zh-CN" w:eastAsia="zh-CN"/>
        </w:rPr>
        <w:t>交纳投标保证金</w:t>
      </w:r>
      <w:r>
        <w:rPr>
          <w:rFonts w:hint="eastAsia" w:ascii="宋体" w:hAnsi="宋体" w:eastAsia="宋体" w:cs="宋体"/>
          <w:color w:val="auto"/>
          <w:sz w:val="24"/>
          <w:szCs w:val="24"/>
          <w:highlight w:val="none"/>
          <w:lang w:val="en-US" w:eastAsia="zh-CN"/>
        </w:rPr>
        <w:t>的；</w:t>
      </w:r>
    </w:p>
    <w:p w14:paraId="45679B20">
      <w:pPr>
        <w:pStyle w:val="3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9评审期间,</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没有按评标委员会的要求提交经授权代表签字的澄清、说明、补正或改变了</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文件的实质性内容</w:t>
      </w:r>
      <w:r>
        <w:rPr>
          <w:rFonts w:hint="eastAsia" w:ascii="宋体" w:hAnsi="宋体" w:eastAsia="宋体" w:cs="宋体"/>
          <w:color w:val="auto"/>
          <w:sz w:val="24"/>
          <w:szCs w:val="24"/>
          <w:highlight w:val="none"/>
          <w:lang w:val="en-US" w:eastAsia="zh-CN"/>
        </w:rPr>
        <w:t>的；</w:t>
      </w:r>
    </w:p>
    <w:p w14:paraId="5DAB4E10">
      <w:pPr>
        <w:pStyle w:val="3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10</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对采购人、采购代理机构、评标委员会及其工作人员施加影响,有碍公平、公正</w:t>
      </w:r>
      <w:r>
        <w:rPr>
          <w:rFonts w:hint="eastAsia" w:ascii="宋体" w:hAnsi="宋体" w:eastAsia="宋体" w:cs="宋体"/>
          <w:color w:val="auto"/>
          <w:sz w:val="24"/>
          <w:szCs w:val="24"/>
          <w:highlight w:val="none"/>
          <w:lang w:val="en-US" w:eastAsia="zh-CN"/>
        </w:rPr>
        <w:t>的；</w:t>
      </w:r>
    </w:p>
    <w:p w14:paraId="3778538F">
      <w:pPr>
        <w:pStyle w:val="3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20.11投标文件含有采购人不能接受的附加条件的；</w:t>
      </w:r>
    </w:p>
    <w:p w14:paraId="4C5AED5C">
      <w:pPr>
        <w:pStyle w:val="3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zh-CN" w:eastAsia="zh-CN"/>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CN" w:eastAsia="zh-CN"/>
        </w:rPr>
        <w:t>法律、法规、规章规定属于</w:t>
      </w:r>
      <w:r>
        <w:rPr>
          <w:rFonts w:hint="eastAsia" w:ascii="宋体" w:hAnsi="宋体" w:eastAsia="宋体" w:cs="宋体"/>
          <w:color w:val="auto"/>
          <w:sz w:val="24"/>
          <w:szCs w:val="24"/>
          <w:highlight w:val="none"/>
          <w:lang w:val="en-US" w:eastAsia="zh-CN"/>
        </w:rPr>
        <w:t>投标</w:t>
      </w:r>
      <w:r>
        <w:rPr>
          <w:rFonts w:hint="eastAsia" w:ascii="宋体" w:hAnsi="宋体" w:eastAsia="宋体" w:cs="宋体"/>
          <w:color w:val="auto"/>
          <w:sz w:val="24"/>
          <w:szCs w:val="24"/>
          <w:highlight w:val="none"/>
          <w:lang w:val="zh-CN" w:eastAsia="zh-CN"/>
        </w:rPr>
        <w:t>无效的其他情形。</w:t>
      </w:r>
    </w:p>
    <w:p w14:paraId="4FC40C89">
      <w:pPr>
        <w:pStyle w:val="3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21.有下列情形之一的，视为投标人串通投标，其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258C37D3">
      <w:pPr>
        <w:pStyle w:val="3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21.1不同投标人的投标文件由同一单位或者个人编制；</w:t>
      </w:r>
    </w:p>
    <w:p w14:paraId="61B80653">
      <w:pPr>
        <w:pStyle w:val="3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21.2不同投标人委托同一单位或者个人办理投标事宜；</w:t>
      </w:r>
    </w:p>
    <w:p w14:paraId="725ACE15">
      <w:pPr>
        <w:pStyle w:val="3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21.3不同投标人的投标文件载明的项目管理成员或者联系人员为同一人；</w:t>
      </w:r>
    </w:p>
    <w:p w14:paraId="1FA30AFA">
      <w:pPr>
        <w:pStyle w:val="3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21.4不同投标人的投标文件异常一致或者投标报价呈规律性差异；</w:t>
      </w:r>
    </w:p>
    <w:p w14:paraId="0AC648C4">
      <w:pPr>
        <w:pStyle w:val="3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21.5不同投标人的投标文件相互混装；</w:t>
      </w:r>
    </w:p>
    <w:p w14:paraId="144DE657">
      <w:pPr>
        <w:pStyle w:val="3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21.6不同投标人的投标保证金从同一单位或者个人的账户转出；</w:t>
      </w:r>
    </w:p>
    <w:p w14:paraId="38C52F8A">
      <w:pPr>
        <w:pStyle w:val="3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21.7</w:t>
      </w:r>
      <w:r>
        <w:rPr>
          <w:rFonts w:hint="eastAsia" w:ascii="宋体" w:hAnsi="宋体" w:eastAsia="宋体" w:cs="宋体"/>
          <w:color w:val="auto"/>
          <w:sz w:val="24"/>
          <w:szCs w:val="24"/>
          <w:highlight w:val="none"/>
          <w:lang w:val="zh-CN" w:eastAsia="zh-CN"/>
        </w:rPr>
        <w:t>不同投标人使用同一电脑（机器特征值一致：如MAC地址等）或使用同一电子密钥，编制或上传电子投标文件</w:t>
      </w:r>
      <w:r>
        <w:rPr>
          <w:rFonts w:hint="eastAsia" w:ascii="宋体" w:hAnsi="宋体" w:eastAsia="宋体" w:cs="宋体"/>
          <w:color w:val="auto"/>
          <w:sz w:val="24"/>
          <w:szCs w:val="24"/>
          <w:highlight w:val="none"/>
          <w:lang w:val="en-US" w:eastAsia="zh-CN"/>
        </w:rPr>
        <w:t>；</w:t>
      </w:r>
    </w:p>
    <w:p w14:paraId="71AF4B0F">
      <w:pPr>
        <w:pStyle w:val="3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21.8法律、法规、规章规定属于投标人串通投标的其他情形</w:t>
      </w:r>
      <w:r>
        <w:rPr>
          <w:rFonts w:hint="eastAsia" w:ascii="宋体" w:hAnsi="宋体" w:eastAsia="宋体" w:cs="宋体"/>
          <w:color w:val="auto"/>
          <w:sz w:val="24"/>
          <w:szCs w:val="24"/>
          <w:highlight w:val="none"/>
          <w:lang w:val="zh-CN" w:eastAsia="zh-CN"/>
        </w:rPr>
        <w:t>。</w:t>
      </w:r>
    </w:p>
    <w:p w14:paraId="4C806661">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.根据《中华人民共和国政府采购法》第三十六条之规定，在招标采购过程中，出现下列情形之一的，应予</w:t>
      </w:r>
      <w:r>
        <w:rPr>
          <w:rFonts w:hint="eastAsia" w:ascii="宋体" w:hAnsi="宋体" w:eastAsia="宋体" w:cs="宋体"/>
          <w:b/>
          <w:bCs/>
          <w:color w:val="auto"/>
          <w:sz w:val="24"/>
          <w:szCs w:val="24"/>
          <w:highlight w:val="none"/>
        </w:rPr>
        <w:t>废标</w:t>
      </w:r>
      <w:r>
        <w:rPr>
          <w:rFonts w:hint="eastAsia" w:ascii="宋体" w:hAnsi="宋体" w:eastAsia="宋体" w:cs="宋体"/>
          <w:color w:val="auto"/>
          <w:sz w:val="24"/>
          <w:szCs w:val="24"/>
          <w:highlight w:val="none"/>
        </w:rPr>
        <w:t>：</w:t>
      </w:r>
    </w:p>
    <w:p w14:paraId="39821324">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.1符合专业条件的供应商或者对招标文件作实质响应的供应商不足3家的；</w:t>
      </w:r>
    </w:p>
    <w:p w14:paraId="6142729C">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.2出现影响采购公正的违法、违规行为的；</w:t>
      </w:r>
    </w:p>
    <w:p w14:paraId="541061DD">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.3投标人的报价均超过了采购预算，采购人不能支付的；</w:t>
      </w:r>
    </w:p>
    <w:p w14:paraId="59B5EB75">
      <w:pPr>
        <w:pStyle w:val="3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.4因重大变故，采购任务取消的</w:t>
      </w:r>
      <w:r>
        <w:rPr>
          <w:rFonts w:hint="eastAsia" w:ascii="宋体" w:hAnsi="宋体" w:eastAsia="宋体" w:cs="宋体"/>
          <w:color w:val="auto"/>
          <w:sz w:val="24"/>
          <w:szCs w:val="24"/>
          <w:highlight w:val="none"/>
          <w:lang w:val="en-US" w:eastAsia="zh-CN"/>
        </w:rPr>
        <w:t>；</w:t>
      </w:r>
    </w:p>
    <w:p w14:paraId="1F82FE4D">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22.5 </w:t>
      </w:r>
      <w:r>
        <w:rPr>
          <w:rFonts w:hint="eastAsia" w:ascii="宋体" w:hAnsi="宋体" w:eastAsia="宋体" w:cs="宋体"/>
          <w:color w:val="auto"/>
          <w:sz w:val="24"/>
          <w:szCs w:val="24"/>
          <w:highlight w:val="none"/>
        </w:rPr>
        <w:t>法律、法规、规章规定属于</w:t>
      </w:r>
      <w:r>
        <w:rPr>
          <w:rFonts w:hint="eastAsia" w:ascii="宋体" w:hAnsi="宋体" w:eastAsia="宋体" w:cs="宋体"/>
          <w:color w:val="auto"/>
          <w:sz w:val="24"/>
          <w:szCs w:val="24"/>
          <w:highlight w:val="none"/>
          <w:lang w:val="en-US" w:eastAsia="zh-CN"/>
        </w:rPr>
        <w:t>废标</w:t>
      </w:r>
      <w:r>
        <w:rPr>
          <w:rFonts w:hint="eastAsia" w:ascii="宋体" w:hAnsi="宋体" w:eastAsia="宋体" w:cs="宋体"/>
          <w:color w:val="auto"/>
          <w:sz w:val="24"/>
          <w:szCs w:val="24"/>
          <w:highlight w:val="none"/>
        </w:rPr>
        <w:t>的其他情形。</w:t>
      </w:r>
    </w:p>
    <w:p w14:paraId="3FFA53EA">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23.</w:t>
      </w:r>
      <w:r>
        <w:rPr>
          <w:rFonts w:hint="eastAsia" w:ascii="宋体" w:hAnsi="宋体" w:eastAsia="宋体" w:cs="宋体"/>
          <w:color w:val="auto"/>
          <w:sz w:val="24"/>
          <w:szCs w:val="24"/>
          <w:highlight w:val="none"/>
        </w:rPr>
        <w:t>废标后，采购人应当将废标理由通知所有投标人。</w:t>
      </w:r>
    </w:p>
    <w:p w14:paraId="5C184817">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291" w:name="_Toc102056218"/>
      <w:bookmarkStart w:id="292" w:name="_Toc102116152"/>
      <w:bookmarkStart w:id="293" w:name="_Toc102116022"/>
      <w:bookmarkStart w:id="294" w:name="_Toc102119853"/>
      <w:bookmarkStart w:id="295" w:name="_Toc102057718"/>
      <w:bookmarkStart w:id="296" w:name="_Toc155185914"/>
      <w:bookmarkStart w:id="297" w:name="_Toc163492907"/>
      <w:bookmarkStart w:id="298" w:name="_Toc102114920"/>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九</w:t>
      </w:r>
      <w:r>
        <w:rPr>
          <w:rFonts w:hint="eastAsia" w:ascii="宋体" w:hAnsi="宋体" w:eastAsia="宋体" w:cs="宋体"/>
          <w:b/>
          <w:bCs/>
          <w:color w:val="auto"/>
          <w:kern w:val="2"/>
          <w:sz w:val="24"/>
          <w:szCs w:val="24"/>
          <w:highlight w:val="none"/>
          <w:lang w:val="zh-CN" w:eastAsia="zh-CN" w:bidi="ar-SA"/>
        </w:rPr>
        <w:t>）停止评标的情形</w:t>
      </w:r>
      <w:bookmarkEnd w:id="291"/>
      <w:bookmarkEnd w:id="292"/>
      <w:bookmarkEnd w:id="293"/>
      <w:bookmarkEnd w:id="294"/>
      <w:bookmarkEnd w:id="295"/>
      <w:bookmarkEnd w:id="296"/>
      <w:bookmarkEnd w:id="297"/>
      <w:bookmarkEnd w:id="298"/>
    </w:p>
    <w:p w14:paraId="1D76F502">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4D2A6423">
      <w:pPr>
        <w:pStyle w:val="4"/>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十</w:t>
      </w:r>
      <w:r>
        <w:rPr>
          <w:rFonts w:hint="eastAsia" w:ascii="宋体" w:hAnsi="宋体" w:eastAsia="宋体" w:cs="宋体"/>
          <w:b/>
          <w:bCs/>
          <w:color w:val="auto"/>
          <w:kern w:val="2"/>
          <w:sz w:val="24"/>
          <w:szCs w:val="24"/>
          <w:highlight w:val="none"/>
          <w:lang w:val="zh-CN" w:eastAsia="zh-CN" w:bidi="ar-SA"/>
        </w:rPr>
        <w:t>）重新开展采购</w:t>
      </w:r>
    </w:p>
    <w:p w14:paraId="7EDC2179">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中华人民共和国政府采购法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第七十一条、第七十二条规定的违法行为之一，影响或者可能影响中标结果的，依照下列规定处理：</w:t>
      </w:r>
    </w:p>
    <w:p w14:paraId="61888EA3">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.1未确定中标供应商的，终止本次政府采购活动，重新开展政府采购活动。</w:t>
      </w:r>
    </w:p>
    <w:p w14:paraId="260C301E">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.2已确定中标供应商但尚未签订政府采购合同的，中标结果无效，从合格的中标候选人中另行确定中标供应商；没有合格的中标候选人的，重新开展政府采购活动。</w:t>
      </w:r>
    </w:p>
    <w:p w14:paraId="40B1AF7E">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.3政府采购合同已签订但尚未履行的，撤销合同，从合格的中标候选人中另行确定中标供应商；没有合格的中标候选人的，重新开展政府采购活动。</w:t>
      </w:r>
    </w:p>
    <w:p w14:paraId="4D0B0C6C">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.4政府采购合同已经履行，给采购人、供应商造成损失的，由责任人承担赔偿责任。</w:t>
      </w:r>
    </w:p>
    <w:p w14:paraId="730A3359">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.5政府采购当事人有其他违反</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中华人民共和国政府采购法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或者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中华人民共和国政府采购法实施条例</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等法律法规规定的行为，经改正后仍然影响或者可能影响中标结果或者依法被认定为中标无效的，依照</w:t>
      </w: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24</w:t>
      </w:r>
      <w:r>
        <w:rPr>
          <w:rFonts w:hint="eastAsia" w:ascii="宋体" w:hAnsi="宋体" w:eastAsia="宋体" w:cs="宋体"/>
          <w:color w:val="auto"/>
          <w:sz w:val="24"/>
          <w:szCs w:val="24"/>
          <w:highlight w:val="none"/>
        </w:rPr>
        <w:t>.4规定处理。</w:t>
      </w:r>
    </w:p>
    <w:bookmarkEnd w:id="264"/>
    <w:bookmarkEnd w:id="265"/>
    <w:bookmarkEnd w:id="266"/>
    <w:bookmarkEnd w:id="267"/>
    <w:bookmarkEnd w:id="268"/>
    <w:bookmarkEnd w:id="269"/>
    <w:bookmarkEnd w:id="270"/>
    <w:bookmarkEnd w:id="271"/>
    <w:bookmarkEnd w:id="272"/>
    <w:bookmarkEnd w:id="273"/>
    <w:p w14:paraId="2DE2B5F6">
      <w:pPr>
        <w:pStyle w:val="3"/>
        <w:keepNext/>
        <w:keepLines/>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default" w:ascii="宋体" w:hAnsi="宋体" w:eastAsia="宋体" w:cs="宋体"/>
          <w:color w:val="auto"/>
          <w:sz w:val="28"/>
          <w:szCs w:val="28"/>
          <w:highlight w:val="none"/>
          <w:lang w:val="en-US" w:eastAsia="zh-CN"/>
        </w:rPr>
      </w:pPr>
      <w:bookmarkStart w:id="299" w:name="_Toc30017"/>
      <w:r>
        <w:rPr>
          <w:rFonts w:hint="eastAsia" w:ascii="宋体" w:hAnsi="宋体" w:eastAsia="宋体" w:cs="宋体"/>
          <w:color w:val="auto"/>
          <w:sz w:val="28"/>
          <w:szCs w:val="28"/>
          <w:highlight w:val="none"/>
          <w:lang w:val="zh-CN" w:eastAsia="zh-CN"/>
        </w:rPr>
        <w:t>三、评标</w:t>
      </w:r>
      <w:r>
        <w:rPr>
          <w:rFonts w:hint="eastAsia" w:ascii="宋体" w:hAnsi="宋体" w:eastAsia="宋体" w:cs="宋体"/>
          <w:color w:val="auto"/>
          <w:sz w:val="28"/>
          <w:szCs w:val="28"/>
          <w:highlight w:val="none"/>
          <w:lang w:val="en-US" w:eastAsia="zh-CN"/>
        </w:rPr>
        <w:t>其他要求</w:t>
      </w:r>
      <w:bookmarkEnd w:id="299"/>
    </w:p>
    <w:p w14:paraId="764F3C44">
      <w:pPr>
        <w:pStyle w:val="39"/>
        <w:pageBreakBefore w:val="0"/>
        <w:widowControl w:val="0"/>
        <w:kinsoku/>
        <w:overflowPunct/>
        <w:topLinePunct w:val="0"/>
        <w:autoSpaceDE/>
        <w:autoSpaceDN/>
        <w:bidi w:val="0"/>
        <w:adjustRightInd/>
        <w:snapToGrid/>
        <w:textAlignment w:val="auto"/>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可根据项目的情况增加上述内容中未包含的要求</w:t>
      </w:r>
      <w:r>
        <w:rPr>
          <w:rFonts w:hint="eastAsia"/>
          <w:color w:val="auto"/>
          <w:highlight w:val="none"/>
          <w:lang w:eastAsia="zh-CN"/>
        </w:rPr>
        <w:t>】</w:t>
      </w:r>
    </w:p>
    <w:p w14:paraId="36FB4E07">
      <w:pPr>
        <w:pStyle w:val="3"/>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lang w:val="zh-CN" w:eastAsia="zh-CN"/>
        </w:rPr>
      </w:pPr>
      <w:bookmarkStart w:id="300" w:name="_Toc163492908"/>
      <w:bookmarkStart w:id="301" w:name="_Toc155185915"/>
      <w:bookmarkStart w:id="302" w:name="_Toc12589"/>
      <w:r>
        <w:rPr>
          <w:rFonts w:hint="eastAsia" w:ascii="宋体" w:hAnsi="宋体" w:eastAsia="宋体" w:cs="宋体"/>
          <w:color w:val="auto"/>
          <w:sz w:val="28"/>
          <w:szCs w:val="28"/>
          <w:highlight w:val="none"/>
          <w:lang w:val="en-US" w:eastAsia="zh-CN"/>
        </w:rPr>
        <w:t>四</w:t>
      </w:r>
      <w:r>
        <w:rPr>
          <w:rFonts w:hint="eastAsia" w:ascii="宋体" w:hAnsi="宋体" w:eastAsia="宋体" w:cs="宋体"/>
          <w:color w:val="auto"/>
          <w:sz w:val="28"/>
          <w:szCs w:val="28"/>
          <w:highlight w:val="none"/>
          <w:lang w:val="zh-CN" w:eastAsia="zh-CN"/>
        </w:rPr>
        <w:t>、评标标准</w:t>
      </w:r>
      <w:bookmarkEnd w:id="300"/>
      <w:bookmarkEnd w:id="301"/>
      <w:bookmarkEnd w:id="302"/>
    </w:p>
    <w:p w14:paraId="4C7A5A94">
      <w:pPr>
        <w:pStyle w:val="4"/>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303" w:name="_Toc163492909"/>
      <w:r>
        <w:rPr>
          <w:rFonts w:hint="eastAsia" w:ascii="宋体" w:hAnsi="宋体" w:eastAsia="宋体" w:cs="宋体"/>
          <w:b/>
          <w:bCs/>
          <w:color w:val="auto"/>
          <w:kern w:val="2"/>
          <w:sz w:val="24"/>
          <w:szCs w:val="24"/>
          <w:highlight w:val="none"/>
          <w:lang w:val="zh-CN" w:eastAsia="zh-CN" w:bidi="ar-SA"/>
        </w:rPr>
        <w:t>（一）符合性审查表</w:t>
      </w:r>
      <w:bookmarkEnd w:id="303"/>
    </w:p>
    <w:tbl>
      <w:tblPr>
        <w:tblStyle w:val="30"/>
        <w:tblW w:w="9586" w:type="dxa"/>
        <w:tblInd w:w="-6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3"/>
        <w:gridCol w:w="1741"/>
        <w:gridCol w:w="5206"/>
        <w:gridCol w:w="867"/>
        <w:gridCol w:w="1089"/>
      </w:tblGrid>
      <w:tr w14:paraId="62BEA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4" w:hRule="atLeast"/>
        </w:trPr>
        <w:tc>
          <w:tcPr>
            <w:tcW w:w="683" w:type="dxa"/>
            <w:vMerge w:val="restart"/>
            <w:shd w:val="clear" w:color="auto" w:fill="D8D8D8" w:themeFill="background1" w:themeFillShade="D9"/>
            <w:vAlign w:val="center"/>
          </w:tcPr>
          <w:p w14:paraId="7688EF74">
            <w:pPr>
              <w:pStyle w:val="51"/>
              <w:jc w:val="center"/>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序号</w:t>
            </w:r>
          </w:p>
        </w:tc>
        <w:tc>
          <w:tcPr>
            <w:tcW w:w="1741" w:type="dxa"/>
            <w:vMerge w:val="restart"/>
            <w:shd w:val="clear" w:color="auto" w:fill="D8D8D8" w:themeFill="background1" w:themeFillShade="D9"/>
            <w:vAlign w:val="center"/>
          </w:tcPr>
          <w:p w14:paraId="226F5D5B">
            <w:pPr>
              <w:pStyle w:val="51"/>
              <w:jc w:val="center"/>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审查项名称</w:t>
            </w:r>
          </w:p>
        </w:tc>
        <w:tc>
          <w:tcPr>
            <w:tcW w:w="5206" w:type="dxa"/>
            <w:vMerge w:val="restart"/>
            <w:shd w:val="clear" w:color="auto" w:fill="D8D8D8" w:themeFill="background1" w:themeFillShade="D9"/>
            <w:vAlign w:val="center"/>
          </w:tcPr>
          <w:p w14:paraId="2E1CF3A5">
            <w:pPr>
              <w:pStyle w:val="51"/>
              <w:jc w:val="center"/>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审查内容</w:t>
            </w:r>
          </w:p>
        </w:tc>
        <w:tc>
          <w:tcPr>
            <w:tcW w:w="1956" w:type="dxa"/>
            <w:gridSpan w:val="2"/>
            <w:shd w:val="clear" w:color="auto" w:fill="D8D8D8" w:themeFill="background1" w:themeFillShade="D9"/>
            <w:vAlign w:val="center"/>
          </w:tcPr>
          <w:p w14:paraId="4FD582AA">
            <w:pPr>
              <w:pStyle w:val="51"/>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审查结果</w:t>
            </w:r>
          </w:p>
        </w:tc>
      </w:tr>
      <w:tr w14:paraId="3721BB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4" w:hRule="atLeast"/>
        </w:trPr>
        <w:tc>
          <w:tcPr>
            <w:tcW w:w="683" w:type="dxa"/>
            <w:vMerge w:val="continue"/>
            <w:shd w:val="clear" w:color="auto" w:fill="D8D8D8" w:themeFill="background1" w:themeFillShade="D9"/>
            <w:vAlign w:val="center"/>
          </w:tcPr>
          <w:p w14:paraId="5CA35BE8">
            <w:pPr>
              <w:pStyle w:val="51"/>
              <w:jc w:val="center"/>
              <w:rPr>
                <w:rFonts w:hint="eastAsia" w:ascii="宋体" w:hAnsi="宋体" w:eastAsia="宋体" w:cs="宋体"/>
                <w:b/>
                <w:bCs/>
                <w:color w:val="auto"/>
                <w:sz w:val="21"/>
                <w:szCs w:val="21"/>
                <w:highlight w:val="none"/>
                <w:lang w:val="zh-CN"/>
              </w:rPr>
            </w:pPr>
          </w:p>
        </w:tc>
        <w:tc>
          <w:tcPr>
            <w:tcW w:w="1741" w:type="dxa"/>
            <w:vMerge w:val="continue"/>
            <w:shd w:val="clear" w:color="auto" w:fill="D8D8D8" w:themeFill="background1" w:themeFillShade="D9"/>
            <w:vAlign w:val="center"/>
          </w:tcPr>
          <w:p w14:paraId="79461D67">
            <w:pPr>
              <w:pStyle w:val="51"/>
              <w:jc w:val="center"/>
              <w:rPr>
                <w:rFonts w:hint="eastAsia" w:ascii="宋体" w:hAnsi="宋体" w:eastAsia="宋体" w:cs="宋体"/>
                <w:b/>
                <w:bCs/>
                <w:color w:val="auto"/>
                <w:sz w:val="21"/>
                <w:szCs w:val="21"/>
                <w:highlight w:val="none"/>
                <w:lang w:val="zh-CN"/>
              </w:rPr>
            </w:pPr>
          </w:p>
        </w:tc>
        <w:tc>
          <w:tcPr>
            <w:tcW w:w="5206" w:type="dxa"/>
            <w:vMerge w:val="continue"/>
            <w:shd w:val="clear" w:color="auto" w:fill="D8D8D8" w:themeFill="background1" w:themeFillShade="D9"/>
            <w:vAlign w:val="center"/>
          </w:tcPr>
          <w:p w14:paraId="51E6801E">
            <w:pPr>
              <w:pStyle w:val="51"/>
              <w:jc w:val="center"/>
              <w:rPr>
                <w:rFonts w:hint="eastAsia" w:ascii="宋体" w:hAnsi="宋体" w:eastAsia="宋体" w:cs="宋体"/>
                <w:b/>
                <w:bCs/>
                <w:color w:val="auto"/>
                <w:sz w:val="21"/>
                <w:szCs w:val="21"/>
                <w:highlight w:val="none"/>
                <w:lang w:val="zh-CN"/>
              </w:rPr>
            </w:pPr>
          </w:p>
        </w:tc>
        <w:tc>
          <w:tcPr>
            <w:tcW w:w="867" w:type="dxa"/>
            <w:shd w:val="clear" w:color="auto" w:fill="D8D8D8" w:themeFill="background1" w:themeFillShade="D9"/>
            <w:vAlign w:val="center"/>
          </w:tcPr>
          <w:p w14:paraId="06BF204C">
            <w:pPr>
              <w:pStyle w:val="51"/>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符合</w:t>
            </w:r>
          </w:p>
        </w:tc>
        <w:tc>
          <w:tcPr>
            <w:tcW w:w="1089" w:type="dxa"/>
            <w:shd w:val="clear" w:color="auto" w:fill="D8D8D8" w:themeFill="background1" w:themeFillShade="D9"/>
            <w:vAlign w:val="center"/>
          </w:tcPr>
          <w:p w14:paraId="57E88C5B">
            <w:pPr>
              <w:pStyle w:val="51"/>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不符合</w:t>
            </w:r>
          </w:p>
        </w:tc>
      </w:tr>
      <w:tr w14:paraId="552DA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2" w:hRule="atLeast"/>
        </w:trPr>
        <w:tc>
          <w:tcPr>
            <w:tcW w:w="683" w:type="dxa"/>
            <w:shd w:val="clear" w:color="auto" w:fill="auto"/>
            <w:vAlign w:val="center"/>
          </w:tcPr>
          <w:p w14:paraId="498E4EF7">
            <w:pPr>
              <w:pStyle w:val="51"/>
              <w:numPr>
                <w:ilvl w:val="0"/>
                <w:numId w:val="0"/>
              </w:numPr>
              <w:ind w:left="420" w:leftChars="0" w:hanging="420" w:firstLineChars="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kern w:val="2"/>
                <w:sz w:val="21"/>
                <w:szCs w:val="21"/>
                <w:highlight w:val="none"/>
                <w:lang w:val="zh-CN" w:eastAsia="zh-CN" w:bidi="ar-SA"/>
              </w:rPr>
              <w:t>1</w:t>
            </w:r>
          </w:p>
        </w:tc>
        <w:tc>
          <w:tcPr>
            <w:tcW w:w="1741" w:type="dxa"/>
            <w:vAlign w:val="center"/>
          </w:tcPr>
          <w:p w14:paraId="78C490A5">
            <w:pPr>
              <w:pStyle w:val="51"/>
              <w:jc w:val="center"/>
              <w:rPr>
                <w:rFonts w:hint="eastAsia" w:ascii="宋体" w:hAnsi="宋体" w:eastAsia="宋体" w:cs="宋体"/>
                <w:color w:val="auto"/>
                <w:sz w:val="21"/>
                <w:szCs w:val="21"/>
                <w:highlight w:val="none"/>
                <w:lang w:val="zh-CN"/>
              </w:rPr>
            </w:pPr>
            <w:r>
              <w:rPr>
                <w:rFonts w:hint="eastAsia" w:cs="宋体"/>
                <w:color w:val="auto"/>
                <w:sz w:val="21"/>
                <w:szCs w:val="21"/>
                <w:highlight w:val="none"/>
                <w:lang w:val="zh-CN"/>
              </w:rPr>
              <w:t>投标</w:t>
            </w:r>
            <w:r>
              <w:rPr>
                <w:rFonts w:hint="eastAsia" w:ascii="宋体" w:hAnsi="宋体" w:eastAsia="宋体" w:cs="宋体"/>
                <w:color w:val="auto"/>
                <w:sz w:val="21"/>
                <w:szCs w:val="21"/>
                <w:highlight w:val="none"/>
                <w:lang w:val="zh-CN"/>
              </w:rPr>
              <w:t>文件</w:t>
            </w:r>
            <w:r>
              <w:rPr>
                <w:rFonts w:hint="eastAsia" w:ascii="宋体" w:hAnsi="宋体" w:eastAsia="宋体" w:cs="宋体"/>
                <w:color w:val="auto"/>
                <w:sz w:val="21"/>
                <w:szCs w:val="21"/>
                <w:highlight w:val="none"/>
              </w:rPr>
              <w:t>签署</w:t>
            </w:r>
          </w:p>
        </w:tc>
        <w:tc>
          <w:tcPr>
            <w:tcW w:w="5206" w:type="dxa"/>
            <w:shd w:val="clear" w:color="auto" w:fill="auto"/>
            <w:vAlign w:val="center"/>
          </w:tcPr>
          <w:p w14:paraId="6AFC3BAD">
            <w:pPr>
              <w:pStyle w:val="51"/>
              <w:rPr>
                <w:rFonts w:hint="eastAsia" w:ascii="宋体" w:hAnsi="宋体" w:eastAsia="宋体" w:cs="宋体"/>
                <w:color w:val="auto"/>
                <w:sz w:val="21"/>
                <w:szCs w:val="21"/>
                <w:highlight w:val="none"/>
                <w:lang w:val="zh-CN" w:eastAsia="zh-CN"/>
              </w:rPr>
            </w:pPr>
            <w:r>
              <w:rPr>
                <w:rFonts w:hint="eastAsia" w:cs="宋体"/>
                <w:color w:val="auto"/>
                <w:sz w:val="21"/>
                <w:szCs w:val="21"/>
                <w:highlight w:val="none"/>
                <w:lang w:val="zh-CN"/>
              </w:rPr>
              <w:t>投标</w:t>
            </w:r>
            <w:r>
              <w:rPr>
                <w:rFonts w:hint="eastAsia" w:ascii="宋体" w:hAnsi="宋体" w:eastAsia="宋体" w:cs="宋体"/>
                <w:color w:val="auto"/>
                <w:sz w:val="21"/>
                <w:szCs w:val="21"/>
                <w:highlight w:val="none"/>
                <w:lang w:val="zh-CN"/>
              </w:rPr>
              <w:t>文件</w:t>
            </w:r>
            <w:r>
              <w:rPr>
                <w:rFonts w:hint="eastAsia" w:ascii="宋体" w:hAnsi="宋体" w:eastAsia="宋体" w:cs="宋体"/>
                <w:color w:val="auto"/>
                <w:sz w:val="21"/>
                <w:szCs w:val="21"/>
                <w:highlight w:val="none"/>
                <w:lang w:val="en-US" w:eastAsia="zh-CN"/>
              </w:rPr>
              <w:t>按</w:t>
            </w:r>
            <w:r>
              <w:rPr>
                <w:rFonts w:hint="eastAsia" w:cs="宋体"/>
                <w:color w:val="auto"/>
                <w:sz w:val="21"/>
                <w:szCs w:val="21"/>
                <w:highlight w:val="none"/>
                <w:lang w:val="en-US" w:eastAsia="zh-CN"/>
              </w:rPr>
              <w:t>招标文件</w:t>
            </w:r>
            <w:r>
              <w:rPr>
                <w:rFonts w:hint="eastAsia" w:ascii="宋体" w:hAnsi="宋体" w:eastAsia="宋体" w:cs="宋体"/>
                <w:color w:val="auto"/>
                <w:sz w:val="21"/>
                <w:szCs w:val="21"/>
                <w:highlight w:val="none"/>
                <w:lang w:val="en-US" w:eastAsia="zh-CN"/>
              </w:rPr>
              <w:t>要求签署、盖章的</w:t>
            </w:r>
            <w:r>
              <w:rPr>
                <w:rFonts w:hint="eastAsia" w:cs="宋体"/>
                <w:color w:val="auto"/>
                <w:sz w:val="21"/>
                <w:szCs w:val="21"/>
                <w:highlight w:val="none"/>
                <w:lang w:val="en-US" w:eastAsia="zh-CN"/>
              </w:rPr>
              <w:t>；</w:t>
            </w:r>
          </w:p>
        </w:tc>
        <w:tc>
          <w:tcPr>
            <w:tcW w:w="867" w:type="dxa"/>
            <w:shd w:val="clear" w:color="auto" w:fill="auto"/>
            <w:vAlign w:val="center"/>
          </w:tcPr>
          <w:p w14:paraId="3E54387A">
            <w:pPr>
              <w:pStyle w:val="51"/>
              <w:rPr>
                <w:rFonts w:hint="eastAsia" w:ascii="宋体" w:hAnsi="宋体" w:eastAsia="宋体" w:cs="宋体"/>
                <w:color w:val="auto"/>
                <w:sz w:val="21"/>
                <w:szCs w:val="21"/>
                <w:highlight w:val="none"/>
                <w:lang w:val="zh-CN"/>
              </w:rPr>
            </w:pPr>
          </w:p>
        </w:tc>
        <w:tc>
          <w:tcPr>
            <w:tcW w:w="1089" w:type="dxa"/>
            <w:shd w:val="clear" w:color="auto" w:fill="auto"/>
            <w:vAlign w:val="center"/>
          </w:tcPr>
          <w:p w14:paraId="7DB09B1D">
            <w:pPr>
              <w:pStyle w:val="51"/>
              <w:rPr>
                <w:rFonts w:hint="eastAsia" w:ascii="宋体" w:hAnsi="宋体" w:eastAsia="宋体" w:cs="宋体"/>
                <w:color w:val="auto"/>
                <w:sz w:val="21"/>
                <w:szCs w:val="21"/>
                <w:highlight w:val="none"/>
                <w:lang w:val="zh-CN"/>
              </w:rPr>
            </w:pPr>
          </w:p>
        </w:tc>
      </w:tr>
      <w:tr w14:paraId="44D31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0" w:hRule="atLeast"/>
        </w:trPr>
        <w:tc>
          <w:tcPr>
            <w:tcW w:w="683" w:type="dxa"/>
            <w:shd w:val="clear" w:color="auto" w:fill="auto"/>
            <w:vAlign w:val="center"/>
          </w:tcPr>
          <w:p w14:paraId="799F08F2">
            <w:pPr>
              <w:pStyle w:val="51"/>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2</w:t>
            </w:r>
          </w:p>
        </w:tc>
        <w:tc>
          <w:tcPr>
            <w:tcW w:w="1741" w:type="dxa"/>
            <w:shd w:val="clear" w:color="auto" w:fill="auto"/>
            <w:vAlign w:val="center"/>
          </w:tcPr>
          <w:p w14:paraId="49EBCD91">
            <w:pPr>
              <w:pStyle w:val="51"/>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合同履约期限（供货期限）</w:t>
            </w:r>
          </w:p>
        </w:tc>
        <w:tc>
          <w:tcPr>
            <w:tcW w:w="5206" w:type="dxa"/>
            <w:shd w:val="clear" w:color="auto" w:fill="auto"/>
            <w:vAlign w:val="center"/>
          </w:tcPr>
          <w:p w14:paraId="5EE3CF88">
            <w:pPr>
              <w:pStyle w:val="51"/>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合同履约期限（供货期限）满足</w:t>
            </w:r>
            <w:r>
              <w:rPr>
                <w:rFonts w:hint="eastAsia" w:cs="宋体"/>
                <w:color w:val="auto"/>
                <w:kern w:val="2"/>
                <w:sz w:val="21"/>
                <w:szCs w:val="21"/>
                <w:highlight w:val="none"/>
                <w:lang w:val="zh-CN" w:eastAsia="zh-CN" w:bidi="ar-SA"/>
              </w:rPr>
              <w:t>招标</w:t>
            </w:r>
            <w:r>
              <w:rPr>
                <w:rFonts w:hint="eastAsia" w:ascii="宋体" w:hAnsi="宋体" w:eastAsia="宋体" w:cs="宋体"/>
                <w:color w:val="auto"/>
                <w:kern w:val="2"/>
                <w:sz w:val="21"/>
                <w:szCs w:val="21"/>
                <w:highlight w:val="none"/>
                <w:lang w:val="zh-CN" w:eastAsia="zh-CN" w:bidi="ar-SA"/>
              </w:rPr>
              <w:t>文件规定的；</w:t>
            </w:r>
          </w:p>
        </w:tc>
        <w:tc>
          <w:tcPr>
            <w:tcW w:w="867" w:type="dxa"/>
            <w:shd w:val="clear" w:color="auto" w:fill="auto"/>
            <w:vAlign w:val="center"/>
          </w:tcPr>
          <w:p w14:paraId="1DE957B6">
            <w:pPr>
              <w:pStyle w:val="51"/>
              <w:rPr>
                <w:rFonts w:hint="eastAsia" w:ascii="宋体" w:hAnsi="宋体" w:eastAsia="宋体" w:cs="宋体"/>
                <w:color w:val="auto"/>
                <w:sz w:val="21"/>
                <w:szCs w:val="21"/>
                <w:highlight w:val="none"/>
                <w:lang w:val="zh-CN"/>
              </w:rPr>
            </w:pPr>
          </w:p>
        </w:tc>
        <w:tc>
          <w:tcPr>
            <w:tcW w:w="1089" w:type="dxa"/>
            <w:shd w:val="clear" w:color="auto" w:fill="auto"/>
            <w:vAlign w:val="center"/>
          </w:tcPr>
          <w:p w14:paraId="5E1BE941">
            <w:pPr>
              <w:pStyle w:val="51"/>
              <w:rPr>
                <w:rFonts w:hint="eastAsia" w:ascii="宋体" w:hAnsi="宋体" w:eastAsia="宋体" w:cs="宋体"/>
                <w:color w:val="auto"/>
                <w:sz w:val="21"/>
                <w:szCs w:val="21"/>
                <w:highlight w:val="none"/>
                <w:lang w:val="zh-CN"/>
              </w:rPr>
            </w:pPr>
          </w:p>
        </w:tc>
      </w:tr>
      <w:tr w14:paraId="773655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3" w:hRule="atLeast"/>
        </w:trPr>
        <w:tc>
          <w:tcPr>
            <w:tcW w:w="683" w:type="dxa"/>
            <w:shd w:val="clear" w:color="auto" w:fill="auto"/>
            <w:vAlign w:val="center"/>
          </w:tcPr>
          <w:p w14:paraId="427E7CAC">
            <w:pPr>
              <w:pStyle w:val="51"/>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3</w:t>
            </w:r>
          </w:p>
        </w:tc>
        <w:tc>
          <w:tcPr>
            <w:tcW w:w="1741" w:type="dxa"/>
            <w:vAlign w:val="center"/>
          </w:tcPr>
          <w:p w14:paraId="36D2C6FC">
            <w:pPr>
              <w:pStyle w:val="51"/>
              <w:jc w:val="center"/>
              <w:rPr>
                <w:rFonts w:hint="eastAsia" w:ascii="宋体" w:hAnsi="宋体" w:eastAsia="宋体" w:cs="宋体"/>
                <w:color w:val="auto"/>
                <w:sz w:val="21"/>
                <w:szCs w:val="21"/>
                <w:highlight w:val="none"/>
                <w:lang w:val="zh-CN"/>
              </w:rPr>
            </w:pPr>
            <w:r>
              <w:rPr>
                <w:rFonts w:hint="eastAsia" w:cs="宋体"/>
                <w:color w:val="auto"/>
                <w:sz w:val="21"/>
                <w:szCs w:val="21"/>
                <w:highlight w:val="none"/>
                <w:lang w:val="zh-CN"/>
              </w:rPr>
              <w:t>投标</w:t>
            </w:r>
            <w:r>
              <w:rPr>
                <w:rFonts w:hint="eastAsia" w:ascii="宋体" w:hAnsi="宋体" w:eastAsia="宋体" w:cs="宋体"/>
                <w:color w:val="auto"/>
                <w:sz w:val="21"/>
                <w:szCs w:val="21"/>
                <w:highlight w:val="none"/>
                <w:lang w:val="zh-CN"/>
              </w:rPr>
              <w:t>报价</w:t>
            </w:r>
          </w:p>
        </w:tc>
        <w:tc>
          <w:tcPr>
            <w:tcW w:w="5206" w:type="dxa"/>
            <w:shd w:val="clear" w:color="auto" w:fill="auto"/>
            <w:vAlign w:val="center"/>
          </w:tcPr>
          <w:p w14:paraId="68D7B044">
            <w:pPr>
              <w:pStyle w:val="51"/>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报价未超过</w:t>
            </w:r>
            <w:r>
              <w:rPr>
                <w:rFonts w:hint="eastAsia" w:cs="宋体"/>
                <w:color w:val="auto"/>
                <w:sz w:val="21"/>
                <w:szCs w:val="21"/>
                <w:highlight w:val="none"/>
                <w:lang w:val="en-US" w:eastAsia="zh-CN"/>
              </w:rPr>
              <w:t>招标文件</w:t>
            </w:r>
            <w:r>
              <w:rPr>
                <w:rFonts w:hint="eastAsia" w:ascii="宋体" w:hAnsi="宋体" w:eastAsia="宋体" w:cs="宋体"/>
                <w:color w:val="auto"/>
                <w:sz w:val="21"/>
                <w:szCs w:val="21"/>
                <w:highlight w:val="none"/>
                <w:lang w:val="en-US" w:eastAsia="zh-CN"/>
              </w:rPr>
              <w:t>中规定的最高限价或者预算金额的</w:t>
            </w:r>
            <w:r>
              <w:rPr>
                <w:rFonts w:hint="eastAsia" w:cs="宋体"/>
                <w:color w:val="auto"/>
                <w:sz w:val="21"/>
                <w:szCs w:val="21"/>
                <w:highlight w:val="none"/>
                <w:lang w:val="en-US" w:eastAsia="zh-CN"/>
              </w:rPr>
              <w:t>；</w:t>
            </w:r>
          </w:p>
        </w:tc>
        <w:tc>
          <w:tcPr>
            <w:tcW w:w="867" w:type="dxa"/>
            <w:shd w:val="clear" w:color="auto" w:fill="auto"/>
            <w:vAlign w:val="center"/>
          </w:tcPr>
          <w:p w14:paraId="32E0AC9F">
            <w:pPr>
              <w:pStyle w:val="51"/>
              <w:rPr>
                <w:rFonts w:hint="eastAsia" w:ascii="宋体" w:hAnsi="宋体" w:eastAsia="宋体" w:cs="宋体"/>
                <w:color w:val="auto"/>
                <w:sz w:val="21"/>
                <w:szCs w:val="21"/>
                <w:highlight w:val="none"/>
                <w:lang w:val="zh-CN"/>
              </w:rPr>
            </w:pPr>
          </w:p>
        </w:tc>
        <w:tc>
          <w:tcPr>
            <w:tcW w:w="1089" w:type="dxa"/>
            <w:shd w:val="clear" w:color="auto" w:fill="auto"/>
            <w:vAlign w:val="center"/>
          </w:tcPr>
          <w:p w14:paraId="5E3D025F">
            <w:pPr>
              <w:pStyle w:val="51"/>
              <w:rPr>
                <w:rFonts w:hint="eastAsia" w:ascii="宋体" w:hAnsi="宋体" w:eastAsia="宋体" w:cs="宋体"/>
                <w:color w:val="auto"/>
                <w:sz w:val="21"/>
                <w:szCs w:val="21"/>
                <w:highlight w:val="none"/>
                <w:lang w:val="zh-CN"/>
              </w:rPr>
            </w:pPr>
          </w:p>
        </w:tc>
      </w:tr>
      <w:tr w14:paraId="0C150A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83" w:type="dxa"/>
            <w:shd w:val="clear" w:color="auto" w:fill="auto"/>
            <w:vAlign w:val="center"/>
          </w:tcPr>
          <w:p w14:paraId="00B00C8B">
            <w:pPr>
              <w:pStyle w:val="51"/>
              <w:numPr>
                <w:ilvl w:val="0"/>
                <w:numId w:val="0"/>
              </w:numPr>
              <w:ind w:left="420" w:leftChars="0" w:hanging="420" w:firstLineChars="0"/>
              <w:jc w:val="center"/>
              <w:rPr>
                <w:rFonts w:hint="default"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4</w:t>
            </w:r>
          </w:p>
        </w:tc>
        <w:tc>
          <w:tcPr>
            <w:tcW w:w="1741" w:type="dxa"/>
            <w:vAlign w:val="center"/>
          </w:tcPr>
          <w:p w14:paraId="3E17BDFB">
            <w:pPr>
              <w:pStyle w:val="51"/>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保证金</w:t>
            </w:r>
          </w:p>
        </w:tc>
        <w:tc>
          <w:tcPr>
            <w:tcW w:w="5206" w:type="dxa"/>
            <w:shd w:val="clear" w:color="auto" w:fill="auto"/>
            <w:vAlign w:val="center"/>
          </w:tcPr>
          <w:p w14:paraId="27DD76CD">
            <w:pPr>
              <w:pStyle w:val="51"/>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招标文件</w:t>
            </w:r>
            <w:r>
              <w:rPr>
                <w:rFonts w:hint="eastAsia" w:ascii="宋体" w:hAnsi="宋体" w:eastAsia="宋体" w:cs="宋体"/>
                <w:color w:val="auto"/>
                <w:sz w:val="21"/>
                <w:szCs w:val="21"/>
                <w:highlight w:val="none"/>
                <w:lang w:val="en-US" w:eastAsia="zh-CN"/>
              </w:rPr>
              <w:t>规定应当缴纳的，</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按</w:t>
            </w:r>
            <w:r>
              <w:rPr>
                <w:rFonts w:hint="eastAsia" w:cs="宋体"/>
                <w:color w:val="auto"/>
                <w:sz w:val="21"/>
                <w:szCs w:val="21"/>
                <w:highlight w:val="none"/>
                <w:lang w:val="en-US" w:eastAsia="zh-CN"/>
              </w:rPr>
              <w:t>招标文件</w:t>
            </w:r>
            <w:r>
              <w:rPr>
                <w:rFonts w:hint="eastAsia" w:ascii="宋体" w:hAnsi="宋体" w:eastAsia="宋体" w:cs="宋体"/>
                <w:color w:val="auto"/>
                <w:sz w:val="21"/>
                <w:szCs w:val="21"/>
                <w:highlight w:val="none"/>
                <w:lang w:val="en-US" w:eastAsia="zh-CN"/>
              </w:rPr>
              <w:t>的规定缴纳保证金的</w:t>
            </w:r>
          </w:p>
        </w:tc>
        <w:tc>
          <w:tcPr>
            <w:tcW w:w="867" w:type="dxa"/>
            <w:shd w:val="clear" w:color="auto" w:fill="auto"/>
            <w:vAlign w:val="center"/>
          </w:tcPr>
          <w:p w14:paraId="7FF64AF1">
            <w:pPr>
              <w:pStyle w:val="51"/>
              <w:rPr>
                <w:rFonts w:hint="eastAsia" w:ascii="宋体" w:hAnsi="宋体" w:eastAsia="宋体" w:cs="宋体"/>
                <w:color w:val="auto"/>
                <w:sz w:val="21"/>
                <w:szCs w:val="21"/>
                <w:highlight w:val="none"/>
                <w:lang w:val="zh-CN"/>
              </w:rPr>
            </w:pPr>
          </w:p>
        </w:tc>
        <w:tc>
          <w:tcPr>
            <w:tcW w:w="1089" w:type="dxa"/>
            <w:shd w:val="clear" w:color="auto" w:fill="auto"/>
            <w:vAlign w:val="center"/>
          </w:tcPr>
          <w:p w14:paraId="20000839">
            <w:pPr>
              <w:pStyle w:val="51"/>
              <w:rPr>
                <w:rFonts w:hint="eastAsia" w:ascii="宋体" w:hAnsi="宋体" w:eastAsia="宋体" w:cs="宋体"/>
                <w:color w:val="auto"/>
                <w:sz w:val="21"/>
                <w:szCs w:val="21"/>
                <w:highlight w:val="none"/>
                <w:lang w:val="zh-CN"/>
              </w:rPr>
            </w:pPr>
          </w:p>
        </w:tc>
      </w:tr>
      <w:tr w14:paraId="44496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83" w:type="dxa"/>
            <w:shd w:val="clear" w:color="auto" w:fill="auto"/>
            <w:vAlign w:val="center"/>
          </w:tcPr>
          <w:p w14:paraId="03C98F04">
            <w:pPr>
              <w:pStyle w:val="51"/>
              <w:numPr>
                <w:ilvl w:val="0"/>
                <w:numId w:val="0"/>
              </w:numPr>
              <w:ind w:left="420" w:leftChars="0" w:hanging="420" w:firstLineChars="0"/>
              <w:jc w:val="center"/>
              <w:rPr>
                <w:rFonts w:hint="default"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5</w:t>
            </w:r>
          </w:p>
        </w:tc>
        <w:tc>
          <w:tcPr>
            <w:tcW w:w="1741" w:type="dxa"/>
            <w:vAlign w:val="center"/>
          </w:tcPr>
          <w:p w14:paraId="04347BE1">
            <w:pPr>
              <w:pStyle w:val="51"/>
              <w:jc w:val="center"/>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投标</w:t>
            </w:r>
            <w:r>
              <w:rPr>
                <w:rFonts w:hint="eastAsia" w:ascii="宋体" w:hAnsi="宋体" w:eastAsia="宋体" w:cs="宋体"/>
                <w:color w:val="auto"/>
                <w:sz w:val="21"/>
                <w:szCs w:val="21"/>
                <w:highlight w:val="none"/>
                <w:lang w:val="en-US" w:eastAsia="zh-CN"/>
              </w:rPr>
              <w:t>有效期</w:t>
            </w:r>
          </w:p>
        </w:tc>
        <w:tc>
          <w:tcPr>
            <w:tcW w:w="5206" w:type="dxa"/>
            <w:shd w:val="clear" w:color="auto" w:fill="auto"/>
            <w:vAlign w:val="center"/>
          </w:tcPr>
          <w:p w14:paraId="7CDF7453">
            <w:pPr>
              <w:pStyle w:val="51"/>
              <w:rPr>
                <w:rFonts w:hint="eastAsia" w:ascii="宋体" w:hAnsi="宋体" w:eastAsia="宋体" w:cs="宋体"/>
                <w:color w:val="auto"/>
                <w:sz w:val="21"/>
                <w:szCs w:val="21"/>
                <w:highlight w:val="none"/>
                <w:lang w:val="en-US" w:eastAsia="zh-CN"/>
              </w:rPr>
            </w:pPr>
            <w:r>
              <w:rPr>
                <w:rFonts w:hint="eastAsia" w:cs="宋体"/>
                <w:color w:val="auto"/>
                <w:kern w:val="2"/>
                <w:sz w:val="21"/>
                <w:szCs w:val="21"/>
                <w:highlight w:val="none"/>
                <w:lang w:val="zh-CN" w:eastAsia="zh-CN" w:bidi="ar-SA"/>
              </w:rPr>
              <w:t>投标</w:t>
            </w:r>
            <w:r>
              <w:rPr>
                <w:rFonts w:hint="eastAsia" w:ascii="宋体" w:hAnsi="宋体" w:eastAsia="宋体" w:cs="宋体"/>
                <w:color w:val="auto"/>
                <w:kern w:val="2"/>
                <w:sz w:val="21"/>
                <w:szCs w:val="21"/>
                <w:highlight w:val="none"/>
                <w:lang w:val="zh-CN" w:eastAsia="zh-CN" w:bidi="ar-SA"/>
              </w:rPr>
              <w:t>有效期满足</w:t>
            </w:r>
            <w:r>
              <w:rPr>
                <w:rFonts w:hint="eastAsia" w:cs="宋体"/>
                <w:color w:val="auto"/>
                <w:kern w:val="2"/>
                <w:sz w:val="21"/>
                <w:szCs w:val="21"/>
                <w:highlight w:val="none"/>
                <w:lang w:val="zh-CN" w:eastAsia="zh-CN" w:bidi="ar-SA"/>
              </w:rPr>
              <w:t>招标</w:t>
            </w:r>
            <w:r>
              <w:rPr>
                <w:rFonts w:hint="eastAsia" w:ascii="宋体" w:hAnsi="宋体" w:eastAsia="宋体" w:cs="宋体"/>
                <w:color w:val="auto"/>
                <w:kern w:val="2"/>
                <w:sz w:val="21"/>
                <w:szCs w:val="21"/>
                <w:highlight w:val="none"/>
                <w:lang w:val="zh-CN" w:eastAsia="zh-CN" w:bidi="ar-SA"/>
              </w:rPr>
              <w:t>文件要求；</w:t>
            </w:r>
          </w:p>
        </w:tc>
        <w:tc>
          <w:tcPr>
            <w:tcW w:w="867" w:type="dxa"/>
            <w:shd w:val="clear" w:color="auto" w:fill="auto"/>
            <w:vAlign w:val="center"/>
          </w:tcPr>
          <w:p w14:paraId="239071C0">
            <w:pPr>
              <w:pStyle w:val="51"/>
              <w:rPr>
                <w:rFonts w:hint="eastAsia" w:ascii="宋体" w:hAnsi="宋体" w:eastAsia="宋体" w:cs="宋体"/>
                <w:color w:val="auto"/>
                <w:sz w:val="21"/>
                <w:szCs w:val="21"/>
                <w:highlight w:val="none"/>
                <w:lang w:val="zh-CN"/>
              </w:rPr>
            </w:pPr>
          </w:p>
        </w:tc>
        <w:tc>
          <w:tcPr>
            <w:tcW w:w="1089" w:type="dxa"/>
            <w:shd w:val="clear" w:color="auto" w:fill="auto"/>
            <w:vAlign w:val="center"/>
          </w:tcPr>
          <w:p w14:paraId="3D3F5506">
            <w:pPr>
              <w:pStyle w:val="51"/>
              <w:rPr>
                <w:rFonts w:hint="eastAsia" w:ascii="宋体" w:hAnsi="宋体" w:eastAsia="宋体" w:cs="宋体"/>
                <w:color w:val="auto"/>
                <w:sz w:val="21"/>
                <w:szCs w:val="21"/>
                <w:highlight w:val="none"/>
                <w:lang w:val="zh-CN"/>
              </w:rPr>
            </w:pPr>
          </w:p>
        </w:tc>
      </w:tr>
      <w:tr w14:paraId="1E20B2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83" w:type="dxa"/>
            <w:shd w:val="clear" w:color="auto" w:fill="auto"/>
            <w:vAlign w:val="center"/>
          </w:tcPr>
          <w:p w14:paraId="49A0C307">
            <w:pPr>
              <w:pStyle w:val="51"/>
              <w:numPr>
                <w:ilvl w:val="0"/>
                <w:numId w:val="0"/>
              </w:numPr>
              <w:ind w:left="420" w:leftChars="0" w:hanging="420" w:firstLineChars="0"/>
              <w:jc w:val="center"/>
              <w:rPr>
                <w:rFonts w:hint="default"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6</w:t>
            </w:r>
          </w:p>
        </w:tc>
        <w:tc>
          <w:tcPr>
            <w:tcW w:w="1741" w:type="dxa"/>
            <w:vAlign w:val="center"/>
          </w:tcPr>
          <w:p w14:paraId="2CF53064">
            <w:pPr>
              <w:pStyle w:val="51"/>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其它实质性要求</w:t>
            </w:r>
          </w:p>
        </w:tc>
        <w:tc>
          <w:tcPr>
            <w:tcW w:w="5206" w:type="dxa"/>
            <w:shd w:val="clear" w:color="auto" w:fill="auto"/>
            <w:vAlign w:val="center"/>
          </w:tcPr>
          <w:p w14:paraId="66A453BC">
            <w:pPr>
              <w:pStyle w:val="51"/>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符合</w:t>
            </w:r>
            <w:r>
              <w:rPr>
                <w:rFonts w:hint="eastAsia" w:cs="宋体"/>
                <w:color w:val="auto"/>
                <w:sz w:val="21"/>
                <w:szCs w:val="21"/>
                <w:highlight w:val="none"/>
                <w:lang w:val="en-US" w:eastAsia="zh-CN"/>
              </w:rPr>
              <w:t>招标</w:t>
            </w:r>
            <w:r>
              <w:rPr>
                <w:rFonts w:hint="eastAsia" w:ascii="宋体" w:hAnsi="宋体" w:eastAsia="宋体" w:cs="宋体"/>
                <w:color w:val="auto"/>
                <w:sz w:val="21"/>
                <w:szCs w:val="21"/>
                <w:highlight w:val="none"/>
                <w:lang w:val="en-US" w:eastAsia="zh-CN"/>
              </w:rPr>
              <w:t>文件中规定的其它实质性要求的；</w:t>
            </w:r>
          </w:p>
        </w:tc>
        <w:tc>
          <w:tcPr>
            <w:tcW w:w="867" w:type="dxa"/>
            <w:shd w:val="clear" w:color="auto" w:fill="auto"/>
            <w:vAlign w:val="center"/>
          </w:tcPr>
          <w:p w14:paraId="76A8AB59">
            <w:pPr>
              <w:pStyle w:val="51"/>
              <w:rPr>
                <w:rFonts w:hint="eastAsia" w:ascii="宋体" w:hAnsi="宋体" w:eastAsia="宋体" w:cs="宋体"/>
                <w:color w:val="auto"/>
                <w:sz w:val="21"/>
                <w:szCs w:val="21"/>
                <w:highlight w:val="none"/>
                <w:lang w:val="zh-CN"/>
              </w:rPr>
            </w:pPr>
          </w:p>
        </w:tc>
        <w:tc>
          <w:tcPr>
            <w:tcW w:w="1089" w:type="dxa"/>
            <w:shd w:val="clear" w:color="auto" w:fill="auto"/>
            <w:vAlign w:val="center"/>
          </w:tcPr>
          <w:p w14:paraId="0247ED01">
            <w:pPr>
              <w:pStyle w:val="51"/>
              <w:rPr>
                <w:rFonts w:hint="eastAsia" w:ascii="宋体" w:hAnsi="宋体" w:eastAsia="宋体" w:cs="宋体"/>
                <w:color w:val="auto"/>
                <w:sz w:val="21"/>
                <w:szCs w:val="21"/>
                <w:highlight w:val="none"/>
                <w:lang w:val="zh-CN"/>
              </w:rPr>
            </w:pPr>
          </w:p>
        </w:tc>
      </w:tr>
      <w:tr w14:paraId="171658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83" w:type="dxa"/>
            <w:shd w:val="clear" w:color="auto" w:fill="auto"/>
            <w:vAlign w:val="center"/>
          </w:tcPr>
          <w:p w14:paraId="7835FCE4">
            <w:pPr>
              <w:pStyle w:val="51"/>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cs="宋体"/>
                <w:color w:val="auto"/>
                <w:kern w:val="2"/>
                <w:sz w:val="21"/>
                <w:szCs w:val="21"/>
                <w:highlight w:val="none"/>
                <w:lang w:val="en-US" w:eastAsia="zh-CN" w:bidi="ar-SA"/>
              </w:rPr>
              <w:t>7</w:t>
            </w:r>
          </w:p>
        </w:tc>
        <w:tc>
          <w:tcPr>
            <w:tcW w:w="1741" w:type="dxa"/>
            <w:vAlign w:val="center"/>
          </w:tcPr>
          <w:p w14:paraId="65EC10E6">
            <w:pPr>
              <w:pStyle w:val="51"/>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虚假材料</w:t>
            </w:r>
          </w:p>
        </w:tc>
        <w:tc>
          <w:tcPr>
            <w:tcW w:w="5206" w:type="dxa"/>
            <w:shd w:val="clear" w:color="auto" w:fill="auto"/>
            <w:vAlign w:val="center"/>
          </w:tcPr>
          <w:p w14:paraId="4A2C6325">
            <w:pPr>
              <w:pStyle w:val="51"/>
              <w:rPr>
                <w:rFonts w:hint="eastAsia" w:ascii="宋体" w:hAnsi="宋体" w:eastAsia="宋体" w:cs="宋体"/>
                <w:color w:val="auto"/>
                <w:kern w:val="2"/>
                <w:sz w:val="21"/>
                <w:szCs w:val="21"/>
                <w:highlight w:val="none"/>
                <w:lang w:val="zh-CN" w:eastAsia="zh-CN" w:bidi="ar-SA"/>
              </w:rPr>
            </w:pPr>
            <w:r>
              <w:rPr>
                <w:rFonts w:hint="eastAsia" w:cs="宋体"/>
                <w:color w:val="auto"/>
                <w:sz w:val="21"/>
                <w:szCs w:val="21"/>
                <w:highlight w:val="none"/>
                <w:lang w:val="en-US" w:eastAsia="zh-CN"/>
              </w:rPr>
              <w:t>投标</w:t>
            </w:r>
            <w:r>
              <w:rPr>
                <w:rFonts w:hint="eastAsia" w:ascii="宋体" w:hAnsi="宋体" w:eastAsia="宋体" w:cs="宋体"/>
                <w:color w:val="auto"/>
                <w:sz w:val="21"/>
                <w:szCs w:val="21"/>
                <w:highlight w:val="none"/>
                <w:lang w:val="zh-CN" w:eastAsia="zh-CN"/>
              </w:rPr>
              <w:t>文件</w:t>
            </w:r>
            <w:r>
              <w:rPr>
                <w:rFonts w:hint="eastAsia" w:ascii="宋体" w:hAnsi="宋体" w:eastAsia="宋体" w:cs="宋体"/>
                <w:color w:val="auto"/>
                <w:sz w:val="21"/>
                <w:szCs w:val="21"/>
                <w:highlight w:val="none"/>
                <w:lang w:val="en-US" w:eastAsia="zh-CN"/>
              </w:rPr>
              <w:t>未</w:t>
            </w:r>
            <w:r>
              <w:rPr>
                <w:rFonts w:hint="eastAsia" w:ascii="宋体" w:hAnsi="宋体" w:eastAsia="宋体" w:cs="宋体"/>
                <w:color w:val="auto"/>
                <w:sz w:val="21"/>
                <w:szCs w:val="21"/>
                <w:highlight w:val="none"/>
                <w:lang w:val="zh-CN" w:eastAsia="zh-CN"/>
              </w:rPr>
              <w:t>提供虚假材料的</w:t>
            </w:r>
            <w:r>
              <w:rPr>
                <w:rFonts w:hint="eastAsia" w:cs="宋体"/>
                <w:color w:val="auto"/>
                <w:sz w:val="21"/>
                <w:szCs w:val="21"/>
                <w:highlight w:val="none"/>
                <w:lang w:val="zh-CN" w:eastAsia="zh-CN"/>
              </w:rPr>
              <w:t>；</w:t>
            </w:r>
          </w:p>
        </w:tc>
        <w:tc>
          <w:tcPr>
            <w:tcW w:w="867" w:type="dxa"/>
            <w:shd w:val="clear" w:color="auto" w:fill="auto"/>
            <w:vAlign w:val="center"/>
          </w:tcPr>
          <w:p w14:paraId="02237302">
            <w:pPr>
              <w:pStyle w:val="51"/>
              <w:rPr>
                <w:rFonts w:hint="eastAsia" w:ascii="宋体" w:hAnsi="宋体" w:eastAsia="宋体" w:cs="宋体"/>
                <w:color w:val="auto"/>
                <w:sz w:val="21"/>
                <w:szCs w:val="21"/>
                <w:highlight w:val="none"/>
                <w:lang w:val="zh-CN"/>
              </w:rPr>
            </w:pPr>
          </w:p>
        </w:tc>
        <w:tc>
          <w:tcPr>
            <w:tcW w:w="1089" w:type="dxa"/>
            <w:shd w:val="clear" w:color="auto" w:fill="auto"/>
            <w:vAlign w:val="center"/>
          </w:tcPr>
          <w:p w14:paraId="33A51CFA">
            <w:pPr>
              <w:pStyle w:val="51"/>
              <w:rPr>
                <w:rFonts w:hint="eastAsia" w:ascii="宋体" w:hAnsi="宋体" w:eastAsia="宋体" w:cs="宋体"/>
                <w:color w:val="auto"/>
                <w:sz w:val="21"/>
                <w:szCs w:val="21"/>
                <w:highlight w:val="none"/>
                <w:lang w:val="zh-CN"/>
              </w:rPr>
            </w:pPr>
          </w:p>
        </w:tc>
      </w:tr>
      <w:tr w14:paraId="20F44E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8" w:hRule="atLeast"/>
        </w:trPr>
        <w:tc>
          <w:tcPr>
            <w:tcW w:w="683" w:type="dxa"/>
            <w:shd w:val="clear" w:color="auto" w:fill="auto"/>
            <w:vAlign w:val="center"/>
          </w:tcPr>
          <w:p w14:paraId="5AB51484">
            <w:pPr>
              <w:pStyle w:val="51"/>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cs="宋体"/>
                <w:color w:val="auto"/>
                <w:kern w:val="2"/>
                <w:sz w:val="21"/>
                <w:szCs w:val="21"/>
                <w:highlight w:val="none"/>
                <w:lang w:val="en-US" w:eastAsia="zh-CN" w:bidi="ar-SA"/>
              </w:rPr>
              <w:t>8</w:t>
            </w:r>
          </w:p>
        </w:tc>
        <w:tc>
          <w:tcPr>
            <w:tcW w:w="1741" w:type="dxa"/>
            <w:vAlign w:val="center"/>
          </w:tcPr>
          <w:p w14:paraId="297CDA7B">
            <w:pPr>
              <w:pStyle w:val="51"/>
              <w:jc w:val="center"/>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en-US" w:eastAsia="zh-CN"/>
              </w:rPr>
              <w:t>影响评审</w:t>
            </w:r>
          </w:p>
        </w:tc>
        <w:tc>
          <w:tcPr>
            <w:tcW w:w="5206" w:type="dxa"/>
            <w:shd w:val="clear" w:color="auto" w:fill="auto"/>
            <w:vAlign w:val="center"/>
          </w:tcPr>
          <w:p w14:paraId="5A1F402F">
            <w:pPr>
              <w:pStyle w:val="51"/>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lang w:val="zh-CN" w:eastAsia="zh-CN"/>
              </w:rPr>
              <w:t>对采购人、采购代理机构、</w:t>
            </w:r>
            <w:r>
              <w:rPr>
                <w:rFonts w:hint="eastAsia" w:cs="宋体"/>
                <w:color w:val="auto"/>
                <w:sz w:val="21"/>
                <w:szCs w:val="21"/>
                <w:highlight w:val="none"/>
                <w:lang w:val="en-US" w:eastAsia="zh-CN"/>
              </w:rPr>
              <w:t>评审</w:t>
            </w:r>
            <w:r>
              <w:rPr>
                <w:rFonts w:hint="eastAsia" w:ascii="宋体" w:hAnsi="宋体" w:eastAsia="宋体" w:cs="宋体"/>
                <w:color w:val="auto"/>
                <w:sz w:val="21"/>
                <w:szCs w:val="21"/>
                <w:highlight w:val="none"/>
                <w:lang w:val="zh-CN" w:eastAsia="zh-CN"/>
              </w:rPr>
              <w:t>小组及其工作人员</w:t>
            </w:r>
            <w:r>
              <w:rPr>
                <w:rFonts w:hint="eastAsia" w:ascii="宋体" w:hAnsi="宋体" w:eastAsia="宋体" w:cs="宋体"/>
                <w:color w:val="auto"/>
                <w:sz w:val="21"/>
                <w:szCs w:val="21"/>
                <w:highlight w:val="none"/>
                <w:lang w:val="en-US" w:eastAsia="zh-CN"/>
              </w:rPr>
              <w:t>未</w:t>
            </w:r>
            <w:r>
              <w:rPr>
                <w:rFonts w:hint="eastAsia" w:ascii="宋体" w:hAnsi="宋体" w:eastAsia="宋体" w:cs="宋体"/>
                <w:color w:val="auto"/>
                <w:sz w:val="21"/>
                <w:szCs w:val="21"/>
                <w:highlight w:val="none"/>
                <w:lang w:val="zh-CN" w:eastAsia="zh-CN"/>
              </w:rPr>
              <w:t>施加影响</w:t>
            </w:r>
            <w:r>
              <w:rPr>
                <w:rFonts w:hint="eastAsia" w:cs="宋体"/>
                <w:color w:val="auto"/>
                <w:sz w:val="21"/>
                <w:szCs w:val="21"/>
                <w:highlight w:val="none"/>
                <w:lang w:val="zh-CN" w:eastAsia="zh-CN"/>
              </w:rPr>
              <w:t>，</w:t>
            </w:r>
            <w:r>
              <w:rPr>
                <w:rFonts w:hint="eastAsia" w:ascii="宋体" w:hAnsi="宋体" w:eastAsia="宋体" w:cs="宋体"/>
                <w:color w:val="auto"/>
                <w:sz w:val="21"/>
                <w:szCs w:val="21"/>
                <w:highlight w:val="none"/>
                <w:lang w:val="en-US" w:eastAsia="zh-CN"/>
              </w:rPr>
              <w:t>无</w:t>
            </w:r>
            <w:r>
              <w:rPr>
                <w:rFonts w:hint="eastAsia" w:ascii="宋体" w:hAnsi="宋体" w:eastAsia="宋体" w:cs="宋体"/>
                <w:color w:val="auto"/>
                <w:sz w:val="21"/>
                <w:szCs w:val="21"/>
                <w:highlight w:val="none"/>
                <w:lang w:val="zh-CN" w:eastAsia="zh-CN"/>
              </w:rPr>
              <w:t>有碍公平、公正</w:t>
            </w:r>
            <w:r>
              <w:rPr>
                <w:rFonts w:hint="eastAsia" w:ascii="宋体" w:hAnsi="宋体" w:eastAsia="宋体" w:cs="宋体"/>
                <w:color w:val="auto"/>
                <w:sz w:val="21"/>
                <w:szCs w:val="21"/>
                <w:highlight w:val="none"/>
                <w:lang w:val="en-US" w:eastAsia="zh-CN"/>
              </w:rPr>
              <w:t>行为的</w:t>
            </w:r>
            <w:r>
              <w:rPr>
                <w:rFonts w:hint="eastAsia" w:cs="宋体"/>
                <w:color w:val="auto"/>
                <w:sz w:val="21"/>
                <w:szCs w:val="21"/>
                <w:highlight w:val="none"/>
                <w:lang w:val="en-US" w:eastAsia="zh-CN"/>
              </w:rPr>
              <w:t>；</w:t>
            </w:r>
          </w:p>
        </w:tc>
        <w:tc>
          <w:tcPr>
            <w:tcW w:w="867" w:type="dxa"/>
            <w:shd w:val="clear" w:color="auto" w:fill="auto"/>
            <w:vAlign w:val="center"/>
          </w:tcPr>
          <w:p w14:paraId="5FEF3A9E">
            <w:pPr>
              <w:pStyle w:val="51"/>
              <w:rPr>
                <w:rFonts w:hint="eastAsia" w:ascii="宋体" w:hAnsi="宋体" w:eastAsia="宋体" w:cs="宋体"/>
                <w:color w:val="auto"/>
                <w:sz w:val="21"/>
                <w:szCs w:val="21"/>
                <w:highlight w:val="none"/>
                <w:lang w:val="zh-CN"/>
              </w:rPr>
            </w:pPr>
          </w:p>
        </w:tc>
        <w:tc>
          <w:tcPr>
            <w:tcW w:w="1089" w:type="dxa"/>
            <w:shd w:val="clear" w:color="auto" w:fill="auto"/>
            <w:vAlign w:val="center"/>
          </w:tcPr>
          <w:p w14:paraId="6E266395">
            <w:pPr>
              <w:pStyle w:val="51"/>
              <w:rPr>
                <w:rFonts w:hint="eastAsia" w:ascii="宋体" w:hAnsi="宋体" w:eastAsia="宋体" w:cs="宋体"/>
                <w:color w:val="auto"/>
                <w:sz w:val="21"/>
                <w:szCs w:val="21"/>
                <w:highlight w:val="none"/>
                <w:lang w:val="zh-CN"/>
              </w:rPr>
            </w:pPr>
          </w:p>
        </w:tc>
      </w:tr>
      <w:tr w14:paraId="799044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683" w:type="dxa"/>
            <w:shd w:val="clear" w:color="auto" w:fill="auto"/>
            <w:vAlign w:val="center"/>
          </w:tcPr>
          <w:p w14:paraId="372774B2">
            <w:pPr>
              <w:pStyle w:val="51"/>
              <w:numPr>
                <w:ilvl w:val="0"/>
                <w:numId w:val="0"/>
              </w:numPr>
              <w:ind w:left="420" w:leftChars="0" w:hanging="420" w:firstLineChars="0"/>
              <w:jc w:val="center"/>
              <w:rPr>
                <w:rFonts w:hint="eastAsia"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9</w:t>
            </w:r>
          </w:p>
        </w:tc>
        <w:tc>
          <w:tcPr>
            <w:tcW w:w="1741" w:type="dxa"/>
            <w:vAlign w:val="center"/>
          </w:tcPr>
          <w:p w14:paraId="3AFCB71D">
            <w:pPr>
              <w:pStyle w:val="51"/>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附加条件</w:t>
            </w:r>
          </w:p>
        </w:tc>
        <w:tc>
          <w:tcPr>
            <w:tcW w:w="5206" w:type="dxa"/>
            <w:shd w:val="clear" w:color="auto" w:fill="auto"/>
            <w:vAlign w:val="center"/>
          </w:tcPr>
          <w:p w14:paraId="78C000C5">
            <w:pPr>
              <w:pStyle w:val="51"/>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投标</w:t>
            </w:r>
            <w:r>
              <w:rPr>
                <w:rFonts w:hint="eastAsia" w:ascii="宋体" w:hAnsi="宋体" w:eastAsia="宋体" w:cs="宋体"/>
                <w:color w:val="auto"/>
                <w:sz w:val="21"/>
                <w:szCs w:val="21"/>
                <w:highlight w:val="none"/>
                <w:lang w:val="en-US" w:eastAsia="zh-CN"/>
              </w:rPr>
              <w:t>文件没有采购人不能接受的附加条件的</w:t>
            </w:r>
            <w:r>
              <w:rPr>
                <w:rFonts w:hint="eastAsia" w:cs="宋体"/>
                <w:color w:val="auto"/>
                <w:sz w:val="21"/>
                <w:szCs w:val="21"/>
                <w:highlight w:val="none"/>
                <w:lang w:val="en-US" w:eastAsia="zh-CN"/>
              </w:rPr>
              <w:t>；</w:t>
            </w:r>
          </w:p>
        </w:tc>
        <w:tc>
          <w:tcPr>
            <w:tcW w:w="867" w:type="dxa"/>
            <w:shd w:val="clear" w:color="auto" w:fill="auto"/>
            <w:vAlign w:val="center"/>
          </w:tcPr>
          <w:p w14:paraId="63F3AF13">
            <w:pPr>
              <w:pStyle w:val="51"/>
              <w:rPr>
                <w:rFonts w:hint="eastAsia" w:ascii="宋体" w:hAnsi="宋体" w:eastAsia="宋体" w:cs="宋体"/>
                <w:color w:val="auto"/>
                <w:sz w:val="21"/>
                <w:szCs w:val="21"/>
                <w:highlight w:val="none"/>
                <w:lang w:val="zh-CN"/>
              </w:rPr>
            </w:pPr>
          </w:p>
        </w:tc>
        <w:tc>
          <w:tcPr>
            <w:tcW w:w="1089" w:type="dxa"/>
            <w:shd w:val="clear" w:color="auto" w:fill="auto"/>
            <w:vAlign w:val="center"/>
          </w:tcPr>
          <w:p w14:paraId="1845256A">
            <w:pPr>
              <w:pStyle w:val="51"/>
              <w:rPr>
                <w:rFonts w:hint="eastAsia" w:ascii="宋体" w:hAnsi="宋体" w:eastAsia="宋体" w:cs="宋体"/>
                <w:color w:val="auto"/>
                <w:sz w:val="21"/>
                <w:szCs w:val="21"/>
                <w:highlight w:val="none"/>
                <w:lang w:val="zh-CN"/>
              </w:rPr>
            </w:pPr>
          </w:p>
        </w:tc>
      </w:tr>
      <w:tr w14:paraId="241370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5" w:hRule="atLeast"/>
        </w:trPr>
        <w:tc>
          <w:tcPr>
            <w:tcW w:w="683" w:type="dxa"/>
            <w:shd w:val="clear" w:color="auto" w:fill="auto"/>
            <w:vAlign w:val="center"/>
          </w:tcPr>
          <w:p w14:paraId="7CE08C86">
            <w:pPr>
              <w:pStyle w:val="51"/>
              <w:numPr>
                <w:ilvl w:val="0"/>
                <w:numId w:val="0"/>
              </w:numPr>
              <w:ind w:left="420" w:leftChars="0" w:hanging="420" w:firstLineChars="0"/>
              <w:jc w:val="center"/>
              <w:rPr>
                <w:rFonts w:hint="default"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10</w:t>
            </w:r>
          </w:p>
        </w:tc>
        <w:tc>
          <w:tcPr>
            <w:tcW w:w="1741" w:type="dxa"/>
            <w:vAlign w:val="center"/>
          </w:tcPr>
          <w:p w14:paraId="40FB7CE1">
            <w:pPr>
              <w:pStyle w:val="51"/>
              <w:jc w:val="center"/>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其他无效情形</w:t>
            </w:r>
          </w:p>
        </w:tc>
        <w:tc>
          <w:tcPr>
            <w:tcW w:w="5206" w:type="dxa"/>
            <w:shd w:val="clear" w:color="auto" w:fill="auto"/>
            <w:vAlign w:val="center"/>
          </w:tcPr>
          <w:p w14:paraId="423D3CC2">
            <w:pPr>
              <w:pStyle w:val="51"/>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未出现</w:t>
            </w:r>
            <w:r>
              <w:rPr>
                <w:rFonts w:hint="eastAsia" w:ascii="宋体" w:hAnsi="宋体" w:eastAsia="宋体" w:cs="宋体"/>
                <w:color w:val="auto"/>
                <w:sz w:val="21"/>
                <w:szCs w:val="21"/>
                <w:highlight w:val="none"/>
                <w:lang w:val="zh-CN" w:eastAsia="zh-CN"/>
              </w:rPr>
              <w:t>法律、法规、规章以及</w:t>
            </w:r>
            <w:r>
              <w:rPr>
                <w:rFonts w:hint="eastAsia" w:cs="宋体"/>
                <w:color w:val="auto"/>
                <w:sz w:val="21"/>
                <w:szCs w:val="21"/>
                <w:highlight w:val="none"/>
                <w:lang w:val="zh-CN" w:eastAsia="zh-CN"/>
              </w:rPr>
              <w:t>招标</w:t>
            </w:r>
            <w:r>
              <w:rPr>
                <w:rFonts w:hint="eastAsia" w:cs="宋体"/>
                <w:color w:val="auto"/>
                <w:sz w:val="21"/>
                <w:szCs w:val="21"/>
                <w:highlight w:val="none"/>
                <w:lang w:val="en-US" w:eastAsia="zh-CN"/>
              </w:rPr>
              <w:t>文件</w:t>
            </w:r>
            <w:r>
              <w:rPr>
                <w:rFonts w:hint="eastAsia" w:ascii="宋体" w:hAnsi="宋体" w:eastAsia="宋体" w:cs="宋体"/>
                <w:color w:val="auto"/>
                <w:sz w:val="21"/>
                <w:szCs w:val="21"/>
                <w:highlight w:val="none"/>
                <w:lang w:val="zh-CN" w:eastAsia="zh-CN"/>
              </w:rPr>
              <w:t>规定属于</w:t>
            </w:r>
            <w:r>
              <w:rPr>
                <w:rFonts w:hint="eastAsia" w:cs="宋体"/>
                <w:color w:val="auto"/>
                <w:sz w:val="21"/>
                <w:szCs w:val="21"/>
                <w:highlight w:val="none"/>
                <w:lang w:val="en-US" w:eastAsia="zh-CN"/>
              </w:rPr>
              <w:t>投标</w:t>
            </w:r>
            <w:r>
              <w:rPr>
                <w:rFonts w:hint="eastAsia" w:ascii="宋体" w:hAnsi="宋体" w:eastAsia="宋体" w:cs="宋体"/>
                <w:color w:val="auto"/>
                <w:sz w:val="21"/>
                <w:szCs w:val="21"/>
                <w:highlight w:val="none"/>
                <w:lang w:val="zh-CN" w:eastAsia="zh-CN"/>
              </w:rPr>
              <w:t>无效的其他情形。</w:t>
            </w:r>
          </w:p>
        </w:tc>
        <w:tc>
          <w:tcPr>
            <w:tcW w:w="867" w:type="dxa"/>
            <w:shd w:val="clear" w:color="auto" w:fill="auto"/>
            <w:vAlign w:val="center"/>
          </w:tcPr>
          <w:p w14:paraId="7E15A721">
            <w:pPr>
              <w:pStyle w:val="51"/>
              <w:rPr>
                <w:rFonts w:hint="eastAsia" w:ascii="宋体" w:hAnsi="宋体" w:eastAsia="宋体" w:cs="宋体"/>
                <w:color w:val="auto"/>
                <w:sz w:val="21"/>
                <w:szCs w:val="21"/>
                <w:highlight w:val="none"/>
                <w:lang w:val="zh-CN"/>
              </w:rPr>
            </w:pPr>
          </w:p>
        </w:tc>
        <w:tc>
          <w:tcPr>
            <w:tcW w:w="1089" w:type="dxa"/>
            <w:shd w:val="clear" w:color="auto" w:fill="auto"/>
            <w:vAlign w:val="center"/>
          </w:tcPr>
          <w:p w14:paraId="359BD666">
            <w:pPr>
              <w:pStyle w:val="51"/>
              <w:rPr>
                <w:rFonts w:hint="eastAsia" w:ascii="宋体" w:hAnsi="宋体" w:eastAsia="宋体" w:cs="宋体"/>
                <w:color w:val="auto"/>
                <w:sz w:val="21"/>
                <w:szCs w:val="21"/>
                <w:highlight w:val="none"/>
                <w:lang w:val="zh-CN"/>
              </w:rPr>
            </w:pPr>
          </w:p>
        </w:tc>
      </w:tr>
      <w:tr w14:paraId="498E77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8" w:hRule="atLeast"/>
        </w:trPr>
        <w:tc>
          <w:tcPr>
            <w:tcW w:w="2424" w:type="dxa"/>
            <w:gridSpan w:val="2"/>
            <w:shd w:val="clear" w:color="auto" w:fill="auto"/>
            <w:vAlign w:val="center"/>
          </w:tcPr>
          <w:p w14:paraId="613C9267">
            <w:pPr>
              <w:pStyle w:val="51"/>
              <w:jc w:val="center"/>
              <w:rPr>
                <w:rFonts w:hint="eastAsia" w:ascii="宋体" w:hAnsi="宋体" w:eastAsia="宋体" w:cs="宋体"/>
                <w:color w:val="auto"/>
                <w:sz w:val="21"/>
                <w:szCs w:val="21"/>
                <w:highlight w:val="none"/>
                <w:lang w:val="zh-CN"/>
              </w:rPr>
            </w:pPr>
            <w:r>
              <w:rPr>
                <w:rFonts w:hint="eastAsia" w:cs="宋体"/>
                <w:color w:val="auto"/>
                <w:sz w:val="21"/>
                <w:szCs w:val="21"/>
                <w:highlight w:val="none"/>
                <w:lang w:val="zh-CN"/>
              </w:rPr>
              <w:t>结论</w:t>
            </w:r>
          </w:p>
        </w:tc>
        <w:tc>
          <w:tcPr>
            <w:tcW w:w="5206" w:type="dxa"/>
            <w:shd w:val="clear" w:color="auto" w:fill="auto"/>
            <w:vAlign w:val="center"/>
          </w:tcPr>
          <w:p w14:paraId="4B2886A9">
            <w:pPr>
              <w:pStyle w:val="51"/>
              <w:rPr>
                <w:rFonts w:hint="eastAsia" w:ascii="宋体" w:hAnsi="宋体" w:eastAsia="宋体" w:cs="宋体"/>
                <w:color w:val="auto"/>
                <w:sz w:val="21"/>
                <w:szCs w:val="21"/>
                <w:highlight w:val="none"/>
                <w:lang w:val="zh-CN" w:eastAsia="zh-CN"/>
              </w:rPr>
            </w:pPr>
          </w:p>
        </w:tc>
        <w:tc>
          <w:tcPr>
            <w:tcW w:w="867" w:type="dxa"/>
            <w:shd w:val="clear" w:color="auto" w:fill="auto"/>
            <w:vAlign w:val="center"/>
          </w:tcPr>
          <w:p w14:paraId="35C5D188">
            <w:pPr>
              <w:pStyle w:val="51"/>
              <w:rPr>
                <w:rFonts w:hint="eastAsia" w:ascii="宋体" w:hAnsi="宋体" w:eastAsia="宋体" w:cs="宋体"/>
                <w:color w:val="auto"/>
                <w:sz w:val="21"/>
                <w:szCs w:val="21"/>
                <w:highlight w:val="none"/>
                <w:lang w:val="zh-CN"/>
              </w:rPr>
            </w:pPr>
          </w:p>
        </w:tc>
        <w:tc>
          <w:tcPr>
            <w:tcW w:w="1089" w:type="dxa"/>
            <w:shd w:val="clear" w:color="auto" w:fill="auto"/>
            <w:vAlign w:val="center"/>
          </w:tcPr>
          <w:p w14:paraId="6FE4F8F1">
            <w:pPr>
              <w:pStyle w:val="51"/>
              <w:rPr>
                <w:rFonts w:hint="eastAsia" w:ascii="宋体" w:hAnsi="宋体" w:eastAsia="宋体" w:cs="宋体"/>
                <w:color w:val="auto"/>
                <w:sz w:val="21"/>
                <w:szCs w:val="21"/>
                <w:highlight w:val="none"/>
                <w:lang w:val="zh-CN"/>
              </w:rPr>
            </w:pPr>
          </w:p>
        </w:tc>
      </w:tr>
    </w:tbl>
    <w:p w14:paraId="26D48F81">
      <w:pPr>
        <w:pStyle w:val="36"/>
        <w:rPr>
          <w:rFonts w:hint="eastAsi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5DE0BB1">
      <w:pPr>
        <w:pStyle w:val="4"/>
        <w:keepNext w:val="0"/>
        <w:keepLines w:val="0"/>
        <w:pageBreakBefore w:val="0"/>
        <w:widowControl w:val="0"/>
        <w:numPr>
          <w:ilvl w:val="0"/>
          <w:numId w:val="9"/>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304" w:name="_Toc155185917"/>
      <w:bookmarkStart w:id="305" w:name="_Toc163492910"/>
      <w:r>
        <w:rPr>
          <w:rFonts w:hint="eastAsia" w:ascii="宋体" w:hAnsi="宋体" w:eastAsia="宋体" w:cs="宋体"/>
          <w:b/>
          <w:bCs/>
          <w:color w:val="auto"/>
          <w:kern w:val="2"/>
          <w:sz w:val="24"/>
          <w:szCs w:val="24"/>
          <w:highlight w:val="none"/>
          <w:lang w:val="zh-CN" w:eastAsia="zh-CN" w:bidi="ar-SA"/>
        </w:rPr>
        <w:t>评分标准</w:t>
      </w:r>
      <w:bookmarkEnd w:id="304"/>
      <w:bookmarkEnd w:id="305"/>
    </w:p>
    <w:p w14:paraId="23A7C9A0">
      <w:pPr>
        <w:numPr>
          <w:ilvl w:val="0"/>
          <w:numId w:val="0"/>
        </w:numPr>
        <w:jc w:val="center"/>
        <w:rPr>
          <w:rFonts w:hint="eastAsia"/>
          <w:lang w:val="zh-CN" w:eastAsia="zh-CN"/>
        </w:rPr>
      </w:pPr>
      <w:r>
        <w:rPr>
          <w:rFonts w:hint="eastAsia"/>
          <w:b/>
          <w:bCs/>
          <w:lang w:val="zh-CN" w:eastAsia="zh-CN"/>
        </w:rPr>
        <w:t>标项一评分标准</w:t>
      </w:r>
    </w:p>
    <w:tbl>
      <w:tblPr>
        <w:tblStyle w:val="30"/>
        <w:tblW w:w="99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0"/>
        <w:gridCol w:w="1110"/>
        <w:gridCol w:w="7020"/>
        <w:gridCol w:w="762"/>
      </w:tblGrid>
      <w:tr w14:paraId="099546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jc w:val="center"/>
        </w:trPr>
        <w:tc>
          <w:tcPr>
            <w:tcW w:w="1080" w:type="dxa"/>
            <w:noWrap w:val="0"/>
            <w:tcMar>
              <w:top w:w="15" w:type="dxa"/>
              <w:left w:w="15" w:type="dxa"/>
              <w:right w:w="15" w:type="dxa"/>
            </w:tcMar>
            <w:vAlign w:val="center"/>
          </w:tcPr>
          <w:p w14:paraId="5ED2673A">
            <w:pPr>
              <w:widowControl/>
              <w:spacing w:line="240" w:lineRule="auto"/>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评分因素</w:t>
            </w:r>
          </w:p>
          <w:p w14:paraId="2ACAED2B">
            <w:pPr>
              <w:widowControl/>
              <w:spacing w:line="240" w:lineRule="auto"/>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及权重</w:t>
            </w:r>
          </w:p>
        </w:tc>
        <w:tc>
          <w:tcPr>
            <w:tcW w:w="1110" w:type="dxa"/>
            <w:noWrap w:val="0"/>
            <w:tcMar>
              <w:top w:w="15" w:type="dxa"/>
              <w:left w:w="15" w:type="dxa"/>
              <w:right w:w="15" w:type="dxa"/>
            </w:tcMar>
            <w:vAlign w:val="center"/>
          </w:tcPr>
          <w:p w14:paraId="02F313FE">
            <w:pPr>
              <w:widowControl/>
              <w:spacing w:line="240" w:lineRule="auto"/>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评标因素</w:t>
            </w:r>
          </w:p>
        </w:tc>
        <w:tc>
          <w:tcPr>
            <w:tcW w:w="7020" w:type="dxa"/>
            <w:noWrap w:val="0"/>
            <w:tcMar>
              <w:top w:w="15" w:type="dxa"/>
              <w:left w:w="15" w:type="dxa"/>
              <w:right w:w="15" w:type="dxa"/>
            </w:tcMar>
            <w:vAlign w:val="center"/>
          </w:tcPr>
          <w:p w14:paraId="755ECB01">
            <w:pPr>
              <w:widowControl/>
              <w:spacing w:line="240" w:lineRule="auto"/>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评分标准</w:t>
            </w:r>
          </w:p>
        </w:tc>
        <w:tc>
          <w:tcPr>
            <w:tcW w:w="762" w:type="dxa"/>
            <w:noWrap w:val="0"/>
            <w:tcMar>
              <w:top w:w="15" w:type="dxa"/>
              <w:left w:w="15" w:type="dxa"/>
              <w:right w:w="15" w:type="dxa"/>
            </w:tcMar>
            <w:vAlign w:val="center"/>
          </w:tcPr>
          <w:p w14:paraId="1A20722C">
            <w:pPr>
              <w:widowControl/>
              <w:spacing w:line="240" w:lineRule="auto"/>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分值</w:t>
            </w:r>
          </w:p>
        </w:tc>
      </w:tr>
      <w:tr w14:paraId="6AAA11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080" w:type="dxa"/>
            <w:noWrap w:val="0"/>
            <w:tcMar>
              <w:top w:w="15" w:type="dxa"/>
              <w:left w:w="15" w:type="dxa"/>
              <w:right w:w="15" w:type="dxa"/>
            </w:tcMar>
            <w:vAlign w:val="center"/>
          </w:tcPr>
          <w:p w14:paraId="66C15296">
            <w:pPr>
              <w:widowControl/>
              <w:spacing w:line="240" w:lineRule="auto"/>
              <w:jc w:val="center"/>
              <w:textAlignment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价格部分（3</w:t>
            </w:r>
            <w:r>
              <w:rPr>
                <w:rFonts w:hint="eastAsia" w:ascii="宋体" w:hAnsi="宋体" w:eastAsia="宋体" w:cs="宋体"/>
                <w:kern w:val="0"/>
                <w:sz w:val="24"/>
                <w:szCs w:val="24"/>
                <w:highlight w:val="none"/>
                <w:lang w:val="en-US" w:eastAsia="zh-CN"/>
              </w:rPr>
              <w:t>0</w:t>
            </w:r>
            <w:r>
              <w:rPr>
                <w:rFonts w:hint="eastAsia" w:ascii="宋体" w:hAnsi="宋体" w:eastAsia="宋体" w:cs="宋体"/>
                <w:kern w:val="0"/>
                <w:sz w:val="24"/>
                <w:szCs w:val="24"/>
                <w:highlight w:val="none"/>
              </w:rPr>
              <w:t>分）</w:t>
            </w:r>
          </w:p>
        </w:tc>
        <w:tc>
          <w:tcPr>
            <w:tcW w:w="1110" w:type="dxa"/>
            <w:noWrap w:val="0"/>
            <w:tcMar>
              <w:top w:w="15" w:type="dxa"/>
              <w:left w:w="15" w:type="dxa"/>
              <w:right w:w="15" w:type="dxa"/>
            </w:tcMar>
            <w:vAlign w:val="center"/>
          </w:tcPr>
          <w:p w14:paraId="1E52A0E9">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投标报价</w:t>
            </w:r>
          </w:p>
        </w:tc>
        <w:tc>
          <w:tcPr>
            <w:tcW w:w="7020" w:type="dxa"/>
            <w:noWrap w:val="0"/>
            <w:tcMar>
              <w:top w:w="15" w:type="dxa"/>
              <w:left w:w="15" w:type="dxa"/>
              <w:right w:w="15" w:type="dxa"/>
            </w:tcMar>
            <w:vAlign w:val="center"/>
          </w:tcPr>
          <w:p w14:paraId="587214C6">
            <w:pPr>
              <w:widowControl/>
              <w:spacing w:line="240" w:lineRule="auto"/>
              <w:textAlignment w:val="center"/>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rPr>
              <w:t>综合评分法中的价格分统一采用低价优先法计算，即满足招标文件要求且投标价格最低的投标报价为评标基准价，其价格分为满分3</w:t>
            </w:r>
            <w:r>
              <w:rPr>
                <w:rFonts w:hint="eastAsia" w:ascii="宋体" w:hAnsi="宋体" w:eastAsia="宋体" w:cs="宋体"/>
                <w:kern w:val="0"/>
                <w:sz w:val="24"/>
                <w:szCs w:val="24"/>
                <w:highlight w:val="none"/>
                <w:lang w:val="en-US" w:eastAsia="zh-CN"/>
              </w:rPr>
              <w:t>0</w:t>
            </w:r>
            <w:r>
              <w:rPr>
                <w:rFonts w:hint="eastAsia" w:ascii="宋体" w:hAnsi="宋体" w:eastAsia="宋体" w:cs="宋体"/>
                <w:kern w:val="0"/>
                <w:sz w:val="24"/>
                <w:szCs w:val="24"/>
                <w:highlight w:val="none"/>
              </w:rPr>
              <w:t>分，其它投标报价得分=评标基准价/投标报价*3</w:t>
            </w:r>
            <w:r>
              <w:rPr>
                <w:rFonts w:hint="eastAsia" w:ascii="宋体" w:hAnsi="宋体" w:eastAsia="宋体" w:cs="宋体"/>
                <w:kern w:val="0"/>
                <w:sz w:val="24"/>
                <w:szCs w:val="24"/>
                <w:highlight w:val="none"/>
                <w:lang w:val="en-US" w:eastAsia="zh-CN"/>
              </w:rPr>
              <w:t>0</w:t>
            </w:r>
          </w:p>
        </w:tc>
        <w:tc>
          <w:tcPr>
            <w:tcW w:w="762" w:type="dxa"/>
            <w:noWrap w:val="0"/>
            <w:tcMar>
              <w:top w:w="15" w:type="dxa"/>
              <w:left w:w="15" w:type="dxa"/>
              <w:right w:w="15" w:type="dxa"/>
            </w:tcMar>
            <w:vAlign w:val="center"/>
          </w:tcPr>
          <w:p w14:paraId="068A8C94">
            <w:pPr>
              <w:widowControl/>
              <w:spacing w:line="240" w:lineRule="auto"/>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highlight w:val="none"/>
                <w:lang w:val="en-US" w:eastAsia="zh-CN"/>
              </w:rPr>
              <w:t>30</w:t>
            </w:r>
          </w:p>
        </w:tc>
      </w:tr>
      <w:tr w14:paraId="49D95A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1080" w:type="dxa"/>
            <w:vMerge w:val="restart"/>
            <w:noWrap w:val="0"/>
            <w:tcMar>
              <w:top w:w="15" w:type="dxa"/>
              <w:left w:w="15" w:type="dxa"/>
              <w:right w:w="15" w:type="dxa"/>
            </w:tcMar>
            <w:vAlign w:val="center"/>
          </w:tcPr>
          <w:p w14:paraId="109BC2F1">
            <w:pPr>
              <w:widowControl/>
              <w:spacing w:line="240" w:lineRule="auto"/>
              <w:jc w:val="center"/>
              <w:textAlignment w:val="center"/>
              <w:rPr>
                <w:rFonts w:hint="eastAsia" w:ascii="宋体" w:hAnsi="宋体" w:eastAsia="宋体" w:cs="宋体"/>
                <w:kern w:val="0"/>
                <w:sz w:val="24"/>
                <w:szCs w:val="24"/>
                <w:highlight w:val="none"/>
              </w:rPr>
            </w:pPr>
          </w:p>
          <w:p w14:paraId="23AB5BCF">
            <w:pPr>
              <w:widowControl/>
              <w:spacing w:line="240" w:lineRule="auto"/>
              <w:jc w:val="center"/>
              <w:textAlignment w:val="center"/>
              <w:rPr>
                <w:rFonts w:hint="eastAsia" w:ascii="宋体" w:hAnsi="宋体" w:eastAsia="宋体" w:cs="宋体"/>
                <w:kern w:val="0"/>
                <w:sz w:val="24"/>
                <w:szCs w:val="24"/>
                <w:highlight w:val="none"/>
              </w:rPr>
            </w:pPr>
          </w:p>
          <w:p w14:paraId="251CA8EC">
            <w:pPr>
              <w:widowControl/>
              <w:spacing w:line="240" w:lineRule="auto"/>
              <w:jc w:val="center"/>
              <w:textAlignment w:val="center"/>
              <w:rPr>
                <w:rFonts w:hint="eastAsia" w:ascii="宋体" w:hAnsi="宋体" w:eastAsia="宋体" w:cs="宋体"/>
                <w:kern w:val="0"/>
                <w:sz w:val="24"/>
                <w:szCs w:val="24"/>
                <w:highlight w:val="none"/>
              </w:rPr>
            </w:pPr>
          </w:p>
          <w:p w14:paraId="7F536155">
            <w:pPr>
              <w:widowControl/>
              <w:spacing w:line="240" w:lineRule="auto"/>
              <w:jc w:val="center"/>
              <w:textAlignment w:val="center"/>
              <w:rPr>
                <w:rFonts w:hint="eastAsia" w:ascii="宋体" w:hAnsi="宋体" w:eastAsia="宋体" w:cs="宋体"/>
                <w:kern w:val="0"/>
                <w:sz w:val="24"/>
                <w:szCs w:val="24"/>
                <w:highlight w:val="none"/>
              </w:rPr>
            </w:pPr>
          </w:p>
          <w:p w14:paraId="4D37E5F1">
            <w:pPr>
              <w:widowControl/>
              <w:spacing w:line="240" w:lineRule="auto"/>
              <w:jc w:val="center"/>
              <w:textAlignment w:val="center"/>
              <w:rPr>
                <w:rFonts w:hint="eastAsia" w:ascii="宋体" w:hAnsi="宋体" w:eastAsia="宋体" w:cs="宋体"/>
                <w:kern w:val="0"/>
                <w:sz w:val="24"/>
                <w:szCs w:val="24"/>
                <w:highlight w:val="none"/>
              </w:rPr>
            </w:pPr>
          </w:p>
          <w:p w14:paraId="74B9507F">
            <w:pPr>
              <w:widowControl/>
              <w:spacing w:line="240" w:lineRule="auto"/>
              <w:jc w:val="center"/>
              <w:textAlignment w:val="center"/>
              <w:rPr>
                <w:rFonts w:hint="eastAsia" w:ascii="宋体" w:hAnsi="宋体" w:eastAsia="宋体" w:cs="宋体"/>
                <w:kern w:val="0"/>
                <w:sz w:val="24"/>
                <w:szCs w:val="24"/>
                <w:highlight w:val="none"/>
              </w:rPr>
            </w:pPr>
          </w:p>
          <w:p w14:paraId="3BB6871C">
            <w:pPr>
              <w:widowControl/>
              <w:spacing w:line="240" w:lineRule="auto"/>
              <w:jc w:val="center"/>
              <w:textAlignment w:val="center"/>
              <w:rPr>
                <w:rFonts w:hint="eastAsia" w:ascii="宋体" w:hAnsi="宋体" w:eastAsia="宋体" w:cs="宋体"/>
                <w:kern w:val="0"/>
                <w:sz w:val="24"/>
                <w:szCs w:val="24"/>
                <w:highlight w:val="none"/>
              </w:rPr>
            </w:pPr>
          </w:p>
          <w:p w14:paraId="0CAE4DB4">
            <w:pPr>
              <w:widowControl/>
              <w:spacing w:line="240" w:lineRule="auto"/>
              <w:jc w:val="center"/>
              <w:textAlignment w:val="center"/>
              <w:rPr>
                <w:rFonts w:hint="eastAsia" w:ascii="宋体" w:hAnsi="宋体" w:eastAsia="宋体" w:cs="宋体"/>
                <w:kern w:val="0"/>
                <w:sz w:val="24"/>
                <w:szCs w:val="24"/>
                <w:highlight w:val="none"/>
              </w:rPr>
            </w:pPr>
          </w:p>
          <w:p w14:paraId="1796E07E">
            <w:pPr>
              <w:widowControl/>
              <w:spacing w:line="240" w:lineRule="auto"/>
              <w:jc w:val="center"/>
              <w:textAlignment w:val="center"/>
              <w:rPr>
                <w:rFonts w:hint="eastAsia" w:ascii="宋体" w:hAnsi="宋体" w:eastAsia="宋体" w:cs="宋体"/>
                <w:kern w:val="0"/>
                <w:sz w:val="24"/>
                <w:szCs w:val="24"/>
                <w:highlight w:val="none"/>
              </w:rPr>
            </w:pPr>
          </w:p>
          <w:p w14:paraId="113FB9B5">
            <w:pPr>
              <w:widowControl/>
              <w:spacing w:line="240" w:lineRule="auto"/>
              <w:jc w:val="center"/>
              <w:textAlignment w:val="center"/>
              <w:rPr>
                <w:rFonts w:hint="eastAsia" w:ascii="宋体" w:hAnsi="宋体" w:eastAsia="宋体" w:cs="宋体"/>
                <w:kern w:val="0"/>
                <w:sz w:val="24"/>
                <w:szCs w:val="24"/>
                <w:highlight w:val="none"/>
              </w:rPr>
            </w:pPr>
          </w:p>
          <w:p w14:paraId="2367EEB3">
            <w:pPr>
              <w:widowControl/>
              <w:spacing w:line="240" w:lineRule="auto"/>
              <w:jc w:val="center"/>
              <w:textAlignment w:val="center"/>
              <w:rPr>
                <w:rFonts w:hint="eastAsia" w:ascii="宋体" w:hAnsi="宋体" w:eastAsia="宋体" w:cs="宋体"/>
                <w:kern w:val="0"/>
                <w:sz w:val="24"/>
                <w:szCs w:val="24"/>
                <w:highlight w:val="none"/>
              </w:rPr>
            </w:pPr>
          </w:p>
          <w:p w14:paraId="7486EB4E">
            <w:pPr>
              <w:widowControl/>
              <w:spacing w:line="240" w:lineRule="auto"/>
              <w:jc w:val="center"/>
              <w:textAlignment w:val="center"/>
              <w:rPr>
                <w:rFonts w:hint="eastAsia" w:ascii="宋体" w:hAnsi="宋体" w:eastAsia="宋体" w:cs="宋体"/>
                <w:kern w:val="0"/>
                <w:sz w:val="24"/>
                <w:szCs w:val="24"/>
                <w:highlight w:val="none"/>
              </w:rPr>
            </w:pPr>
          </w:p>
          <w:p w14:paraId="0C6A78C8">
            <w:pPr>
              <w:widowControl/>
              <w:spacing w:line="240" w:lineRule="auto"/>
              <w:jc w:val="center"/>
              <w:textAlignment w:val="center"/>
              <w:rPr>
                <w:rFonts w:hint="eastAsia" w:ascii="宋体" w:hAnsi="宋体" w:eastAsia="宋体" w:cs="宋体"/>
                <w:kern w:val="0"/>
                <w:sz w:val="24"/>
                <w:szCs w:val="24"/>
                <w:highlight w:val="none"/>
              </w:rPr>
            </w:pPr>
          </w:p>
          <w:p w14:paraId="442A12FA">
            <w:pPr>
              <w:widowControl/>
              <w:spacing w:line="240" w:lineRule="auto"/>
              <w:jc w:val="center"/>
              <w:textAlignment w:val="center"/>
              <w:rPr>
                <w:rFonts w:hint="eastAsia" w:ascii="宋体" w:hAnsi="宋体" w:eastAsia="宋体" w:cs="宋体"/>
                <w:kern w:val="0"/>
                <w:sz w:val="24"/>
                <w:szCs w:val="24"/>
                <w:highlight w:val="none"/>
              </w:rPr>
            </w:pPr>
          </w:p>
          <w:p w14:paraId="176D475E">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技术和商务部分</w:t>
            </w:r>
          </w:p>
          <w:p w14:paraId="337F9A8B">
            <w:pPr>
              <w:widowControl/>
              <w:spacing w:line="240" w:lineRule="auto"/>
              <w:jc w:val="center"/>
              <w:textAlignment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val="en-US" w:eastAsia="zh-CN"/>
              </w:rPr>
              <w:t>70</w:t>
            </w:r>
            <w:r>
              <w:rPr>
                <w:rFonts w:hint="eastAsia" w:ascii="宋体" w:hAnsi="宋体" w:eastAsia="宋体" w:cs="宋体"/>
                <w:kern w:val="0"/>
                <w:sz w:val="24"/>
                <w:szCs w:val="24"/>
                <w:highlight w:val="none"/>
              </w:rPr>
              <w:t>分）</w:t>
            </w:r>
          </w:p>
        </w:tc>
        <w:tc>
          <w:tcPr>
            <w:tcW w:w="1110" w:type="dxa"/>
            <w:noWrap w:val="0"/>
            <w:tcMar>
              <w:top w:w="15" w:type="dxa"/>
              <w:left w:w="15" w:type="dxa"/>
              <w:right w:w="15" w:type="dxa"/>
            </w:tcMar>
            <w:vAlign w:val="center"/>
          </w:tcPr>
          <w:p w14:paraId="6260C48E">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sz w:val="24"/>
                <w:szCs w:val="24"/>
                <w:highlight w:val="none"/>
              </w:rPr>
              <w:t>业绩证明</w:t>
            </w:r>
          </w:p>
        </w:tc>
        <w:tc>
          <w:tcPr>
            <w:tcW w:w="7020" w:type="dxa"/>
            <w:noWrap w:val="0"/>
            <w:tcMar>
              <w:top w:w="15" w:type="dxa"/>
              <w:left w:w="15" w:type="dxa"/>
              <w:right w:w="15" w:type="dxa"/>
            </w:tcMar>
            <w:vAlign w:val="center"/>
          </w:tcPr>
          <w:p w14:paraId="70BE104A">
            <w:pPr>
              <w:widowControl/>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投标人近三年内（20</w:t>
            </w:r>
            <w:r>
              <w:rPr>
                <w:rFonts w:hint="eastAsia" w:ascii="宋体" w:hAnsi="宋体" w:eastAsia="宋体" w:cs="宋体"/>
                <w:sz w:val="24"/>
                <w:szCs w:val="24"/>
                <w:highlight w:val="none"/>
                <w:lang w:val="en-US" w:eastAsia="zh-CN"/>
              </w:rPr>
              <w:t>2</w:t>
            </w:r>
            <w:r>
              <w:rPr>
                <w:rFonts w:hint="eastAsia" w:cs="宋体"/>
                <w:sz w:val="24"/>
                <w:szCs w:val="24"/>
                <w:highlight w:val="none"/>
                <w:lang w:val="en-US" w:eastAsia="zh-CN"/>
              </w:rPr>
              <w:t>3</w:t>
            </w:r>
            <w:r>
              <w:rPr>
                <w:rFonts w:hint="eastAsia" w:ascii="宋体" w:hAnsi="宋体" w:eastAsia="宋体" w:cs="宋体"/>
                <w:sz w:val="24"/>
                <w:szCs w:val="24"/>
                <w:highlight w:val="none"/>
              </w:rPr>
              <w:t>年</w:t>
            </w:r>
            <w:r>
              <w:rPr>
                <w:rFonts w:hint="eastAsia" w:cs="宋体"/>
                <w:sz w:val="24"/>
                <w:szCs w:val="24"/>
                <w:highlight w:val="none"/>
                <w:lang w:val="en-US" w:eastAsia="zh-CN"/>
              </w:rPr>
              <w:t>5</w:t>
            </w:r>
            <w:r>
              <w:rPr>
                <w:rFonts w:hint="eastAsia" w:ascii="宋体" w:hAnsi="宋体" w:eastAsia="宋体" w:cs="宋体"/>
                <w:sz w:val="24"/>
                <w:szCs w:val="24"/>
                <w:highlight w:val="none"/>
              </w:rPr>
              <w:t>月1日起至今，以合同签订日期为准）完成类似项目的业绩，每个项目业绩得</w:t>
            </w:r>
            <w:r>
              <w:rPr>
                <w:rFonts w:hint="eastAsia" w:cs="宋体"/>
                <w:sz w:val="24"/>
                <w:szCs w:val="24"/>
                <w:highlight w:val="none"/>
                <w:lang w:val="en-US" w:eastAsia="zh-CN"/>
              </w:rPr>
              <w:t>1</w:t>
            </w:r>
            <w:r>
              <w:rPr>
                <w:rFonts w:hint="eastAsia" w:ascii="宋体" w:hAnsi="宋体" w:eastAsia="宋体" w:cs="宋体"/>
                <w:sz w:val="24"/>
                <w:szCs w:val="24"/>
                <w:highlight w:val="none"/>
              </w:rPr>
              <w:t>分，最多得</w:t>
            </w:r>
            <w:r>
              <w:rPr>
                <w:rFonts w:hint="eastAsia" w:cs="宋体"/>
                <w:sz w:val="24"/>
                <w:szCs w:val="24"/>
                <w:highlight w:val="none"/>
                <w:lang w:val="en-US" w:eastAsia="zh-CN"/>
              </w:rPr>
              <w:t>5</w:t>
            </w:r>
            <w:r>
              <w:rPr>
                <w:rFonts w:hint="eastAsia" w:ascii="宋体" w:hAnsi="宋体" w:eastAsia="宋体" w:cs="宋体"/>
                <w:sz w:val="24"/>
                <w:szCs w:val="24"/>
                <w:highlight w:val="none"/>
              </w:rPr>
              <w:t>分。</w:t>
            </w:r>
          </w:p>
          <w:p w14:paraId="21DBCEFB">
            <w:pPr>
              <w:widowControl/>
              <w:spacing w:line="240" w:lineRule="auto"/>
              <w:textAlignment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w:t>
            </w:r>
            <w:r>
              <w:rPr>
                <w:rFonts w:hint="eastAsia" w:ascii="宋体" w:hAnsi="宋体" w:eastAsia="宋体" w:cs="宋体"/>
                <w:b/>
                <w:bCs/>
                <w:sz w:val="24"/>
                <w:szCs w:val="24"/>
                <w:highlight w:val="none"/>
                <w:lang w:val="en-US" w:eastAsia="zh-CN"/>
              </w:rPr>
              <w:t>业绩证明材料为合同或中标通知书；合同需提供包含合同首页、标的内容及金额所在页、合同签字盖章页等关键页即可，需加盖公章。合同关键处不得遮挡涂黑，日期清晰明确。若提供业绩证明材料为中标通知书的，需提供中标通知书复印件，并加盖公章</w:t>
            </w:r>
            <w:r>
              <w:rPr>
                <w:rFonts w:hint="eastAsia" w:ascii="宋体" w:hAnsi="宋体" w:eastAsia="宋体" w:cs="宋体"/>
                <w:b/>
                <w:bCs/>
                <w:sz w:val="24"/>
                <w:szCs w:val="24"/>
                <w:highlight w:val="none"/>
              </w:rPr>
              <w:t>。</w:t>
            </w:r>
          </w:p>
        </w:tc>
        <w:tc>
          <w:tcPr>
            <w:tcW w:w="762" w:type="dxa"/>
            <w:noWrap w:val="0"/>
            <w:tcMar>
              <w:top w:w="15" w:type="dxa"/>
              <w:left w:w="15" w:type="dxa"/>
              <w:right w:w="15" w:type="dxa"/>
            </w:tcMar>
            <w:vAlign w:val="center"/>
          </w:tcPr>
          <w:p w14:paraId="5AFD13E8">
            <w:pPr>
              <w:widowControl/>
              <w:spacing w:line="240" w:lineRule="auto"/>
              <w:jc w:val="center"/>
              <w:textAlignment w:val="center"/>
              <w:rPr>
                <w:rFonts w:hint="eastAsia" w:cs="宋体"/>
                <w:kern w:val="0"/>
                <w:sz w:val="24"/>
                <w:szCs w:val="24"/>
                <w:highlight w:val="none"/>
                <w:lang w:val="en-US" w:eastAsia="zh-CN"/>
              </w:rPr>
            </w:pPr>
            <w:r>
              <w:rPr>
                <w:rFonts w:hint="eastAsia" w:cs="宋体"/>
                <w:kern w:val="0"/>
                <w:sz w:val="24"/>
                <w:szCs w:val="24"/>
                <w:highlight w:val="none"/>
                <w:lang w:val="en-US" w:eastAsia="zh-CN"/>
              </w:rPr>
              <w:t>5</w:t>
            </w:r>
          </w:p>
        </w:tc>
      </w:tr>
      <w:tr w14:paraId="44A4AE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1080" w:type="dxa"/>
            <w:vMerge w:val="continue"/>
            <w:noWrap w:val="0"/>
            <w:tcMar>
              <w:top w:w="15" w:type="dxa"/>
              <w:left w:w="15" w:type="dxa"/>
              <w:right w:w="15" w:type="dxa"/>
            </w:tcMar>
            <w:vAlign w:val="center"/>
          </w:tcPr>
          <w:p w14:paraId="42374978">
            <w:pPr>
              <w:widowControl/>
              <w:spacing w:line="240" w:lineRule="auto"/>
              <w:jc w:val="center"/>
              <w:textAlignment w:val="center"/>
              <w:rPr>
                <w:rFonts w:hint="eastAsia" w:ascii="宋体" w:hAnsi="宋体" w:eastAsia="宋体" w:cs="宋体"/>
                <w:sz w:val="24"/>
                <w:szCs w:val="24"/>
                <w:highlight w:val="none"/>
              </w:rPr>
            </w:pPr>
          </w:p>
        </w:tc>
        <w:tc>
          <w:tcPr>
            <w:tcW w:w="1110" w:type="dxa"/>
            <w:noWrap w:val="0"/>
            <w:tcMar>
              <w:top w:w="15" w:type="dxa"/>
              <w:left w:w="15" w:type="dxa"/>
              <w:right w:w="15" w:type="dxa"/>
            </w:tcMar>
            <w:vAlign w:val="center"/>
          </w:tcPr>
          <w:p w14:paraId="34F2D3AC">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技术要求</w:t>
            </w:r>
          </w:p>
          <w:p w14:paraId="61ADBFD9">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响应评价</w:t>
            </w:r>
          </w:p>
        </w:tc>
        <w:tc>
          <w:tcPr>
            <w:tcW w:w="7020" w:type="dxa"/>
            <w:noWrap w:val="0"/>
            <w:tcMar>
              <w:top w:w="15" w:type="dxa"/>
              <w:left w:w="15" w:type="dxa"/>
              <w:right w:w="15" w:type="dxa"/>
            </w:tcMar>
            <w:vAlign w:val="center"/>
          </w:tcPr>
          <w:p w14:paraId="2BF648D5">
            <w:pPr>
              <w:widowControl/>
              <w:spacing w:line="240" w:lineRule="auto"/>
              <w:ind w:firstLine="480" w:firstLineChars="200"/>
              <w:rPr>
                <w:rFonts w:hint="eastAsia" w:cs="宋体"/>
                <w:sz w:val="24"/>
                <w:szCs w:val="24"/>
                <w:highlight w:val="none"/>
                <w:lang w:val="en-US" w:eastAsia="zh-CN"/>
              </w:rPr>
            </w:pPr>
            <w:r>
              <w:rPr>
                <w:rFonts w:hint="eastAsia" w:ascii="宋体" w:hAnsi="宋体" w:eastAsia="宋体" w:cs="宋体"/>
                <w:sz w:val="24"/>
                <w:szCs w:val="24"/>
                <w:highlight w:val="none"/>
                <w:lang w:eastAsia="zh-CN"/>
              </w:rPr>
              <w:t>对照第</w:t>
            </w:r>
            <w:r>
              <w:rPr>
                <w:rFonts w:hint="eastAsia" w:cs="宋体"/>
                <w:sz w:val="24"/>
                <w:szCs w:val="24"/>
                <w:highlight w:val="none"/>
                <w:lang w:val="en-US" w:eastAsia="zh-CN"/>
              </w:rPr>
              <w:t>三</w:t>
            </w:r>
            <w:r>
              <w:rPr>
                <w:rFonts w:hint="eastAsia" w:ascii="宋体" w:hAnsi="宋体" w:eastAsia="宋体" w:cs="宋体"/>
                <w:sz w:val="24"/>
                <w:szCs w:val="24"/>
                <w:highlight w:val="none"/>
                <w:lang w:eastAsia="zh-CN"/>
              </w:rPr>
              <w:t>章“</w:t>
            </w:r>
            <w:r>
              <w:rPr>
                <w:rFonts w:hint="eastAsia" w:cs="宋体"/>
                <w:sz w:val="24"/>
                <w:szCs w:val="24"/>
                <w:highlight w:val="none"/>
                <w:lang w:eastAsia="zh-CN"/>
              </w:rPr>
              <w:t>项目</w:t>
            </w:r>
            <w:r>
              <w:rPr>
                <w:rFonts w:hint="eastAsia" w:ascii="宋体" w:hAnsi="宋体" w:eastAsia="宋体" w:cs="宋体"/>
                <w:sz w:val="24"/>
                <w:szCs w:val="24"/>
                <w:highlight w:val="none"/>
                <w:lang w:val="en-US" w:eastAsia="zh-CN"/>
              </w:rPr>
              <w:t>采购</w:t>
            </w:r>
            <w:r>
              <w:rPr>
                <w:rFonts w:hint="eastAsia" w:ascii="宋体" w:hAnsi="宋体" w:eastAsia="宋体" w:cs="宋体"/>
                <w:sz w:val="24"/>
                <w:szCs w:val="24"/>
                <w:highlight w:val="none"/>
                <w:lang w:eastAsia="zh-CN"/>
              </w:rPr>
              <w:t>需求”</w:t>
            </w:r>
            <w:r>
              <w:rPr>
                <w:rFonts w:hint="eastAsia" w:ascii="宋体" w:hAnsi="宋体" w:eastAsia="宋体" w:cs="宋体"/>
                <w:sz w:val="24"/>
                <w:szCs w:val="24"/>
                <w:highlight w:val="none"/>
                <w:lang w:val="en-US" w:eastAsia="zh-CN"/>
              </w:rPr>
              <w:t>的技术参数（每条技术参数前</w:t>
            </w:r>
            <w:r>
              <w:rPr>
                <w:rFonts w:hint="eastAsia" w:ascii="宋体" w:hAnsi="宋体" w:eastAsia="宋体" w:cs="宋体"/>
                <w:sz w:val="24"/>
                <w:szCs w:val="24"/>
                <w:highlight w:val="none"/>
              </w:rPr>
              <w:t>标注“</w:t>
            </w:r>
            <w:r>
              <w:rPr>
                <w:rFonts w:hint="eastAsia" w:ascii="宋体" w:hAnsi="宋体" w:eastAsia="宋体" w:cs="宋体"/>
                <w:sz w:val="24"/>
              </w:rPr>
              <w:t>▲</w:t>
            </w:r>
            <w:r>
              <w:rPr>
                <w:rFonts w:hint="eastAsia" w:ascii="宋体" w:hAnsi="宋体" w:eastAsia="宋体" w:cs="宋体"/>
                <w:sz w:val="24"/>
                <w:szCs w:val="24"/>
                <w:highlight w:val="none"/>
              </w:rPr>
              <w:t>”的为</w:t>
            </w:r>
            <w:r>
              <w:rPr>
                <w:rFonts w:hint="eastAsia" w:cs="宋体"/>
                <w:sz w:val="24"/>
                <w:szCs w:val="24"/>
                <w:highlight w:val="none"/>
                <w:lang w:eastAsia="zh-CN"/>
              </w:rPr>
              <w:t>主要</w:t>
            </w:r>
            <w:r>
              <w:rPr>
                <w:rFonts w:hint="eastAsia" w:ascii="宋体" w:hAnsi="宋体" w:eastAsia="宋体" w:cs="宋体"/>
                <w:sz w:val="24"/>
                <w:szCs w:val="24"/>
                <w:highlight w:val="none"/>
              </w:rPr>
              <w:t>技术参数，未标注</w:t>
            </w:r>
            <w:r>
              <w:rPr>
                <w:rFonts w:hint="eastAsia" w:ascii="宋体" w:hAnsi="宋体" w:eastAsia="宋体" w:cs="宋体"/>
                <w:sz w:val="24"/>
                <w:szCs w:val="24"/>
                <w:highlight w:val="none"/>
                <w:lang w:eastAsia="zh-CN"/>
              </w:rPr>
              <w:t>的为一般技术参数。</w:t>
            </w:r>
            <w:r>
              <w:rPr>
                <w:rFonts w:hint="eastAsia" w:ascii="宋体" w:hAnsi="宋体" w:eastAsia="宋体" w:cs="宋体"/>
                <w:sz w:val="24"/>
                <w:szCs w:val="24"/>
                <w:highlight w:val="none"/>
                <w:lang w:val="en-US" w:eastAsia="zh-CN"/>
              </w:rPr>
              <w:t>）根据投标人提供的产品配置及技术性</w:t>
            </w:r>
            <w:r>
              <w:rPr>
                <w:rFonts w:hint="eastAsia" w:cs="宋体"/>
                <w:sz w:val="24"/>
                <w:szCs w:val="24"/>
                <w:highlight w:val="none"/>
                <w:lang w:val="en-US" w:eastAsia="zh-CN"/>
              </w:rPr>
              <w:t>能指标的响应情况进行评审。</w:t>
            </w:r>
          </w:p>
          <w:p w14:paraId="617F8EA0">
            <w:pPr>
              <w:widowControl/>
              <w:spacing w:line="240" w:lineRule="auto"/>
              <w:ind w:firstLine="480" w:firstLineChars="200"/>
              <w:rPr>
                <w:rFonts w:hint="eastAsia" w:cs="宋体"/>
                <w:sz w:val="24"/>
                <w:szCs w:val="24"/>
                <w:highlight w:val="none"/>
                <w:lang w:val="en-US" w:eastAsia="zh-CN"/>
              </w:rPr>
            </w:pPr>
            <w:r>
              <w:rPr>
                <w:rFonts w:hint="eastAsia" w:cs="宋体"/>
                <w:sz w:val="24"/>
                <w:szCs w:val="24"/>
                <w:highlight w:val="none"/>
                <w:lang w:val="en-US" w:eastAsia="zh-CN"/>
              </w:rPr>
              <w:t>1.投标人所投产品技术参数完全响应招标文件要求的，得40分；</w:t>
            </w:r>
          </w:p>
          <w:p w14:paraId="38575F45">
            <w:pPr>
              <w:widowControl/>
              <w:spacing w:line="240" w:lineRule="auto"/>
              <w:ind w:firstLine="480" w:firstLineChars="200"/>
              <w:rPr>
                <w:rFonts w:hint="eastAsia" w:cs="宋体"/>
                <w:sz w:val="24"/>
                <w:szCs w:val="24"/>
                <w:highlight w:val="none"/>
                <w:lang w:val="en-US" w:eastAsia="zh-CN"/>
              </w:rPr>
            </w:pPr>
            <w:r>
              <w:rPr>
                <w:rFonts w:hint="eastAsia" w:cs="宋体"/>
                <w:sz w:val="24"/>
                <w:szCs w:val="24"/>
                <w:highlight w:val="none"/>
                <w:lang w:val="en-US" w:eastAsia="zh-CN"/>
              </w:rPr>
              <w:t>2.主要技术参数存在负偏离的（25条），每一条扣1分，最多扣25分；</w:t>
            </w:r>
          </w:p>
          <w:p w14:paraId="27170C51">
            <w:pPr>
              <w:widowControl/>
              <w:spacing w:line="240" w:lineRule="auto"/>
              <w:ind w:firstLine="480" w:firstLineChars="200"/>
              <w:rPr>
                <w:rFonts w:hint="eastAsia" w:ascii="宋体" w:hAnsi="宋体" w:eastAsia="宋体" w:cs="宋体"/>
                <w:sz w:val="24"/>
                <w:szCs w:val="24"/>
                <w:highlight w:val="none"/>
                <w:shd w:val="clear" w:fill="FF0000"/>
              </w:rPr>
            </w:pPr>
            <w:r>
              <w:rPr>
                <w:rFonts w:hint="eastAsia" w:cs="宋体"/>
                <w:sz w:val="24"/>
                <w:szCs w:val="24"/>
                <w:highlight w:val="none"/>
                <w:lang w:val="en-US" w:eastAsia="zh-CN"/>
              </w:rPr>
              <w:t>3.一般技术参数存在负偏离的，每一条扣0.5分，最多扣15分。</w:t>
            </w:r>
          </w:p>
          <w:p w14:paraId="1481DCEA">
            <w:pPr>
              <w:widowControl/>
              <w:spacing w:line="240" w:lineRule="auto"/>
              <w:textAlignment w:val="center"/>
              <w:rPr>
                <w:rFonts w:hint="eastAsia" w:ascii="宋体" w:hAnsi="宋体" w:eastAsia="宋体" w:cs="宋体"/>
                <w:sz w:val="24"/>
                <w:szCs w:val="24"/>
                <w:highlight w:val="none"/>
              </w:rPr>
            </w:pPr>
            <w:r>
              <w:rPr>
                <w:rFonts w:hint="eastAsia" w:ascii="宋体" w:hAnsi="宋体" w:eastAsia="宋体" w:cs="宋体"/>
                <w:b/>
                <w:bCs/>
                <w:sz w:val="24"/>
                <w:szCs w:val="24"/>
                <w:highlight w:val="none"/>
              </w:rPr>
              <w:t>注：负偏离评审依据：①所提供产品技术参数低于</w:t>
            </w:r>
            <w:r>
              <w:rPr>
                <w:rFonts w:hint="eastAsia" w:ascii="宋体" w:hAnsi="宋体" w:eastAsia="宋体" w:cs="宋体"/>
                <w:b/>
                <w:bCs/>
                <w:sz w:val="24"/>
                <w:szCs w:val="24"/>
                <w:highlight w:val="none"/>
                <w:lang w:val="en-US" w:eastAsia="zh-CN"/>
              </w:rPr>
              <w:t>招标</w:t>
            </w:r>
            <w:r>
              <w:rPr>
                <w:rFonts w:hint="eastAsia" w:ascii="宋体" w:hAnsi="宋体" w:eastAsia="宋体" w:cs="宋体"/>
                <w:b/>
                <w:bCs/>
                <w:sz w:val="24"/>
                <w:szCs w:val="24"/>
                <w:highlight w:val="none"/>
              </w:rPr>
              <w:t>文件要求的，视为负偏离；②技术参数响应条款（以</w:t>
            </w:r>
            <w:r>
              <w:rPr>
                <w:rFonts w:hint="eastAsia" w:ascii="宋体" w:hAnsi="宋体" w:eastAsia="宋体" w:cs="宋体"/>
                <w:b/>
                <w:bCs/>
                <w:sz w:val="24"/>
                <w:szCs w:val="24"/>
                <w:highlight w:val="none"/>
                <w:lang w:val="en-US" w:eastAsia="zh-CN"/>
              </w:rPr>
              <w:t>投标</w:t>
            </w:r>
            <w:r>
              <w:rPr>
                <w:rFonts w:hint="eastAsia" w:ascii="宋体" w:hAnsi="宋体" w:eastAsia="宋体" w:cs="宋体"/>
                <w:b/>
                <w:bCs/>
                <w:sz w:val="24"/>
                <w:szCs w:val="24"/>
                <w:highlight w:val="none"/>
              </w:rPr>
              <w:t>文件内技术偏离表为准）与招标文件对比有缺项、漏项的，视为负偏离；③</w:t>
            </w:r>
            <w:r>
              <w:rPr>
                <w:rFonts w:hint="eastAsia" w:ascii="宋体" w:hAnsi="宋体" w:eastAsia="宋体" w:cs="宋体"/>
                <w:b/>
                <w:bCs/>
                <w:sz w:val="24"/>
                <w:szCs w:val="24"/>
                <w:highlight w:val="none"/>
                <w:lang w:val="en-US" w:eastAsia="zh-CN"/>
              </w:rPr>
              <w:t>投标</w:t>
            </w:r>
            <w:r>
              <w:rPr>
                <w:rFonts w:hint="eastAsia" w:ascii="宋体" w:hAnsi="宋体" w:eastAsia="宋体" w:cs="宋体"/>
                <w:b/>
                <w:bCs/>
                <w:sz w:val="24"/>
                <w:szCs w:val="24"/>
                <w:highlight w:val="none"/>
              </w:rPr>
              <w:t>文件内技术偏离表完全复制</w:t>
            </w:r>
            <w:r>
              <w:rPr>
                <w:rFonts w:hint="eastAsia" w:ascii="宋体" w:hAnsi="宋体" w:eastAsia="宋体" w:cs="宋体"/>
                <w:b/>
                <w:bCs/>
                <w:sz w:val="24"/>
                <w:szCs w:val="24"/>
                <w:highlight w:val="none"/>
                <w:lang w:val="en-US" w:eastAsia="zh-CN"/>
              </w:rPr>
              <w:t>招标</w:t>
            </w:r>
            <w:r>
              <w:rPr>
                <w:rFonts w:hint="eastAsia" w:ascii="宋体" w:hAnsi="宋体" w:eastAsia="宋体" w:cs="宋体"/>
                <w:b/>
                <w:bCs/>
                <w:sz w:val="24"/>
                <w:szCs w:val="24"/>
                <w:highlight w:val="none"/>
              </w:rPr>
              <w:t>文件技术参数的（不涉及具体参数指标的描述性技术要求除外），视为负偏离；④投标人提供的</w:t>
            </w:r>
            <w:r>
              <w:rPr>
                <w:rFonts w:hint="eastAsia" w:ascii="宋体" w:hAnsi="宋体" w:eastAsia="宋体" w:cs="宋体"/>
                <w:b/>
                <w:bCs/>
                <w:sz w:val="24"/>
                <w:szCs w:val="24"/>
                <w:highlight w:val="none"/>
                <w:lang w:val="en-US" w:eastAsia="zh-CN"/>
              </w:rPr>
              <w:t>投标</w:t>
            </w:r>
            <w:r>
              <w:rPr>
                <w:rFonts w:hint="eastAsia" w:ascii="宋体" w:hAnsi="宋体" w:eastAsia="宋体" w:cs="宋体"/>
                <w:b/>
                <w:bCs/>
                <w:sz w:val="24"/>
                <w:szCs w:val="24"/>
                <w:highlight w:val="none"/>
              </w:rPr>
              <w:t>文件中产品技术偏离表、产品技术规格书和产品检测报告内描述的同一产品技术参数响应值不一致的，视为负偏离。</w:t>
            </w:r>
          </w:p>
        </w:tc>
        <w:tc>
          <w:tcPr>
            <w:tcW w:w="762" w:type="dxa"/>
            <w:noWrap w:val="0"/>
            <w:tcMar>
              <w:top w:w="15" w:type="dxa"/>
              <w:left w:w="15" w:type="dxa"/>
              <w:right w:w="15" w:type="dxa"/>
            </w:tcMar>
            <w:vAlign w:val="center"/>
          </w:tcPr>
          <w:p w14:paraId="5347683D">
            <w:pPr>
              <w:widowControl/>
              <w:spacing w:line="240" w:lineRule="auto"/>
              <w:jc w:val="center"/>
              <w:textAlignment w:val="center"/>
              <w:rPr>
                <w:rFonts w:hint="default" w:ascii="宋体" w:hAnsi="宋体" w:eastAsia="宋体" w:cs="宋体"/>
                <w:kern w:val="0"/>
                <w:sz w:val="24"/>
                <w:szCs w:val="24"/>
                <w:highlight w:val="none"/>
                <w:lang w:val="en-US" w:eastAsia="zh-CN"/>
              </w:rPr>
            </w:pPr>
            <w:r>
              <w:rPr>
                <w:rFonts w:hint="eastAsia" w:cs="宋体"/>
                <w:kern w:val="0"/>
                <w:sz w:val="24"/>
                <w:szCs w:val="24"/>
                <w:highlight w:val="none"/>
                <w:lang w:val="en-US" w:eastAsia="zh-CN"/>
              </w:rPr>
              <w:t>40</w:t>
            </w:r>
          </w:p>
        </w:tc>
      </w:tr>
      <w:tr w14:paraId="76A4ED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jc w:val="center"/>
        </w:trPr>
        <w:tc>
          <w:tcPr>
            <w:tcW w:w="1080" w:type="dxa"/>
            <w:vMerge w:val="continue"/>
            <w:noWrap w:val="0"/>
            <w:tcMar>
              <w:top w:w="15" w:type="dxa"/>
              <w:left w:w="15" w:type="dxa"/>
              <w:right w:w="15" w:type="dxa"/>
            </w:tcMar>
            <w:vAlign w:val="center"/>
          </w:tcPr>
          <w:p w14:paraId="55E70946">
            <w:pPr>
              <w:widowControl/>
              <w:spacing w:line="240" w:lineRule="auto"/>
              <w:jc w:val="center"/>
              <w:textAlignment w:val="center"/>
              <w:rPr>
                <w:rFonts w:hint="eastAsia" w:ascii="宋体" w:hAnsi="宋体" w:eastAsia="宋体" w:cs="宋体"/>
                <w:kern w:val="0"/>
                <w:sz w:val="24"/>
                <w:szCs w:val="24"/>
                <w:highlight w:val="none"/>
              </w:rPr>
            </w:pPr>
          </w:p>
        </w:tc>
        <w:tc>
          <w:tcPr>
            <w:tcW w:w="1110" w:type="dxa"/>
            <w:noWrap w:val="0"/>
            <w:tcMar>
              <w:top w:w="15" w:type="dxa"/>
              <w:left w:w="15" w:type="dxa"/>
              <w:right w:w="15" w:type="dxa"/>
            </w:tcMar>
            <w:vAlign w:val="center"/>
          </w:tcPr>
          <w:p w14:paraId="1E89A02A">
            <w:pPr>
              <w:snapToGrid w:val="0"/>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项目组织</w:t>
            </w:r>
          </w:p>
          <w:p w14:paraId="365A5959">
            <w:pPr>
              <w:widowControl/>
              <w:spacing w:line="24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方案评价</w:t>
            </w:r>
          </w:p>
        </w:tc>
        <w:tc>
          <w:tcPr>
            <w:tcW w:w="7020" w:type="dxa"/>
            <w:noWrap w:val="0"/>
            <w:tcMar>
              <w:top w:w="15" w:type="dxa"/>
              <w:left w:w="15" w:type="dxa"/>
              <w:right w:w="15" w:type="dxa"/>
            </w:tcMar>
            <w:vAlign w:val="center"/>
          </w:tcPr>
          <w:p w14:paraId="15D5CDFE">
            <w:pPr>
              <w:widowControl/>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根据投标人提供的项目组织方案进行评分：</w:t>
            </w:r>
          </w:p>
          <w:p w14:paraId="3ECAE1D7">
            <w:pPr>
              <w:widowControl/>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项目</w:t>
            </w:r>
            <w:r>
              <w:rPr>
                <w:rFonts w:hint="eastAsia" w:cs="宋体"/>
                <w:sz w:val="24"/>
                <w:szCs w:val="24"/>
                <w:highlight w:val="none"/>
                <w:lang w:eastAsia="zh-CN"/>
              </w:rPr>
              <w:t>组织</w:t>
            </w:r>
            <w:r>
              <w:rPr>
                <w:rFonts w:hint="eastAsia" w:ascii="宋体" w:hAnsi="宋体" w:eastAsia="宋体" w:cs="宋体"/>
                <w:sz w:val="24"/>
                <w:szCs w:val="24"/>
                <w:highlight w:val="none"/>
              </w:rPr>
              <w:t>方案包括但不限于：①项目人员安排（包含但不限于主要人员名单及基本情况介绍、在本项目中承担的职责等）、②供货方案（包含但不限于产品来源、供货计划、供货时间、包装和运输方式等）、③质量管控方案（包括但不限于质量管控的标准、方法和程序等）、④测试（调试）方案（包含但不限于人员安排、测试步骤、测试标准等）等4项内容，方案内容完整齐全，符合项目实际（</w:t>
            </w:r>
            <w:r>
              <w:rPr>
                <w:rFonts w:hint="eastAsia" w:ascii="宋体" w:hAnsi="宋体" w:eastAsia="宋体" w:cs="宋体"/>
                <w:sz w:val="24"/>
                <w:szCs w:val="24"/>
                <w:highlight w:val="none"/>
                <w:lang w:eastAsia="zh-CN"/>
              </w:rPr>
              <w:t>第</w:t>
            </w:r>
            <w:r>
              <w:rPr>
                <w:rFonts w:hint="eastAsia" w:cs="宋体"/>
                <w:sz w:val="24"/>
                <w:szCs w:val="24"/>
                <w:highlight w:val="none"/>
                <w:lang w:eastAsia="zh-CN"/>
              </w:rPr>
              <w:t>三</w:t>
            </w:r>
            <w:r>
              <w:rPr>
                <w:rFonts w:hint="eastAsia" w:ascii="宋体" w:hAnsi="宋体" w:eastAsia="宋体" w:cs="宋体"/>
                <w:sz w:val="24"/>
                <w:szCs w:val="24"/>
                <w:highlight w:val="none"/>
                <w:lang w:eastAsia="zh-CN"/>
              </w:rPr>
              <w:t>章</w:t>
            </w:r>
            <w:r>
              <w:rPr>
                <w:rFonts w:hint="eastAsia" w:ascii="宋体" w:hAnsi="宋体" w:eastAsia="宋体" w:cs="宋体"/>
                <w:sz w:val="24"/>
                <w:szCs w:val="24"/>
                <w:highlight w:val="none"/>
              </w:rPr>
              <w:t>“</w:t>
            </w:r>
            <w:r>
              <w:rPr>
                <w:rFonts w:hint="eastAsia" w:cs="宋体"/>
                <w:sz w:val="24"/>
                <w:szCs w:val="24"/>
                <w:highlight w:val="none"/>
                <w:lang w:eastAsia="zh-CN"/>
              </w:rPr>
              <w:t>项目</w:t>
            </w:r>
            <w:r>
              <w:rPr>
                <w:rFonts w:hint="eastAsia" w:ascii="宋体" w:hAnsi="宋体" w:eastAsia="宋体" w:cs="宋体"/>
                <w:sz w:val="24"/>
                <w:szCs w:val="24"/>
                <w:highlight w:val="none"/>
                <w:lang w:eastAsia="zh-CN"/>
              </w:rPr>
              <w:t>采购需求</w:t>
            </w:r>
            <w:r>
              <w:rPr>
                <w:rFonts w:hint="eastAsia" w:ascii="宋体" w:hAnsi="宋体" w:eastAsia="宋体" w:cs="宋体"/>
                <w:sz w:val="24"/>
                <w:szCs w:val="24"/>
                <w:highlight w:val="none"/>
              </w:rPr>
              <w:t>”）的，得</w:t>
            </w:r>
            <w:r>
              <w:rPr>
                <w:rFonts w:hint="eastAsia" w:cs="宋体"/>
                <w:sz w:val="24"/>
                <w:szCs w:val="24"/>
                <w:highlight w:val="none"/>
                <w:lang w:val="en-US" w:eastAsia="zh-CN"/>
              </w:rPr>
              <w:t>8</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val="en-US" w:eastAsia="zh-CN"/>
              </w:rPr>
              <w:t>每有</w:t>
            </w:r>
            <w:r>
              <w:rPr>
                <w:rFonts w:hint="eastAsia" w:ascii="宋体" w:hAnsi="宋体" w:eastAsia="宋体" w:cs="宋体"/>
                <w:sz w:val="24"/>
                <w:szCs w:val="24"/>
                <w:highlight w:val="none"/>
              </w:rPr>
              <w:t>一项内容存在缺陷的，</w:t>
            </w:r>
            <w:r>
              <w:rPr>
                <w:rFonts w:hint="eastAsia" w:ascii="宋体" w:hAnsi="宋体" w:eastAsia="宋体" w:cs="宋体"/>
                <w:sz w:val="24"/>
                <w:szCs w:val="24"/>
                <w:highlight w:val="none"/>
                <w:lang w:val="en-US" w:eastAsia="zh-CN"/>
              </w:rPr>
              <w:t>每一项扣1分；</w:t>
            </w:r>
            <w:r>
              <w:rPr>
                <w:rFonts w:hint="eastAsia" w:ascii="宋体" w:hAnsi="宋体" w:eastAsia="宋体" w:cs="宋体"/>
                <w:sz w:val="24"/>
                <w:szCs w:val="24"/>
                <w:highlight w:val="none"/>
              </w:rPr>
              <w:t>每缺少一项方案内容</w:t>
            </w:r>
            <w:r>
              <w:rPr>
                <w:rFonts w:hint="eastAsia" w:ascii="宋体" w:hAnsi="宋体" w:eastAsia="宋体" w:cs="宋体"/>
                <w:sz w:val="24"/>
                <w:szCs w:val="24"/>
                <w:highlight w:val="none"/>
                <w:lang w:val="en-US" w:eastAsia="zh-CN"/>
              </w:rPr>
              <w:t>的</w:t>
            </w:r>
            <w:r>
              <w:rPr>
                <w:rFonts w:hint="eastAsia" w:ascii="宋体" w:hAnsi="宋体" w:eastAsia="宋体" w:cs="宋体"/>
                <w:sz w:val="24"/>
                <w:szCs w:val="24"/>
                <w:highlight w:val="none"/>
              </w:rPr>
              <w:t>，每一项扣</w:t>
            </w:r>
            <w:r>
              <w:rPr>
                <w:rFonts w:hint="eastAsia" w:cs="宋体"/>
                <w:sz w:val="24"/>
                <w:szCs w:val="24"/>
                <w:highlight w:val="none"/>
                <w:lang w:val="en-US" w:eastAsia="zh-CN"/>
              </w:rPr>
              <w:t>2</w:t>
            </w:r>
            <w:r>
              <w:rPr>
                <w:rFonts w:hint="eastAsia" w:ascii="宋体" w:hAnsi="宋体" w:eastAsia="宋体" w:cs="宋体"/>
                <w:sz w:val="24"/>
                <w:szCs w:val="24"/>
                <w:highlight w:val="none"/>
              </w:rPr>
              <w:t>分，扣完为止；未提供项目</w:t>
            </w:r>
            <w:r>
              <w:rPr>
                <w:rFonts w:hint="eastAsia" w:cs="宋体"/>
                <w:sz w:val="24"/>
                <w:szCs w:val="24"/>
                <w:highlight w:val="none"/>
                <w:lang w:eastAsia="zh-CN"/>
              </w:rPr>
              <w:t>组织</w:t>
            </w:r>
            <w:r>
              <w:rPr>
                <w:rFonts w:hint="eastAsia" w:ascii="宋体" w:hAnsi="宋体" w:eastAsia="宋体" w:cs="宋体"/>
                <w:sz w:val="24"/>
                <w:szCs w:val="24"/>
                <w:highlight w:val="none"/>
              </w:rPr>
              <w:t>方案的，此项不得分。</w:t>
            </w:r>
          </w:p>
          <w:p w14:paraId="59418753">
            <w:pPr>
              <w:widowControl/>
              <w:spacing w:line="24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1.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套用其他项目内容。</w:t>
            </w:r>
          </w:p>
        </w:tc>
        <w:tc>
          <w:tcPr>
            <w:tcW w:w="762" w:type="dxa"/>
            <w:noWrap w:val="0"/>
            <w:tcMar>
              <w:top w:w="15" w:type="dxa"/>
              <w:left w:w="15" w:type="dxa"/>
              <w:right w:w="15" w:type="dxa"/>
            </w:tcMar>
            <w:vAlign w:val="center"/>
          </w:tcPr>
          <w:p w14:paraId="2FCA852E">
            <w:pPr>
              <w:widowControl/>
              <w:spacing w:line="240" w:lineRule="auto"/>
              <w:jc w:val="center"/>
              <w:textAlignment w:val="center"/>
              <w:rPr>
                <w:rFonts w:hint="default" w:ascii="宋体" w:hAnsi="宋体" w:eastAsia="宋体" w:cs="宋体"/>
                <w:kern w:val="0"/>
                <w:sz w:val="24"/>
                <w:szCs w:val="24"/>
                <w:highlight w:val="none"/>
                <w:lang w:val="en-US" w:eastAsia="zh-CN"/>
              </w:rPr>
            </w:pPr>
            <w:r>
              <w:rPr>
                <w:rFonts w:hint="eastAsia" w:cs="宋体"/>
                <w:kern w:val="0"/>
                <w:sz w:val="24"/>
                <w:szCs w:val="24"/>
                <w:highlight w:val="none"/>
                <w:lang w:val="en-US" w:eastAsia="zh-CN"/>
              </w:rPr>
              <w:t>8</w:t>
            </w:r>
          </w:p>
        </w:tc>
      </w:tr>
      <w:tr w14:paraId="0619C5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7" w:hRule="atLeast"/>
          <w:jc w:val="center"/>
        </w:trPr>
        <w:tc>
          <w:tcPr>
            <w:tcW w:w="1080" w:type="dxa"/>
            <w:vMerge w:val="continue"/>
            <w:noWrap w:val="0"/>
            <w:tcMar>
              <w:top w:w="15" w:type="dxa"/>
              <w:left w:w="15" w:type="dxa"/>
              <w:right w:w="15" w:type="dxa"/>
            </w:tcMar>
            <w:vAlign w:val="center"/>
          </w:tcPr>
          <w:p w14:paraId="0846FA44">
            <w:pPr>
              <w:widowControl/>
              <w:spacing w:line="240" w:lineRule="auto"/>
              <w:jc w:val="center"/>
              <w:textAlignment w:val="center"/>
              <w:rPr>
                <w:rFonts w:hint="eastAsia" w:ascii="宋体" w:hAnsi="宋体" w:eastAsia="宋体" w:cs="宋体"/>
                <w:sz w:val="24"/>
                <w:szCs w:val="24"/>
                <w:highlight w:val="none"/>
              </w:rPr>
            </w:pPr>
          </w:p>
        </w:tc>
        <w:tc>
          <w:tcPr>
            <w:tcW w:w="1110" w:type="dxa"/>
            <w:noWrap w:val="0"/>
            <w:tcMar>
              <w:top w:w="15" w:type="dxa"/>
              <w:left w:w="15" w:type="dxa"/>
              <w:right w:w="15" w:type="dxa"/>
            </w:tcMar>
            <w:vAlign w:val="center"/>
          </w:tcPr>
          <w:p w14:paraId="601A8D97">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技术培训</w:t>
            </w:r>
          </w:p>
          <w:p w14:paraId="70F4E6BB">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方案评价</w:t>
            </w:r>
          </w:p>
        </w:tc>
        <w:tc>
          <w:tcPr>
            <w:tcW w:w="7020" w:type="dxa"/>
            <w:noWrap w:val="0"/>
            <w:tcMar>
              <w:top w:w="15" w:type="dxa"/>
              <w:left w:w="15" w:type="dxa"/>
              <w:right w:w="15" w:type="dxa"/>
            </w:tcMar>
            <w:vAlign w:val="center"/>
          </w:tcPr>
          <w:p w14:paraId="40C6328F">
            <w:pPr>
              <w:widowControl/>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根据投标人提供的</w:t>
            </w:r>
            <w:r>
              <w:rPr>
                <w:rFonts w:hint="eastAsia" w:cs="宋体"/>
                <w:sz w:val="24"/>
                <w:szCs w:val="24"/>
                <w:highlight w:val="none"/>
                <w:lang w:eastAsia="zh-CN"/>
              </w:rPr>
              <w:t>技术</w:t>
            </w:r>
            <w:r>
              <w:rPr>
                <w:rFonts w:hint="eastAsia" w:ascii="宋体" w:hAnsi="宋体" w:eastAsia="宋体" w:cs="宋体"/>
                <w:sz w:val="24"/>
                <w:szCs w:val="24"/>
                <w:highlight w:val="none"/>
              </w:rPr>
              <w:t>培训方案进行评分：</w:t>
            </w:r>
          </w:p>
          <w:p w14:paraId="42DAA7B1">
            <w:pPr>
              <w:widowControl/>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项目</w:t>
            </w:r>
            <w:r>
              <w:rPr>
                <w:rFonts w:hint="eastAsia" w:ascii="宋体" w:hAnsi="宋体" w:eastAsia="宋体" w:cs="宋体"/>
                <w:sz w:val="24"/>
                <w:szCs w:val="24"/>
                <w:highlight w:val="none"/>
                <w:lang w:eastAsia="zh-CN"/>
              </w:rPr>
              <w:t>技术</w:t>
            </w:r>
            <w:r>
              <w:rPr>
                <w:rFonts w:hint="eastAsia" w:ascii="宋体" w:hAnsi="宋体" w:eastAsia="宋体" w:cs="宋体"/>
                <w:sz w:val="24"/>
                <w:szCs w:val="24"/>
                <w:highlight w:val="none"/>
              </w:rPr>
              <w:t>培训方案包括但不限于培训内容、培训方式、培训计划、培训团队人员配置等4项内容，方案内容完整齐全，符合项目实际的，得</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val="en-US" w:eastAsia="zh-CN"/>
              </w:rPr>
              <w:t>每有</w:t>
            </w:r>
            <w:r>
              <w:rPr>
                <w:rFonts w:hint="eastAsia" w:ascii="宋体" w:hAnsi="宋体" w:eastAsia="宋体" w:cs="宋体"/>
                <w:sz w:val="24"/>
                <w:szCs w:val="24"/>
                <w:highlight w:val="none"/>
              </w:rPr>
              <w:t>一项内容存在缺陷的，</w:t>
            </w:r>
            <w:r>
              <w:rPr>
                <w:rFonts w:hint="eastAsia" w:ascii="宋体" w:hAnsi="宋体" w:eastAsia="宋体" w:cs="宋体"/>
                <w:sz w:val="24"/>
                <w:szCs w:val="24"/>
                <w:highlight w:val="none"/>
                <w:lang w:val="en-US" w:eastAsia="zh-CN"/>
              </w:rPr>
              <w:t>每一项扣1分；</w:t>
            </w:r>
            <w:r>
              <w:rPr>
                <w:rFonts w:hint="eastAsia" w:ascii="宋体" w:hAnsi="宋体" w:eastAsia="宋体" w:cs="宋体"/>
                <w:sz w:val="24"/>
                <w:szCs w:val="24"/>
                <w:highlight w:val="none"/>
              </w:rPr>
              <w:t>每缺少一项方案内容</w:t>
            </w:r>
            <w:r>
              <w:rPr>
                <w:rFonts w:hint="eastAsia" w:ascii="宋体" w:hAnsi="宋体" w:eastAsia="宋体" w:cs="宋体"/>
                <w:sz w:val="24"/>
                <w:szCs w:val="24"/>
                <w:highlight w:val="none"/>
                <w:lang w:val="en-US" w:eastAsia="zh-CN"/>
              </w:rPr>
              <w:t>的</w:t>
            </w:r>
            <w:r>
              <w:rPr>
                <w:rFonts w:hint="eastAsia" w:ascii="宋体" w:hAnsi="宋体" w:eastAsia="宋体" w:cs="宋体"/>
                <w:sz w:val="24"/>
                <w:szCs w:val="24"/>
                <w:highlight w:val="none"/>
              </w:rPr>
              <w:t>，每一项扣</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分，扣完为止；未提供技术培训方案</w:t>
            </w:r>
            <w:r>
              <w:rPr>
                <w:rFonts w:hint="eastAsia" w:ascii="宋体" w:hAnsi="宋体" w:eastAsia="宋体" w:cs="宋体"/>
                <w:sz w:val="24"/>
                <w:szCs w:val="24"/>
                <w:highlight w:val="none"/>
                <w:lang w:val="en-US" w:eastAsia="zh-CN"/>
              </w:rPr>
              <w:t>评</w:t>
            </w:r>
            <w:r>
              <w:rPr>
                <w:rFonts w:hint="eastAsia" w:ascii="宋体" w:hAnsi="宋体" w:eastAsia="宋体" w:cs="宋体"/>
                <w:sz w:val="24"/>
                <w:szCs w:val="24"/>
                <w:highlight w:val="none"/>
              </w:rPr>
              <w:t>价的，此项不得分。</w:t>
            </w:r>
          </w:p>
          <w:p w14:paraId="39769464">
            <w:pPr>
              <w:snapToGrid w:val="0"/>
              <w:spacing w:line="240" w:lineRule="auto"/>
              <w:rPr>
                <w:rFonts w:hint="eastAsia" w:ascii="宋体" w:hAnsi="宋体" w:eastAsia="宋体" w:cs="宋体"/>
                <w:kern w:val="0"/>
                <w:sz w:val="24"/>
                <w:szCs w:val="24"/>
                <w:highlight w:val="none"/>
              </w:rPr>
            </w:pPr>
            <w:r>
              <w:rPr>
                <w:rFonts w:hint="eastAsia" w:ascii="宋体" w:hAnsi="宋体" w:eastAsia="宋体" w:cs="宋体"/>
                <w:b/>
                <w:bCs/>
                <w:sz w:val="24"/>
                <w:szCs w:val="24"/>
                <w:highlight w:val="none"/>
              </w:rPr>
              <w:t>注：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套用其他项目内容。</w:t>
            </w:r>
          </w:p>
        </w:tc>
        <w:tc>
          <w:tcPr>
            <w:tcW w:w="762" w:type="dxa"/>
            <w:noWrap w:val="0"/>
            <w:tcMar>
              <w:top w:w="15" w:type="dxa"/>
              <w:left w:w="15" w:type="dxa"/>
              <w:right w:w="15" w:type="dxa"/>
            </w:tcMar>
            <w:vAlign w:val="center"/>
          </w:tcPr>
          <w:p w14:paraId="319F5D3B">
            <w:pPr>
              <w:widowControl/>
              <w:spacing w:line="240" w:lineRule="auto"/>
              <w:jc w:val="center"/>
              <w:textAlignment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8</w:t>
            </w:r>
          </w:p>
        </w:tc>
      </w:tr>
      <w:tr w14:paraId="5E9C62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2" w:hRule="atLeast"/>
          <w:jc w:val="center"/>
        </w:trPr>
        <w:tc>
          <w:tcPr>
            <w:tcW w:w="1080" w:type="dxa"/>
            <w:vMerge w:val="continue"/>
            <w:noWrap w:val="0"/>
            <w:tcMar>
              <w:top w:w="15" w:type="dxa"/>
              <w:left w:w="15" w:type="dxa"/>
              <w:right w:w="15" w:type="dxa"/>
            </w:tcMar>
            <w:vAlign w:val="center"/>
          </w:tcPr>
          <w:p w14:paraId="0BD7FB68">
            <w:pPr>
              <w:widowControl/>
              <w:spacing w:line="240" w:lineRule="auto"/>
              <w:jc w:val="center"/>
              <w:textAlignment w:val="center"/>
              <w:rPr>
                <w:rFonts w:hint="eastAsia" w:ascii="宋体" w:hAnsi="宋体" w:eastAsia="宋体" w:cs="宋体"/>
                <w:sz w:val="24"/>
                <w:szCs w:val="24"/>
                <w:highlight w:val="none"/>
              </w:rPr>
            </w:pPr>
          </w:p>
        </w:tc>
        <w:tc>
          <w:tcPr>
            <w:tcW w:w="1110" w:type="dxa"/>
            <w:tcBorders>
              <w:top w:val="single" w:color="auto" w:sz="4" w:space="0"/>
            </w:tcBorders>
            <w:noWrap w:val="0"/>
            <w:tcMar>
              <w:top w:w="15" w:type="dxa"/>
              <w:left w:w="15" w:type="dxa"/>
              <w:right w:w="15" w:type="dxa"/>
            </w:tcMar>
            <w:vAlign w:val="center"/>
          </w:tcPr>
          <w:p w14:paraId="5040F7E9">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售后服务</w:t>
            </w:r>
          </w:p>
          <w:p w14:paraId="1083F036">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方案评价</w:t>
            </w:r>
          </w:p>
        </w:tc>
        <w:tc>
          <w:tcPr>
            <w:tcW w:w="7020" w:type="dxa"/>
            <w:noWrap w:val="0"/>
            <w:tcMar>
              <w:top w:w="15" w:type="dxa"/>
              <w:left w:w="15" w:type="dxa"/>
              <w:right w:w="15" w:type="dxa"/>
            </w:tcMar>
            <w:vAlign w:val="center"/>
          </w:tcPr>
          <w:p w14:paraId="179794FF">
            <w:pPr>
              <w:widowControl/>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根据投标人提供的售后服务方案进行评分：</w:t>
            </w:r>
          </w:p>
          <w:p w14:paraId="0906616B">
            <w:pPr>
              <w:widowControl/>
              <w:spacing w:line="240" w:lineRule="auto"/>
              <w:jc w:val="lef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项目售后服务方案包括但不限于售后服务承诺、服务响应方案、备件（易耗品）供应方案（含备件价格）、服务人员配备、故障响应措施、质保外服务措施等6项内容，方案内容完整齐全，符合项目实际的，得</w:t>
            </w: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val="en-US" w:eastAsia="zh-CN"/>
              </w:rPr>
              <w:t>每有</w:t>
            </w:r>
            <w:r>
              <w:rPr>
                <w:rFonts w:hint="eastAsia" w:ascii="宋体" w:hAnsi="宋体" w:eastAsia="宋体" w:cs="宋体"/>
                <w:sz w:val="24"/>
                <w:szCs w:val="24"/>
                <w:highlight w:val="none"/>
              </w:rPr>
              <w:t>一项内容存在缺陷的，</w:t>
            </w:r>
            <w:r>
              <w:rPr>
                <w:rFonts w:hint="eastAsia" w:ascii="宋体" w:hAnsi="宋体" w:eastAsia="宋体" w:cs="宋体"/>
                <w:sz w:val="24"/>
                <w:szCs w:val="24"/>
                <w:highlight w:val="none"/>
                <w:lang w:val="en-US" w:eastAsia="zh-CN"/>
              </w:rPr>
              <w:t>每一项扣1分；</w:t>
            </w:r>
            <w:r>
              <w:rPr>
                <w:rFonts w:hint="eastAsia" w:ascii="宋体" w:hAnsi="宋体" w:eastAsia="宋体" w:cs="宋体"/>
                <w:sz w:val="24"/>
                <w:szCs w:val="24"/>
                <w:highlight w:val="none"/>
              </w:rPr>
              <w:t>每缺少一项方案内容</w:t>
            </w:r>
            <w:r>
              <w:rPr>
                <w:rFonts w:hint="eastAsia" w:ascii="宋体" w:hAnsi="宋体" w:eastAsia="宋体" w:cs="宋体"/>
                <w:sz w:val="24"/>
                <w:szCs w:val="24"/>
                <w:highlight w:val="none"/>
                <w:lang w:val="en-US" w:eastAsia="zh-CN"/>
              </w:rPr>
              <w:t>的</w:t>
            </w:r>
            <w:r>
              <w:rPr>
                <w:rFonts w:hint="eastAsia" w:ascii="宋体" w:hAnsi="宋体" w:eastAsia="宋体" w:cs="宋体"/>
                <w:sz w:val="24"/>
                <w:szCs w:val="24"/>
                <w:highlight w:val="none"/>
              </w:rPr>
              <w:t>，每一项扣</w:t>
            </w:r>
            <w:r>
              <w:rPr>
                <w:rFonts w:hint="eastAsia" w:ascii="宋体" w:hAnsi="宋体" w:eastAsia="宋体" w:cs="宋体"/>
                <w:sz w:val="24"/>
                <w:szCs w:val="24"/>
                <w:highlight w:val="none"/>
                <w:lang w:val="en-US" w:eastAsia="zh-CN"/>
              </w:rPr>
              <w:t>1.5</w:t>
            </w:r>
            <w:r>
              <w:rPr>
                <w:rFonts w:hint="eastAsia" w:ascii="宋体" w:hAnsi="宋体" w:eastAsia="宋体" w:cs="宋体"/>
                <w:sz w:val="24"/>
                <w:szCs w:val="24"/>
                <w:highlight w:val="none"/>
              </w:rPr>
              <w:t>分，扣完为止；未提供</w:t>
            </w:r>
            <w:r>
              <w:rPr>
                <w:rFonts w:hint="eastAsia" w:ascii="宋体" w:hAnsi="宋体" w:eastAsia="宋体" w:cs="宋体"/>
                <w:kern w:val="0"/>
                <w:sz w:val="24"/>
                <w:szCs w:val="24"/>
                <w:highlight w:val="none"/>
              </w:rPr>
              <w:t>售后服务方案评价</w:t>
            </w:r>
            <w:r>
              <w:rPr>
                <w:rFonts w:hint="eastAsia" w:ascii="宋体" w:hAnsi="宋体" w:eastAsia="宋体" w:cs="宋体"/>
                <w:sz w:val="24"/>
                <w:szCs w:val="24"/>
                <w:highlight w:val="none"/>
              </w:rPr>
              <w:t>的，此项不得分。</w:t>
            </w:r>
          </w:p>
          <w:p w14:paraId="1CD7172F">
            <w:pPr>
              <w:snapToGrid w:val="0"/>
              <w:spacing w:line="240" w:lineRule="auto"/>
              <w:rPr>
                <w:rFonts w:hint="eastAsia" w:ascii="宋体" w:hAnsi="宋体" w:eastAsia="宋体" w:cs="宋体"/>
                <w:sz w:val="24"/>
                <w:szCs w:val="24"/>
                <w:highlight w:val="none"/>
              </w:rPr>
            </w:pPr>
            <w:r>
              <w:rPr>
                <w:rFonts w:hint="eastAsia" w:ascii="宋体" w:hAnsi="宋体" w:eastAsia="宋体" w:cs="宋体"/>
                <w:b/>
                <w:bCs/>
                <w:sz w:val="24"/>
                <w:szCs w:val="24"/>
                <w:highlight w:val="none"/>
              </w:rPr>
              <w:t>注：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套用其他项目内容。</w:t>
            </w:r>
          </w:p>
        </w:tc>
        <w:tc>
          <w:tcPr>
            <w:tcW w:w="762" w:type="dxa"/>
            <w:noWrap w:val="0"/>
            <w:tcMar>
              <w:top w:w="15" w:type="dxa"/>
              <w:left w:w="15" w:type="dxa"/>
              <w:right w:w="15" w:type="dxa"/>
            </w:tcMar>
            <w:vAlign w:val="center"/>
          </w:tcPr>
          <w:p w14:paraId="15B698D7">
            <w:pPr>
              <w:snapToGrid w:val="0"/>
              <w:spacing w:line="24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9</w:t>
            </w:r>
          </w:p>
        </w:tc>
      </w:tr>
      <w:tr w14:paraId="1E1CF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jc w:val="center"/>
        </w:trPr>
        <w:tc>
          <w:tcPr>
            <w:tcW w:w="9972" w:type="dxa"/>
            <w:gridSpan w:val="4"/>
            <w:noWrap w:val="0"/>
            <w:tcMar>
              <w:top w:w="15" w:type="dxa"/>
              <w:left w:w="15" w:type="dxa"/>
              <w:right w:w="15" w:type="dxa"/>
            </w:tcMar>
            <w:vAlign w:val="center"/>
          </w:tcPr>
          <w:p w14:paraId="20571A63">
            <w:pPr>
              <w:widowControl/>
              <w:spacing w:line="240" w:lineRule="auto"/>
              <w:jc w:val="center"/>
              <w:textAlignment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合计：100分</w:t>
            </w:r>
          </w:p>
        </w:tc>
      </w:tr>
    </w:tbl>
    <w:p w14:paraId="1064221D">
      <w:pPr>
        <w:pStyle w:val="39"/>
        <w:rPr>
          <w:rFonts w:hint="eastAsia"/>
          <w:color w:val="auto"/>
          <w:highlight w:val="none"/>
        </w:rPr>
      </w:pPr>
    </w:p>
    <w:p w14:paraId="1F7EFD42">
      <w:pPr>
        <w:pStyle w:val="39"/>
        <w:rPr>
          <w:rFonts w:hint="eastAsia"/>
          <w:color w:val="auto"/>
          <w:highlight w:val="none"/>
        </w:rPr>
      </w:pPr>
    </w:p>
    <w:p w14:paraId="694D1EC4">
      <w:pPr>
        <w:pStyle w:val="39"/>
        <w:rPr>
          <w:rFonts w:hint="eastAsia"/>
          <w:color w:val="auto"/>
          <w:highlight w:val="none"/>
        </w:rPr>
      </w:pPr>
    </w:p>
    <w:p w14:paraId="52753FD7">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zh-CN"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306" w:name="_Toc155185918"/>
      <w:bookmarkStart w:id="307" w:name="_Toc23323"/>
      <w:bookmarkStart w:id="308" w:name="_Toc163492912"/>
    </w:p>
    <w:p w14:paraId="7B07DF3A">
      <w:pPr>
        <w:numPr>
          <w:ilvl w:val="0"/>
          <w:numId w:val="0"/>
        </w:numPr>
        <w:jc w:val="center"/>
        <w:rPr>
          <w:rFonts w:hint="eastAsia"/>
          <w:lang w:val="zh-CN" w:eastAsia="zh-CN"/>
        </w:rPr>
      </w:pPr>
      <w:r>
        <w:rPr>
          <w:rFonts w:hint="eastAsia"/>
          <w:b/>
          <w:bCs/>
          <w:lang w:val="zh-CN" w:eastAsia="zh-CN"/>
        </w:rPr>
        <w:t>标项</w:t>
      </w:r>
      <w:r>
        <w:rPr>
          <w:rFonts w:hint="eastAsia"/>
          <w:b/>
          <w:bCs/>
          <w:lang w:val="en-US" w:eastAsia="zh-CN"/>
        </w:rPr>
        <w:t>二</w:t>
      </w:r>
      <w:r>
        <w:rPr>
          <w:rFonts w:hint="eastAsia"/>
          <w:b/>
          <w:bCs/>
          <w:lang w:val="zh-CN" w:eastAsia="zh-CN"/>
        </w:rPr>
        <w:t>评分标准</w:t>
      </w:r>
    </w:p>
    <w:tbl>
      <w:tblPr>
        <w:tblStyle w:val="30"/>
        <w:tblW w:w="997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0"/>
        <w:gridCol w:w="1110"/>
        <w:gridCol w:w="7020"/>
        <w:gridCol w:w="762"/>
      </w:tblGrid>
      <w:tr w14:paraId="1F443A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7" w:hRule="atLeast"/>
          <w:jc w:val="center"/>
        </w:trPr>
        <w:tc>
          <w:tcPr>
            <w:tcW w:w="1080" w:type="dxa"/>
            <w:noWrap w:val="0"/>
            <w:tcMar>
              <w:top w:w="15" w:type="dxa"/>
              <w:left w:w="15" w:type="dxa"/>
              <w:right w:w="15" w:type="dxa"/>
            </w:tcMar>
            <w:vAlign w:val="center"/>
          </w:tcPr>
          <w:p w14:paraId="4D240E6E">
            <w:pPr>
              <w:widowControl/>
              <w:spacing w:line="240" w:lineRule="auto"/>
              <w:jc w:val="center"/>
              <w:textAlignment w:val="center"/>
              <w:rPr>
                <w:rFonts w:hint="eastAsia" w:ascii="宋体" w:hAnsi="宋体" w:eastAsia="宋体" w:cs="宋体"/>
                <w:b/>
                <w:kern w:val="0"/>
                <w:sz w:val="24"/>
                <w:szCs w:val="24"/>
                <w:highlight w:val="none"/>
              </w:rPr>
            </w:pPr>
            <w:r>
              <w:rPr>
                <w:rFonts w:hint="eastAsia" w:ascii="宋体" w:hAnsi="宋体" w:eastAsia="宋体" w:cs="宋体"/>
                <w:b/>
                <w:kern w:val="0"/>
                <w:sz w:val="24"/>
                <w:szCs w:val="24"/>
                <w:highlight w:val="none"/>
              </w:rPr>
              <w:t>评分因素</w:t>
            </w:r>
          </w:p>
          <w:p w14:paraId="3E4A2ADC">
            <w:pPr>
              <w:widowControl/>
              <w:spacing w:line="240" w:lineRule="auto"/>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及权重</w:t>
            </w:r>
          </w:p>
        </w:tc>
        <w:tc>
          <w:tcPr>
            <w:tcW w:w="1110" w:type="dxa"/>
            <w:noWrap w:val="0"/>
            <w:tcMar>
              <w:top w:w="15" w:type="dxa"/>
              <w:left w:w="15" w:type="dxa"/>
              <w:right w:w="15" w:type="dxa"/>
            </w:tcMar>
            <w:vAlign w:val="center"/>
          </w:tcPr>
          <w:p w14:paraId="11DE7552">
            <w:pPr>
              <w:widowControl/>
              <w:spacing w:line="240" w:lineRule="auto"/>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评标因素</w:t>
            </w:r>
          </w:p>
        </w:tc>
        <w:tc>
          <w:tcPr>
            <w:tcW w:w="7020" w:type="dxa"/>
            <w:noWrap w:val="0"/>
            <w:tcMar>
              <w:top w:w="15" w:type="dxa"/>
              <w:left w:w="15" w:type="dxa"/>
              <w:right w:w="15" w:type="dxa"/>
            </w:tcMar>
            <w:vAlign w:val="center"/>
          </w:tcPr>
          <w:p w14:paraId="53697F86">
            <w:pPr>
              <w:widowControl/>
              <w:spacing w:line="240" w:lineRule="auto"/>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评分标准</w:t>
            </w:r>
          </w:p>
        </w:tc>
        <w:tc>
          <w:tcPr>
            <w:tcW w:w="762" w:type="dxa"/>
            <w:noWrap w:val="0"/>
            <w:tcMar>
              <w:top w:w="15" w:type="dxa"/>
              <w:left w:w="15" w:type="dxa"/>
              <w:right w:w="15" w:type="dxa"/>
            </w:tcMar>
            <w:vAlign w:val="center"/>
          </w:tcPr>
          <w:p w14:paraId="4414A1B7">
            <w:pPr>
              <w:widowControl/>
              <w:spacing w:line="240" w:lineRule="auto"/>
              <w:jc w:val="center"/>
              <w:textAlignment w:val="center"/>
              <w:rPr>
                <w:rFonts w:hint="eastAsia" w:ascii="宋体" w:hAnsi="宋体" w:eastAsia="宋体" w:cs="宋体"/>
                <w:b/>
                <w:sz w:val="24"/>
                <w:szCs w:val="24"/>
                <w:highlight w:val="none"/>
              </w:rPr>
            </w:pPr>
            <w:r>
              <w:rPr>
                <w:rFonts w:hint="eastAsia" w:ascii="宋体" w:hAnsi="宋体" w:eastAsia="宋体" w:cs="宋体"/>
                <w:b/>
                <w:kern w:val="0"/>
                <w:sz w:val="24"/>
                <w:szCs w:val="24"/>
                <w:highlight w:val="none"/>
              </w:rPr>
              <w:t>分值</w:t>
            </w:r>
          </w:p>
        </w:tc>
      </w:tr>
      <w:tr w14:paraId="751DF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8" w:hRule="atLeast"/>
          <w:jc w:val="center"/>
        </w:trPr>
        <w:tc>
          <w:tcPr>
            <w:tcW w:w="1080" w:type="dxa"/>
            <w:noWrap w:val="0"/>
            <w:tcMar>
              <w:top w:w="15" w:type="dxa"/>
              <w:left w:w="15" w:type="dxa"/>
              <w:right w:w="15" w:type="dxa"/>
            </w:tcMar>
            <w:vAlign w:val="center"/>
          </w:tcPr>
          <w:p w14:paraId="6B2DB265">
            <w:pPr>
              <w:widowControl/>
              <w:spacing w:line="240" w:lineRule="auto"/>
              <w:jc w:val="center"/>
              <w:textAlignment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价格部分（3</w:t>
            </w:r>
            <w:r>
              <w:rPr>
                <w:rFonts w:hint="eastAsia" w:ascii="宋体" w:hAnsi="宋体" w:eastAsia="宋体" w:cs="宋体"/>
                <w:kern w:val="0"/>
                <w:sz w:val="24"/>
                <w:szCs w:val="24"/>
                <w:highlight w:val="none"/>
                <w:lang w:val="en-US" w:eastAsia="zh-CN"/>
              </w:rPr>
              <w:t>0</w:t>
            </w:r>
            <w:r>
              <w:rPr>
                <w:rFonts w:hint="eastAsia" w:ascii="宋体" w:hAnsi="宋体" w:eastAsia="宋体" w:cs="宋体"/>
                <w:kern w:val="0"/>
                <w:sz w:val="24"/>
                <w:szCs w:val="24"/>
                <w:highlight w:val="none"/>
              </w:rPr>
              <w:t>分）</w:t>
            </w:r>
          </w:p>
        </w:tc>
        <w:tc>
          <w:tcPr>
            <w:tcW w:w="1110" w:type="dxa"/>
            <w:noWrap w:val="0"/>
            <w:tcMar>
              <w:top w:w="15" w:type="dxa"/>
              <w:left w:w="15" w:type="dxa"/>
              <w:right w:w="15" w:type="dxa"/>
            </w:tcMar>
            <w:vAlign w:val="center"/>
          </w:tcPr>
          <w:p w14:paraId="28A136F0">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投标报价</w:t>
            </w:r>
          </w:p>
        </w:tc>
        <w:tc>
          <w:tcPr>
            <w:tcW w:w="7020" w:type="dxa"/>
            <w:noWrap w:val="0"/>
            <w:tcMar>
              <w:top w:w="15" w:type="dxa"/>
              <w:left w:w="15" w:type="dxa"/>
              <w:right w:w="15" w:type="dxa"/>
            </w:tcMar>
            <w:vAlign w:val="center"/>
          </w:tcPr>
          <w:p w14:paraId="0901222C">
            <w:pPr>
              <w:widowControl/>
              <w:spacing w:line="240" w:lineRule="auto"/>
              <w:textAlignment w:val="center"/>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rPr>
              <w:t>综合评分法中的价格分统一采用低价优先法计算，即满足招标文件要求且投标价格最低的投标报价为评标基准价，其价格分为满分3</w:t>
            </w:r>
            <w:r>
              <w:rPr>
                <w:rFonts w:hint="eastAsia" w:ascii="宋体" w:hAnsi="宋体" w:eastAsia="宋体" w:cs="宋体"/>
                <w:kern w:val="0"/>
                <w:sz w:val="24"/>
                <w:szCs w:val="24"/>
                <w:highlight w:val="none"/>
                <w:lang w:val="en-US" w:eastAsia="zh-CN"/>
              </w:rPr>
              <w:t>0</w:t>
            </w:r>
            <w:r>
              <w:rPr>
                <w:rFonts w:hint="eastAsia" w:ascii="宋体" w:hAnsi="宋体" w:eastAsia="宋体" w:cs="宋体"/>
                <w:kern w:val="0"/>
                <w:sz w:val="24"/>
                <w:szCs w:val="24"/>
                <w:highlight w:val="none"/>
              </w:rPr>
              <w:t>分，其它投标报价得分=评标基准价/投标报价*3</w:t>
            </w:r>
            <w:r>
              <w:rPr>
                <w:rFonts w:hint="eastAsia" w:ascii="宋体" w:hAnsi="宋体" w:eastAsia="宋体" w:cs="宋体"/>
                <w:kern w:val="0"/>
                <w:sz w:val="24"/>
                <w:szCs w:val="24"/>
                <w:highlight w:val="none"/>
                <w:lang w:val="en-US" w:eastAsia="zh-CN"/>
              </w:rPr>
              <w:t>0</w:t>
            </w:r>
          </w:p>
        </w:tc>
        <w:tc>
          <w:tcPr>
            <w:tcW w:w="762" w:type="dxa"/>
            <w:noWrap w:val="0"/>
            <w:tcMar>
              <w:top w:w="15" w:type="dxa"/>
              <w:left w:w="15" w:type="dxa"/>
              <w:right w:w="15" w:type="dxa"/>
            </w:tcMar>
            <w:vAlign w:val="center"/>
          </w:tcPr>
          <w:p w14:paraId="190ADE75">
            <w:pPr>
              <w:widowControl/>
              <w:spacing w:line="240" w:lineRule="auto"/>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kern w:val="0"/>
                <w:sz w:val="24"/>
                <w:szCs w:val="24"/>
                <w:highlight w:val="none"/>
                <w:lang w:val="en-US" w:eastAsia="zh-CN"/>
              </w:rPr>
              <w:t>30</w:t>
            </w:r>
          </w:p>
        </w:tc>
      </w:tr>
      <w:tr w14:paraId="14DFF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1080" w:type="dxa"/>
            <w:vMerge w:val="restart"/>
            <w:noWrap w:val="0"/>
            <w:tcMar>
              <w:top w:w="15" w:type="dxa"/>
              <w:left w:w="15" w:type="dxa"/>
              <w:right w:w="15" w:type="dxa"/>
            </w:tcMar>
            <w:vAlign w:val="center"/>
          </w:tcPr>
          <w:p w14:paraId="791B6217">
            <w:pPr>
              <w:widowControl/>
              <w:spacing w:line="240" w:lineRule="auto"/>
              <w:jc w:val="center"/>
              <w:textAlignment w:val="center"/>
              <w:rPr>
                <w:rFonts w:hint="eastAsia" w:ascii="宋体" w:hAnsi="宋体" w:eastAsia="宋体" w:cs="宋体"/>
                <w:kern w:val="0"/>
                <w:sz w:val="24"/>
                <w:szCs w:val="24"/>
                <w:highlight w:val="none"/>
              </w:rPr>
            </w:pPr>
          </w:p>
          <w:p w14:paraId="7FEA5CC0">
            <w:pPr>
              <w:widowControl/>
              <w:spacing w:line="240" w:lineRule="auto"/>
              <w:jc w:val="center"/>
              <w:textAlignment w:val="center"/>
              <w:rPr>
                <w:rFonts w:hint="eastAsia" w:ascii="宋体" w:hAnsi="宋体" w:eastAsia="宋体" w:cs="宋体"/>
                <w:kern w:val="0"/>
                <w:sz w:val="24"/>
                <w:szCs w:val="24"/>
                <w:highlight w:val="none"/>
              </w:rPr>
            </w:pPr>
          </w:p>
          <w:p w14:paraId="32573414">
            <w:pPr>
              <w:widowControl/>
              <w:spacing w:line="240" w:lineRule="auto"/>
              <w:jc w:val="center"/>
              <w:textAlignment w:val="center"/>
              <w:rPr>
                <w:rFonts w:hint="eastAsia" w:ascii="宋体" w:hAnsi="宋体" w:eastAsia="宋体" w:cs="宋体"/>
                <w:kern w:val="0"/>
                <w:sz w:val="24"/>
                <w:szCs w:val="24"/>
                <w:highlight w:val="none"/>
              </w:rPr>
            </w:pPr>
          </w:p>
          <w:p w14:paraId="58341771">
            <w:pPr>
              <w:widowControl/>
              <w:spacing w:line="240" w:lineRule="auto"/>
              <w:jc w:val="center"/>
              <w:textAlignment w:val="center"/>
              <w:rPr>
                <w:rFonts w:hint="eastAsia" w:ascii="宋体" w:hAnsi="宋体" w:eastAsia="宋体" w:cs="宋体"/>
                <w:kern w:val="0"/>
                <w:sz w:val="24"/>
                <w:szCs w:val="24"/>
                <w:highlight w:val="none"/>
              </w:rPr>
            </w:pPr>
          </w:p>
          <w:p w14:paraId="5E5C1B3A">
            <w:pPr>
              <w:widowControl/>
              <w:spacing w:line="240" w:lineRule="auto"/>
              <w:jc w:val="center"/>
              <w:textAlignment w:val="center"/>
              <w:rPr>
                <w:rFonts w:hint="eastAsia" w:ascii="宋体" w:hAnsi="宋体" w:eastAsia="宋体" w:cs="宋体"/>
                <w:kern w:val="0"/>
                <w:sz w:val="24"/>
                <w:szCs w:val="24"/>
                <w:highlight w:val="none"/>
              </w:rPr>
            </w:pPr>
          </w:p>
          <w:p w14:paraId="59F6BCF0">
            <w:pPr>
              <w:widowControl/>
              <w:spacing w:line="240" w:lineRule="auto"/>
              <w:jc w:val="center"/>
              <w:textAlignment w:val="center"/>
              <w:rPr>
                <w:rFonts w:hint="eastAsia" w:ascii="宋体" w:hAnsi="宋体" w:eastAsia="宋体" w:cs="宋体"/>
                <w:kern w:val="0"/>
                <w:sz w:val="24"/>
                <w:szCs w:val="24"/>
                <w:highlight w:val="none"/>
              </w:rPr>
            </w:pPr>
          </w:p>
          <w:p w14:paraId="610CEB06">
            <w:pPr>
              <w:widowControl/>
              <w:spacing w:line="240" w:lineRule="auto"/>
              <w:jc w:val="center"/>
              <w:textAlignment w:val="center"/>
              <w:rPr>
                <w:rFonts w:hint="eastAsia" w:ascii="宋体" w:hAnsi="宋体" w:eastAsia="宋体" w:cs="宋体"/>
                <w:kern w:val="0"/>
                <w:sz w:val="24"/>
                <w:szCs w:val="24"/>
                <w:highlight w:val="none"/>
              </w:rPr>
            </w:pPr>
          </w:p>
          <w:p w14:paraId="52FFAEF5">
            <w:pPr>
              <w:widowControl/>
              <w:spacing w:line="240" w:lineRule="auto"/>
              <w:jc w:val="center"/>
              <w:textAlignment w:val="center"/>
              <w:rPr>
                <w:rFonts w:hint="eastAsia" w:ascii="宋体" w:hAnsi="宋体" w:eastAsia="宋体" w:cs="宋体"/>
                <w:kern w:val="0"/>
                <w:sz w:val="24"/>
                <w:szCs w:val="24"/>
                <w:highlight w:val="none"/>
              </w:rPr>
            </w:pPr>
          </w:p>
          <w:p w14:paraId="3C2CFDDE">
            <w:pPr>
              <w:widowControl/>
              <w:spacing w:line="240" w:lineRule="auto"/>
              <w:jc w:val="center"/>
              <w:textAlignment w:val="center"/>
              <w:rPr>
                <w:rFonts w:hint="eastAsia" w:ascii="宋体" w:hAnsi="宋体" w:eastAsia="宋体" w:cs="宋体"/>
                <w:kern w:val="0"/>
                <w:sz w:val="24"/>
                <w:szCs w:val="24"/>
                <w:highlight w:val="none"/>
              </w:rPr>
            </w:pPr>
          </w:p>
          <w:p w14:paraId="3C396E87">
            <w:pPr>
              <w:widowControl/>
              <w:spacing w:line="240" w:lineRule="auto"/>
              <w:jc w:val="center"/>
              <w:textAlignment w:val="center"/>
              <w:rPr>
                <w:rFonts w:hint="eastAsia" w:ascii="宋体" w:hAnsi="宋体" w:eastAsia="宋体" w:cs="宋体"/>
                <w:kern w:val="0"/>
                <w:sz w:val="24"/>
                <w:szCs w:val="24"/>
                <w:highlight w:val="none"/>
              </w:rPr>
            </w:pPr>
          </w:p>
          <w:p w14:paraId="7B41030F">
            <w:pPr>
              <w:widowControl/>
              <w:spacing w:line="240" w:lineRule="auto"/>
              <w:jc w:val="center"/>
              <w:textAlignment w:val="center"/>
              <w:rPr>
                <w:rFonts w:hint="eastAsia" w:ascii="宋体" w:hAnsi="宋体" w:eastAsia="宋体" w:cs="宋体"/>
                <w:kern w:val="0"/>
                <w:sz w:val="24"/>
                <w:szCs w:val="24"/>
                <w:highlight w:val="none"/>
              </w:rPr>
            </w:pPr>
          </w:p>
          <w:p w14:paraId="0A2DDCD1">
            <w:pPr>
              <w:widowControl/>
              <w:spacing w:line="240" w:lineRule="auto"/>
              <w:jc w:val="center"/>
              <w:textAlignment w:val="center"/>
              <w:rPr>
                <w:rFonts w:hint="eastAsia" w:ascii="宋体" w:hAnsi="宋体" w:eastAsia="宋体" w:cs="宋体"/>
                <w:kern w:val="0"/>
                <w:sz w:val="24"/>
                <w:szCs w:val="24"/>
                <w:highlight w:val="none"/>
              </w:rPr>
            </w:pPr>
          </w:p>
          <w:p w14:paraId="3FC3DC61">
            <w:pPr>
              <w:widowControl/>
              <w:spacing w:line="240" w:lineRule="auto"/>
              <w:jc w:val="center"/>
              <w:textAlignment w:val="center"/>
              <w:rPr>
                <w:rFonts w:hint="eastAsia" w:ascii="宋体" w:hAnsi="宋体" w:eastAsia="宋体" w:cs="宋体"/>
                <w:kern w:val="0"/>
                <w:sz w:val="24"/>
                <w:szCs w:val="24"/>
                <w:highlight w:val="none"/>
              </w:rPr>
            </w:pPr>
          </w:p>
          <w:p w14:paraId="6D97997B">
            <w:pPr>
              <w:widowControl/>
              <w:spacing w:line="240" w:lineRule="auto"/>
              <w:jc w:val="center"/>
              <w:textAlignment w:val="center"/>
              <w:rPr>
                <w:rFonts w:hint="eastAsia" w:ascii="宋体" w:hAnsi="宋体" w:eastAsia="宋体" w:cs="宋体"/>
                <w:kern w:val="0"/>
                <w:sz w:val="24"/>
                <w:szCs w:val="24"/>
                <w:highlight w:val="none"/>
              </w:rPr>
            </w:pPr>
          </w:p>
          <w:p w14:paraId="022C53C4">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技术和商务部分</w:t>
            </w:r>
          </w:p>
          <w:p w14:paraId="1E54EC09">
            <w:pPr>
              <w:widowControl/>
              <w:spacing w:line="240" w:lineRule="auto"/>
              <w:jc w:val="center"/>
              <w:textAlignment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w:t>
            </w:r>
            <w:r>
              <w:rPr>
                <w:rFonts w:hint="eastAsia" w:ascii="宋体" w:hAnsi="宋体" w:eastAsia="宋体" w:cs="宋体"/>
                <w:kern w:val="0"/>
                <w:sz w:val="24"/>
                <w:szCs w:val="24"/>
                <w:highlight w:val="none"/>
                <w:lang w:val="en-US" w:eastAsia="zh-CN"/>
              </w:rPr>
              <w:t>70</w:t>
            </w:r>
            <w:r>
              <w:rPr>
                <w:rFonts w:hint="eastAsia" w:ascii="宋体" w:hAnsi="宋体" w:eastAsia="宋体" w:cs="宋体"/>
                <w:kern w:val="0"/>
                <w:sz w:val="24"/>
                <w:szCs w:val="24"/>
                <w:highlight w:val="none"/>
              </w:rPr>
              <w:t>分）</w:t>
            </w:r>
          </w:p>
        </w:tc>
        <w:tc>
          <w:tcPr>
            <w:tcW w:w="1110" w:type="dxa"/>
            <w:noWrap w:val="0"/>
            <w:tcMar>
              <w:top w:w="15" w:type="dxa"/>
              <w:left w:w="15" w:type="dxa"/>
              <w:right w:w="15" w:type="dxa"/>
            </w:tcMar>
            <w:vAlign w:val="center"/>
          </w:tcPr>
          <w:p w14:paraId="538C91CC">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sz w:val="24"/>
                <w:szCs w:val="24"/>
                <w:highlight w:val="none"/>
              </w:rPr>
              <w:t>业绩证明</w:t>
            </w:r>
          </w:p>
        </w:tc>
        <w:tc>
          <w:tcPr>
            <w:tcW w:w="7020" w:type="dxa"/>
            <w:noWrap w:val="0"/>
            <w:tcMar>
              <w:top w:w="15" w:type="dxa"/>
              <w:left w:w="15" w:type="dxa"/>
              <w:right w:w="15" w:type="dxa"/>
            </w:tcMar>
            <w:vAlign w:val="center"/>
          </w:tcPr>
          <w:p w14:paraId="5B151BB6">
            <w:pPr>
              <w:widowControl/>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投标人近三年内（20</w:t>
            </w:r>
            <w:r>
              <w:rPr>
                <w:rFonts w:hint="eastAsia" w:ascii="宋体" w:hAnsi="宋体" w:eastAsia="宋体" w:cs="宋体"/>
                <w:sz w:val="24"/>
                <w:szCs w:val="24"/>
                <w:highlight w:val="none"/>
                <w:lang w:val="en-US" w:eastAsia="zh-CN"/>
              </w:rPr>
              <w:t>2</w:t>
            </w:r>
            <w:r>
              <w:rPr>
                <w:rFonts w:hint="eastAsia" w:cs="宋体"/>
                <w:sz w:val="24"/>
                <w:szCs w:val="24"/>
                <w:highlight w:val="none"/>
                <w:lang w:val="en-US" w:eastAsia="zh-CN"/>
              </w:rPr>
              <w:t>3</w:t>
            </w:r>
            <w:r>
              <w:rPr>
                <w:rFonts w:hint="eastAsia" w:ascii="宋体" w:hAnsi="宋体" w:eastAsia="宋体" w:cs="宋体"/>
                <w:sz w:val="24"/>
                <w:szCs w:val="24"/>
                <w:highlight w:val="none"/>
              </w:rPr>
              <w:t>年</w:t>
            </w:r>
            <w:r>
              <w:rPr>
                <w:rFonts w:hint="eastAsia" w:cs="宋体"/>
                <w:sz w:val="24"/>
                <w:szCs w:val="24"/>
                <w:highlight w:val="none"/>
                <w:lang w:val="en-US" w:eastAsia="zh-CN"/>
              </w:rPr>
              <w:t>5</w:t>
            </w:r>
            <w:r>
              <w:rPr>
                <w:rFonts w:hint="eastAsia" w:ascii="宋体" w:hAnsi="宋体" w:eastAsia="宋体" w:cs="宋体"/>
                <w:sz w:val="24"/>
                <w:szCs w:val="24"/>
                <w:highlight w:val="none"/>
              </w:rPr>
              <w:t>月1日起至今，以合同签订日期为准）完成类似项目的业绩，每个项目业绩得</w:t>
            </w:r>
            <w:r>
              <w:rPr>
                <w:rFonts w:hint="eastAsia" w:cs="宋体"/>
                <w:sz w:val="24"/>
                <w:szCs w:val="24"/>
                <w:highlight w:val="none"/>
                <w:lang w:val="en-US" w:eastAsia="zh-CN"/>
              </w:rPr>
              <w:t>1</w:t>
            </w:r>
            <w:r>
              <w:rPr>
                <w:rFonts w:hint="eastAsia" w:ascii="宋体" w:hAnsi="宋体" w:eastAsia="宋体" w:cs="宋体"/>
                <w:sz w:val="24"/>
                <w:szCs w:val="24"/>
                <w:highlight w:val="none"/>
              </w:rPr>
              <w:t>分，最多得</w:t>
            </w:r>
            <w:r>
              <w:rPr>
                <w:rFonts w:hint="eastAsia" w:cs="宋体"/>
                <w:sz w:val="24"/>
                <w:szCs w:val="24"/>
                <w:highlight w:val="none"/>
                <w:lang w:val="en-US" w:eastAsia="zh-CN"/>
              </w:rPr>
              <w:t>5</w:t>
            </w:r>
            <w:r>
              <w:rPr>
                <w:rFonts w:hint="eastAsia" w:ascii="宋体" w:hAnsi="宋体" w:eastAsia="宋体" w:cs="宋体"/>
                <w:sz w:val="24"/>
                <w:szCs w:val="24"/>
                <w:highlight w:val="none"/>
              </w:rPr>
              <w:t>分。</w:t>
            </w:r>
          </w:p>
          <w:p w14:paraId="41F8C111">
            <w:pPr>
              <w:widowControl/>
              <w:spacing w:line="240" w:lineRule="auto"/>
              <w:textAlignment w:val="center"/>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w:t>
            </w:r>
            <w:r>
              <w:rPr>
                <w:rFonts w:hint="eastAsia" w:ascii="宋体" w:hAnsi="宋体" w:eastAsia="宋体" w:cs="宋体"/>
                <w:b/>
                <w:bCs/>
                <w:sz w:val="24"/>
                <w:szCs w:val="24"/>
                <w:highlight w:val="none"/>
                <w:lang w:val="en-US" w:eastAsia="zh-CN"/>
              </w:rPr>
              <w:t>业绩证明材料为合同或中标通知书；合同需提供包含合同首页、标的内容及金额所在页、合同签字盖章页等关键页即可，需加盖公章。合同关键处不得遮挡涂黑，日期清晰明确。若提供业绩证明材料为中标通知书的，需提供中标通知书复印件，并加盖公章</w:t>
            </w:r>
            <w:r>
              <w:rPr>
                <w:rFonts w:hint="eastAsia" w:ascii="宋体" w:hAnsi="宋体" w:eastAsia="宋体" w:cs="宋体"/>
                <w:b/>
                <w:bCs/>
                <w:sz w:val="24"/>
                <w:szCs w:val="24"/>
                <w:highlight w:val="none"/>
              </w:rPr>
              <w:t>。</w:t>
            </w:r>
          </w:p>
        </w:tc>
        <w:tc>
          <w:tcPr>
            <w:tcW w:w="762" w:type="dxa"/>
            <w:noWrap w:val="0"/>
            <w:tcMar>
              <w:top w:w="15" w:type="dxa"/>
              <w:left w:w="15" w:type="dxa"/>
              <w:right w:w="15" w:type="dxa"/>
            </w:tcMar>
            <w:vAlign w:val="center"/>
          </w:tcPr>
          <w:p w14:paraId="38AB1BEF">
            <w:pPr>
              <w:widowControl/>
              <w:spacing w:line="240" w:lineRule="auto"/>
              <w:jc w:val="center"/>
              <w:textAlignment w:val="center"/>
              <w:rPr>
                <w:rFonts w:hint="eastAsia" w:cs="宋体"/>
                <w:kern w:val="0"/>
                <w:sz w:val="24"/>
                <w:szCs w:val="24"/>
                <w:highlight w:val="none"/>
                <w:lang w:val="en-US" w:eastAsia="zh-CN"/>
              </w:rPr>
            </w:pPr>
            <w:r>
              <w:rPr>
                <w:rFonts w:hint="eastAsia" w:cs="宋体"/>
                <w:kern w:val="0"/>
                <w:sz w:val="24"/>
                <w:szCs w:val="24"/>
                <w:highlight w:val="none"/>
                <w:lang w:val="en-US" w:eastAsia="zh-CN"/>
              </w:rPr>
              <w:t>5</w:t>
            </w:r>
          </w:p>
        </w:tc>
      </w:tr>
      <w:tr w14:paraId="5A4FC1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jc w:val="center"/>
        </w:trPr>
        <w:tc>
          <w:tcPr>
            <w:tcW w:w="1080" w:type="dxa"/>
            <w:vMerge w:val="continue"/>
            <w:noWrap w:val="0"/>
            <w:tcMar>
              <w:top w:w="15" w:type="dxa"/>
              <w:left w:w="15" w:type="dxa"/>
              <w:right w:w="15" w:type="dxa"/>
            </w:tcMar>
            <w:vAlign w:val="center"/>
          </w:tcPr>
          <w:p w14:paraId="30A6C38F">
            <w:pPr>
              <w:widowControl/>
              <w:spacing w:line="240" w:lineRule="auto"/>
              <w:jc w:val="center"/>
              <w:textAlignment w:val="center"/>
              <w:rPr>
                <w:rFonts w:hint="eastAsia" w:ascii="宋体" w:hAnsi="宋体" w:eastAsia="宋体" w:cs="宋体"/>
                <w:sz w:val="24"/>
                <w:szCs w:val="24"/>
                <w:highlight w:val="none"/>
              </w:rPr>
            </w:pPr>
          </w:p>
        </w:tc>
        <w:tc>
          <w:tcPr>
            <w:tcW w:w="1110" w:type="dxa"/>
            <w:noWrap w:val="0"/>
            <w:tcMar>
              <w:top w:w="15" w:type="dxa"/>
              <w:left w:w="15" w:type="dxa"/>
              <w:right w:w="15" w:type="dxa"/>
            </w:tcMar>
            <w:vAlign w:val="center"/>
          </w:tcPr>
          <w:p w14:paraId="516DBE47">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技术要求</w:t>
            </w:r>
          </w:p>
          <w:p w14:paraId="5C0F9B99">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响应评价</w:t>
            </w:r>
          </w:p>
        </w:tc>
        <w:tc>
          <w:tcPr>
            <w:tcW w:w="7020" w:type="dxa"/>
            <w:noWrap w:val="0"/>
            <w:tcMar>
              <w:top w:w="15" w:type="dxa"/>
              <w:left w:w="15" w:type="dxa"/>
              <w:right w:w="15" w:type="dxa"/>
            </w:tcMar>
            <w:vAlign w:val="center"/>
          </w:tcPr>
          <w:p w14:paraId="57600D7D">
            <w:pPr>
              <w:widowControl/>
              <w:spacing w:line="240" w:lineRule="auto"/>
              <w:ind w:firstLine="480" w:firstLineChars="200"/>
              <w:rPr>
                <w:rFonts w:hint="eastAsia" w:cs="宋体"/>
                <w:sz w:val="24"/>
                <w:szCs w:val="24"/>
                <w:highlight w:val="none"/>
                <w:lang w:val="en-US" w:eastAsia="zh-CN"/>
              </w:rPr>
            </w:pPr>
            <w:r>
              <w:rPr>
                <w:rFonts w:hint="eastAsia" w:ascii="宋体" w:hAnsi="宋体" w:eastAsia="宋体" w:cs="宋体"/>
                <w:sz w:val="24"/>
                <w:szCs w:val="24"/>
                <w:highlight w:val="none"/>
                <w:lang w:eastAsia="zh-CN"/>
              </w:rPr>
              <w:t>对照第</w:t>
            </w:r>
            <w:r>
              <w:rPr>
                <w:rFonts w:hint="eastAsia" w:cs="宋体"/>
                <w:sz w:val="24"/>
                <w:szCs w:val="24"/>
                <w:highlight w:val="none"/>
                <w:lang w:val="en-US" w:eastAsia="zh-CN"/>
              </w:rPr>
              <w:t>三</w:t>
            </w:r>
            <w:r>
              <w:rPr>
                <w:rFonts w:hint="eastAsia" w:ascii="宋体" w:hAnsi="宋体" w:eastAsia="宋体" w:cs="宋体"/>
                <w:sz w:val="24"/>
                <w:szCs w:val="24"/>
                <w:highlight w:val="none"/>
                <w:lang w:eastAsia="zh-CN"/>
              </w:rPr>
              <w:t>章“</w:t>
            </w:r>
            <w:r>
              <w:rPr>
                <w:rFonts w:hint="eastAsia" w:cs="宋体"/>
                <w:sz w:val="24"/>
                <w:szCs w:val="24"/>
                <w:highlight w:val="none"/>
                <w:lang w:eastAsia="zh-CN"/>
              </w:rPr>
              <w:t>项目</w:t>
            </w:r>
            <w:r>
              <w:rPr>
                <w:rFonts w:hint="eastAsia" w:ascii="宋体" w:hAnsi="宋体" w:eastAsia="宋体" w:cs="宋体"/>
                <w:sz w:val="24"/>
                <w:szCs w:val="24"/>
                <w:highlight w:val="none"/>
                <w:lang w:val="en-US" w:eastAsia="zh-CN"/>
              </w:rPr>
              <w:t>采购</w:t>
            </w:r>
            <w:r>
              <w:rPr>
                <w:rFonts w:hint="eastAsia" w:ascii="宋体" w:hAnsi="宋体" w:eastAsia="宋体" w:cs="宋体"/>
                <w:sz w:val="24"/>
                <w:szCs w:val="24"/>
                <w:highlight w:val="none"/>
                <w:lang w:eastAsia="zh-CN"/>
              </w:rPr>
              <w:t>需求”</w:t>
            </w:r>
            <w:r>
              <w:rPr>
                <w:rFonts w:hint="eastAsia" w:ascii="宋体" w:hAnsi="宋体" w:eastAsia="宋体" w:cs="宋体"/>
                <w:sz w:val="24"/>
                <w:szCs w:val="24"/>
                <w:highlight w:val="none"/>
                <w:lang w:val="en-US" w:eastAsia="zh-CN"/>
              </w:rPr>
              <w:t>的技术参数（每条技术参数前</w:t>
            </w:r>
            <w:r>
              <w:rPr>
                <w:rFonts w:hint="eastAsia" w:ascii="宋体" w:hAnsi="宋体" w:eastAsia="宋体" w:cs="宋体"/>
                <w:sz w:val="24"/>
                <w:szCs w:val="24"/>
                <w:highlight w:val="none"/>
              </w:rPr>
              <w:t>标注“</w:t>
            </w:r>
            <w:r>
              <w:rPr>
                <w:rFonts w:hint="eastAsia" w:ascii="宋体" w:hAnsi="宋体" w:eastAsia="宋体" w:cs="宋体"/>
                <w:sz w:val="24"/>
              </w:rPr>
              <w:t>▲</w:t>
            </w:r>
            <w:r>
              <w:rPr>
                <w:rFonts w:hint="eastAsia" w:ascii="宋体" w:hAnsi="宋体" w:eastAsia="宋体" w:cs="宋体"/>
                <w:sz w:val="24"/>
                <w:szCs w:val="24"/>
                <w:highlight w:val="none"/>
              </w:rPr>
              <w:t>”的为</w:t>
            </w:r>
            <w:r>
              <w:rPr>
                <w:rFonts w:hint="eastAsia" w:cs="宋体"/>
                <w:sz w:val="24"/>
                <w:szCs w:val="24"/>
                <w:highlight w:val="none"/>
                <w:lang w:eastAsia="zh-CN"/>
              </w:rPr>
              <w:t>主要</w:t>
            </w:r>
            <w:r>
              <w:rPr>
                <w:rFonts w:hint="eastAsia" w:ascii="宋体" w:hAnsi="宋体" w:eastAsia="宋体" w:cs="宋体"/>
                <w:sz w:val="24"/>
                <w:szCs w:val="24"/>
                <w:highlight w:val="none"/>
              </w:rPr>
              <w:t>技术参数，未标注</w:t>
            </w:r>
            <w:r>
              <w:rPr>
                <w:rFonts w:hint="eastAsia" w:ascii="宋体" w:hAnsi="宋体" w:eastAsia="宋体" w:cs="宋体"/>
                <w:sz w:val="24"/>
                <w:szCs w:val="24"/>
                <w:highlight w:val="none"/>
                <w:lang w:eastAsia="zh-CN"/>
              </w:rPr>
              <w:t>的为一般技术参数。</w:t>
            </w:r>
            <w:r>
              <w:rPr>
                <w:rFonts w:hint="eastAsia" w:ascii="宋体" w:hAnsi="宋体" w:eastAsia="宋体" w:cs="宋体"/>
                <w:sz w:val="24"/>
                <w:szCs w:val="24"/>
                <w:highlight w:val="none"/>
                <w:lang w:val="en-US" w:eastAsia="zh-CN"/>
              </w:rPr>
              <w:t>）根据投标人提供的产品配置及技术性</w:t>
            </w:r>
            <w:r>
              <w:rPr>
                <w:rFonts w:hint="eastAsia" w:cs="宋体"/>
                <w:sz w:val="24"/>
                <w:szCs w:val="24"/>
                <w:highlight w:val="none"/>
                <w:lang w:val="en-US" w:eastAsia="zh-CN"/>
              </w:rPr>
              <w:t>能指标的响应情况进行评审。</w:t>
            </w:r>
          </w:p>
          <w:p w14:paraId="4A9200B4">
            <w:pPr>
              <w:widowControl/>
              <w:spacing w:line="240" w:lineRule="auto"/>
              <w:ind w:firstLine="480" w:firstLineChars="200"/>
              <w:rPr>
                <w:rFonts w:hint="eastAsia" w:cs="宋体"/>
                <w:sz w:val="24"/>
                <w:szCs w:val="24"/>
                <w:highlight w:val="none"/>
                <w:lang w:val="en-US" w:eastAsia="zh-CN"/>
              </w:rPr>
            </w:pPr>
            <w:r>
              <w:rPr>
                <w:rFonts w:hint="eastAsia" w:cs="宋体"/>
                <w:sz w:val="24"/>
                <w:szCs w:val="24"/>
                <w:highlight w:val="none"/>
                <w:lang w:val="en-US" w:eastAsia="zh-CN"/>
              </w:rPr>
              <w:t>1.投标人所投产品技术参数完全响应招标文件要求的，得40分；</w:t>
            </w:r>
          </w:p>
          <w:p w14:paraId="236FFFBF">
            <w:pPr>
              <w:widowControl/>
              <w:spacing w:line="240" w:lineRule="auto"/>
              <w:ind w:firstLine="480" w:firstLineChars="200"/>
              <w:rPr>
                <w:rFonts w:hint="eastAsia" w:cs="宋体"/>
                <w:sz w:val="24"/>
                <w:szCs w:val="24"/>
                <w:highlight w:val="none"/>
                <w:lang w:val="en-US" w:eastAsia="zh-CN"/>
              </w:rPr>
            </w:pPr>
            <w:r>
              <w:rPr>
                <w:rFonts w:hint="eastAsia" w:cs="宋体"/>
                <w:sz w:val="24"/>
                <w:szCs w:val="24"/>
                <w:highlight w:val="none"/>
                <w:lang w:val="en-US" w:eastAsia="zh-CN"/>
              </w:rPr>
              <w:t>2.主要技术参数存在负偏离的（53条），每一条扣1分，最多扣25分；</w:t>
            </w:r>
          </w:p>
          <w:p w14:paraId="64D0D3AA">
            <w:pPr>
              <w:widowControl/>
              <w:spacing w:line="240" w:lineRule="auto"/>
              <w:ind w:firstLine="480" w:firstLineChars="200"/>
              <w:rPr>
                <w:rFonts w:hint="eastAsia" w:ascii="宋体" w:hAnsi="宋体" w:eastAsia="宋体" w:cs="宋体"/>
                <w:sz w:val="24"/>
                <w:szCs w:val="24"/>
                <w:highlight w:val="none"/>
                <w:shd w:val="clear" w:fill="FF0000"/>
              </w:rPr>
            </w:pPr>
            <w:r>
              <w:rPr>
                <w:rFonts w:hint="eastAsia" w:cs="宋体"/>
                <w:sz w:val="24"/>
                <w:szCs w:val="24"/>
                <w:highlight w:val="none"/>
                <w:lang w:val="en-US" w:eastAsia="zh-CN"/>
              </w:rPr>
              <w:t>3.一般技术参数存在负偏离的，每一条扣0.5分，最多扣15分。</w:t>
            </w:r>
          </w:p>
          <w:p w14:paraId="2E68BDFF">
            <w:pPr>
              <w:widowControl/>
              <w:spacing w:line="240" w:lineRule="auto"/>
              <w:textAlignment w:val="center"/>
              <w:rPr>
                <w:rFonts w:hint="eastAsia" w:ascii="宋体" w:hAnsi="宋体" w:eastAsia="宋体" w:cs="宋体"/>
                <w:sz w:val="24"/>
                <w:szCs w:val="24"/>
                <w:highlight w:val="none"/>
              </w:rPr>
            </w:pPr>
            <w:r>
              <w:rPr>
                <w:rFonts w:hint="eastAsia" w:ascii="宋体" w:hAnsi="宋体" w:eastAsia="宋体" w:cs="宋体"/>
                <w:b/>
                <w:bCs/>
                <w:sz w:val="24"/>
                <w:szCs w:val="24"/>
                <w:highlight w:val="none"/>
              </w:rPr>
              <w:t>注：负偏离评审依据：①所提供产品技术参数低于</w:t>
            </w:r>
            <w:r>
              <w:rPr>
                <w:rFonts w:hint="eastAsia" w:ascii="宋体" w:hAnsi="宋体" w:eastAsia="宋体" w:cs="宋体"/>
                <w:b/>
                <w:bCs/>
                <w:sz w:val="24"/>
                <w:szCs w:val="24"/>
                <w:highlight w:val="none"/>
                <w:lang w:val="en-US" w:eastAsia="zh-CN"/>
              </w:rPr>
              <w:t>招标</w:t>
            </w:r>
            <w:r>
              <w:rPr>
                <w:rFonts w:hint="eastAsia" w:ascii="宋体" w:hAnsi="宋体" w:eastAsia="宋体" w:cs="宋体"/>
                <w:b/>
                <w:bCs/>
                <w:sz w:val="24"/>
                <w:szCs w:val="24"/>
                <w:highlight w:val="none"/>
              </w:rPr>
              <w:t>文件要求的，视为负偏离；②技术参数响应条款（以</w:t>
            </w:r>
            <w:r>
              <w:rPr>
                <w:rFonts w:hint="eastAsia" w:ascii="宋体" w:hAnsi="宋体" w:eastAsia="宋体" w:cs="宋体"/>
                <w:b/>
                <w:bCs/>
                <w:sz w:val="24"/>
                <w:szCs w:val="24"/>
                <w:highlight w:val="none"/>
                <w:lang w:val="en-US" w:eastAsia="zh-CN"/>
              </w:rPr>
              <w:t>投标</w:t>
            </w:r>
            <w:r>
              <w:rPr>
                <w:rFonts w:hint="eastAsia" w:ascii="宋体" w:hAnsi="宋体" w:eastAsia="宋体" w:cs="宋体"/>
                <w:b/>
                <w:bCs/>
                <w:sz w:val="24"/>
                <w:szCs w:val="24"/>
                <w:highlight w:val="none"/>
              </w:rPr>
              <w:t>文件内技术偏离表为准）与招标文件对比有缺项、漏项的，视为负偏离；③</w:t>
            </w:r>
            <w:r>
              <w:rPr>
                <w:rFonts w:hint="eastAsia" w:ascii="宋体" w:hAnsi="宋体" w:eastAsia="宋体" w:cs="宋体"/>
                <w:b/>
                <w:bCs/>
                <w:sz w:val="24"/>
                <w:szCs w:val="24"/>
                <w:highlight w:val="none"/>
                <w:lang w:val="en-US" w:eastAsia="zh-CN"/>
              </w:rPr>
              <w:t>投标</w:t>
            </w:r>
            <w:r>
              <w:rPr>
                <w:rFonts w:hint="eastAsia" w:ascii="宋体" w:hAnsi="宋体" w:eastAsia="宋体" w:cs="宋体"/>
                <w:b/>
                <w:bCs/>
                <w:sz w:val="24"/>
                <w:szCs w:val="24"/>
                <w:highlight w:val="none"/>
              </w:rPr>
              <w:t>文件内技术偏离表完全复制</w:t>
            </w:r>
            <w:r>
              <w:rPr>
                <w:rFonts w:hint="eastAsia" w:ascii="宋体" w:hAnsi="宋体" w:eastAsia="宋体" w:cs="宋体"/>
                <w:b/>
                <w:bCs/>
                <w:sz w:val="24"/>
                <w:szCs w:val="24"/>
                <w:highlight w:val="none"/>
                <w:lang w:val="en-US" w:eastAsia="zh-CN"/>
              </w:rPr>
              <w:t>招标</w:t>
            </w:r>
            <w:r>
              <w:rPr>
                <w:rFonts w:hint="eastAsia" w:ascii="宋体" w:hAnsi="宋体" w:eastAsia="宋体" w:cs="宋体"/>
                <w:b/>
                <w:bCs/>
                <w:sz w:val="24"/>
                <w:szCs w:val="24"/>
                <w:highlight w:val="none"/>
              </w:rPr>
              <w:t>文件技术参数的（不涉及具体参数指标的描述性技术要求除外），视为负偏离；④投标人提供的</w:t>
            </w:r>
            <w:r>
              <w:rPr>
                <w:rFonts w:hint="eastAsia" w:ascii="宋体" w:hAnsi="宋体" w:eastAsia="宋体" w:cs="宋体"/>
                <w:b/>
                <w:bCs/>
                <w:sz w:val="24"/>
                <w:szCs w:val="24"/>
                <w:highlight w:val="none"/>
                <w:lang w:val="en-US" w:eastAsia="zh-CN"/>
              </w:rPr>
              <w:t>投标</w:t>
            </w:r>
            <w:r>
              <w:rPr>
                <w:rFonts w:hint="eastAsia" w:ascii="宋体" w:hAnsi="宋体" w:eastAsia="宋体" w:cs="宋体"/>
                <w:b/>
                <w:bCs/>
                <w:sz w:val="24"/>
                <w:szCs w:val="24"/>
                <w:highlight w:val="none"/>
              </w:rPr>
              <w:t>文件中产品技术偏离表、产品技术规格书和产品检测报告内描述的同一产品技术参数响应值不一致的，视为负偏离。</w:t>
            </w:r>
          </w:p>
        </w:tc>
        <w:tc>
          <w:tcPr>
            <w:tcW w:w="762" w:type="dxa"/>
            <w:noWrap w:val="0"/>
            <w:tcMar>
              <w:top w:w="15" w:type="dxa"/>
              <w:left w:w="15" w:type="dxa"/>
              <w:right w:w="15" w:type="dxa"/>
            </w:tcMar>
            <w:vAlign w:val="center"/>
          </w:tcPr>
          <w:p w14:paraId="72CCE7D1">
            <w:pPr>
              <w:widowControl/>
              <w:spacing w:line="240" w:lineRule="auto"/>
              <w:jc w:val="center"/>
              <w:textAlignment w:val="center"/>
              <w:rPr>
                <w:rFonts w:hint="default" w:ascii="宋体" w:hAnsi="宋体" w:eastAsia="宋体" w:cs="宋体"/>
                <w:kern w:val="0"/>
                <w:sz w:val="24"/>
                <w:szCs w:val="24"/>
                <w:highlight w:val="none"/>
                <w:lang w:val="en-US" w:eastAsia="zh-CN"/>
              </w:rPr>
            </w:pPr>
            <w:r>
              <w:rPr>
                <w:rFonts w:hint="eastAsia" w:cs="宋体"/>
                <w:kern w:val="0"/>
                <w:sz w:val="24"/>
                <w:szCs w:val="24"/>
                <w:highlight w:val="none"/>
                <w:lang w:val="en-US" w:eastAsia="zh-CN"/>
              </w:rPr>
              <w:t>40</w:t>
            </w:r>
          </w:p>
        </w:tc>
      </w:tr>
      <w:tr w14:paraId="00E9A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jc w:val="center"/>
        </w:trPr>
        <w:tc>
          <w:tcPr>
            <w:tcW w:w="1080" w:type="dxa"/>
            <w:vMerge w:val="continue"/>
            <w:noWrap w:val="0"/>
            <w:tcMar>
              <w:top w:w="15" w:type="dxa"/>
              <w:left w:w="15" w:type="dxa"/>
              <w:right w:w="15" w:type="dxa"/>
            </w:tcMar>
            <w:vAlign w:val="center"/>
          </w:tcPr>
          <w:p w14:paraId="074E4DD7">
            <w:pPr>
              <w:widowControl/>
              <w:spacing w:line="240" w:lineRule="auto"/>
              <w:jc w:val="center"/>
              <w:textAlignment w:val="center"/>
              <w:rPr>
                <w:rFonts w:hint="eastAsia" w:ascii="宋体" w:hAnsi="宋体" w:eastAsia="宋体" w:cs="宋体"/>
                <w:kern w:val="0"/>
                <w:sz w:val="24"/>
                <w:szCs w:val="24"/>
                <w:highlight w:val="none"/>
              </w:rPr>
            </w:pPr>
          </w:p>
        </w:tc>
        <w:tc>
          <w:tcPr>
            <w:tcW w:w="1110" w:type="dxa"/>
            <w:noWrap w:val="0"/>
            <w:tcMar>
              <w:top w:w="15" w:type="dxa"/>
              <w:left w:w="15" w:type="dxa"/>
              <w:right w:w="15" w:type="dxa"/>
            </w:tcMar>
            <w:vAlign w:val="center"/>
          </w:tcPr>
          <w:p w14:paraId="359EF58F">
            <w:pPr>
              <w:snapToGrid w:val="0"/>
              <w:spacing w:line="24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项目组织</w:t>
            </w:r>
          </w:p>
          <w:p w14:paraId="57DEF0EA">
            <w:pPr>
              <w:widowControl/>
              <w:spacing w:line="240" w:lineRule="auto"/>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方案评价</w:t>
            </w:r>
          </w:p>
        </w:tc>
        <w:tc>
          <w:tcPr>
            <w:tcW w:w="7020" w:type="dxa"/>
            <w:noWrap w:val="0"/>
            <w:tcMar>
              <w:top w:w="15" w:type="dxa"/>
              <w:left w:w="15" w:type="dxa"/>
              <w:right w:w="15" w:type="dxa"/>
            </w:tcMar>
            <w:vAlign w:val="center"/>
          </w:tcPr>
          <w:p w14:paraId="667DF043">
            <w:pPr>
              <w:widowControl/>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根据投标人提供的项目组织方案进行评分：</w:t>
            </w:r>
          </w:p>
          <w:p w14:paraId="12D575E4">
            <w:pPr>
              <w:widowControl/>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项目</w:t>
            </w:r>
            <w:r>
              <w:rPr>
                <w:rFonts w:hint="eastAsia" w:cs="宋体"/>
                <w:sz w:val="24"/>
                <w:szCs w:val="24"/>
                <w:highlight w:val="none"/>
                <w:lang w:eastAsia="zh-CN"/>
              </w:rPr>
              <w:t>组织</w:t>
            </w:r>
            <w:r>
              <w:rPr>
                <w:rFonts w:hint="eastAsia" w:ascii="宋体" w:hAnsi="宋体" w:eastAsia="宋体" w:cs="宋体"/>
                <w:sz w:val="24"/>
                <w:szCs w:val="24"/>
                <w:highlight w:val="none"/>
              </w:rPr>
              <w:t>方案包括但不限于：①项目人员安排（包含但不限于主要人员名单及基本情况介绍、在本项目中承担的职责等）、②供货方案（包含但不限于产品来源、供货计划、供货时间、包装和运输方式等）、③质量管控方案（包括但不限于质量管控的标准、方法和程序等）、④测试（调试）方案（包含但不限于人员安排、测试步骤、测试标准等）等4项内容，方案内容完整齐全，符合项目实际（</w:t>
            </w:r>
            <w:r>
              <w:rPr>
                <w:rFonts w:hint="eastAsia" w:ascii="宋体" w:hAnsi="宋体" w:eastAsia="宋体" w:cs="宋体"/>
                <w:sz w:val="24"/>
                <w:szCs w:val="24"/>
                <w:highlight w:val="none"/>
                <w:lang w:eastAsia="zh-CN"/>
              </w:rPr>
              <w:t>第</w:t>
            </w:r>
            <w:r>
              <w:rPr>
                <w:rFonts w:hint="eastAsia" w:cs="宋体"/>
                <w:sz w:val="24"/>
                <w:szCs w:val="24"/>
                <w:highlight w:val="none"/>
                <w:lang w:eastAsia="zh-CN"/>
              </w:rPr>
              <w:t>三</w:t>
            </w:r>
            <w:r>
              <w:rPr>
                <w:rFonts w:hint="eastAsia" w:ascii="宋体" w:hAnsi="宋体" w:eastAsia="宋体" w:cs="宋体"/>
                <w:sz w:val="24"/>
                <w:szCs w:val="24"/>
                <w:highlight w:val="none"/>
                <w:lang w:eastAsia="zh-CN"/>
              </w:rPr>
              <w:t>章</w:t>
            </w:r>
            <w:r>
              <w:rPr>
                <w:rFonts w:hint="eastAsia" w:ascii="宋体" w:hAnsi="宋体" w:eastAsia="宋体" w:cs="宋体"/>
                <w:sz w:val="24"/>
                <w:szCs w:val="24"/>
                <w:highlight w:val="none"/>
              </w:rPr>
              <w:t>“</w:t>
            </w:r>
            <w:r>
              <w:rPr>
                <w:rFonts w:hint="eastAsia" w:cs="宋体"/>
                <w:sz w:val="24"/>
                <w:szCs w:val="24"/>
                <w:highlight w:val="none"/>
                <w:lang w:eastAsia="zh-CN"/>
              </w:rPr>
              <w:t>项目</w:t>
            </w:r>
            <w:r>
              <w:rPr>
                <w:rFonts w:hint="eastAsia" w:ascii="宋体" w:hAnsi="宋体" w:eastAsia="宋体" w:cs="宋体"/>
                <w:sz w:val="24"/>
                <w:szCs w:val="24"/>
                <w:highlight w:val="none"/>
                <w:lang w:eastAsia="zh-CN"/>
              </w:rPr>
              <w:t>采购需求</w:t>
            </w:r>
            <w:r>
              <w:rPr>
                <w:rFonts w:hint="eastAsia" w:ascii="宋体" w:hAnsi="宋体" w:eastAsia="宋体" w:cs="宋体"/>
                <w:sz w:val="24"/>
                <w:szCs w:val="24"/>
                <w:highlight w:val="none"/>
              </w:rPr>
              <w:t>”）的，得</w:t>
            </w:r>
            <w:r>
              <w:rPr>
                <w:rFonts w:hint="eastAsia" w:cs="宋体"/>
                <w:sz w:val="24"/>
                <w:szCs w:val="24"/>
                <w:highlight w:val="none"/>
                <w:lang w:val="en-US" w:eastAsia="zh-CN"/>
              </w:rPr>
              <w:t>8</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val="en-US" w:eastAsia="zh-CN"/>
              </w:rPr>
              <w:t>每有</w:t>
            </w:r>
            <w:r>
              <w:rPr>
                <w:rFonts w:hint="eastAsia" w:ascii="宋体" w:hAnsi="宋体" w:eastAsia="宋体" w:cs="宋体"/>
                <w:sz w:val="24"/>
                <w:szCs w:val="24"/>
                <w:highlight w:val="none"/>
              </w:rPr>
              <w:t>一项内容存在缺陷的，</w:t>
            </w:r>
            <w:r>
              <w:rPr>
                <w:rFonts w:hint="eastAsia" w:ascii="宋体" w:hAnsi="宋体" w:eastAsia="宋体" w:cs="宋体"/>
                <w:sz w:val="24"/>
                <w:szCs w:val="24"/>
                <w:highlight w:val="none"/>
                <w:lang w:val="en-US" w:eastAsia="zh-CN"/>
              </w:rPr>
              <w:t>每一项扣1分；</w:t>
            </w:r>
            <w:r>
              <w:rPr>
                <w:rFonts w:hint="eastAsia" w:ascii="宋体" w:hAnsi="宋体" w:eastAsia="宋体" w:cs="宋体"/>
                <w:sz w:val="24"/>
                <w:szCs w:val="24"/>
                <w:highlight w:val="none"/>
              </w:rPr>
              <w:t>每缺少一项方案内容</w:t>
            </w:r>
            <w:r>
              <w:rPr>
                <w:rFonts w:hint="eastAsia" w:ascii="宋体" w:hAnsi="宋体" w:eastAsia="宋体" w:cs="宋体"/>
                <w:sz w:val="24"/>
                <w:szCs w:val="24"/>
                <w:highlight w:val="none"/>
                <w:lang w:val="en-US" w:eastAsia="zh-CN"/>
              </w:rPr>
              <w:t>的</w:t>
            </w:r>
            <w:r>
              <w:rPr>
                <w:rFonts w:hint="eastAsia" w:ascii="宋体" w:hAnsi="宋体" w:eastAsia="宋体" w:cs="宋体"/>
                <w:sz w:val="24"/>
                <w:szCs w:val="24"/>
                <w:highlight w:val="none"/>
              </w:rPr>
              <w:t>，每一项扣</w:t>
            </w:r>
            <w:r>
              <w:rPr>
                <w:rFonts w:hint="eastAsia" w:cs="宋体"/>
                <w:sz w:val="24"/>
                <w:szCs w:val="24"/>
                <w:highlight w:val="none"/>
                <w:lang w:val="en-US" w:eastAsia="zh-CN"/>
              </w:rPr>
              <w:t>2</w:t>
            </w:r>
            <w:r>
              <w:rPr>
                <w:rFonts w:hint="eastAsia" w:ascii="宋体" w:hAnsi="宋体" w:eastAsia="宋体" w:cs="宋体"/>
                <w:sz w:val="24"/>
                <w:szCs w:val="24"/>
                <w:highlight w:val="none"/>
              </w:rPr>
              <w:t>分，扣完为止；未提供项目</w:t>
            </w:r>
            <w:r>
              <w:rPr>
                <w:rFonts w:hint="eastAsia" w:cs="宋体"/>
                <w:sz w:val="24"/>
                <w:szCs w:val="24"/>
                <w:highlight w:val="none"/>
                <w:lang w:eastAsia="zh-CN"/>
              </w:rPr>
              <w:t>组织</w:t>
            </w:r>
            <w:r>
              <w:rPr>
                <w:rFonts w:hint="eastAsia" w:ascii="宋体" w:hAnsi="宋体" w:eastAsia="宋体" w:cs="宋体"/>
                <w:sz w:val="24"/>
                <w:szCs w:val="24"/>
                <w:highlight w:val="none"/>
              </w:rPr>
              <w:t>方案的，此项不得分。</w:t>
            </w:r>
          </w:p>
          <w:p w14:paraId="16DE971A">
            <w:pPr>
              <w:widowControl/>
              <w:spacing w:line="24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注：1.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套用其他项目内容。</w:t>
            </w:r>
          </w:p>
        </w:tc>
        <w:tc>
          <w:tcPr>
            <w:tcW w:w="762" w:type="dxa"/>
            <w:noWrap w:val="0"/>
            <w:tcMar>
              <w:top w:w="15" w:type="dxa"/>
              <w:left w:w="15" w:type="dxa"/>
              <w:right w:w="15" w:type="dxa"/>
            </w:tcMar>
            <w:vAlign w:val="center"/>
          </w:tcPr>
          <w:p w14:paraId="3202B4FC">
            <w:pPr>
              <w:widowControl/>
              <w:spacing w:line="240" w:lineRule="auto"/>
              <w:jc w:val="center"/>
              <w:textAlignment w:val="center"/>
              <w:rPr>
                <w:rFonts w:hint="default" w:ascii="宋体" w:hAnsi="宋体" w:eastAsia="宋体" w:cs="宋体"/>
                <w:kern w:val="0"/>
                <w:sz w:val="24"/>
                <w:szCs w:val="24"/>
                <w:highlight w:val="none"/>
                <w:lang w:val="en-US" w:eastAsia="zh-CN"/>
              </w:rPr>
            </w:pPr>
            <w:r>
              <w:rPr>
                <w:rFonts w:hint="eastAsia" w:cs="宋体"/>
                <w:kern w:val="0"/>
                <w:sz w:val="24"/>
                <w:szCs w:val="24"/>
                <w:highlight w:val="none"/>
                <w:lang w:val="en-US" w:eastAsia="zh-CN"/>
              </w:rPr>
              <w:t>8</w:t>
            </w:r>
          </w:p>
        </w:tc>
      </w:tr>
      <w:tr w14:paraId="6486B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37" w:hRule="atLeast"/>
          <w:jc w:val="center"/>
        </w:trPr>
        <w:tc>
          <w:tcPr>
            <w:tcW w:w="1080" w:type="dxa"/>
            <w:vMerge w:val="continue"/>
            <w:noWrap w:val="0"/>
            <w:tcMar>
              <w:top w:w="15" w:type="dxa"/>
              <w:left w:w="15" w:type="dxa"/>
              <w:right w:w="15" w:type="dxa"/>
            </w:tcMar>
            <w:vAlign w:val="center"/>
          </w:tcPr>
          <w:p w14:paraId="56CADA16">
            <w:pPr>
              <w:widowControl/>
              <w:spacing w:line="240" w:lineRule="auto"/>
              <w:jc w:val="center"/>
              <w:textAlignment w:val="center"/>
              <w:rPr>
                <w:rFonts w:hint="eastAsia" w:ascii="宋体" w:hAnsi="宋体" w:eastAsia="宋体" w:cs="宋体"/>
                <w:sz w:val="24"/>
                <w:szCs w:val="24"/>
                <w:highlight w:val="none"/>
              </w:rPr>
            </w:pPr>
          </w:p>
        </w:tc>
        <w:tc>
          <w:tcPr>
            <w:tcW w:w="1110" w:type="dxa"/>
            <w:noWrap w:val="0"/>
            <w:tcMar>
              <w:top w:w="15" w:type="dxa"/>
              <w:left w:w="15" w:type="dxa"/>
              <w:right w:w="15" w:type="dxa"/>
            </w:tcMar>
            <w:vAlign w:val="center"/>
          </w:tcPr>
          <w:p w14:paraId="3A148693">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技术培训</w:t>
            </w:r>
          </w:p>
          <w:p w14:paraId="7D8C50EA">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方案评价</w:t>
            </w:r>
          </w:p>
        </w:tc>
        <w:tc>
          <w:tcPr>
            <w:tcW w:w="7020" w:type="dxa"/>
            <w:noWrap w:val="0"/>
            <w:tcMar>
              <w:top w:w="15" w:type="dxa"/>
              <w:left w:w="15" w:type="dxa"/>
              <w:right w:w="15" w:type="dxa"/>
            </w:tcMar>
            <w:vAlign w:val="center"/>
          </w:tcPr>
          <w:p w14:paraId="3D2020FF">
            <w:pPr>
              <w:widowControl/>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根据投标人提供的</w:t>
            </w:r>
            <w:r>
              <w:rPr>
                <w:rFonts w:hint="eastAsia" w:cs="宋体"/>
                <w:sz w:val="24"/>
                <w:szCs w:val="24"/>
                <w:highlight w:val="none"/>
                <w:lang w:eastAsia="zh-CN"/>
              </w:rPr>
              <w:t>技术</w:t>
            </w:r>
            <w:r>
              <w:rPr>
                <w:rFonts w:hint="eastAsia" w:ascii="宋体" w:hAnsi="宋体" w:eastAsia="宋体" w:cs="宋体"/>
                <w:sz w:val="24"/>
                <w:szCs w:val="24"/>
                <w:highlight w:val="none"/>
              </w:rPr>
              <w:t>培训方案进行评分：</w:t>
            </w:r>
          </w:p>
          <w:p w14:paraId="76B41F26">
            <w:pPr>
              <w:widowControl/>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项目</w:t>
            </w:r>
            <w:r>
              <w:rPr>
                <w:rFonts w:hint="eastAsia" w:ascii="宋体" w:hAnsi="宋体" w:eastAsia="宋体" w:cs="宋体"/>
                <w:sz w:val="24"/>
                <w:szCs w:val="24"/>
                <w:highlight w:val="none"/>
                <w:lang w:eastAsia="zh-CN"/>
              </w:rPr>
              <w:t>技术</w:t>
            </w:r>
            <w:r>
              <w:rPr>
                <w:rFonts w:hint="eastAsia" w:ascii="宋体" w:hAnsi="宋体" w:eastAsia="宋体" w:cs="宋体"/>
                <w:sz w:val="24"/>
                <w:szCs w:val="24"/>
                <w:highlight w:val="none"/>
              </w:rPr>
              <w:t>培训方案包括但不限于培训内容、培训方式、培训计划、培训团队人员配置等4项内容，方案内容完整齐全，符合项目实际的，得</w:t>
            </w:r>
            <w:r>
              <w:rPr>
                <w:rFonts w:hint="eastAsia" w:ascii="宋体" w:hAnsi="宋体" w:eastAsia="宋体" w:cs="宋体"/>
                <w:sz w:val="24"/>
                <w:szCs w:val="24"/>
                <w:highlight w:val="none"/>
                <w:lang w:val="en-US" w:eastAsia="zh-CN"/>
              </w:rPr>
              <w:t>8</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val="en-US" w:eastAsia="zh-CN"/>
              </w:rPr>
              <w:t>每有</w:t>
            </w:r>
            <w:r>
              <w:rPr>
                <w:rFonts w:hint="eastAsia" w:ascii="宋体" w:hAnsi="宋体" w:eastAsia="宋体" w:cs="宋体"/>
                <w:sz w:val="24"/>
                <w:szCs w:val="24"/>
                <w:highlight w:val="none"/>
              </w:rPr>
              <w:t>一项内容存在缺陷的，</w:t>
            </w:r>
            <w:r>
              <w:rPr>
                <w:rFonts w:hint="eastAsia" w:ascii="宋体" w:hAnsi="宋体" w:eastAsia="宋体" w:cs="宋体"/>
                <w:sz w:val="24"/>
                <w:szCs w:val="24"/>
                <w:highlight w:val="none"/>
                <w:lang w:val="en-US" w:eastAsia="zh-CN"/>
              </w:rPr>
              <w:t>每一项扣1分；</w:t>
            </w:r>
            <w:r>
              <w:rPr>
                <w:rFonts w:hint="eastAsia" w:ascii="宋体" w:hAnsi="宋体" w:eastAsia="宋体" w:cs="宋体"/>
                <w:sz w:val="24"/>
                <w:szCs w:val="24"/>
                <w:highlight w:val="none"/>
              </w:rPr>
              <w:t>每缺少一项方案内容</w:t>
            </w:r>
            <w:r>
              <w:rPr>
                <w:rFonts w:hint="eastAsia" w:ascii="宋体" w:hAnsi="宋体" w:eastAsia="宋体" w:cs="宋体"/>
                <w:sz w:val="24"/>
                <w:szCs w:val="24"/>
                <w:highlight w:val="none"/>
                <w:lang w:val="en-US" w:eastAsia="zh-CN"/>
              </w:rPr>
              <w:t>的</w:t>
            </w:r>
            <w:r>
              <w:rPr>
                <w:rFonts w:hint="eastAsia" w:ascii="宋体" w:hAnsi="宋体" w:eastAsia="宋体" w:cs="宋体"/>
                <w:sz w:val="24"/>
                <w:szCs w:val="24"/>
                <w:highlight w:val="none"/>
              </w:rPr>
              <w:t>，每一项扣</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分，扣完为止；未提供技术培训方案</w:t>
            </w:r>
            <w:r>
              <w:rPr>
                <w:rFonts w:hint="eastAsia" w:ascii="宋体" w:hAnsi="宋体" w:eastAsia="宋体" w:cs="宋体"/>
                <w:sz w:val="24"/>
                <w:szCs w:val="24"/>
                <w:highlight w:val="none"/>
                <w:lang w:val="en-US" w:eastAsia="zh-CN"/>
              </w:rPr>
              <w:t>评</w:t>
            </w:r>
            <w:r>
              <w:rPr>
                <w:rFonts w:hint="eastAsia" w:ascii="宋体" w:hAnsi="宋体" w:eastAsia="宋体" w:cs="宋体"/>
                <w:sz w:val="24"/>
                <w:szCs w:val="24"/>
                <w:highlight w:val="none"/>
              </w:rPr>
              <w:t>价的，此项不得分。</w:t>
            </w:r>
          </w:p>
          <w:p w14:paraId="365E363B">
            <w:pPr>
              <w:snapToGrid w:val="0"/>
              <w:spacing w:line="240" w:lineRule="auto"/>
              <w:rPr>
                <w:rFonts w:hint="eastAsia" w:ascii="宋体" w:hAnsi="宋体" w:eastAsia="宋体" w:cs="宋体"/>
                <w:kern w:val="0"/>
                <w:sz w:val="24"/>
                <w:szCs w:val="24"/>
                <w:highlight w:val="none"/>
              </w:rPr>
            </w:pPr>
            <w:r>
              <w:rPr>
                <w:rFonts w:hint="eastAsia" w:ascii="宋体" w:hAnsi="宋体" w:eastAsia="宋体" w:cs="宋体"/>
                <w:b/>
                <w:bCs/>
                <w:sz w:val="24"/>
                <w:szCs w:val="24"/>
                <w:highlight w:val="none"/>
              </w:rPr>
              <w:t>注：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套用其他项目内容。</w:t>
            </w:r>
          </w:p>
        </w:tc>
        <w:tc>
          <w:tcPr>
            <w:tcW w:w="762" w:type="dxa"/>
            <w:noWrap w:val="0"/>
            <w:tcMar>
              <w:top w:w="15" w:type="dxa"/>
              <w:left w:w="15" w:type="dxa"/>
              <w:right w:w="15" w:type="dxa"/>
            </w:tcMar>
            <w:vAlign w:val="center"/>
          </w:tcPr>
          <w:p w14:paraId="1902C847">
            <w:pPr>
              <w:widowControl/>
              <w:spacing w:line="240" w:lineRule="auto"/>
              <w:jc w:val="center"/>
              <w:textAlignment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8</w:t>
            </w:r>
          </w:p>
        </w:tc>
      </w:tr>
      <w:tr w14:paraId="0FE985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32" w:hRule="atLeast"/>
          <w:jc w:val="center"/>
        </w:trPr>
        <w:tc>
          <w:tcPr>
            <w:tcW w:w="1080" w:type="dxa"/>
            <w:vMerge w:val="continue"/>
            <w:noWrap w:val="0"/>
            <w:tcMar>
              <w:top w:w="15" w:type="dxa"/>
              <w:left w:w="15" w:type="dxa"/>
              <w:right w:w="15" w:type="dxa"/>
            </w:tcMar>
            <w:vAlign w:val="center"/>
          </w:tcPr>
          <w:p w14:paraId="3468C65D">
            <w:pPr>
              <w:widowControl/>
              <w:spacing w:line="240" w:lineRule="auto"/>
              <w:jc w:val="center"/>
              <w:textAlignment w:val="center"/>
              <w:rPr>
                <w:rFonts w:hint="eastAsia" w:ascii="宋体" w:hAnsi="宋体" w:eastAsia="宋体" w:cs="宋体"/>
                <w:sz w:val="24"/>
                <w:szCs w:val="24"/>
                <w:highlight w:val="none"/>
              </w:rPr>
            </w:pPr>
          </w:p>
        </w:tc>
        <w:tc>
          <w:tcPr>
            <w:tcW w:w="1110" w:type="dxa"/>
            <w:tcBorders>
              <w:top w:val="single" w:color="auto" w:sz="4" w:space="0"/>
            </w:tcBorders>
            <w:noWrap w:val="0"/>
            <w:tcMar>
              <w:top w:w="15" w:type="dxa"/>
              <w:left w:w="15" w:type="dxa"/>
              <w:right w:w="15" w:type="dxa"/>
            </w:tcMar>
            <w:vAlign w:val="center"/>
          </w:tcPr>
          <w:p w14:paraId="2DD2B499">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售后服务</w:t>
            </w:r>
          </w:p>
          <w:p w14:paraId="7B6C4BB1">
            <w:pPr>
              <w:widowControl/>
              <w:spacing w:line="240" w:lineRule="auto"/>
              <w:jc w:val="center"/>
              <w:textAlignment w:val="center"/>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方案评价</w:t>
            </w:r>
          </w:p>
        </w:tc>
        <w:tc>
          <w:tcPr>
            <w:tcW w:w="7020" w:type="dxa"/>
            <w:noWrap w:val="0"/>
            <w:tcMar>
              <w:top w:w="15" w:type="dxa"/>
              <w:left w:w="15" w:type="dxa"/>
              <w:right w:w="15" w:type="dxa"/>
            </w:tcMar>
            <w:vAlign w:val="center"/>
          </w:tcPr>
          <w:p w14:paraId="2B048337">
            <w:pPr>
              <w:widowControl/>
              <w:spacing w:line="24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根据投标人提供的售后服务方案进行评分：</w:t>
            </w:r>
          </w:p>
          <w:p w14:paraId="0DD353BE">
            <w:pPr>
              <w:widowControl/>
              <w:spacing w:line="240" w:lineRule="auto"/>
              <w:jc w:val="left"/>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rPr>
              <w:t>项目售后服务方案包括但不限于售后服务承诺、服务响应方案、备件（易耗品）供应方案（含备件价格）、服务人员配备、故障响应措施、质保外服务措施等6项内容，方案内容完整齐全，符合项目实际的，得</w:t>
            </w:r>
            <w:r>
              <w:rPr>
                <w:rFonts w:hint="eastAsia" w:ascii="宋体" w:hAnsi="宋体" w:eastAsia="宋体" w:cs="宋体"/>
                <w:sz w:val="24"/>
                <w:szCs w:val="24"/>
                <w:highlight w:val="none"/>
                <w:lang w:val="en-US" w:eastAsia="zh-CN"/>
              </w:rPr>
              <w:t>9</w:t>
            </w:r>
            <w:r>
              <w:rPr>
                <w:rFonts w:hint="eastAsia" w:ascii="宋体" w:hAnsi="宋体" w:eastAsia="宋体" w:cs="宋体"/>
                <w:sz w:val="24"/>
                <w:szCs w:val="24"/>
                <w:highlight w:val="none"/>
              </w:rPr>
              <w:t>分；</w:t>
            </w:r>
            <w:r>
              <w:rPr>
                <w:rFonts w:hint="eastAsia" w:ascii="宋体" w:hAnsi="宋体" w:eastAsia="宋体" w:cs="宋体"/>
                <w:sz w:val="24"/>
                <w:szCs w:val="24"/>
                <w:highlight w:val="none"/>
                <w:lang w:val="en-US" w:eastAsia="zh-CN"/>
              </w:rPr>
              <w:t>每有</w:t>
            </w:r>
            <w:r>
              <w:rPr>
                <w:rFonts w:hint="eastAsia" w:ascii="宋体" w:hAnsi="宋体" w:eastAsia="宋体" w:cs="宋体"/>
                <w:sz w:val="24"/>
                <w:szCs w:val="24"/>
                <w:highlight w:val="none"/>
              </w:rPr>
              <w:t>一项内容存在缺陷的，</w:t>
            </w:r>
            <w:r>
              <w:rPr>
                <w:rFonts w:hint="eastAsia" w:ascii="宋体" w:hAnsi="宋体" w:eastAsia="宋体" w:cs="宋体"/>
                <w:sz w:val="24"/>
                <w:szCs w:val="24"/>
                <w:highlight w:val="none"/>
                <w:lang w:val="en-US" w:eastAsia="zh-CN"/>
              </w:rPr>
              <w:t>每一项扣1分；</w:t>
            </w:r>
            <w:r>
              <w:rPr>
                <w:rFonts w:hint="eastAsia" w:ascii="宋体" w:hAnsi="宋体" w:eastAsia="宋体" w:cs="宋体"/>
                <w:sz w:val="24"/>
                <w:szCs w:val="24"/>
                <w:highlight w:val="none"/>
              </w:rPr>
              <w:t>每缺少一项方案内容</w:t>
            </w:r>
            <w:r>
              <w:rPr>
                <w:rFonts w:hint="eastAsia" w:ascii="宋体" w:hAnsi="宋体" w:eastAsia="宋体" w:cs="宋体"/>
                <w:sz w:val="24"/>
                <w:szCs w:val="24"/>
                <w:highlight w:val="none"/>
                <w:lang w:val="en-US" w:eastAsia="zh-CN"/>
              </w:rPr>
              <w:t>的</w:t>
            </w:r>
            <w:r>
              <w:rPr>
                <w:rFonts w:hint="eastAsia" w:ascii="宋体" w:hAnsi="宋体" w:eastAsia="宋体" w:cs="宋体"/>
                <w:sz w:val="24"/>
                <w:szCs w:val="24"/>
                <w:highlight w:val="none"/>
              </w:rPr>
              <w:t>，每一项扣</w:t>
            </w:r>
            <w:r>
              <w:rPr>
                <w:rFonts w:hint="eastAsia" w:ascii="宋体" w:hAnsi="宋体" w:eastAsia="宋体" w:cs="宋体"/>
                <w:sz w:val="24"/>
                <w:szCs w:val="24"/>
                <w:highlight w:val="none"/>
                <w:lang w:val="en-US" w:eastAsia="zh-CN"/>
              </w:rPr>
              <w:t>1.5</w:t>
            </w:r>
            <w:r>
              <w:rPr>
                <w:rFonts w:hint="eastAsia" w:ascii="宋体" w:hAnsi="宋体" w:eastAsia="宋体" w:cs="宋体"/>
                <w:sz w:val="24"/>
                <w:szCs w:val="24"/>
                <w:highlight w:val="none"/>
              </w:rPr>
              <w:t>分，扣完为止；未提供</w:t>
            </w:r>
            <w:r>
              <w:rPr>
                <w:rFonts w:hint="eastAsia" w:ascii="宋体" w:hAnsi="宋体" w:eastAsia="宋体" w:cs="宋体"/>
                <w:kern w:val="0"/>
                <w:sz w:val="24"/>
                <w:szCs w:val="24"/>
                <w:highlight w:val="none"/>
              </w:rPr>
              <w:t>售后服务方案评价</w:t>
            </w:r>
            <w:r>
              <w:rPr>
                <w:rFonts w:hint="eastAsia" w:ascii="宋体" w:hAnsi="宋体" w:eastAsia="宋体" w:cs="宋体"/>
                <w:sz w:val="24"/>
                <w:szCs w:val="24"/>
                <w:highlight w:val="none"/>
              </w:rPr>
              <w:t>的，此项不得分。</w:t>
            </w:r>
          </w:p>
          <w:p w14:paraId="6F88A375">
            <w:pPr>
              <w:snapToGrid w:val="0"/>
              <w:spacing w:line="240" w:lineRule="auto"/>
              <w:rPr>
                <w:rFonts w:hint="eastAsia" w:ascii="宋体" w:hAnsi="宋体" w:eastAsia="宋体" w:cs="宋体"/>
                <w:sz w:val="24"/>
                <w:szCs w:val="24"/>
                <w:highlight w:val="none"/>
              </w:rPr>
            </w:pPr>
            <w:r>
              <w:rPr>
                <w:rFonts w:hint="eastAsia" w:ascii="宋体" w:hAnsi="宋体" w:eastAsia="宋体" w:cs="宋体"/>
                <w:b/>
                <w:bCs/>
                <w:sz w:val="24"/>
                <w:szCs w:val="24"/>
                <w:highlight w:val="none"/>
              </w:rPr>
              <w:t>注：内容存在缺陷是指：①该项内容描述前后不一致；②该项内容所阐述的项目信息与本项目实际信息不一致；③该项内容引用的规定、规范错误；④该项内容描述不符合国家相关法律法规、政策文件、规范标准要求；⑤该项内容阐述的方式方法明显不符合本项目实际情况；⑥该项内容描述与本项目实际情况不符；⑦该项内容套用其他项目内容。</w:t>
            </w:r>
          </w:p>
        </w:tc>
        <w:tc>
          <w:tcPr>
            <w:tcW w:w="762" w:type="dxa"/>
            <w:noWrap w:val="0"/>
            <w:tcMar>
              <w:top w:w="15" w:type="dxa"/>
              <w:left w:w="15" w:type="dxa"/>
              <w:right w:w="15" w:type="dxa"/>
            </w:tcMar>
            <w:vAlign w:val="center"/>
          </w:tcPr>
          <w:p w14:paraId="6893BFE7">
            <w:pPr>
              <w:snapToGrid w:val="0"/>
              <w:spacing w:line="24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9</w:t>
            </w:r>
          </w:p>
        </w:tc>
      </w:tr>
      <w:tr w14:paraId="159CE1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jc w:val="center"/>
        </w:trPr>
        <w:tc>
          <w:tcPr>
            <w:tcW w:w="9972" w:type="dxa"/>
            <w:gridSpan w:val="4"/>
            <w:noWrap w:val="0"/>
            <w:tcMar>
              <w:top w:w="15" w:type="dxa"/>
              <w:left w:w="15" w:type="dxa"/>
              <w:right w:w="15" w:type="dxa"/>
            </w:tcMar>
            <w:vAlign w:val="center"/>
          </w:tcPr>
          <w:p w14:paraId="0176ED8A">
            <w:pPr>
              <w:widowControl/>
              <w:spacing w:line="240" w:lineRule="auto"/>
              <w:jc w:val="center"/>
              <w:textAlignment w:val="center"/>
              <w:rPr>
                <w:rFonts w:hint="eastAsia" w:ascii="宋体" w:hAnsi="宋体" w:eastAsia="宋体" w:cs="宋体"/>
                <w:sz w:val="24"/>
                <w:szCs w:val="24"/>
                <w:highlight w:val="none"/>
              </w:rPr>
            </w:pPr>
            <w:r>
              <w:rPr>
                <w:rFonts w:hint="eastAsia" w:ascii="宋体" w:hAnsi="宋体" w:eastAsia="宋体" w:cs="宋体"/>
                <w:kern w:val="0"/>
                <w:sz w:val="24"/>
                <w:szCs w:val="24"/>
                <w:highlight w:val="none"/>
              </w:rPr>
              <w:t>合计：100分</w:t>
            </w:r>
          </w:p>
        </w:tc>
      </w:tr>
    </w:tbl>
    <w:p w14:paraId="046B0136">
      <w:pPr>
        <w:rPr>
          <w:rFonts w:hint="eastAsia"/>
          <w:lang w:val="zh-CN"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D706DAF">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zh-CN" w:eastAsia="zh-CN" w:bidi="ar-SA"/>
        </w:rPr>
      </w:pPr>
      <w:r>
        <w:rPr>
          <w:rFonts w:hint="eastAsia" w:ascii="宋体" w:hAnsi="宋体" w:eastAsia="宋体" w:cs="宋体"/>
          <w:b/>
          <w:bCs/>
          <w:color w:val="auto"/>
          <w:kern w:val="44"/>
          <w:sz w:val="36"/>
          <w:szCs w:val="36"/>
          <w:highlight w:val="none"/>
          <w:lang w:val="zh-CN" w:eastAsia="zh-CN" w:bidi="ar-SA"/>
        </w:rPr>
        <w:t>第六章 合同</w:t>
      </w:r>
      <w:bookmarkEnd w:id="306"/>
      <w:r>
        <w:rPr>
          <w:rFonts w:hint="eastAsia" w:ascii="宋体" w:hAnsi="宋体" w:eastAsia="宋体" w:cs="宋体"/>
          <w:b/>
          <w:bCs/>
          <w:color w:val="auto"/>
          <w:kern w:val="44"/>
          <w:sz w:val="36"/>
          <w:szCs w:val="36"/>
          <w:highlight w:val="none"/>
          <w:lang w:val="zh-CN" w:eastAsia="zh-CN" w:bidi="ar-SA"/>
        </w:rPr>
        <w:t>草案</w:t>
      </w:r>
      <w:bookmarkEnd w:id="307"/>
      <w:bookmarkEnd w:id="308"/>
    </w:p>
    <w:p w14:paraId="34BEFFB0">
      <w:pPr>
        <w:rPr>
          <w:color w:val="auto"/>
          <w:highlight w:val="none"/>
          <w:lang w:val="zh-CN"/>
        </w:rPr>
      </w:pPr>
    </w:p>
    <w:p w14:paraId="3530F5FD">
      <w:pPr>
        <w:wordWrap w:val="0"/>
        <w:jc w:val="center"/>
        <w:rPr>
          <w:rFonts w:hint="eastAsia" w:eastAsia="宋体"/>
          <w:bCs/>
          <w:color w:val="auto"/>
          <w:sz w:val="24"/>
          <w:szCs w:val="24"/>
          <w:highlight w:val="none"/>
          <w:lang w:eastAsia="zh-CN"/>
        </w:rPr>
      </w:pPr>
      <w:r>
        <w:rPr>
          <w:rFonts w:hint="eastAsia"/>
          <w:color w:val="auto"/>
          <w:sz w:val="24"/>
          <w:szCs w:val="24"/>
          <w:highlight w:val="none"/>
          <w:lang w:eastAsia="zh-CN"/>
        </w:rPr>
        <w:t>【</w:t>
      </w:r>
      <w:r>
        <w:rPr>
          <w:rFonts w:hint="eastAsia"/>
          <w:color w:val="auto"/>
          <w:sz w:val="24"/>
          <w:szCs w:val="24"/>
          <w:highlight w:val="none"/>
        </w:rPr>
        <w:t>此合同书仅作为签订正式合同时的参考，正式合同书应包括本参考格式的内容</w:t>
      </w:r>
      <w:r>
        <w:rPr>
          <w:rFonts w:hint="eastAsia"/>
          <w:color w:val="auto"/>
          <w:sz w:val="24"/>
          <w:szCs w:val="24"/>
          <w:highlight w:val="none"/>
          <w:lang w:eastAsia="zh-CN"/>
        </w:rPr>
        <w:t>】</w:t>
      </w:r>
    </w:p>
    <w:p w14:paraId="2A675E21">
      <w:pPr>
        <w:wordWrap w:val="0"/>
        <w:rPr>
          <w:bCs/>
          <w:color w:val="auto"/>
          <w:sz w:val="24"/>
          <w:szCs w:val="24"/>
          <w:highlight w:val="none"/>
        </w:rPr>
      </w:pPr>
      <w:r>
        <w:rPr>
          <w:rFonts w:hint="eastAsia" w:cs="Helvetica"/>
          <w:bCs/>
          <w:color w:val="auto"/>
          <w:sz w:val="24"/>
          <w:szCs w:val="24"/>
          <w:highlight w:val="none"/>
          <w:lang w:val="zh-CN"/>
        </w:rPr>
        <w:t>合同编号：</w:t>
      </w:r>
      <w:r>
        <w:rPr>
          <w:rFonts w:hint="eastAsia" w:cs="Helvetica"/>
          <w:bCs/>
          <w:color w:val="auto"/>
          <w:sz w:val="24"/>
          <w:szCs w:val="24"/>
          <w:highlight w:val="none"/>
          <w:u w:val="single"/>
        </w:rPr>
        <w:t xml:space="preserve">              </w:t>
      </w:r>
    </w:p>
    <w:p w14:paraId="061902EF">
      <w:pPr>
        <w:pStyle w:val="14"/>
        <w:spacing w:after="0"/>
        <w:jc w:val="center"/>
        <w:rPr>
          <w:rFonts w:ascii="宋体" w:hAnsi="宋体" w:cs="宋体"/>
          <w:b/>
          <w:bCs/>
          <w:color w:val="auto"/>
          <w:spacing w:val="-20"/>
          <w:kern w:val="44"/>
          <w:sz w:val="48"/>
          <w:szCs w:val="48"/>
          <w:highlight w:val="none"/>
        </w:rPr>
      </w:pPr>
      <w:bookmarkStart w:id="309" w:name="_Toc3995"/>
    </w:p>
    <w:p w14:paraId="074A3A56">
      <w:pPr>
        <w:pStyle w:val="14"/>
        <w:spacing w:after="0"/>
        <w:jc w:val="center"/>
        <w:rPr>
          <w:rFonts w:ascii="宋体" w:hAnsi="宋体" w:cs="宋体"/>
          <w:b/>
          <w:bCs/>
          <w:color w:val="auto"/>
          <w:spacing w:val="-20"/>
          <w:kern w:val="44"/>
          <w:sz w:val="48"/>
          <w:szCs w:val="48"/>
          <w:highlight w:val="none"/>
        </w:rPr>
      </w:pPr>
    </w:p>
    <w:p w14:paraId="275146D4">
      <w:pPr>
        <w:pStyle w:val="14"/>
        <w:spacing w:after="0"/>
        <w:jc w:val="center"/>
        <w:rPr>
          <w:rFonts w:ascii="宋体" w:hAnsi="宋体" w:cs="宋体"/>
          <w:b/>
          <w:bCs/>
          <w:color w:val="auto"/>
          <w:spacing w:val="-20"/>
          <w:kern w:val="44"/>
          <w:sz w:val="48"/>
          <w:szCs w:val="48"/>
          <w:highlight w:val="none"/>
        </w:rPr>
      </w:pPr>
    </w:p>
    <w:p w14:paraId="61EDD292">
      <w:pPr>
        <w:pStyle w:val="14"/>
        <w:spacing w:after="0"/>
        <w:jc w:val="center"/>
        <w:rPr>
          <w:rFonts w:hint="eastAsia" w:ascii="宋体" w:hAnsi="宋体" w:eastAsia="宋体" w:cs="宋体"/>
          <w:b/>
          <w:bCs/>
          <w:color w:val="auto"/>
          <w:spacing w:val="-20"/>
          <w:kern w:val="44"/>
          <w:sz w:val="44"/>
          <w:szCs w:val="44"/>
          <w:highlight w:val="none"/>
        </w:rPr>
      </w:pPr>
      <w:r>
        <w:rPr>
          <w:rFonts w:hint="eastAsia" w:ascii="宋体" w:hAnsi="宋体" w:eastAsia="宋体" w:cs="宋体"/>
          <w:b/>
          <w:bCs/>
          <w:color w:val="auto"/>
          <w:spacing w:val="-20"/>
          <w:kern w:val="44"/>
          <w:sz w:val="44"/>
          <w:szCs w:val="44"/>
          <w:highlight w:val="none"/>
        </w:rPr>
        <w:t>政府采购</w:t>
      </w:r>
      <w:r>
        <w:rPr>
          <w:rFonts w:hint="eastAsia" w:ascii="宋体" w:hAnsi="宋体" w:eastAsia="宋体" w:cs="宋体"/>
          <w:b/>
          <w:bCs/>
          <w:color w:val="auto"/>
          <w:spacing w:val="-20"/>
          <w:kern w:val="44"/>
          <w:sz w:val="44"/>
          <w:szCs w:val="44"/>
          <w:highlight w:val="none"/>
          <w:lang w:eastAsia="zh-CN"/>
        </w:rPr>
        <w:t>货物买卖</w:t>
      </w:r>
      <w:r>
        <w:rPr>
          <w:rFonts w:hint="eastAsia" w:ascii="宋体" w:hAnsi="宋体" w:eastAsia="宋体" w:cs="宋体"/>
          <w:b/>
          <w:bCs/>
          <w:color w:val="auto"/>
          <w:spacing w:val="-20"/>
          <w:kern w:val="44"/>
          <w:sz w:val="44"/>
          <w:szCs w:val="44"/>
          <w:highlight w:val="none"/>
        </w:rPr>
        <w:t>合同</w:t>
      </w:r>
    </w:p>
    <w:p w14:paraId="4E0A1C80">
      <w:pPr>
        <w:pStyle w:val="14"/>
        <w:spacing w:after="0"/>
        <w:jc w:val="center"/>
        <w:rPr>
          <w:rFonts w:hint="eastAsia" w:ascii="宋体" w:hAnsi="宋体" w:eastAsia="宋体" w:cs="宋体"/>
          <w:b/>
          <w:bCs/>
          <w:color w:val="auto"/>
          <w:spacing w:val="-20"/>
          <w:kern w:val="44"/>
          <w:sz w:val="44"/>
          <w:szCs w:val="44"/>
          <w:highlight w:val="none"/>
          <w:lang w:eastAsia="zh-CN"/>
        </w:rPr>
      </w:pPr>
      <w:r>
        <w:rPr>
          <w:rFonts w:hint="eastAsia" w:ascii="宋体" w:hAnsi="宋体" w:eastAsia="宋体" w:cs="宋体"/>
          <w:b/>
          <w:bCs/>
          <w:color w:val="auto"/>
          <w:spacing w:val="-20"/>
          <w:kern w:val="44"/>
          <w:sz w:val="44"/>
          <w:szCs w:val="44"/>
          <w:highlight w:val="none"/>
          <w:lang w:eastAsia="zh-CN"/>
        </w:rPr>
        <w:t>（试行）</w:t>
      </w:r>
    </w:p>
    <w:p w14:paraId="5C382B93">
      <w:pPr>
        <w:rPr>
          <w:rFonts w:ascii="宋体" w:hAnsi="宋体" w:cs="宋体"/>
          <w:b/>
          <w:bCs/>
          <w:color w:val="auto"/>
          <w:spacing w:val="-20"/>
          <w:kern w:val="44"/>
          <w:sz w:val="40"/>
          <w:szCs w:val="40"/>
          <w:highlight w:val="none"/>
        </w:rPr>
      </w:pPr>
    </w:p>
    <w:p w14:paraId="0EBFF099">
      <w:pPr>
        <w:rPr>
          <w:rFonts w:ascii="宋体" w:hAnsi="宋体" w:cs="宋体"/>
          <w:b/>
          <w:bCs/>
          <w:color w:val="auto"/>
          <w:spacing w:val="-20"/>
          <w:kern w:val="44"/>
          <w:sz w:val="40"/>
          <w:szCs w:val="40"/>
          <w:highlight w:val="none"/>
        </w:rPr>
      </w:pPr>
    </w:p>
    <w:p w14:paraId="2203B05F">
      <w:pPr>
        <w:rPr>
          <w:rFonts w:ascii="宋体" w:hAnsi="宋体" w:cs="宋体"/>
          <w:b/>
          <w:bCs/>
          <w:color w:val="auto"/>
          <w:spacing w:val="-20"/>
          <w:kern w:val="44"/>
          <w:sz w:val="40"/>
          <w:szCs w:val="40"/>
          <w:highlight w:val="none"/>
        </w:rPr>
      </w:pPr>
    </w:p>
    <w:p w14:paraId="2EFDBD4A">
      <w:pPr>
        <w:spacing w:line="360" w:lineRule="auto"/>
        <w:ind w:left="480" w:leftChars="200"/>
        <w:rPr>
          <w:color w:val="auto"/>
          <w:sz w:val="36"/>
          <w:szCs w:val="36"/>
          <w:highlight w:val="none"/>
        </w:rPr>
      </w:pPr>
      <w:r>
        <w:rPr>
          <w:rFonts w:hint="eastAsia" w:ascii="宋体" w:hAnsi="宋体" w:cs="宋体"/>
          <w:color w:val="auto"/>
          <w:kern w:val="0"/>
          <w:sz w:val="36"/>
          <w:szCs w:val="36"/>
          <w:highlight w:val="none"/>
        </w:rPr>
        <w:t>项目名称：</w:t>
      </w:r>
      <w:r>
        <w:rPr>
          <w:rFonts w:hint="eastAsia"/>
          <w:color w:val="auto"/>
          <w:sz w:val="36"/>
          <w:szCs w:val="36"/>
          <w:highlight w:val="none"/>
          <w:u w:val="single"/>
        </w:rPr>
        <w:t xml:space="preserve">                             </w:t>
      </w:r>
    </w:p>
    <w:p w14:paraId="5AED23E8">
      <w:pPr>
        <w:spacing w:line="360" w:lineRule="auto"/>
        <w:ind w:left="480" w:leftChars="200"/>
        <w:rPr>
          <w:color w:val="auto"/>
          <w:sz w:val="36"/>
          <w:szCs w:val="36"/>
          <w:highlight w:val="none"/>
          <w:u w:val="single"/>
        </w:rPr>
      </w:pPr>
      <w:r>
        <w:rPr>
          <w:rFonts w:hint="eastAsia"/>
          <w:color w:val="auto"/>
          <w:sz w:val="36"/>
          <w:szCs w:val="36"/>
          <w:highlight w:val="none"/>
        </w:rPr>
        <w:t>合同编号：</w:t>
      </w:r>
      <w:r>
        <w:rPr>
          <w:rFonts w:hint="eastAsia"/>
          <w:color w:val="auto"/>
          <w:sz w:val="36"/>
          <w:szCs w:val="36"/>
          <w:highlight w:val="none"/>
          <w:u w:val="single"/>
        </w:rPr>
        <w:t xml:space="preserve">                             </w:t>
      </w:r>
    </w:p>
    <w:p w14:paraId="70F15F9F">
      <w:pPr>
        <w:spacing w:line="360" w:lineRule="auto"/>
        <w:ind w:left="480" w:leftChars="200"/>
        <w:rPr>
          <w:color w:val="auto"/>
          <w:sz w:val="36"/>
          <w:szCs w:val="36"/>
          <w:highlight w:val="none"/>
        </w:rPr>
      </w:pPr>
      <w:r>
        <w:rPr>
          <w:rFonts w:hint="eastAsia"/>
          <w:color w:val="auto"/>
          <w:sz w:val="36"/>
          <w:szCs w:val="36"/>
          <w:highlight w:val="none"/>
        </w:rPr>
        <w:t>甲    方：</w:t>
      </w:r>
      <w:r>
        <w:rPr>
          <w:rFonts w:hint="eastAsia"/>
          <w:color w:val="auto"/>
          <w:sz w:val="36"/>
          <w:szCs w:val="36"/>
          <w:highlight w:val="none"/>
          <w:u w:val="single"/>
        </w:rPr>
        <w:t xml:space="preserve">                             </w:t>
      </w:r>
    </w:p>
    <w:p w14:paraId="0830E244">
      <w:pPr>
        <w:spacing w:line="360" w:lineRule="auto"/>
        <w:ind w:left="480" w:leftChars="200"/>
        <w:rPr>
          <w:color w:val="auto"/>
          <w:sz w:val="36"/>
          <w:szCs w:val="36"/>
          <w:highlight w:val="none"/>
          <w:u w:val="single"/>
        </w:rPr>
      </w:pPr>
      <w:r>
        <w:rPr>
          <w:rFonts w:hint="eastAsia"/>
          <w:color w:val="auto"/>
          <w:sz w:val="36"/>
          <w:szCs w:val="36"/>
          <w:highlight w:val="none"/>
        </w:rPr>
        <w:t>乙    方：</w:t>
      </w:r>
      <w:r>
        <w:rPr>
          <w:rFonts w:hint="eastAsia"/>
          <w:color w:val="auto"/>
          <w:sz w:val="36"/>
          <w:szCs w:val="36"/>
          <w:highlight w:val="none"/>
          <w:u w:val="single"/>
        </w:rPr>
        <w:t xml:space="preserve">                             </w:t>
      </w:r>
    </w:p>
    <w:p w14:paraId="763CD7B4">
      <w:pPr>
        <w:spacing w:line="360" w:lineRule="auto"/>
        <w:ind w:left="480" w:leftChars="200"/>
        <w:rPr>
          <w:color w:val="auto"/>
          <w:sz w:val="36"/>
          <w:szCs w:val="36"/>
          <w:highlight w:val="none"/>
        </w:rPr>
      </w:pPr>
      <w:r>
        <w:rPr>
          <w:rFonts w:hint="eastAsia"/>
          <w:color w:val="auto"/>
          <w:sz w:val="36"/>
          <w:szCs w:val="36"/>
          <w:highlight w:val="none"/>
        </w:rPr>
        <w:t>签订时间：</w:t>
      </w:r>
      <w:r>
        <w:rPr>
          <w:rFonts w:hint="eastAsia"/>
          <w:color w:val="auto"/>
          <w:sz w:val="36"/>
          <w:szCs w:val="36"/>
          <w:highlight w:val="none"/>
          <w:u w:val="single"/>
        </w:rPr>
        <w:t xml:space="preserve">      </w:t>
      </w:r>
      <w:r>
        <w:rPr>
          <w:color w:val="auto"/>
          <w:sz w:val="36"/>
          <w:szCs w:val="36"/>
          <w:highlight w:val="none"/>
          <w:u w:val="single"/>
        </w:rPr>
        <w:t xml:space="preserve">           </w:t>
      </w:r>
      <w:r>
        <w:rPr>
          <w:rFonts w:hint="eastAsia"/>
          <w:color w:val="auto"/>
          <w:sz w:val="36"/>
          <w:szCs w:val="36"/>
          <w:highlight w:val="none"/>
          <w:u w:val="single"/>
        </w:rPr>
        <w:t xml:space="preserve">            </w:t>
      </w:r>
    </w:p>
    <w:p w14:paraId="64C15A11">
      <w:pPr>
        <w:rPr>
          <w:color w:val="auto"/>
          <w:highlight w:val="none"/>
        </w:rPr>
      </w:pPr>
    </w:p>
    <w:p w14:paraId="364A4027">
      <w:pPr>
        <w:rPr>
          <w:rFonts w:eastAsia="黑体"/>
          <w:color w:val="auto"/>
          <w:sz w:val="44"/>
          <w:szCs w:val="44"/>
          <w:highlight w:val="none"/>
        </w:rPr>
      </w:pPr>
      <w:r>
        <w:rPr>
          <w:rFonts w:eastAsia="黑体"/>
          <w:color w:val="auto"/>
          <w:sz w:val="44"/>
          <w:szCs w:val="44"/>
          <w:highlight w:val="none"/>
        </w:rPr>
        <w:br w:type="page"/>
      </w:r>
    </w:p>
    <w:p w14:paraId="05490F04">
      <w:pPr>
        <w:rPr>
          <w:rFonts w:eastAsia="黑体"/>
          <w:color w:val="auto"/>
          <w:sz w:val="44"/>
          <w:szCs w:val="44"/>
          <w:highlight w:val="none"/>
        </w:rPr>
      </w:pPr>
    </w:p>
    <w:p w14:paraId="0E668F64">
      <w:pPr>
        <w:jc w:val="center"/>
        <w:rPr>
          <w:rFonts w:hint="eastAsia" w:ascii="宋体" w:hAnsi="宋体" w:eastAsia="宋体" w:cs="宋体"/>
          <w:b/>
          <w:bCs/>
          <w:color w:val="auto"/>
          <w:sz w:val="36"/>
          <w:szCs w:val="36"/>
          <w:highlight w:val="none"/>
          <w:lang w:eastAsia="zh-CN"/>
        </w:rPr>
      </w:pPr>
      <w:r>
        <w:rPr>
          <w:rFonts w:hint="eastAsia" w:ascii="宋体" w:hAnsi="宋体" w:eastAsia="宋体" w:cs="宋体"/>
          <w:b/>
          <w:bCs/>
          <w:color w:val="auto"/>
          <w:sz w:val="36"/>
          <w:szCs w:val="36"/>
          <w:highlight w:val="none"/>
          <w:lang w:eastAsia="zh-CN"/>
        </w:rPr>
        <w:t>使</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lang w:eastAsia="zh-CN"/>
        </w:rPr>
        <w:t>用</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lang w:eastAsia="zh-CN"/>
        </w:rPr>
        <w:t>说</w:t>
      </w:r>
      <w:r>
        <w:rPr>
          <w:rFonts w:hint="eastAsia" w:ascii="宋体" w:hAnsi="宋体" w:eastAsia="宋体" w:cs="宋体"/>
          <w:b/>
          <w:bCs/>
          <w:color w:val="auto"/>
          <w:sz w:val="36"/>
          <w:szCs w:val="36"/>
          <w:highlight w:val="none"/>
          <w:lang w:val="en-US" w:eastAsia="zh-CN"/>
        </w:rPr>
        <w:t xml:space="preserve"> </w:t>
      </w:r>
      <w:r>
        <w:rPr>
          <w:rFonts w:hint="eastAsia" w:ascii="宋体" w:hAnsi="宋体" w:eastAsia="宋体" w:cs="宋体"/>
          <w:b/>
          <w:bCs/>
          <w:color w:val="auto"/>
          <w:sz w:val="36"/>
          <w:szCs w:val="36"/>
          <w:highlight w:val="none"/>
          <w:lang w:eastAsia="zh-CN"/>
        </w:rPr>
        <w:t>明</w:t>
      </w:r>
    </w:p>
    <w:p w14:paraId="4002F192">
      <w:pPr>
        <w:ind w:firstLine="640" w:firstLineChars="200"/>
        <w:rPr>
          <w:rFonts w:hint="eastAsia" w:ascii="仿宋_GB2312" w:hAnsi="仿宋_GB2312" w:eastAsia="仿宋_GB2312" w:cs="仿宋_GB2312"/>
          <w:color w:val="auto"/>
          <w:sz w:val="32"/>
          <w:szCs w:val="32"/>
          <w:highlight w:val="none"/>
          <w:lang w:val="en-US" w:eastAsia="zh-CN"/>
        </w:rPr>
      </w:pPr>
    </w:p>
    <w:p w14:paraId="5A67B3DE">
      <w:pPr>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1.本合同标准文本适用于购买现成货物的采购项目，不包括需要供应商定制开发、创新研发的货物采购项目。</w:t>
      </w:r>
    </w:p>
    <w:p w14:paraId="425C3472">
      <w:pPr>
        <w:ind w:firstLine="0" w:firstLineChars="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 xml:space="preserve">    2.本合同标准文本为政府采购货物买卖合同编制提供参考，可以结合采购项目具体情况，对文本作必要的调整修订后使用。</w:t>
      </w:r>
    </w:p>
    <w:p w14:paraId="3489A5CF">
      <w:pPr>
        <w:ind w:firstLine="560" w:firstLineChars="200"/>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en-US" w:eastAsia="zh-CN"/>
        </w:rPr>
        <w:t>3.本合同标准文本各条款中，如涉及填写多家供应商、制造商，多种采购标的、分包主要内容等信息的，可根据采购项目具体情况添加信息项。</w:t>
      </w:r>
    </w:p>
    <w:p w14:paraId="3722D733">
      <w:pPr>
        <w:ind w:firstLine="560" w:firstLineChars="200"/>
        <w:jc w:val="both"/>
        <w:rPr>
          <w:rFonts w:hint="eastAsia" w:ascii="宋体" w:hAnsi="宋体" w:eastAsia="宋体" w:cs="宋体"/>
          <w:color w:val="auto"/>
          <w:sz w:val="28"/>
          <w:szCs w:val="28"/>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309"/>
    <w:p w14:paraId="7F2104C6">
      <w:pPr>
        <w:pStyle w:val="3"/>
        <w:adjustRightInd w:val="0"/>
        <w:snapToGrid w:val="0"/>
        <w:spacing w:beforeLines="0" w:line="400" w:lineRule="exact"/>
        <w:jc w:val="center"/>
        <w:rPr>
          <w:rFonts w:hint="eastAsia" w:ascii="宋体" w:hAnsi="宋体" w:eastAsia="宋体" w:cs="宋体"/>
          <w:b/>
          <w:bCs/>
          <w:color w:val="auto"/>
          <w:sz w:val="36"/>
          <w:szCs w:val="36"/>
          <w:highlight w:val="none"/>
        </w:rPr>
      </w:pPr>
      <w:bookmarkStart w:id="310" w:name="_Toc22209"/>
      <w:bookmarkStart w:id="311" w:name="_Toc8407"/>
      <w:r>
        <w:rPr>
          <w:rFonts w:hint="eastAsia" w:ascii="宋体" w:hAnsi="宋体" w:eastAsia="宋体" w:cs="宋体"/>
          <w:b/>
          <w:bCs/>
          <w:color w:val="auto"/>
          <w:sz w:val="36"/>
          <w:szCs w:val="36"/>
          <w:highlight w:val="none"/>
        </w:rPr>
        <w:t>第一节 政府采购合同协议书</w:t>
      </w:r>
      <w:bookmarkEnd w:id="310"/>
      <w:bookmarkEnd w:id="311"/>
    </w:p>
    <w:p w14:paraId="2A7A8169">
      <w:pPr>
        <w:pStyle w:val="3"/>
        <w:keepNext/>
        <w:keepLines/>
        <w:pageBreakBefore w:val="0"/>
        <w:widowControl w:val="0"/>
        <w:kinsoku/>
        <w:wordWrap/>
        <w:overflowPunct/>
        <w:topLinePunct w:val="0"/>
        <w:autoSpaceDE/>
        <w:autoSpaceDN/>
        <w:bidi w:val="0"/>
        <w:adjustRightInd w:val="0"/>
        <w:snapToGrid w:val="0"/>
        <w:spacing w:before="140" w:beforeLines="0" w:after="140" w:line="400" w:lineRule="exact"/>
        <w:jc w:val="center"/>
        <w:textAlignment w:val="auto"/>
        <w:rPr>
          <w:rFonts w:hint="eastAsia" w:ascii="黑体" w:hAnsi="华文中宋" w:eastAsia="黑体"/>
          <w:b w:val="0"/>
          <w:bCs w:val="0"/>
          <w:color w:val="auto"/>
          <w:sz w:val="28"/>
          <w:szCs w:val="28"/>
          <w:highlight w:val="none"/>
        </w:rPr>
      </w:pPr>
    </w:p>
    <w:p w14:paraId="39B89D69">
      <w:pPr>
        <w:adjustRightInd w:val="0"/>
        <w:snapToGrid w:val="0"/>
        <w:spacing w:before="0" w:beforeLines="0" w:line="400" w:lineRule="exact"/>
        <w:ind w:left="4800" w:hanging="4200" w:hangingChars="20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甲方（全称）：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（采购人</w:t>
      </w:r>
      <w:r>
        <w:rPr>
          <w:rFonts w:hint="eastAsia" w:ascii="宋体" w:hAnsi="宋体" w:eastAsia="宋体" w:cs="宋体"/>
          <w:color w:val="auto"/>
          <w:sz w:val="21"/>
          <w:szCs w:val="21"/>
          <w:highlight w:val="none"/>
          <w:lang w:eastAsia="zh-CN"/>
        </w:rPr>
        <w:t>、受采购人委托签订合同的单位</w:t>
      </w:r>
      <w:r>
        <w:rPr>
          <w:rFonts w:hint="eastAsia" w:ascii="宋体" w:hAnsi="宋体" w:eastAsia="宋体" w:cs="宋体"/>
          <w:color w:val="auto"/>
          <w:sz w:val="21"/>
          <w:szCs w:val="21"/>
          <w:highlight w:val="none"/>
        </w:rPr>
        <w:t>或采购文件约定的合同甲方）</w:t>
      </w:r>
    </w:p>
    <w:p w14:paraId="3AA170A0">
      <w:pPr>
        <w:adjustRightInd w:val="0"/>
        <w:snapToGrid w:val="0"/>
        <w:spacing w:before="0" w:beforeLines="0"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（全称）：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（供应商）</w:t>
      </w:r>
    </w:p>
    <w:p w14:paraId="61C2C331">
      <w:pPr>
        <w:adjustRightInd w:val="0"/>
        <w:snapToGrid w:val="0"/>
        <w:spacing w:before="0" w:beforeLines="0" w:line="400" w:lineRule="exact"/>
        <w:ind w:left="5040" w:hanging="4410" w:hangingChars="2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乙方2（全称）：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（联合体成员供应商或其他合同主体）（如有）</w:t>
      </w:r>
    </w:p>
    <w:p w14:paraId="023E69DD">
      <w:pPr>
        <w:adjustRightInd w:val="0"/>
        <w:snapToGrid w:val="0"/>
        <w:spacing w:before="0" w:beforeLines="0" w:line="400" w:lineRule="exact"/>
        <w:ind w:left="5040" w:hanging="4410" w:hangingChars="2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lang w:val="en-US" w:eastAsia="zh-CN"/>
        </w:rPr>
        <w:t>3（全称）</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（联合体成员供应商或其他合同主体）（如有）</w:t>
      </w:r>
    </w:p>
    <w:p w14:paraId="6EE925BC">
      <w:pPr>
        <w:spacing w:beforeLines="0" w:line="400" w:lineRule="exact"/>
        <w:rPr>
          <w:rFonts w:hint="eastAsia" w:ascii="宋体" w:hAnsi="宋体" w:eastAsia="宋体" w:cs="宋体"/>
          <w:color w:val="auto"/>
          <w:sz w:val="21"/>
          <w:szCs w:val="21"/>
          <w:highlight w:val="none"/>
          <w:lang w:val="en-US" w:eastAsia="zh-CN"/>
        </w:rPr>
      </w:pPr>
    </w:p>
    <w:p w14:paraId="6D931920">
      <w:pPr>
        <w:pStyle w:val="15"/>
        <w:adjustRightInd w:val="0"/>
        <w:snapToGrid w:val="0"/>
        <w:spacing w:before="0" w:beforeLines="0" w:after="0" w:line="40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依据《中华人民共和国民法典》</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《中华人民共和国政府采购法》等有关的法律法规，以及</w:t>
      </w:r>
      <w:r>
        <w:rPr>
          <w:rFonts w:hint="eastAsia" w:ascii="宋体" w:hAnsi="宋体" w:eastAsia="宋体" w:cs="宋体"/>
          <w:i w:val="0"/>
          <w:iCs w:val="0"/>
          <w:color w:val="auto"/>
          <w:sz w:val="21"/>
          <w:szCs w:val="21"/>
          <w:highlight w:val="none"/>
          <w:u w:val="none"/>
          <w:lang w:eastAsia="zh-CN"/>
        </w:rPr>
        <w:t>本采购项目</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eastAsia="zh-CN"/>
        </w:rPr>
        <w:t>招标</w:t>
      </w:r>
      <w:r>
        <w:rPr>
          <w:rFonts w:hint="eastAsia" w:ascii="宋体" w:hAnsi="宋体" w:eastAsia="宋体" w:cs="宋体"/>
          <w:color w:val="auto"/>
          <w:sz w:val="21"/>
          <w:szCs w:val="21"/>
          <w:highlight w:val="none"/>
          <w:lang w:val="en-US" w:eastAsia="zh-CN"/>
        </w:rPr>
        <w:t>/谈判</w:t>
      </w:r>
      <w:r>
        <w:rPr>
          <w:rFonts w:hint="eastAsia" w:ascii="宋体" w:hAnsi="宋体" w:eastAsia="宋体" w:cs="宋体"/>
          <w:color w:val="auto"/>
          <w:sz w:val="21"/>
          <w:szCs w:val="21"/>
          <w:highlight w:val="none"/>
          <w:lang w:eastAsia="zh-CN"/>
        </w:rPr>
        <w:t>文件等</w:t>
      </w:r>
      <w:r>
        <w:rPr>
          <w:rFonts w:hint="eastAsia" w:ascii="宋体" w:hAnsi="宋体" w:eastAsia="宋体" w:cs="宋体"/>
          <w:color w:val="auto"/>
          <w:sz w:val="21"/>
          <w:szCs w:val="21"/>
          <w:highlight w:val="none"/>
        </w:rPr>
        <w:t>采购文件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xml:space="preserve">乙方的《投标（响应）文件》及《中标（成交）通知书》，甲乙双方同意签订本合同。具体情况及要求如下：     </w:t>
      </w:r>
    </w:p>
    <w:p w14:paraId="3EA358DB">
      <w:pPr>
        <w:numPr>
          <w:ilvl w:val="0"/>
          <w:numId w:val="10"/>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项目信息</w:t>
      </w:r>
    </w:p>
    <w:p w14:paraId="562F3D96">
      <w:pPr>
        <w:pStyle w:val="15"/>
        <w:numPr>
          <w:ilvl w:val="0"/>
          <w:numId w:val="11"/>
        </w:numPr>
        <w:adjustRightInd w:val="0"/>
        <w:snapToGrid w:val="0"/>
        <w:spacing w:before="0" w:beforeLines="0" w:after="0" w:line="400" w:lineRule="exact"/>
        <w:ind w:left="0" w:leftChars="0"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采购项目名称：</w:t>
      </w:r>
      <w:r>
        <w:rPr>
          <w:rFonts w:hint="eastAsia" w:ascii="宋体" w:hAnsi="宋体" w:eastAsia="宋体" w:cs="宋体"/>
          <w:color w:val="auto"/>
          <w:sz w:val="21"/>
          <w:szCs w:val="21"/>
          <w:highlight w:val="none"/>
          <w:u w:val="single"/>
        </w:rPr>
        <w:t xml:space="preserve">                                          </w:t>
      </w:r>
    </w:p>
    <w:p w14:paraId="5C417B75">
      <w:pPr>
        <w:pStyle w:val="15"/>
        <w:numPr>
          <w:ilvl w:val="-1"/>
          <w:numId w:val="0"/>
        </w:numPr>
        <w:tabs>
          <w:tab w:val="left" w:pos="999"/>
        </w:tabs>
        <w:adjustRightInd w:val="0"/>
        <w:snapToGrid w:val="0"/>
        <w:spacing w:before="0" w:beforeLines="0" w:after="0" w:line="400" w:lineRule="exact"/>
        <w:ind w:left="0" w:leftChars="0" w:firstLine="0" w:firstLineChars="0"/>
        <w:rPr>
          <w:rFonts w:hint="eastAsia" w:ascii="宋体" w:hAnsi="宋体" w:eastAsia="宋体" w:cs="宋体"/>
          <w:color w:val="auto"/>
          <w:sz w:val="21"/>
          <w:szCs w:val="21"/>
          <w:highlight w:val="none"/>
          <w:u w:val="none"/>
          <w:lang w:val="en-US" w:eastAsia="zh-CN"/>
        </w:rPr>
      </w:pPr>
      <w:r>
        <w:rPr>
          <w:rFonts w:hint="eastAsia" w:ascii="宋体" w:hAnsi="宋体" w:eastAsia="宋体" w:cs="宋体"/>
          <w:color w:val="auto"/>
          <w:sz w:val="21"/>
          <w:szCs w:val="21"/>
          <w:highlight w:val="none"/>
          <w:u w:val="none"/>
          <w:lang w:val="en-US" w:eastAsia="zh-CN"/>
        </w:rPr>
        <w:t xml:space="preserve">         采购项目（包）编号：</w:t>
      </w:r>
      <w:r>
        <w:rPr>
          <w:rFonts w:hint="eastAsia" w:ascii="宋体" w:hAnsi="宋体" w:eastAsia="宋体" w:cs="宋体"/>
          <w:color w:val="auto"/>
          <w:sz w:val="21"/>
          <w:szCs w:val="21"/>
          <w:highlight w:val="none"/>
          <w:u w:val="single"/>
        </w:rPr>
        <w:t xml:space="preserve">                                    </w:t>
      </w:r>
    </w:p>
    <w:p w14:paraId="080ECC41">
      <w:pPr>
        <w:pStyle w:val="15"/>
        <w:adjustRightInd w:val="0"/>
        <w:snapToGrid w:val="0"/>
        <w:spacing w:before="0" w:beforeLines="0" w:after="0" w:line="400" w:lineRule="exact"/>
        <w:ind w:left="0" w:leftChars="0"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（2）采购计划编号：</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05A62512">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（3）项目内容：</w:t>
      </w:r>
    </w:p>
    <w:p w14:paraId="40B9F519">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采购标的及数量</w:t>
      </w:r>
      <w:r>
        <w:rPr>
          <w:rFonts w:hint="eastAsia" w:ascii="宋体" w:hAnsi="宋体" w:eastAsia="宋体" w:cs="宋体"/>
          <w:color w:val="auto"/>
          <w:sz w:val="21"/>
          <w:szCs w:val="21"/>
          <w:highlight w:val="none"/>
          <w:lang w:val="en-US" w:eastAsia="zh-CN"/>
        </w:rPr>
        <w:t>（台/套</w:t>
      </w:r>
      <w:r>
        <w:rPr>
          <w:rFonts w:hint="eastAsia" w:ascii="宋体" w:hAnsi="宋体" w:eastAsia="宋体" w:cs="宋体"/>
          <w:color w:val="auto"/>
          <w:sz w:val="21"/>
          <w:szCs w:val="21"/>
          <w:highlight w:val="none"/>
          <w:lang w:val="en" w:eastAsia="zh-CN"/>
        </w:rPr>
        <w:t>/个/架/组等</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1BAAFB37">
      <w:pPr>
        <w:numPr>
          <w:ilvl w:val="-1"/>
          <w:numId w:val="0"/>
        </w:num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val="en" w:eastAsia="zh-CN"/>
        </w:rPr>
      </w:pP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 w:eastAsia="zh-CN"/>
        </w:rPr>
        <w:t xml:space="preserve">     </w:t>
      </w:r>
      <w:r>
        <w:rPr>
          <w:rFonts w:hint="eastAsia" w:ascii="宋体" w:hAnsi="宋体" w:eastAsia="宋体" w:cs="宋体"/>
          <w:color w:val="auto"/>
          <w:sz w:val="21"/>
          <w:szCs w:val="21"/>
          <w:highlight w:val="none"/>
          <w:lang w:val="en-US" w:eastAsia="zh-CN"/>
        </w:rPr>
        <w:t>规格型号：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 w:eastAsia="zh-CN"/>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lang w:val="en" w:eastAsia="zh-CN"/>
        </w:rPr>
        <w:t xml:space="preserve">   </w:t>
      </w:r>
    </w:p>
    <w:p w14:paraId="49456137">
      <w:pPr>
        <w:adjustRightInd w:val="0"/>
        <w:snapToGrid w:val="0"/>
        <w:spacing w:before="0" w:beforeLines="0" w:line="400" w:lineRule="exact"/>
        <w:ind w:firstLine="945" w:firstLineChars="45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lang w:val="en-US" w:eastAsia="zh-CN"/>
        </w:rPr>
        <w:t>采购标的的技术要求、商务要求具体见附件。</w:t>
      </w:r>
    </w:p>
    <w:p w14:paraId="35A6AF32">
      <w:pPr>
        <w:numPr>
          <w:ilvl w:val="-1"/>
          <w:numId w:val="0"/>
        </w:numPr>
        <w:adjustRightInd w:val="0"/>
        <w:snapToGrid w:val="0"/>
        <w:spacing w:before="0" w:beforeLines="0" w:line="400" w:lineRule="exact"/>
        <w:ind w:firstLine="945" w:firstLineChars="45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①涉及信息类产品，请填写该产品关键部件的品牌、型号：</w:t>
      </w:r>
    </w:p>
    <w:p w14:paraId="39F116AC">
      <w:pPr>
        <w:numPr>
          <w:ilvl w:val="-1"/>
          <w:numId w:val="0"/>
        </w:numPr>
        <w:adjustRightInd w:val="0"/>
        <w:snapToGrid w:val="0"/>
        <w:spacing w:before="0" w:beforeLines="0" w:line="400" w:lineRule="exact"/>
        <w:ind w:firstLine="420" w:firstLineChars="200"/>
        <w:rPr>
          <w:rFonts w:hint="eastAsia" w:ascii="宋体" w:hAnsi="宋体" w:eastAsia="宋体" w:cs="宋体"/>
          <w:color w:val="auto"/>
          <w:kern w:val="0"/>
          <w:sz w:val="21"/>
          <w:szCs w:val="21"/>
          <w:highlight w:val="none"/>
          <w:u w:val="single"/>
          <w:lang w:val="en-US" w:eastAsia="zh-CN"/>
        </w:rPr>
      </w:pPr>
      <w:r>
        <w:rPr>
          <w:rFonts w:hint="eastAsia" w:ascii="宋体" w:hAnsi="宋体" w:eastAsia="宋体" w:cs="宋体"/>
          <w:color w:val="auto"/>
          <w:sz w:val="21"/>
          <w:szCs w:val="21"/>
          <w:highlight w:val="none"/>
          <w:lang w:val="en-US" w:eastAsia="zh-CN"/>
        </w:rPr>
        <w:t xml:space="preserve">     标的名称：</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single"/>
          <w:lang w:val="en" w:eastAsia="zh-CN"/>
        </w:rPr>
        <w:t xml:space="preserve">               </w:t>
      </w:r>
      <w:r>
        <w:rPr>
          <w:rFonts w:hint="eastAsia" w:ascii="宋体" w:hAnsi="宋体" w:eastAsia="宋体" w:cs="宋体"/>
          <w:color w:val="auto"/>
          <w:kern w:val="0"/>
          <w:sz w:val="21"/>
          <w:szCs w:val="21"/>
          <w:highlight w:val="none"/>
          <w:u w:val="single"/>
          <w:lang w:val="en-US" w:eastAsia="zh-CN"/>
        </w:rPr>
        <w:t xml:space="preserve">    </w:t>
      </w:r>
    </w:p>
    <w:p w14:paraId="42CFD305">
      <w:pPr>
        <w:numPr>
          <w:ilvl w:val="-1"/>
          <w:numId w:val="0"/>
        </w:num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关键部件：</w:t>
      </w:r>
      <w:r>
        <w:rPr>
          <w:rFonts w:hint="eastAsia" w:ascii="宋体" w:hAnsi="宋体" w:eastAsia="宋体"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3FF69B64">
      <w:pPr>
        <w:pStyle w:val="38"/>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kern w:val="2"/>
          <w:sz w:val="21"/>
          <w:szCs w:val="21"/>
          <w:highlight w:val="none"/>
          <w:lang w:val="en-US" w:eastAsia="zh-CN"/>
        </w:rPr>
        <w:t>关键部件</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w:t>
      </w:r>
    </w:p>
    <w:p w14:paraId="2CFF6FD8">
      <w:pPr>
        <w:pStyle w:val="38"/>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关键部件：</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型号：</w:t>
      </w:r>
      <w:r>
        <w:rPr>
          <w:rFonts w:hint="eastAsia" w:ascii="宋体" w:hAnsi="宋体" w:eastAsia="宋体" w:cs="宋体"/>
          <w:color w:val="auto"/>
          <w:sz w:val="21"/>
          <w:szCs w:val="21"/>
          <w:highlight w:val="none"/>
          <w:u w:val="single"/>
          <w:lang w:val="en-US" w:eastAsia="zh-CN"/>
        </w:rPr>
        <w:t xml:space="preserve">       </w:t>
      </w:r>
    </w:p>
    <w:p w14:paraId="7CC6D44B">
      <w:pPr>
        <w:pStyle w:val="38"/>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66175B2B">
      <w:pPr>
        <w:pStyle w:val="38"/>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②涉及车辆采购，请填写是否属于新能源汽车：</w:t>
      </w:r>
    </w:p>
    <w:p w14:paraId="1DD89C34">
      <w:pPr>
        <w:pStyle w:val="38"/>
        <w:numPr>
          <w:ilvl w:val="-1"/>
          <w:numId w:val="0"/>
        </w:numPr>
        <w:adjustRightInd w:val="0"/>
        <w:snapToGrid w:val="0"/>
        <w:spacing w:before="0" w:beforeLines="0" w:line="400" w:lineRule="exact"/>
        <w:ind w:firstLine="0" w:firstLineChars="0"/>
        <w:rPr>
          <w:rFonts w:hint="eastAsia" w:ascii="宋体" w:hAnsi="宋体" w:eastAsia="宋体" w:cs="宋体"/>
          <w:iCs w:val="0"/>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是</w:t>
      </w:r>
      <w:r>
        <w:rPr>
          <w:rFonts w:hint="eastAsia" w:ascii="宋体" w:hAnsi="宋体" w:eastAsia="宋体" w:cs="宋体"/>
          <w:iCs w:val="0"/>
          <w:color w:val="auto"/>
          <w:sz w:val="21"/>
          <w:szCs w:val="21"/>
          <w:highlight w:val="none"/>
          <w:lang w:eastAsia="zh-CN"/>
        </w:rPr>
        <w:t>，《政府采购品目分类目录》底级品目名称</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数量：</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金额：</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iCs w:val="0"/>
          <w:color w:val="auto"/>
          <w:sz w:val="21"/>
          <w:szCs w:val="21"/>
          <w:highlight w:val="none"/>
          <w:lang w:val="en-US" w:eastAsia="zh-CN"/>
        </w:rPr>
        <w:t xml:space="preserve"> </w:t>
      </w:r>
    </w:p>
    <w:p w14:paraId="5C0334E4">
      <w:pPr>
        <w:pStyle w:val="38"/>
        <w:numPr>
          <w:ilvl w:val="-1"/>
          <w:numId w:val="0"/>
        </w:numPr>
        <w:adjustRightInd w:val="0"/>
        <w:snapToGrid w:val="0"/>
        <w:spacing w:before="0" w:beforeLines="0" w:line="400" w:lineRule="exact"/>
        <w:ind w:firstLine="0" w:firstLineChars="0"/>
        <w:rPr>
          <w:rFonts w:hint="eastAsia" w:ascii="宋体" w:hAnsi="宋体" w:eastAsia="宋体" w:cs="宋体"/>
          <w:iCs w:val="0"/>
          <w:color w:val="auto"/>
          <w:sz w:val="21"/>
          <w:szCs w:val="21"/>
          <w:highlight w:val="none"/>
          <w:lang w:eastAsia="zh-CN"/>
        </w:rPr>
      </w:pP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否</w:t>
      </w:r>
    </w:p>
    <w:p w14:paraId="5CFDA6E2">
      <w:pPr>
        <w:pStyle w:val="38"/>
        <w:numPr>
          <w:ilvl w:val="-1"/>
          <w:numId w:val="0"/>
        </w:numPr>
        <w:adjustRightInd w:val="0"/>
        <w:snapToGrid w:val="0"/>
        <w:spacing w:before="0" w:beforeLines="0" w:line="400" w:lineRule="exact"/>
        <w:ind w:left="0" w:firstLine="0" w:firstLineChars="0"/>
        <w:rPr>
          <w:rFonts w:hint="eastAsia" w:ascii="宋体" w:hAnsi="宋体" w:eastAsia="宋体" w:cs="宋体"/>
          <w:iCs w:val="0"/>
          <w:color w:val="auto"/>
          <w:sz w:val="21"/>
          <w:szCs w:val="21"/>
          <w:highlight w:val="none"/>
          <w:lang w:val="en-US" w:eastAsia="zh-CN"/>
        </w:rPr>
      </w:pP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lang w:val="en" w:eastAsia="zh-CN"/>
        </w:rPr>
        <w:t>4</w:t>
      </w:r>
      <w:r>
        <w:rPr>
          <w:rFonts w:hint="eastAsia" w:ascii="宋体" w:hAnsi="宋体" w:eastAsia="宋体" w:cs="宋体"/>
          <w:iCs w:val="0"/>
          <w:color w:val="auto"/>
          <w:sz w:val="21"/>
          <w:szCs w:val="21"/>
          <w:highlight w:val="none"/>
          <w:lang w:val="en-US" w:eastAsia="zh-CN"/>
        </w:rPr>
        <w:t>）政府采购组织形式：</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政府集中采购</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val="en-US" w:eastAsia="zh-CN"/>
        </w:rPr>
        <w:t xml:space="preserve">部门集中采购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val="en-US" w:eastAsia="zh-CN"/>
        </w:rPr>
        <w:t>分散采购</w:t>
      </w:r>
    </w:p>
    <w:p w14:paraId="71193FD7">
      <w:pPr>
        <w:pStyle w:val="38"/>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lang w:eastAsia="zh-CN"/>
        </w:rPr>
      </w:pPr>
      <w:r>
        <w:rPr>
          <w:rFonts w:hint="eastAsia" w:ascii="宋体" w:hAnsi="宋体" w:eastAsia="宋体" w:cs="宋体"/>
          <w:iCs w:val="0"/>
          <w:color w:val="auto"/>
          <w:sz w:val="21"/>
          <w:szCs w:val="21"/>
          <w:highlight w:val="none"/>
          <w:lang w:val="en-US" w:eastAsia="zh-CN"/>
        </w:rPr>
        <w:t>（</w:t>
      </w:r>
      <w:r>
        <w:rPr>
          <w:rFonts w:hint="eastAsia" w:ascii="宋体" w:hAnsi="宋体" w:eastAsia="宋体" w:cs="宋体"/>
          <w:iCs w:val="0"/>
          <w:color w:val="auto"/>
          <w:sz w:val="21"/>
          <w:szCs w:val="21"/>
          <w:highlight w:val="none"/>
          <w:lang w:val="en" w:eastAsia="zh-CN"/>
        </w:rPr>
        <w:t>5</w:t>
      </w:r>
      <w:r>
        <w:rPr>
          <w:rFonts w:hint="eastAsia" w:ascii="宋体" w:hAnsi="宋体" w:eastAsia="宋体" w:cs="宋体"/>
          <w:iCs w:val="0"/>
          <w:color w:val="auto"/>
          <w:sz w:val="21"/>
          <w:szCs w:val="21"/>
          <w:highlight w:val="none"/>
          <w:lang w:val="en-US" w:eastAsia="zh-CN"/>
        </w:rPr>
        <w:t>）政府采购方式：</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公开招标</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邀请招标</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竞争性谈判</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竞争性磋商</w:t>
      </w:r>
    </w:p>
    <w:p w14:paraId="42494980">
      <w:pPr>
        <w:pStyle w:val="38"/>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u w:val="single"/>
          <w:lang w:val="en-US" w:eastAsia="zh-CN"/>
        </w:rPr>
      </w:pP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询价</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单一来源</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框架协议</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其他：</w:t>
      </w:r>
      <w:r>
        <w:rPr>
          <w:rFonts w:hint="eastAsia" w:ascii="宋体" w:hAnsi="宋体" w:eastAsia="宋体" w:cs="宋体"/>
          <w:iCs w:val="0"/>
          <w:color w:val="auto"/>
          <w:sz w:val="21"/>
          <w:szCs w:val="21"/>
          <w:highlight w:val="none"/>
          <w:u w:val="single"/>
          <w:lang w:val="en-US" w:eastAsia="zh-CN"/>
        </w:rPr>
        <w:t xml:space="preserve">          </w:t>
      </w:r>
    </w:p>
    <w:p w14:paraId="3061F3E4">
      <w:pPr>
        <w:pStyle w:val="38"/>
        <w:numPr>
          <w:ilvl w:val="-1"/>
          <w:numId w:val="0"/>
        </w:numPr>
        <w:adjustRightInd w:val="0"/>
        <w:snapToGrid w:val="0"/>
        <w:spacing w:before="0" w:beforeLines="0" w:line="400" w:lineRule="exact"/>
        <w:ind w:left="0" w:firstLine="420" w:firstLineChars="0"/>
        <w:rPr>
          <w:rFonts w:hint="eastAsia" w:ascii="宋体" w:hAnsi="宋体" w:eastAsia="宋体" w:cs="宋体"/>
          <w:iCs w:val="0"/>
          <w:color w:val="auto"/>
          <w:sz w:val="21"/>
          <w:szCs w:val="21"/>
          <w:highlight w:val="none"/>
          <w:u w:val="none"/>
          <w:lang w:val="en-US" w:eastAsia="zh-CN"/>
        </w:rPr>
      </w:pPr>
      <w:r>
        <w:rPr>
          <w:rFonts w:hint="eastAsia" w:ascii="宋体" w:hAnsi="宋体" w:eastAsia="宋体" w:cs="宋体"/>
          <w:iCs w:val="0"/>
          <w:color w:val="auto"/>
          <w:sz w:val="21"/>
          <w:szCs w:val="21"/>
          <w:highlight w:val="none"/>
          <w:u w:val="none"/>
          <w:lang w:val="en-US" w:eastAsia="zh-CN"/>
        </w:rPr>
        <w:t>（注：在框架协议采购的第二阶段，可选择使用该合同文本）</w:t>
      </w:r>
    </w:p>
    <w:p w14:paraId="548CD5CD">
      <w:pPr>
        <w:pStyle w:val="38"/>
        <w:numPr>
          <w:ilvl w:val="-1"/>
          <w:numId w:val="0"/>
        </w:numPr>
        <w:adjustRightInd w:val="0"/>
        <w:snapToGrid w:val="0"/>
        <w:spacing w:before="0" w:beforeLines="0" w:line="400" w:lineRule="exact"/>
        <w:ind w:firstLine="210" w:firstLineChars="100"/>
        <w:rPr>
          <w:rFonts w:hint="eastAsia" w:ascii="宋体" w:hAnsi="宋体" w:eastAsia="宋体" w:cs="宋体"/>
          <w:color w:val="auto"/>
          <w:w w:val="100"/>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 w:eastAsia="zh-CN"/>
        </w:rPr>
        <w:t>6</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w w:val="100"/>
          <w:kern w:val="2"/>
          <w:sz w:val="21"/>
          <w:szCs w:val="21"/>
          <w:highlight w:val="none"/>
          <w:lang w:val="en-US" w:eastAsia="zh-CN" w:bidi="ar-SA"/>
        </w:rPr>
        <w:t>中标（成交）采购标的制造商是否为中小企业：</w:t>
      </w:r>
      <w:r>
        <w:rPr>
          <w:rFonts w:hint="eastAsia" w:ascii="宋体" w:hAnsi="宋体" w:eastAsia="宋体" w:cs="宋体"/>
          <w:color w:val="auto"/>
          <w:w w:val="100"/>
          <w:kern w:val="2"/>
          <w:sz w:val="21"/>
          <w:szCs w:val="21"/>
          <w:highlight w:val="none"/>
          <w:lang w:val="en-US" w:eastAsia="zh-CN" w:bidi="ar-SA"/>
        </w:rPr>
        <w:sym w:font="Wingdings" w:char="00A8"/>
      </w:r>
      <w:r>
        <w:rPr>
          <w:rFonts w:hint="eastAsia" w:ascii="宋体" w:hAnsi="宋体" w:eastAsia="宋体" w:cs="宋体"/>
          <w:color w:val="auto"/>
          <w:w w:val="100"/>
          <w:kern w:val="2"/>
          <w:sz w:val="21"/>
          <w:szCs w:val="21"/>
          <w:highlight w:val="none"/>
          <w:lang w:val="en-US" w:eastAsia="zh-CN" w:bidi="ar-SA"/>
        </w:rPr>
        <w:t xml:space="preserve">是      </w:t>
      </w:r>
      <w:r>
        <w:rPr>
          <w:rFonts w:hint="eastAsia" w:ascii="宋体" w:hAnsi="宋体" w:eastAsia="宋体" w:cs="宋体"/>
          <w:color w:val="auto"/>
          <w:w w:val="100"/>
          <w:kern w:val="2"/>
          <w:sz w:val="21"/>
          <w:szCs w:val="21"/>
          <w:highlight w:val="none"/>
          <w:lang w:val="en-US" w:eastAsia="zh-CN" w:bidi="ar-SA"/>
        </w:rPr>
        <w:sym w:font="Wingdings" w:char="00A8"/>
      </w:r>
      <w:r>
        <w:rPr>
          <w:rFonts w:hint="eastAsia" w:ascii="宋体" w:hAnsi="宋体" w:eastAsia="宋体" w:cs="宋体"/>
          <w:color w:val="auto"/>
          <w:w w:val="100"/>
          <w:kern w:val="2"/>
          <w:sz w:val="21"/>
          <w:szCs w:val="21"/>
          <w:highlight w:val="none"/>
          <w:lang w:val="en-US" w:eastAsia="zh-CN" w:bidi="ar-SA"/>
        </w:rPr>
        <w:t>否</w:t>
      </w:r>
    </w:p>
    <w:p w14:paraId="4431B53E">
      <w:pPr>
        <w:numPr>
          <w:ilvl w:val="-1"/>
          <w:numId w:val="0"/>
        </w:numPr>
        <w:adjustRightInd w:val="0"/>
        <w:snapToGrid w:val="0"/>
        <w:spacing w:before="0" w:beforeLines="0" w:line="400" w:lineRule="exact"/>
        <w:ind w:left="0" w:leftChars="0" w:firstLine="0" w:firstLineChars="0"/>
        <w:rPr>
          <w:rFonts w:hint="eastAsia" w:ascii="宋体" w:hAnsi="宋体" w:eastAsia="宋体" w:cs="宋体"/>
          <w:iCs/>
          <w:color w:val="auto"/>
          <w:sz w:val="21"/>
          <w:szCs w:val="21"/>
          <w:highlight w:val="none"/>
        </w:rPr>
      </w:pPr>
      <w:r>
        <w:rPr>
          <w:rFonts w:hint="eastAsia" w:ascii="宋体" w:hAnsi="宋体" w:eastAsia="宋体" w:cs="宋体"/>
          <w:color w:val="auto"/>
          <w:w w:val="100"/>
          <w:sz w:val="21"/>
          <w:szCs w:val="21"/>
          <w:highlight w:val="none"/>
          <w:lang w:val="en-US" w:eastAsia="zh-CN"/>
        </w:rPr>
        <w:t xml:space="preserve">         本合同</w:t>
      </w:r>
      <w:r>
        <w:rPr>
          <w:rFonts w:hint="eastAsia" w:ascii="宋体" w:hAnsi="宋体" w:eastAsia="宋体" w:cs="宋体"/>
          <w:color w:val="auto"/>
          <w:w w:val="100"/>
          <w:sz w:val="21"/>
          <w:szCs w:val="21"/>
          <w:highlight w:val="none"/>
        </w:rPr>
        <w:t>是否</w:t>
      </w:r>
      <w:r>
        <w:rPr>
          <w:rFonts w:hint="eastAsia" w:ascii="宋体" w:hAnsi="宋体" w:eastAsia="宋体" w:cs="宋体"/>
          <w:color w:val="auto"/>
          <w:w w:val="100"/>
          <w:sz w:val="21"/>
          <w:szCs w:val="21"/>
          <w:highlight w:val="none"/>
          <w:lang w:eastAsia="zh-CN"/>
        </w:rPr>
        <w:t>为专门面向</w:t>
      </w:r>
      <w:r>
        <w:rPr>
          <w:rFonts w:hint="eastAsia" w:ascii="宋体" w:hAnsi="宋体" w:eastAsia="宋体" w:cs="宋体"/>
          <w:color w:val="auto"/>
          <w:w w:val="100"/>
          <w:sz w:val="21"/>
          <w:szCs w:val="21"/>
          <w:highlight w:val="none"/>
        </w:rPr>
        <w:t>中小企业</w:t>
      </w:r>
      <w:r>
        <w:rPr>
          <w:rFonts w:hint="eastAsia" w:ascii="宋体" w:hAnsi="宋体" w:eastAsia="宋体" w:cs="宋体"/>
          <w:color w:val="auto"/>
          <w:w w:val="100"/>
          <w:sz w:val="21"/>
          <w:szCs w:val="21"/>
          <w:highlight w:val="none"/>
          <w:lang w:eastAsia="zh-CN"/>
        </w:rPr>
        <w:t>的采</w:t>
      </w:r>
      <w:r>
        <w:rPr>
          <w:rFonts w:hint="eastAsia" w:ascii="宋体" w:hAnsi="宋体" w:eastAsia="宋体" w:cs="宋体"/>
          <w:color w:val="auto"/>
          <w:w w:val="100"/>
          <w:sz w:val="21"/>
          <w:szCs w:val="21"/>
          <w:highlight w:val="none"/>
          <w:shd w:val="clear"/>
          <w:lang w:eastAsia="zh-CN"/>
        </w:rPr>
        <w:t>购</w:t>
      </w:r>
      <w:r>
        <w:rPr>
          <w:rFonts w:hint="eastAsia" w:ascii="宋体" w:hAnsi="宋体" w:eastAsia="宋体" w:cs="宋体"/>
          <w:color w:val="auto"/>
          <w:w w:val="100"/>
          <w:sz w:val="21"/>
          <w:szCs w:val="21"/>
          <w:highlight w:val="none"/>
          <w:shd w:val="clear"/>
        </w:rPr>
        <w:t>合同</w:t>
      </w:r>
      <w:r>
        <w:rPr>
          <w:rFonts w:hint="eastAsia" w:ascii="宋体" w:hAnsi="宋体" w:eastAsia="宋体" w:cs="宋体"/>
          <w:color w:val="auto"/>
          <w:w w:val="100"/>
          <w:sz w:val="21"/>
          <w:szCs w:val="21"/>
          <w:highlight w:val="none"/>
          <w:shd w:val="clear"/>
          <w:lang w:eastAsia="zh-CN"/>
        </w:rPr>
        <w:t>（中小企业预留合同）</w:t>
      </w:r>
      <w:r>
        <w:rPr>
          <w:rFonts w:hint="eastAsia" w:ascii="宋体" w:hAnsi="宋体" w:eastAsia="宋体" w:cs="宋体"/>
          <w:color w:val="auto"/>
          <w:sz w:val="21"/>
          <w:szCs w:val="21"/>
          <w:highlight w:val="none"/>
          <w:shd w:val="clear"/>
        </w:rPr>
        <w:t>：</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616D315C">
      <w:pPr>
        <w:numPr>
          <w:ilvl w:val="-1"/>
          <w:numId w:val="0"/>
        </w:numPr>
        <w:adjustRightInd w:val="0"/>
        <w:snapToGrid w:val="0"/>
        <w:spacing w:before="0" w:beforeLines="0" w:line="400" w:lineRule="exact"/>
        <w:ind w:firstLine="0" w:firstLineChars="0"/>
        <w:rPr>
          <w:rFonts w:hint="eastAsia" w:ascii="宋体" w:hAnsi="宋体" w:eastAsia="宋体" w:cs="宋体"/>
          <w:iCs/>
          <w:color w:val="auto"/>
          <w:sz w:val="21"/>
          <w:szCs w:val="21"/>
          <w:highlight w:val="none"/>
        </w:rPr>
      </w:pPr>
      <w:r>
        <w:rPr>
          <w:rFonts w:hint="eastAsia" w:ascii="宋体" w:hAnsi="宋体" w:eastAsia="宋体" w:cs="宋体"/>
          <w:color w:val="auto"/>
          <w:sz w:val="21"/>
          <w:szCs w:val="21"/>
          <w:highlight w:val="none"/>
          <w:lang w:val="en-US" w:eastAsia="zh-CN"/>
        </w:rPr>
        <w:t xml:space="preserve">         若本项目不专门面向中小企业采购，是否给予小微企业评审优惠：</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612CB2A0">
      <w:pPr>
        <w:numPr>
          <w:ilvl w:val="-1"/>
          <w:numId w:val="0"/>
        </w:numPr>
        <w:adjustRightInd w:val="0"/>
        <w:snapToGrid w:val="0"/>
        <w:spacing w:before="0" w:beforeLines="0" w:line="400" w:lineRule="exact"/>
        <w:ind w:firstLine="0" w:firstLineChars="0"/>
        <w:rPr>
          <w:rFonts w:hint="eastAsia" w:ascii="宋体" w:hAnsi="宋体" w:eastAsia="宋体" w:cs="宋体"/>
          <w:iCs/>
          <w:color w:val="auto"/>
          <w:sz w:val="21"/>
          <w:szCs w:val="21"/>
          <w:highlight w:val="none"/>
        </w:rPr>
      </w:pPr>
      <w:r>
        <w:rPr>
          <w:rFonts w:hint="eastAsia" w:ascii="宋体" w:hAnsi="宋体" w:eastAsia="宋体" w:cs="宋体"/>
          <w:color w:val="auto"/>
          <w:sz w:val="21"/>
          <w:szCs w:val="21"/>
          <w:highlight w:val="none"/>
          <w:lang w:val="en-US" w:eastAsia="zh-CN"/>
        </w:rPr>
        <w:t xml:space="preserve">         中标（成交）采购标的制造商是否为残疾人福利性单位：</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00A7D83E">
      <w:pPr>
        <w:numPr>
          <w:ilvl w:val="0"/>
          <w:numId w:val="0"/>
        </w:numPr>
        <w:snapToGrid w:val="0"/>
        <w:spacing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中标（成交）采购标的制造商是否为监狱企业：</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308B1F14">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 w:eastAsia="zh-CN"/>
        </w:rPr>
        <w:t>7</w:t>
      </w:r>
      <w:r>
        <w:rPr>
          <w:rFonts w:hint="eastAsia" w:ascii="宋体" w:hAnsi="宋体" w:eastAsia="宋体" w:cs="宋体"/>
          <w:color w:val="auto"/>
          <w:sz w:val="21"/>
          <w:szCs w:val="21"/>
          <w:highlight w:val="none"/>
        </w:rPr>
        <w:t>）合同是否分包：</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45E1081A">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分包主要内容：</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79A534F0">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rPr>
        <w:t>分包供应商</w:t>
      </w:r>
      <w:r>
        <w:rPr>
          <w:rFonts w:hint="eastAsia" w:ascii="宋体" w:hAnsi="宋体" w:eastAsia="宋体" w:cs="宋体"/>
          <w:color w:val="auto"/>
          <w:sz w:val="21"/>
          <w:szCs w:val="21"/>
          <w:highlight w:val="none"/>
          <w:lang w:eastAsia="zh-CN"/>
        </w:rPr>
        <w:t>/制造商</w:t>
      </w:r>
      <w:r>
        <w:rPr>
          <w:rFonts w:hint="eastAsia" w:ascii="宋体" w:hAnsi="宋体" w:eastAsia="宋体" w:cs="宋体"/>
          <w:color w:val="auto"/>
          <w:sz w:val="21"/>
          <w:szCs w:val="21"/>
          <w:highlight w:val="none"/>
        </w:rPr>
        <w:t>名称</w:t>
      </w:r>
      <w:r>
        <w:rPr>
          <w:rFonts w:hint="eastAsia" w:ascii="宋体" w:hAnsi="宋体" w:eastAsia="宋体" w:cs="宋体"/>
          <w:color w:val="auto"/>
          <w:sz w:val="21"/>
          <w:szCs w:val="21"/>
          <w:highlight w:val="none"/>
          <w:lang w:eastAsia="zh-CN"/>
        </w:rPr>
        <w:t>（如供应商和制造商不同，请分别填写）</w:t>
      </w:r>
      <w:r>
        <w:rPr>
          <w:rFonts w:hint="eastAsia" w:ascii="宋体" w:hAnsi="宋体" w:eastAsia="宋体" w:cs="宋体"/>
          <w:color w:val="auto"/>
          <w:sz w:val="21"/>
          <w:szCs w:val="21"/>
          <w:highlight w:val="none"/>
        </w:rPr>
        <w:t>：</w:t>
      </w:r>
    </w:p>
    <w:p w14:paraId="7665AF8B">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p>
    <w:p w14:paraId="087BF125">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分包供应商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lang w:eastAsia="zh-CN"/>
        </w:rPr>
        <w:t>制造商</w:t>
      </w:r>
      <w:r>
        <w:rPr>
          <w:rFonts w:hint="eastAsia" w:ascii="宋体" w:hAnsi="宋体" w:eastAsia="宋体" w:cs="宋体"/>
          <w:color w:val="auto"/>
          <w:sz w:val="21"/>
          <w:szCs w:val="21"/>
          <w:highlight w:val="none"/>
        </w:rPr>
        <w:t>类型</w:t>
      </w:r>
      <w:r>
        <w:rPr>
          <w:rFonts w:hint="eastAsia" w:ascii="宋体" w:hAnsi="宋体" w:eastAsia="宋体" w:cs="宋体"/>
          <w:color w:val="auto"/>
          <w:sz w:val="21"/>
          <w:szCs w:val="21"/>
          <w:highlight w:val="none"/>
          <w:lang w:eastAsia="zh-CN"/>
        </w:rPr>
        <w:t>（如果供应商和制造商不同，只填写制造商类型）</w:t>
      </w:r>
      <w:r>
        <w:rPr>
          <w:rFonts w:hint="eastAsia" w:ascii="宋体" w:hAnsi="宋体" w:eastAsia="宋体" w:cs="宋体"/>
          <w:color w:val="auto"/>
          <w:sz w:val="21"/>
          <w:szCs w:val="21"/>
          <w:highlight w:val="none"/>
        </w:rPr>
        <w:t>：</w:t>
      </w:r>
    </w:p>
    <w:p w14:paraId="6F4A9728">
      <w:pPr>
        <w:adjustRightInd w:val="0"/>
        <w:snapToGrid w:val="0"/>
        <w:spacing w:beforeLines="0" w:line="400" w:lineRule="exact"/>
        <w:ind w:firstLine="840" w:firstLineChars="400"/>
        <w:rPr>
          <w:rFonts w:hint="eastAsia" w:ascii="宋体" w:hAnsi="宋体" w:eastAsia="宋体" w:cs="宋体"/>
          <w:iCs/>
          <w:color w:val="auto"/>
          <w:sz w:val="21"/>
          <w:szCs w:val="21"/>
          <w:highlight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大型企业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中型企业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小微型企业</w:t>
      </w:r>
      <w:r>
        <w:rPr>
          <w:rFonts w:hint="eastAsia" w:ascii="宋体" w:hAnsi="宋体" w:eastAsia="宋体" w:cs="宋体"/>
          <w:iCs/>
          <w:color w:val="auto"/>
          <w:sz w:val="21"/>
          <w:szCs w:val="21"/>
          <w:highlight w:val="none"/>
          <w:lang w:val="en-US" w:eastAsia="zh-CN"/>
        </w:rPr>
        <w:t xml:space="preserve">  </w:t>
      </w:r>
    </w:p>
    <w:p w14:paraId="1E49846B">
      <w:pPr>
        <w:adjustRightInd w:val="0"/>
        <w:snapToGrid w:val="0"/>
        <w:spacing w:beforeLines="0" w:line="400" w:lineRule="exact"/>
        <w:ind w:firstLine="840" w:firstLineChars="400"/>
        <w:rPr>
          <w:rFonts w:hint="eastAsia" w:ascii="宋体" w:hAnsi="宋体" w:eastAsia="宋体" w:cs="宋体"/>
          <w:color w:val="auto"/>
          <w:sz w:val="21"/>
          <w:szCs w:val="21"/>
          <w:highlight w:val="none"/>
          <w:u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残疾人福利性单位</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监狱</w:t>
      </w:r>
      <w:r>
        <w:rPr>
          <w:rFonts w:hint="eastAsia" w:ascii="宋体" w:hAnsi="宋体" w:eastAsia="宋体" w:cs="宋体"/>
          <w:iCs/>
          <w:color w:val="auto"/>
          <w:sz w:val="21"/>
          <w:szCs w:val="21"/>
          <w:highlight w:val="none"/>
        </w:rPr>
        <w:t>企业</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其他</w:t>
      </w:r>
    </w:p>
    <w:p w14:paraId="5D78DC5F">
      <w:pPr>
        <w:numPr>
          <w:ilvl w:val="-1"/>
          <w:numId w:val="0"/>
        </w:numPr>
        <w:adjustRightInd w:val="0"/>
        <w:snapToGrid w:val="0"/>
        <w:spacing w:before="0" w:beforeLines="0" w:line="400" w:lineRule="exact"/>
        <w:ind w:left="0" w:leftChars="0" w:firstLine="0" w:firstLineChars="0"/>
        <w:rPr>
          <w:rFonts w:hint="eastAsia" w:ascii="宋体" w:hAnsi="宋体" w:eastAsia="宋体" w:cs="宋体"/>
          <w:iCs/>
          <w:color w:val="auto"/>
          <w:sz w:val="21"/>
          <w:szCs w:val="21"/>
          <w:highlight w:val="none"/>
        </w:rPr>
      </w:pPr>
      <w:r>
        <w:rPr>
          <w:rFonts w:hint="eastAsia" w:ascii="宋体" w:hAnsi="宋体" w:eastAsia="宋体" w:cs="宋体"/>
          <w:color w:val="auto"/>
          <w:sz w:val="21"/>
          <w:szCs w:val="21"/>
          <w:highlight w:val="none"/>
          <w:u w:val="none"/>
          <w:lang w:val="en-US" w:eastAsia="zh-CN"/>
        </w:rPr>
        <w:t xml:space="preserve">    （</w:t>
      </w:r>
      <w:r>
        <w:rPr>
          <w:rFonts w:hint="eastAsia" w:ascii="宋体" w:hAnsi="宋体" w:eastAsia="宋体" w:cs="宋体"/>
          <w:color w:val="auto"/>
          <w:sz w:val="21"/>
          <w:szCs w:val="21"/>
          <w:highlight w:val="none"/>
          <w:u w:val="none"/>
          <w:lang w:val="en" w:eastAsia="zh-CN"/>
        </w:rPr>
        <w:t>8</w:t>
      </w:r>
      <w:r>
        <w:rPr>
          <w:rFonts w:hint="eastAsia" w:ascii="宋体" w:hAnsi="宋体" w:eastAsia="宋体" w:cs="宋体"/>
          <w:color w:val="auto"/>
          <w:sz w:val="21"/>
          <w:szCs w:val="21"/>
          <w:highlight w:val="none"/>
          <w:u w:val="none"/>
          <w:lang w:val="en-US" w:eastAsia="zh-CN"/>
        </w:rPr>
        <w:t>）中标（成交）供应商是否为外商投资企业：</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是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否</w:t>
      </w:r>
    </w:p>
    <w:p w14:paraId="7199EED1">
      <w:pPr>
        <w:pStyle w:val="38"/>
        <w:tabs>
          <w:tab w:val="left" w:pos="1340"/>
        </w:tabs>
        <w:spacing w:beforeLine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u w:val="none"/>
          <w:lang w:val="en-US" w:eastAsia="zh-CN"/>
        </w:rPr>
        <w:t xml:space="preserve">     外商投资企业类型：</w:t>
      </w:r>
      <w:r>
        <w:rPr>
          <w:rFonts w:hint="eastAsia" w:ascii="宋体" w:hAnsi="宋体" w:eastAsia="宋体" w:cs="宋体"/>
          <w:iCs/>
          <w:color w:val="auto"/>
          <w:sz w:val="21"/>
          <w:szCs w:val="21"/>
          <w:highlight w:val="none"/>
        </w:rPr>
        <w:sym w:font="Wingdings" w:char="00A8"/>
      </w:r>
      <w:r>
        <w:rPr>
          <w:rFonts w:hint="eastAsia" w:ascii="宋体" w:hAnsi="宋体" w:eastAsia="宋体" w:cs="宋体"/>
          <w:color w:val="auto"/>
          <w:sz w:val="21"/>
          <w:szCs w:val="21"/>
          <w:highlight w:val="none"/>
          <w:u w:val="none"/>
          <w:lang w:val="en-US" w:eastAsia="zh-CN"/>
        </w:rPr>
        <w:t xml:space="preserve">全部由外国投资者投资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val="en-US" w:eastAsia="zh-CN"/>
        </w:rPr>
        <w:t>部分由外国投资者投资</w:t>
      </w:r>
    </w:p>
    <w:p w14:paraId="0D3C541C">
      <w:pPr>
        <w:numPr>
          <w:ilvl w:val="-1"/>
          <w:numId w:val="0"/>
        </w:numPr>
        <w:adjustRightInd w:val="0"/>
        <w:snapToGrid w:val="0"/>
        <w:spacing w:before="0" w:beforeLines="0" w:line="400" w:lineRule="exact"/>
        <w:ind w:firstLine="420" w:firstLineChars="20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w:t>
      </w:r>
      <w:r>
        <w:rPr>
          <w:rFonts w:hint="eastAsia" w:ascii="宋体" w:hAnsi="宋体" w:eastAsia="宋体" w:cs="宋体"/>
          <w:b w:val="0"/>
          <w:bCs w:val="0"/>
          <w:color w:val="auto"/>
          <w:sz w:val="21"/>
          <w:szCs w:val="21"/>
          <w:highlight w:val="none"/>
          <w:u w:val="none"/>
          <w:lang w:val="en" w:eastAsia="zh-CN"/>
        </w:rPr>
        <w:t>9</w:t>
      </w:r>
      <w:r>
        <w:rPr>
          <w:rFonts w:hint="eastAsia" w:ascii="宋体" w:hAnsi="宋体" w:eastAsia="宋体" w:cs="宋体"/>
          <w:b w:val="0"/>
          <w:bCs w:val="0"/>
          <w:color w:val="auto"/>
          <w:sz w:val="21"/>
          <w:szCs w:val="21"/>
          <w:highlight w:val="none"/>
          <w:u w:val="none"/>
          <w:lang w:val="en-US" w:eastAsia="zh-CN"/>
        </w:rPr>
        <w:t>）是否涉及进口产品：</w:t>
      </w:r>
    </w:p>
    <w:p w14:paraId="28A795E5">
      <w:pPr>
        <w:numPr>
          <w:ilvl w:val="-1"/>
          <w:numId w:val="0"/>
        </w:numPr>
        <w:adjustRightInd w:val="0"/>
        <w:snapToGrid w:val="0"/>
        <w:spacing w:before="0" w:beforeLines="0" w:line="400" w:lineRule="exact"/>
        <w:ind w:firstLine="840" w:firstLineChars="400"/>
        <w:rPr>
          <w:rFonts w:hint="eastAsia" w:ascii="宋体" w:hAnsi="宋体" w:eastAsia="宋体" w:cs="宋体"/>
          <w:color w:val="auto"/>
          <w:sz w:val="21"/>
          <w:szCs w:val="21"/>
          <w:highlight w:val="none"/>
          <w:u w:val="single"/>
          <w:lang w:val="en-US" w:eastAsia="zh-CN"/>
        </w:rPr>
      </w:pP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是</w:t>
      </w:r>
      <w:r>
        <w:rPr>
          <w:rFonts w:hint="eastAsia" w:ascii="宋体" w:hAnsi="宋体" w:eastAsia="宋体" w:cs="宋体"/>
          <w:iCs w:val="0"/>
          <w:color w:val="auto"/>
          <w:sz w:val="21"/>
          <w:szCs w:val="21"/>
          <w:highlight w:val="none"/>
          <w:lang w:eastAsia="zh-CN"/>
        </w:rPr>
        <w:t>，《政府采购品目分类目录》底级品目名称</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金额：</w:t>
      </w:r>
      <w:r>
        <w:rPr>
          <w:rFonts w:hint="eastAsia" w:ascii="宋体" w:hAnsi="宋体" w:eastAsia="宋体" w:cs="宋体"/>
          <w:color w:val="auto"/>
          <w:sz w:val="21"/>
          <w:szCs w:val="21"/>
          <w:highlight w:val="none"/>
          <w:u w:val="single"/>
          <w:lang w:val="en-US" w:eastAsia="zh-CN"/>
        </w:rPr>
        <w:t xml:space="preserve">        </w:t>
      </w:r>
    </w:p>
    <w:p w14:paraId="19ACED58">
      <w:pPr>
        <w:numPr>
          <w:ilvl w:val="-1"/>
          <w:numId w:val="0"/>
        </w:numPr>
        <w:adjustRightInd w:val="0"/>
        <w:snapToGrid w:val="0"/>
        <w:spacing w:before="0" w:beforeLines="0" w:line="400" w:lineRule="exact"/>
        <w:ind w:firstLine="840" w:firstLineChars="400"/>
        <w:rPr>
          <w:rFonts w:hint="eastAsia" w:ascii="宋体" w:hAnsi="宋体" w:eastAsia="宋体" w:cs="宋体"/>
          <w:iCs w:val="0"/>
          <w:color w:val="auto"/>
          <w:sz w:val="21"/>
          <w:szCs w:val="21"/>
          <w:highlight w:val="none"/>
        </w:rPr>
      </w:pPr>
      <w:r>
        <w:rPr>
          <w:rFonts w:hint="eastAsia" w:ascii="宋体" w:hAnsi="宋体" w:eastAsia="宋体" w:cs="宋体"/>
          <w:color w:val="auto"/>
          <w:sz w:val="21"/>
          <w:szCs w:val="21"/>
          <w:highlight w:val="none"/>
          <w:lang w:val="en-US" w:eastAsia="zh-CN"/>
        </w:rPr>
        <w:t xml:space="preserve">        国别：</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lang w:val="en-US" w:eastAsia="zh-CN"/>
        </w:rPr>
        <w:t xml:space="preserve"> 品牌：</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none"/>
          <w:lang w:val="en-US" w:eastAsia="zh-CN"/>
        </w:rPr>
        <w:t xml:space="preserve"> 规格型号：</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iCs w:val="0"/>
          <w:color w:val="auto"/>
          <w:sz w:val="21"/>
          <w:szCs w:val="21"/>
          <w:highlight w:val="none"/>
        </w:rPr>
        <w:t xml:space="preserve">      </w:t>
      </w:r>
    </w:p>
    <w:p w14:paraId="75B1181C">
      <w:pPr>
        <w:adjustRightInd w:val="0"/>
        <w:snapToGrid w:val="0"/>
        <w:spacing w:before="0" w:beforeLines="0" w:line="400" w:lineRule="exact"/>
        <w:ind w:firstLine="840" w:firstLineChars="400"/>
        <w:rPr>
          <w:rFonts w:hint="eastAsia" w:ascii="宋体" w:hAnsi="宋体" w:eastAsia="宋体" w:cs="宋体"/>
          <w:color w:val="auto"/>
          <w:sz w:val="21"/>
          <w:szCs w:val="21"/>
          <w:highlight w:val="none"/>
          <w:u w:val="none"/>
          <w:lang w:val="en-US" w:eastAsia="zh-CN"/>
        </w:rPr>
      </w:pP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否</w:t>
      </w:r>
    </w:p>
    <w:p w14:paraId="27E0A2B0">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 xml:space="preserve">    （1</w:t>
      </w:r>
      <w:r>
        <w:rPr>
          <w:rFonts w:hint="eastAsia" w:ascii="宋体" w:hAnsi="宋体" w:eastAsia="宋体" w:cs="宋体"/>
          <w:b w:val="0"/>
          <w:bCs w:val="0"/>
          <w:color w:val="auto"/>
          <w:sz w:val="21"/>
          <w:szCs w:val="21"/>
          <w:highlight w:val="none"/>
          <w:u w:val="none"/>
          <w:lang w:val="en" w:eastAsia="zh-CN"/>
        </w:rPr>
        <w:t>0</w:t>
      </w:r>
      <w:r>
        <w:rPr>
          <w:rFonts w:hint="eastAsia" w:ascii="宋体" w:hAnsi="宋体" w:eastAsia="宋体" w:cs="宋体"/>
          <w:b w:val="0"/>
          <w:bCs w:val="0"/>
          <w:color w:val="auto"/>
          <w:sz w:val="21"/>
          <w:szCs w:val="21"/>
          <w:highlight w:val="none"/>
          <w:u w:val="none"/>
          <w:lang w:val="en-US" w:eastAsia="zh-CN"/>
        </w:rPr>
        <w:t>）是否涉及节能产品：</w:t>
      </w:r>
    </w:p>
    <w:p w14:paraId="0D2CAE91">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 w:val="21"/>
          <w:szCs w:val="21"/>
          <w:highlight w:val="none"/>
          <w:lang w:val="en-US" w:eastAsia="zh-CN"/>
        </w:rPr>
      </w:pP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是</w:t>
      </w:r>
      <w:r>
        <w:rPr>
          <w:rFonts w:hint="eastAsia" w:ascii="宋体" w:hAnsi="宋体" w:eastAsia="宋体" w:cs="宋体"/>
          <w:iCs w:val="0"/>
          <w:color w:val="auto"/>
          <w:sz w:val="21"/>
          <w:szCs w:val="21"/>
          <w:highlight w:val="none"/>
          <w:lang w:eastAsia="zh-CN"/>
        </w:rPr>
        <w:t>，《节能产品政府采购品目清单》的底级品目名称：</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iCs/>
          <w:color w:val="auto"/>
          <w:sz w:val="21"/>
          <w:szCs w:val="21"/>
          <w:highlight w:val="none"/>
          <w:lang w:val="en-US" w:eastAsia="zh-CN"/>
        </w:rPr>
        <w:t xml:space="preserve">     </w:t>
      </w:r>
    </w:p>
    <w:p w14:paraId="0FCBEB57">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 w:val="21"/>
          <w:szCs w:val="21"/>
          <w:highlight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强制采购</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优先采购</w:t>
      </w:r>
      <w:r>
        <w:rPr>
          <w:rFonts w:hint="eastAsia" w:ascii="宋体" w:hAnsi="宋体" w:eastAsia="宋体" w:cs="宋体"/>
          <w:iCs/>
          <w:color w:val="auto"/>
          <w:sz w:val="21"/>
          <w:szCs w:val="21"/>
          <w:highlight w:val="none"/>
          <w:lang w:val="en-US" w:eastAsia="zh-CN"/>
        </w:rPr>
        <w:t xml:space="preserve">    </w:t>
      </w:r>
    </w:p>
    <w:p w14:paraId="61F77A7A">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val="0"/>
          <w:color w:val="auto"/>
          <w:sz w:val="21"/>
          <w:szCs w:val="21"/>
          <w:highlight w:val="none"/>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否</w:t>
      </w:r>
    </w:p>
    <w:p w14:paraId="4E2B6908">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 xml:space="preserve">          是否涉及环境标志产品：</w:t>
      </w:r>
    </w:p>
    <w:p w14:paraId="16A812DB">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val="0"/>
          <w:color w:val="auto"/>
          <w:sz w:val="21"/>
          <w:szCs w:val="21"/>
          <w:highlight w:val="none"/>
          <w:lang w:eastAsia="zh-CN"/>
        </w:rPr>
      </w:pP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是</w:t>
      </w:r>
      <w:r>
        <w:rPr>
          <w:rFonts w:hint="eastAsia" w:ascii="宋体" w:hAnsi="宋体" w:eastAsia="宋体" w:cs="宋体"/>
          <w:iCs w:val="0"/>
          <w:color w:val="auto"/>
          <w:sz w:val="21"/>
          <w:szCs w:val="21"/>
          <w:highlight w:val="none"/>
          <w:lang w:eastAsia="zh-CN"/>
        </w:rPr>
        <w:t>，《环境标志产品政府采购品目清单》的底级品目名称：</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iCs/>
          <w:color w:val="auto"/>
          <w:sz w:val="21"/>
          <w:szCs w:val="21"/>
          <w:highlight w:val="none"/>
          <w:lang w:val="en-US" w:eastAsia="zh-CN"/>
        </w:rPr>
        <w:t xml:space="preserve"> </w:t>
      </w:r>
    </w:p>
    <w:p w14:paraId="1AFE913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 w:val="21"/>
          <w:szCs w:val="21"/>
          <w:highlight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强制采购</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优先采购</w:t>
      </w:r>
      <w:r>
        <w:rPr>
          <w:rFonts w:hint="eastAsia" w:ascii="宋体" w:hAnsi="宋体" w:eastAsia="宋体" w:cs="宋体"/>
          <w:iCs/>
          <w:color w:val="auto"/>
          <w:sz w:val="21"/>
          <w:szCs w:val="21"/>
          <w:highlight w:val="none"/>
          <w:lang w:val="en-US" w:eastAsia="zh-CN"/>
        </w:rPr>
        <w:t xml:space="preserve">    </w:t>
      </w:r>
    </w:p>
    <w:p w14:paraId="0EA5C70C">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否</w:t>
      </w:r>
    </w:p>
    <w:p w14:paraId="6615E89E">
      <w:pPr>
        <w:pStyle w:val="38"/>
        <w:numPr>
          <w:ilvl w:val="-1"/>
          <w:numId w:val="0"/>
        </w:numPr>
        <w:adjustRightInd w:val="0"/>
        <w:snapToGrid w:val="0"/>
        <w:spacing w:before="0" w:beforeLines="0" w:line="400" w:lineRule="exact"/>
        <w:ind w:firstLine="0" w:firstLineChars="0"/>
        <w:rPr>
          <w:rFonts w:hint="eastAsia" w:ascii="宋体" w:hAnsi="宋体" w:eastAsia="宋体" w:cs="宋体"/>
          <w:iCs w:val="0"/>
          <w:color w:val="auto"/>
          <w:kern w:val="2"/>
          <w:sz w:val="21"/>
          <w:szCs w:val="21"/>
          <w:highlight w:val="none"/>
          <w:u w:val="none"/>
          <w:lang w:val="en-US" w:eastAsia="zh-CN"/>
        </w:rPr>
      </w:pPr>
      <w:r>
        <w:rPr>
          <w:rFonts w:hint="eastAsia" w:ascii="宋体" w:hAnsi="宋体" w:eastAsia="宋体" w:cs="宋体"/>
          <w:b w:val="0"/>
          <w:bCs w:val="0"/>
          <w:color w:val="auto"/>
          <w:sz w:val="21"/>
          <w:szCs w:val="21"/>
          <w:highlight w:val="none"/>
          <w:u w:val="none"/>
          <w:lang w:val="en-US" w:eastAsia="zh-CN"/>
        </w:rPr>
        <w:t xml:space="preserve">          </w:t>
      </w:r>
      <w:r>
        <w:rPr>
          <w:rFonts w:hint="eastAsia" w:ascii="宋体" w:hAnsi="宋体" w:eastAsia="宋体" w:cs="宋体"/>
          <w:b w:val="0"/>
          <w:bCs w:val="0"/>
          <w:color w:val="auto"/>
          <w:kern w:val="2"/>
          <w:sz w:val="21"/>
          <w:szCs w:val="21"/>
          <w:highlight w:val="none"/>
          <w:u w:val="none"/>
          <w:lang w:val="en-US" w:eastAsia="zh-CN"/>
        </w:rPr>
        <w:t>是否涉及绿色产品：</w:t>
      </w:r>
      <w:r>
        <w:rPr>
          <w:rFonts w:hint="eastAsia" w:ascii="宋体" w:hAnsi="宋体" w:eastAsia="宋体" w:cs="宋体"/>
          <w:iCs w:val="0"/>
          <w:color w:val="auto"/>
          <w:kern w:val="2"/>
          <w:sz w:val="21"/>
          <w:szCs w:val="21"/>
          <w:highlight w:val="none"/>
          <w:u w:val="none"/>
          <w:lang w:val="en-US" w:eastAsia="zh-CN"/>
        </w:rPr>
        <w:t xml:space="preserve"> </w:t>
      </w:r>
    </w:p>
    <w:p w14:paraId="546960D6">
      <w:pPr>
        <w:pStyle w:val="38"/>
        <w:spacing w:beforeLines="0"/>
        <w:ind w:firstLine="420" w:firstLineChars="0"/>
        <w:rPr>
          <w:rFonts w:hint="eastAsia" w:ascii="宋体" w:hAnsi="宋体" w:eastAsia="宋体" w:cs="宋体"/>
          <w:color w:val="auto"/>
          <w:sz w:val="21"/>
          <w:szCs w:val="21"/>
          <w:highlight w:val="none"/>
          <w:u w:val="single"/>
          <w:lang w:val="en-US" w:eastAsia="zh-CN"/>
        </w:rPr>
      </w:pPr>
      <w:r>
        <w:rPr>
          <w:rFonts w:hint="eastAsia" w:ascii="宋体" w:hAnsi="宋体" w:eastAsia="宋体" w:cs="宋体"/>
          <w:iCs w:val="0"/>
          <w:color w:val="auto"/>
          <w:kern w:val="2"/>
          <w:sz w:val="21"/>
          <w:szCs w:val="21"/>
          <w:highlight w:val="none"/>
          <w:u w:val="none"/>
          <w:lang w:val="en-US" w:eastAsia="zh-CN"/>
        </w:rPr>
        <w:t xml:space="preserve">     </w:t>
      </w:r>
      <w:r>
        <w:rPr>
          <w:rFonts w:hint="eastAsia" w:ascii="宋体" w:hAnsi="宋体" w:eastAsia="宋体" w:cs="宋体"/>
          <w:iCs w:val="0"/>
          <w:color w:val="auto"/>
          <w:kern w:val="2"/>
          <w:sz w:val="21"/>
          <w:szCs w:val="21"/>
          <w:highlight w:val="none"/>
          <w:u w:val="none"/>
        </w:rPr>
        <w:sym w:font="Wingdings" w:char="00A8"/>
      </w:r>
      <w:r>
        <w:rPr>
          <w:rFonts w:hint="eastAsia" w:ascii="宋体" w:hAnsi="宋体" w:eastAsia="宋体" w:cs="宋体"/>
          <w:iCs w:val="0"/>
          <w:color w:val="auto"/>
          <w:kern w:val="2"/>
          <w:sz w:val="21"/>
          <w:szCs w:val="21"/>
          <w:highlight w:val="none"/>
          <w:u w:val="none"/>
        </w:rPr>
        <w:t>是</w:t>
      </w:r>
      <w:r>
        <w:rPr>
          <w:rFonts w:hint="eastAsia" w:ascii="宋体" w:hAnsi="宋体" w:eastAsia="宋体" w:cs="宋体"/>
          <w:iCs w:val="0"/>
          <w:color w:val="auto"/>
          <w:kern w:val="2"/>
          <w:sz w:val="21"/>
          <w:szCs w:val="21"/>
          <w:highlight w:val="none"/>
          <w:u w:val="none"/>
          <w:lang w:eastAsia="zh-CN"/>
        </w:rPr>
        <w:t>，绿色产品政府采购相关政策确定的底级品目名称：</w:t>
      </w:r>
      <w:r>
        <w:rPr>
          <w:rFonts w:hint="eastAsia" w:ascii="宋体" w:hAnsi="宋体" w:eastAsia="宋体" w:cs="宋体"/>
          <w:color w:val="auto"/>
          <w:sz w:val="21"/>
          <w:szCs w:val="21"/>
          <w:highlight w:val="none"/>
          <w:u w:val="single"/>
          <w:lang w:val="en-US" w:eastAsia="zh-CN"/>
        </w:rPr>
        <w:t xml:space="preserve">         </w:t>
      </w:r>
    </w:p>
    <w:p w14:paraId="513E811E">
      <w:pPr>
        <w:numPr>
          <w:ilvl w:val="-1"/>
          <w:numId w:val="0"/>
        </w:numPr>
        <w:tabs>
          <w:tab w:val="left" w:pos="740"/>
        </w:tabs>
        <w:adjustRightInd w:val="0"/>
        <w:snapToGrid w:val="0"/>
        <w:spacing w:before="0" w:beforeLines="0" w:line="400" w:lineRule="exact"/>
        <w:ind w:firstLine="0" w:firstLineChars="0"/>
        <w:rPr>
          <w:rFonts w:hint="eastAsia" w:ascii="宋体" w:hAnsi="宋体" w:eastAsia="宋体" w:cs="宋体"/>
          <w:iCs/>
          <w:color w:val="auto"/>
          <w:sz w:val="21"/>
          <w:szCs w:val="21"/>
          <w:highlight w:val="none"/>
          <w:lang w:val="en-US"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强制采购</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优先采购</w:t>
      </w:r>
      <w:r>
        <w:rPr>
          <w:rFonts w:hint="eastAsia" w:ascii="宋体" w:hAnsi="宋体" w:eastAsia="宋体" w:cs="宋体"/>
          <w:iCs/>
          <w:color w:val="auto"/>
          <w:sz w:val="21"/>
          <w:szCs w:val="21"/>
          <w:highlight w:val="none"/>
          <w:lang w:val="en-US" w:eastAsia="zh-CN"/>
        </w:rPr>
        <w:t xml:space="preserve">    </w:t>
      </w:r>
    </w:p>
    <w:p w14:paraId="4AE4036E">
      <w:pPr>
        <w:pStyle w:val="38"/>
        <w:spacing w:beforeLines="0"/>
        <w:ind w:firstLine="420" w:firstLineChars="0"/>
        <w:rPr>
          <w:rFonts w:hint="eastAsia" w:ascii="宋体" w:hAnsi="宋体" w:eastAsia="宋体" w:cs="宋体"/>
          <w:b w:val="0"/>
          <w:bCs w:val="0"/>
          <w:color w:val="auto"/>
          <w:sz w:val="21"/>
          <w:szCs w:val="21"/>
          <w:highlight w:val="none"/>
          <w:u w:val="none"/>
          <w:lang w:val="en-US" w:eastAsia="zh-CN"/>
        </w:rPr>
      </w:pPr>
      <w:r>
        <w:rPr>
          <w:rFonts w:hint="eastAsia" w:ascii="宋体" w:hAnsi="宋体" w:eastAsia="宋体" w:cs="宋体"/>
          <w:iCs w:val="0"/>
          <w:color w:val="auto"/>
          <w:kern w:val="2"/>
          <w:sz w:val="21"/>
          <w:szCs w:val="21"/>
          <w:highlight w:val="none"/>
          <w:u w:val="none"/>
          <w:lang w:val="en-US" w:eastAsia="zh-CN"/>
        </w:rPr>
        <w:t xml:space="preserve">     </w:t>
      </w:r>
      <w:r>
        <w:rPr>
          <w:rFonts w:hint="eastAsia" w:ascii="宋体" w:hAnsi="宋体" w:eastAsia="宋体" w:cs="宋体"/>
          <w:iCs w:val="0"/>
          <w:color w:val="auto"/>
          <w:kern w:val="2"/>
          <w:sz w:val="21"/>
          <w:szCs w:val="21"/>
          <w:highlight w:val="none"/>
          <w:u w:val="none"/>
        </w:rPr>
        <w:sym w:font="Wingdings" w:char="00A8"/>
      </w:r>
      <w:r>
        <w:rPr>
          <w:rFonts w:hint="eastAsia" w:ascii="宋体" w:hAnsi="宋体" w:eastAsia="宋体" w:cs="宋体"/>
          <w:iCs w:val="0"/>
          <w:color w:val="auto"/>
          <w:kern w:val="2"/>
          <w:sz w:val="21"/>
          <w:szCs w:val="21"/>
          <w:highlight w:val="none"/>
          <w:u w:val="none"/>
        </w:rPr>
        <w:t>否</w:t>
      </w:r>
    </w:p>
    <w:p w14:paraId="546E07FE">
      <w:pPr>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（1</w:t>
      </w:r>
      <w:r>
        <w:rPr>
          <w:rFonts w:hint="eastAsia" w:ascii="宋体" w:hAnsi="宋体" w:eastAsia="宋体" w:cs="宋体"/>
          <w:color w:val="auto"/>
          <w:sz w:val="21"/>
          <w:szCs w:val="21"/>
          <w:highlight w:val="none"/>
          <w:lang w:val="en" w:eastAsia="zh-CN"/>
        </w:rPr>
        <w:t>1</w:t>
      </w:r>
      <w:r>
        <w:rPr>
          <w:rFonts w:hint="eastAsia" w:ascii="宋体" w:hAnsi="宋体" w:eastAsia="宋体" w:cs="宋体"/>
          <w:color w:val="auto"/>
          <w:sz w:val="21"/>
          <w:szCs w:val="21"/>
          <w:highlight w:val="none"/>
          <w:lang w:val="en-US" w:eastAsia="zh-CN"/>
        </w:rPr>
        <w:t>）涉及商品包装和快递包装的，是否参考</w:t>
      </w:r>
      <w:r>
        <w:rPr>
          <w:rFonts w:hint="eastAsia" w:ascii="宋体" w:hAnsi="宋体" w:eastAsia="宋体" w:cs="宋体"/>
          <w:color w:val="auto"/>
          <w:sz w:val="21"/>
          <w:szCs w:val="21"/>
          <w:highlight w:val="none"/>
        </w:rPr>
        <w:t>《商品包装政府采购需求标准（试行）》、《快递包装政府采购需求标准（试行）》</w:t>
      </w:r>
      <w:r>
        <w:rPr>
          <w:rFonts w:hint="eastAsia" w:ascii="宋体" w:hAnsi="宋体" w:eastAsia="宋体" w:cs="宋体"/>
          <w:color w:val="auto"/>
          <w:sz w:val="21"/>
          <w:szCs w:val="21"/>
          <w:highlight w:val="none"/>
          <w:lang w:eastAsia="zh-CN"/>
        </w:rPr>
        <w:t>明确产品及相关快递服务的具体包装要求：</w:t>
      </w:r>
    </w:p>
    <w:p w14:paraId="721BE9F3">
      <w:pPr>
        <w:numPr>
          <w:ilvl w:val="-1"/>
          <w:numId w:val="0"/>
        </w:numPr>
        <w:adjustRightInd w:val="0"/>
        <w:snapToGrid w:val="0"/>
        <w:spacing w:before="0" w:beforeLines="0" w:line="400" w:lineRule="exact"/>
        <w:ind w:firstLine="1050" w:firstLineChars="500"/>
        <w:rPr>
          <w:rFonts w:hint="eastAsia" w:ascii="宋体" w:hAnsi="宋体" w:eastAsia="宋体" w:cs="宋体"/>
          <w:iCs w:val="0"/>
          <w:color w:val="auto"/>
          <w:sz w:val="21"/>
          <w:szCs w:val="21"/>
          <w:highlight w:val="none"/>
          <w:lang w:val="en-US" w:eastAsia="zh-CN"/>
        </w:rPr>
      </w:pP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 xml:space="preserve">是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rPr>
        <w:t>否</w:t>
      </w:r>
      <w:r>
        <w:rPr>
          <w:rFonts w:hint="eastAsia" w:ascii="宋体" w:hAnsi="宋体" w:eastAsia="宋体" w:cs="宋体"/>
          <w:iCs w:val="0"/>
          <w:color w:val="auto"/>
          <w:sz w:val="21"/>
          <w:szCs w:val="21"/>
          <w:highlight w:val="none"/>
          <w:lang w:val="en-US" w:eastAsia="zh-CN"/>
        </w:rPr>
        <w:t xml:space="preserve">      </w:t>
      </w:r>
      <w:r>
        <w:rPr>
          <w:rFonts w:hint="eastAsia" w:ascii="宋体" w:hAnsi="宋体" w:eastAsia="宋体" w:cs="宋体"/>
          <w:iCs w:val="0"/>
          <w:color w:val="auto"/>
          <w:sz w:val="21"/>
          <w:szCs w:val="21"/>
          <w:highlight w:val="none"/>
        </w:rPr>
        <w:sym w:font="Wingdings" w:char="00A8"/>
      </w:r>
      <w:r>
        <w:rPr>
          <w:rFonts w:hint="eastAsia" w:ascii="宋体" w:hAnsi="宋体" w:eastAsia="宋体" w:cs="宋体"/>
          <w:iCs w:val="0"/>
          <w:color w:val="auto"/>
          <w:sz w:val="21"/>
          <w:szCs w:val="21"/>
          <w:highlight w:val="none"/>
          <w:lang w:eastAsia="zh-CN"/>
        </w:rPr>
        <w:t>不涉及</w:t>
      </w:r>
    </w:p>
    <w:p w14:paraId="05D0EA58">
      <w:pPr>
        <w:numPr>
          <w:ilvl w:val="0"/>
          <w:numId w:val="10"/>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合同金额</w:t>
      </w:r>
    </w:p>
    <w:p w14:paraId="25866843">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（1）合同金额小写：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17663FC0">
      <w:pPr>
        <w:adjustRightInd w:val="0"/>
        <w:snapToGrid w:val="0"/>
        <w:spacing w:before="0" w:beforeLines="0" w:line="400" w:lineRule="exact"/>
        <w:ind w:left="0" w:firstLine="0" w:firstLine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014DC6CB">
      <w:pPr>
        <w:adjustRightInd w:val="0"/>
        <w:snapToGrid w:val="0"/>
        <w:spacing w:before="0" w:beforeLines="0" w:line="400" w:lineRule="exact"/>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分包金额</w:t>
      </w:r>
      <w:r>
        <w:rPr>
          <w:rFonts w:hint="eastAsia" w:ascii="宋体" w:hAnsi="宋体" w:eastAsia="宋体" w:cs="宋体"/>
          <w:color w:val="auto"/>
          <w:sz w:val="21"/>
          <w:szCs w:val="21"/>
          <w:highlight w:val="none"/>
          <w:lang w:eastAsia="zh-CN"/>
        </w:rPr>
        <w:t>（如有）</w:t>
      </w:r>
      <w:r>
        <w:rPr>
          <w:rFonts w:hint="eastAsia" w:ascii="宋体" w:hAnsi="宋体" w:eastAsia="宋体" w:cs="宋体"/>
          <w:color w:val="auto"/>
          <w:sz w:val="21"/>
          <w:szCs w:val="21"/>
          <w:highlight w:val="none"/>
        </w:rPr>
        <w:t>小写：</w:t>
      </w:r>
      <w:r>
        <w:rPr>
          <w:rFonts w:hint="eastAsia" w:ascii="宋体" w:hAnsi="宋体" w:eastAsia="宋体" w:cs="宋体"/>
          <w:color w:val="auto"/>
          <w:sz w:val="21"/>
          <w:szCs w:val="21"/>
          <w:highlight w:val="none"/>
          <w:u w:val="single"/>
        </w:rPr>
        <w:t xml:space="preserve">                   </w:t>
      </w:r>
    </w:p>
    <w:p w14:paraId="4F470B1B">
      <w:pPr>
        <w:adjustRightInd w:val="0"/>
        <w:snapToGrid w:val="0"/>
        <w:spacing w:before="0" w:beforeLines="0" w:line="400" w:lineRule="exact"/>
        <w:ind w:firstLine="0" w:firstLineChars="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大写：</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p>
    <w:p w14:paraId="2A9BCD2D">
      <w:pPr>
        <w:adjustRightInd w:val="0"/>
        <w:snapToGrid w:val="0"/>
        <w:spacing w:before="0" w:beforeLines="0" w:line="400" w:lineRule="exact"/>
        <w:ind w:firstLine="0" w:firstLineChar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（注：固定单价合同应填写单价和最高限价）</w:t>
      </w:r>
    </w:p>
    <w:p w14:paraId="105116E6">
      <w:pPr>
        <w:numPr>
          <w:ilvl w:val="-1"/>
          <w:numId w:val="0"/>
        </w:numPr>
        <w:adjustRightInd w:val="0"/>
        <w:snapToGrid w:val="0"/>
        <w:spacing w:before="0" w:beforeLines="0" w:line="400" w:lineRule="exact"/>
        <w:ind w:firstLine="0" w:firstLineChars="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合同定价方式</w:t>
      </w:r>
      <w:r>
        <w:rPr>
          <w:rFonts w:hint="eastAsia" w:ascii="宋体" w:hAnsi="宋体" w:eastAsia="宋体" w:cs="宋体"/>
          <w:color w:val="auto"/>
          <w:sz w:val="21"/>
          <w:szCs w:val="21"/>
          <w:highlight w:val="none"/>
          <w:lang w:eastAsia="zh-CN"/>
        </w:rPr>
        <w:t>（采用组合定价方式的，可以勾选多项）</w:t>
      </w:r>
      <w:r>
        <w:rPr>
          <w:rFonts w:hint="eastAsia" w:ascii="宋体" w:hAnsi="宋体" w:eastAsia="宋体" w:cs="宋体"/>
          <w:color w:val="auto"/>
          <w:sz w:val="21"/>
          <w:szCs w:val="21"/>
          <w:highlight w:val="none"/>
        </w:rPr>
        <w:t>：</w:t>
      </w:r>
    </w:p>
    <w:p w14:paraId="0502F9DE">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固定总价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固定单价</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固定费率</w:t>
      </w:r>
      <w:r>
        <w:rPr>
          <w:rFonts w:hint="eastAsia" w:ascii="宋体" w:hAnsi="宋体" w:eastAsia="宋体" w:cs="宋体"/>
          <w:iCs/>
          <w:color w:val="auto"/>
          <w:sz w:val="21"/>
          <w:szCs w:val="21"/>
          <w:highlight w:val="none"/>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 xml:space="preserve">成本补偿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rPr>
        <w:t>绩效激励</w:t>
      </w:r>
      <w:r>
        <w:rPr>
          <w:rFonts w:hint="eastAsia" w:ascii="宋体" w:hAnsi="宋体" w:eastAsia="宋体" w:cs="宋体"/>
          <w:iCs/>
          <w:color w:val="auto"/>
          <w:sz w:val="21"/>
          <w:szCs w:val="21"/>
          <w:highlight w:val="none"/>
          <w:lang w:val="en-US" w:eastAsia="zh-CN"/>
        </w:rPr>
        <w:t xml:space="preserve"> </w:t>
      </w:r>
      <w:r>
        <w:rPr>
          <w:rFonts w:hint="eastAsia" w:ascii="宋体" w:hAnsi="宋体" w:eastAsia="宋体" w:cs="宋体"/>
          <w:iCs/>
          <w:color w:val="auto"/>
          <w:sz w:val="21"/>
          <w:szCs w:val="21"/>
          <w:highlight w:val="none"/>
        </w:rPr>
        <w:sym w:font="Wingdings" w:char="00A8"/>
      </w:r>
      <w:r>
        <w:rPr>
          <w:rFonts w:hint="eastAsia" w:ascii="宋体" w:hAnsi="宋体" w:eastAsia="宋体" w:cs="宋体"/>
          <w:iCs/>
          <w:color w:val="auto"/>
          <w:sz w:val="21"/>
          <w:szCs w:val="21"/>
          <w:highlight w:val="none"/>
          <w:lang w:eastAsia="zh-CN"/>
        </w:rPr>
        <w:t>其他</w:t>
      </w:r>
      <w:r>
        <w:rPr>
          <w:rFonts w:hint="eastAsia" w:ascii="宋体" w:hAnsi="宋体" w:eastAsia="宋体" w:cs="宋体"/>
          <w:color w:val="auto"/>
          <w:sz w:val="21"/>
          <w:szCs w:val="21"/>
          <w:highlight w:val="none"/>
          <w:u w:val="single"/>
        </w:rPr>
        <w:t xml:space="preserve">       </w:t>
      </w:r>
    </w:p>
    <w:p w14:paraId="44FD0EDD">
      <w:pPr>
        <w:pStyle w:val="70"/>
        <w:spacing w:beforeLines="0"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）付款方式（按项目实际勾选填写）：</w:t>
      </w:r>
    </w:p>
    <w:p w14:paraId="6671ED5C">
      <w:pPr>
        <w:adjustRightInd w:val="0"/>
        <w:snapToGrid w:val="0"/>
        <w:spacing w:before="0" w:beforeLines="0" w:line="400" w:lineRule="exact"/>
        <w:ind w:firstLine="630" w:firstLineChars="3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rPr>
        <w:t>全额付款：</w:t>
      </w:r>
      <w:r>
        <w:rPr>
          <w:rFonts w:hint="eastAsia" w:ascii="宋体" w:hAnsi="宋体" w:eastAsia="宋体" w:cs="宋体"/>
          <w:color w:val="auto"/>
          <w:sz w:val="21"/>
          <w:szCs w:val="21"/>
          <w:highlight w:val="none"/>
          <w:u w:val="single"/>
        </w:rPr>
        <w:t xml:space="preserve">     （应</w:t>
      </w:r>
      <w:r>
        <w:rPr>
          <w:rFonts w:hint="eastAsia" w:ascii="宋体" w:hAnsi="宋体" w:eastAsia="宋体" w:cs="宋体"/>
          <w:color w:val="auto"/>
          <w:sz w:val="21"/>
          <w:szCs w:val="21"/>
          <w:highlight w:val="none"/>
          <w:u w:val="single"/>
          <w:lang w:eastAsia="zh-CN"/>
        </w:rPr>
        <w:t>明确</w:t>
      </w:r>
      <w:r>
        <w:rPr>
          <w:rFonts w:hint="eastAsia" w:ascii="宋体" w:hAnsi="宋体" w:eastAsia="宋体" w:cs="宋体"/>
          <w:color w:val="auto"/>
          <w:sz w:val="21"/>
          <w:szCs w:val="21"/>
          <w:highlight w:val="none"/>
          <w:u w:val="single"/>
        </w:rPr>
        <w:t>一次性支付合同款项</w:t>
      </w:r>
      <w:r>
        <w:rPr>
          <w:rFonts w:hint="eastAsia" w:ascii="宋体" w:hAnsi="宋体" w:eastAsia="宋体" w:cs="宋体"/>
          <w:color w:val="auto"/>
          <w:sz w:val="21"/>
          <w:szCs w:val="21"/>
          <w:highlight w:val="none"/>
          <w:u w:val="single"/>
          <w:lang w:eastAsia="zh-CN"/>
        </w:rPr>
        <w:t>的条件</w:t>
      </w:r>
      <w:r>
        <w:rPr>
          <w:rFonts w:hint="eastAsia" w:ascii="宋体" w:hAnsi="宋体" w:eastAsia="宋体" w:cs="宋体"/>
          <w:color w:val="auto"/>
          <w:sz w:val="21"/>
          <w:szCs w:val="21"/>
          <w:highlight w:val="none"/>
          <w:u w:val="single"/>
        </w:rPr>
        <w:t xml:space="preserve">）                    </w:t>
      </w:r>
    </w:p>
    <w:p w14:paraId="490CF827">
      <w:pPr>
        <w:snapToGrid w:val="0"/>
        <w:spacing w:beforeLines="0" w:line="400" w:lineRule="exact"/>
        <w:ind w:firstLine="630" w:firstLineChars="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rPr>
        <w:t>分期付款：</w:t>
      </w:r>
      <w:r>
        <w:rPr>
          <w:rFonts w:hint="eastAsia" w:ascii="宋体" w:hAnsi="宋体" w:eastAsia="宋体" w:cs="宋体"/>
          <w:color w:val="auto"/>
          <w:sz w:val="21"/>
          <w:szCs w:val="21"/>
          <w:highlight w:val="none"/>
          <w:u w:val="single"/>
        </w:rPr>
        <w:t xml:space="preserve">  （应明确分期支付合同款项的各期比例和支付条件</w:t>
      </w:r>
      <w:r>
        <w:rPr>
          <w:rFonts w:hint="eastAsia" w:ascii="宋体" w:hAnsi="宋体" w:eastAsia="宋体" w:cs="宋体"/>
          <w:color w:val="auto"/>
          <w:sz w:val="21"/>
          <w:szCs w:val="21"/>
          <w:highlight w:val="none"/>
          <w:u w:val="single"/>
          <w:lang w:eastAsia="zh-CN"/>
        </w:rPr>
        <w:t>，各期支付条件应与分期履约验收情况挂钩</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lang w:eastAsia="zh-CN"/>
        </w:rPr>
        <w:t>其中涉及预付款的</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 xml:space="preserve"> （应明确预付款的支付比例和支付条件） </w:t>
      </w:r>
    </w:p>
    <w:p w14:paraId="27BCD5EE">
      <w:pPr>
        <w:adjustRightInd w:val="0"/>
        <w:snapToGrid w:val="0"/>
        <w:spacing w:before="0" w:beforeLines="0" w:line="400" w:lineRule="exact"/>
        <w:ind w:firstLine="630" w:firstLineChars="3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rPr>
        <w:t>成本补偿：</w:t>
      </w:r>
      <w:r>
        <w:rPr>
          <w:rFonts w:hint="eastAsia" w:ascii="宋体" w:hAnsi="宋体" w:eastAsia="宋体" w:cs="宋体"/>
          <w:color w:val="auto"/>
          <w:sz w:val="21"/>
          <w:szCs w:val="21"/>
          <w:highlight w:val="none"/>
          <w:u w:val="single"/>
        </w:rPr>
        <w:t xml:space="preserve">      （应明确按照成本补偿方式的支付方式和支付条件）   </w:t>
      </w:r>
    </w:p>
    <w:p w14:paraId="546CC9F5">
      <w:pPr>
        <w:adjustRightInd w:val="0"/>
        <w:snapToGrid w:val="0"/>
        <w:spacing w:before="0" w:beforeLines="0" w:line="400" w:lineRule="exact"/>
        <w:ind w:firstLine="630" w:firstLineChars="3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rPr>
        <w:t>绩效激励：</w:t>
      </w:r>
      <w:r>
        <w:rPr>
          <w:rFonts w:hint="eastAsia" w:ascii="宋体" w:hAnsi="宋体" w:eastAsia="宋体" w:cs="宋体"/>
          <w:color w:val="auto"/>
          <w:sz w:val="21"/>
          <w:szCs w:val="21"/>
          <w:highlight w:val="none"/>
          <w:u w:val="single"/>
        </w:rPr>
        <w:t xml:space="preserve">      （应明确按照绩效激励方式的支付方式和支付条件）   </w:t>
      </w:r>
    </w:p>
    <w:p w14:paraId="18B3E15F">
      <w:pPr>
        <w:numPr>
          <w:ilvl w:val="0"/>
          <w:numId w:val="10"/>
        </w:numPr>
        <w:adjustRightInd w:val="0"/>
        <w:snapToGrid w:val="0"/>
        <w:spacing w:before="0" w:beforeLines="0" w:line="400" w:lineRule="exact"/>
        <w:ind w:firstLine="422" w:firstLineChars="200"/>
        <w:rPr>
          <w:rFonts w:hint="eastAsia" w:ascii="宋体" w:hAnsi="宋体" w:eastAsia="宋体" w:cs="宋体"/>
          <w:b/>
          <w:bCs w:val="0"/>
          <w:color w:val="auto"/>
          <w:sz w:val="21"/>
          <w:szCs w:val="21"/>
          <w:highlight w:val="none"/>
          <w:u w:val="single"/>
        </w:rPr>
      </w:pPr>
      <w:r>
        <w:rPr>
          <w:rFonts w:hint="eastAsia" w:ascii="宋体" w:hAnsi="宋体" w:eastAsia="宋体" w:cs="宋体"/>
          <w:b/>
          <w:bCs w:val="0"/>
          <w:color w:val="auto"/>
          <w:sz w:val="21"/>
          <w:szCs w:val="21"/>
          <w:highlight w:val="none"/>
        </w:rPr>
        <w:t>合同履行</w:t>
      </w:r>
    </w:p>
    <w:p w14:paraId="5CB470E9">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（1）起始日期：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日，完成日期：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49C03409">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eastAsia="zh-CN"/>
        </w:rPr>
        <w:t>履约</w:t>
      </w:r>
      <w:r>
        <w:rPr>
          <w:rFonts w:hint="eastAsia" w:ascii="宋体" w:hAnsi="宋体" w:eastAsia="宋体" w:cs="宋体"/>
          <w:color w:val="auto"/>
          <w:sz w:val="21"/>
          <w:szCs w:val="21"/>
          <w:highlight w:val="none"/>
        </w:rPr>
        <w:t>地点</w:t>
      </w:r>
      <w:r>
        <w:rPr>
          <w:rFonts w:hint="eastAsia" w:ascii="宋体" w:hAnsi="宋体" w:eastAsia="宋体" w:cs="宋体"/>
          <w:b w:val="0"/>
          <w:bCs/>
          <w:color w:val="auto"/>
          <w:sz w:val="21"/>
          <w:szCs w:val="21"/>
          <w:highlight w:val="none"/>
        </w:rPr>
        <w:t>：</w:t>
      </w:r>
      <w:r>
        <w:rPr>
          <w:rFonts w:hint="eastAsia" w:ascii="宋体" w:hAnsi="宋体" w:eastAsia="宋体" w:cs="宋体"/>
          <w:color w:val="auto"/>
          <w:sz w:val="21"/>
          <w:szCs w:val="21"/>
          <w:highlight w:val="none"/>
          <w:u w:val="single"/>
        </w:rPr>
        <w:t xml:space="preserve">                             </w:t>
      </w:r>
    </w:p>
    <w:p w14:paraId="5F21E5FF">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rPr>
        <w:t>（3）履约担保：</w:t>
      </w:r>
      <w:r>
        <w:rPr>
          <w:rFonts w:hint="eastAsia" w:ascii="宋体" w:hAnsi="宋体" w:eastAsia="宋体" w:cs="宋体"/>
          <w:color w:val="auto"/>
          <w:sz w:val="21"/>
          <w:szCs w:val="21"/>
          <w:highlight w:val="none"/>
          <w:lang w:val="en-US" w:eastAsia="zh-CN"/>
        </w:rPr>
        <w:t>是否收取履约保证金：</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是</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color w:val="auto"/>
          <w:sz w:val="21"/>
          <w:szCs w:val="21"/>
          <w:highlight w:val="none"/>
          <w:lang w:eastAsia="zh-CN"/>
        </w:rPr>
        <w:t>否</w:t>
      </w:r>
    </w:p>
    <w:p w14:paraId="47A87FC5">
      <w:pPr>
        <w:pStyle w:val="38"/>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u w:val="none"/>
          <w:lang w:val="en-US" w:eastAsia="zh-CN"/>
        </w:rPr>
        <w:t xml:space="preserve">  </w:t>
      </w:r>
      <w:r>
        <w:rPr>
          <w:rFonts w:hint="eastAsia" w:ascii="宋体" w:hAnsi="宋体" w:eastAsia="宋体" w:cs="宋体"/>
          <w:color w:val="auto"/>
          <w:sz w:val="21"/>
          <w:szCs w:val="21"/>
          <w:highlight w:val="none"/>
          <w:lang w:val="en-US" w:eastAsia="zh-CN"/>
        </w:rPr>
        <w:t xml:space="preserve">  收取履约保证金形式：</w:t>
      </w:r>
      <w:r>
        <w:rPr>
          <w:rFonts w:hint="eastAsia" w:ascii="宋体" w:hAnsi="宋体" w:eastAsia="宋体" w:cs="宋体"/>
          <w:bCs/>
          <w:color w:val="auto"/>
          <w:sz w:val="21"/>
          <w:szCs w:val="21"/>
          <w:highlight w:val="none"/>
          <w:u w:val="single"/>
        </w:rPr>
        <w:t xml:space="preserve">                            </w:t>
      </w:r>
    </w:p>
    <w:p w14:paraId="0B7EFABB">
      <w:pPr>
        <w:pStyle w:val="38"/>
        <w:spacing w:beforeLines="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    收取履约保证金金额：</w:t>
      </w:r>
      <w:r>
        <w:rPr>
          <w:rFonts w:hint="eastAsia" w:ascii="宋体" w:hAnsi="宋体" w:eastAsia="宋体" w:cs="宋体"/>
          <w:bCs/>
          <w:color w:val="auto"/>
          <w:sz w:val="21"/>
          <w:szCs w:val="21"/>
          <w:highlight w:val="none"/>
          <w:u w:val="single"/>
        </w:rPr>
        <w:t xml:space="preserve">                            </w:t>
      </w:r>
    </w:p>
    <w:p w14:paraId="333BF7AE">
      <w:pPr>
        <w:snapToGrid w:val="0"/>
        <w:spacing w:beforeLines="0"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bCs/>
          <w:color w:val="auto"/>
          <w:sz w:val="21"/>
          <w:szCs w:val="21"/>
          <w:highlight w:val="none"/>
          <w:u w:val="none"/>
          <w:lang w:val="en-US" w:eastAsia="zh-CN"/>
        </w:rPr>
        <w:t xml:space="preserve">    履约担保期限</w:t>
      </w: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p>
    <w:p w14:paraId="2DA267BD">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（4）分期履行要求：</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u w:val="single"/>
        </w:rPr>
        <w:t xml:space="preserve"> </w:t>
      </w:r>
    </w:p>
    <w:p w14:paraId="5432BC49">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u w:val="single"/>
        </w:rPr>
      </w:pPr>
      <w:r>
        <w:rPr>
          <w:rFonts w:hint="eastAsia" w:ascii="宋体" w:hAnsi="宋体" w:eastAsia="宋体" w:cs="宋体"/>
          <w:bCs/>
          <w:color w:val="auto"/>
          <w:sz w:val="21"/>
          <w:szCs w:val="21"/>
          <w:highlight w:val="none"/>
        </w:rPr>
        <w:t>（5）</w:t>
      </w:r>
      <w:r>
        <w:rPr>
          <w:rFonts w:hint="eastAsia" w:ascii="宋体" w:hAnsi="宋体" w:eastAsia="宋体" w:cs="宋体"/>
          <w:bCs/>
          <w:color w:val="auto"/>
          <w:sz w:val="21"/>
          <w:szCs w:val="21"/>
          <w:highlight w:val="none"/>
          <w:lang w:eastAsia="zh-CN"/>
        </w:rPr>
        <w:t>风险处置措施和替代方案</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u w:val="single"/>
        </w:rPr>
        <w:t xml:space="preserve">                                                               </w:t>
      </w:r>
    </w:p>
    <w:p w14:paraId="555B0064">
      <w:pPr>
        <w:numPr>
          <w:ilvl w:val="0"/>
          <w:numId w:val="10"/>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合同验收</w:t>
      </w:r>
    </w:p>
    <w:p w14:paraId="623BCF17">
      <w:pPr>
        <w:numPr>
          <w:ilvl w:val="0"/>
          <w:numId w:val="12"/>
        </w:num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验收组织方式：</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自行组织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委托第三方组织</w:t>
      </w:r>
    </w:p>
    <w:p w14:paraId="1CBC3E4B">
      <w:pPr>
        <w:numPr>
          <w:ilvl w:val="0"/>
          <w:numId w:val="0"/>
        </w:numPr>
        <w:adjustRightInd w:val="0"/>
        <w:snapToGrid w:val="0"/>
        <w:spacing w:before="0" w:beforeLines="0" w:line="400" w:lineRule="exac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bCs/>
          <w:color w:val="auto"/>
          <w:sz w:val="21"/>
          <w:szCs w:val="21"/>
          <w:highlight w:val="none"/>
        </w:rPr>
        <w:t>验收主体：</w:t>
      </w:r>
      <w:r>
        <w:rPr>
          <w:rFonts w:hint="eastAsia" w:ascii="宋体" w:hAnsi="宋体" w:eastAsia="宋体" w:cs="宋体"/>
          <w:bCs/>
          <w:color w:val="auto"/>
          <w:sz w:val="21"/>
          <w:szCs w:val="21"/>
          <w:highlight w:val="none"/>
          <w:u w:val="single"/>
        </w:rPr>
        <w:t xml:space="preserve">                  </w:t>
      </w:r>
    </w:p>
    <w:p w14:paraId="1AF0E071">
      <w:pPr>
        <w:adjustRightInd w:val="0"/>
        <w:snapToGrid w:val="0"/>
        <w:spacing w:before="0" w:beforeLines="0" w:line="400" w:lineRule="exact"/>
        <w:ind w:firstLine="0" w:firstLineChars="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bCs/>
          <w:color w:val="auto"/>
          <w:sz w:val="21"/>
          <w:szCs w:val="21"/>
          <w:highlight w:val="none"/>
        </w:rPr>
        <w:t>是否邀请本项目的其他供应商</w:t>
      </w:r>
      <w:r>
        <w:rPr>
          <w:rFonts w:hint="eastAsia" w:ascii="宋体" w:hAnsi="宋体" w:eastAsia="宋体" w:cs="宋体"/>
          <w:bCs/>
          <w:color w:val="auto"/>
          <w:sz w:val="21"/>
          <w:szCs w:val="21"/>
          <w:highlight w:val="none"/>
          <w:lang w:eastAsia="zh-CN"/>
        </w:rPr>
        <w:t>参加验收</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76A4ECB3">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是否邀请专家</w:t>
      </w:r>
      <w:r>
        <w:rPr>
          <w:rFonts w:hint="eastAsia" w:ascii="宋体" w:hAnsi="宋体" w:eastAsia="宋体" w:cs="宋体"/>
          <w:bCs/>
          <w:color w:val="auto"/>
          <w:sz w:val="21"/>
          <w:szCs w:val="21"/>
          <w:highlight w:val="none"/>
          <w:lang w:eastAsia="zh-CN"/>
        </w:rPr>
        <w:t>参加验收</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33924AA0">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是否邀请服务对象</w:t>
      </w:r>
      <w:r>
        <w:rPr>
          <w:rFonts w:hint="eastAsia" w:ascii="宋体" w:hAnsi="宋体" w:eastAsia="宋体" w:cs="宋体"/>
          <w:bCs/>
          <w:color w:val="auto"/>
          <w:sz w:val="21"/>
          <w:szCs w:val="21"/>
          <w:highlight w:val="none"/>
          <w:lang w:eastAsia="zh-CN"/>
        </w:rPr>
        <w:t>参加验收</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580E7C5C">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是否邀请第三方检测机构</w:t>
      </w:r>
      <w:r>
        <w:rPr>
          <w:rFonts w:hint="eastAsia" w:ascii="宋体" w:hAnsi="宋体" w:eastAsia="宋体" w:cs="宋体"/>
          <w:bCs/>
          <w:color w:val="auto"/>
          <w:sz w:val="21"/>
          <w:szCs w:val="21"/>
          <w:highlight w:val="none"/>
          <w:lang w:eastAsia="zh-CN"/>
        </w:rPr>
        <w:t>参加验收</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37B156D0">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lang w:eastAsia="zh-CN"/>
        </w:rPr>
        <w:t>是否进行抽查检测：</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是</w:t>
      </w:r>
      <w:r>
        <w:rPr>
          <w:rFonts w:hint="eastAsia" w:ascii="宋体" w:hAnsi="宋体" w:eastAsia="宋体" w:cs="宋体"/>
          <w:bCs/>
          <w:color w:val="auto"/>
          <w:sz w:val="21"/>
          <w:szCs w:val="21"/>
          <w:highlight w:val="none"/>
          <w:lang w:eastAsia="zh-CN"/>
        </w:rPr>
        <w:t>，抽查比例：</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r>
        <w:rPr>
          <w:rFonts w:hint="eastAsia" w:ascii="宋体" w:hAnsi="宋体" w:eastAsia="宋体" w:cs="宋体"/>
          <w:bCs/>
          <w:color w:val="auto"/>
          <w:sz w:val="21"/>
          <w:szCs w:val="21"/>
          <w:highlight w:val="none"/>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7EFDC729">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u w:val="single"/>
          <w:lang w:eastAsia="zh-CN"/>
        </w:rPr>
      </w:pPr>
      <w:r>
        <w:rPr>
          <w:rFonts w:hint="eastAsia" w:ascii="宋体" w:hAnsi="宋体" w:eastAsia="宋体" w:cs="宋体"/>
          <w:bCs/>
          <w:color w:val="auto"/>
          <w:sz w:val="21"/>
          <w:szCs w:val="21"/>
          <w:highlight w:val="none"/>
          <w:lang w:val="en-US" w:eastAsia="zh-CN"/>
        </w:rPr>
        <w:t>是否存在破坏性检测：</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是</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u w:val="single"/>
          <w:lang w:eastAsia="zh-CN"/>
        </w:rPr>
        <w:t>（应明确对被破坏的检测产品的处理方式）</w:t>
      </w:r>
    </w:p>
    <w:p w14:paraId="2E157ED2">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lang w:eastAsia="zh-CN"/>
        </w:rPr>
      </w:pP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3DA74EB3">
      <w:pPr>
        <w:adjustRightInd w:val="0"/>
        <w:snapToGrid w:val="0"/>
        <w:spacing w:before="0" w:beforeLines="0" w:line="400" w:lineRule="exact"/>
        <w:ind w:firstLine="840" w:firstLineChars="4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验收组织的其他事项：</w:t>
      </w:r>
      <w:r>
        <w:rPr>
          <w:rFonts w:hint="eastAsia" w:ascii="宋体" w:hAnsi="宋体" w:eastAsia="宋体" w:cs="宋体"/>
          <w:bCs/>
          <w:color w:val="auto"/>
          <w:sz w:val="21"/>
          <w:szCs w:val="21"/>
          <w:highlight w:val="none"/>
          <w:u w:val="single"/>
        </w:rPr>
        <w:t xml:space="preserve">                </w:t>
      </w:r>
    </w:p>
    <w:p w14:paraId="7D92F5A0">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（2）履约验收时间：</w:t>
      </w:r>
      <w:r>
        <w:rPr>
          <w:rFonts w:hint="eastAsia" w:ascii="宋体" w:hAnsi="宋体" w:eastAsia="宋体" w:cs="宋体"/>
          <w:bCs/>
          <w:color w:val="auto"/>
          <w:sz w:val="21"/>
          <w:szCs w:val="21"/>
          <w:highlight w:val="none"/>
          <w:u w:val="single"/>
        </w:rPr>
        <w:t>（计划于何时验收/供应商提出验收申请之日起   日内组织验收）</w:t>
      </w:r>
      <w:r>
        <w:rPr>
          <w:rFonts w:hint="eastAsia" w:ascii="宋体" w:hAnsi="宋体" w:eastAsia="宋体" w:cs="宋体"/>
          <w:bCs/>
          <w:color w:val="auto"/>
          <w:sz w:val="21"/>
          <w:szCs w:val="21"/>
          <w:highlight w:val="none"/>
          <w:u w:val="single"/>
          <w:lang w:val="en-US" w:eastAsia="zh-CN"/>
        </w:rPr>
        <w:t xml:space="preserve"> </w:t>
      </w:r>
    </w:p>
    <w:p w14:paraId="45EB82A6">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（3）履约验收方式：</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一次性验收         </w:t>
      </w:r>
    </w:p>
    <w:p w14:paraId="1193BB9F">
      <w:pPr>
        <w:adjustRightInd w:val="0"/>
        <w:snapToGrid w:val="0"/>
        <w:spacing w:before="0" w:beforeLines="0" w:line="400" w:lineRule="exact"/>
        <w:ind w:firstLine="0" w:firstLineChars="0"/>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 xml:space="preserve">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分期/分项验收</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eastAsia="zh-CN"/>
        </w:rPr>
        <w:t>（应明确分期</w:t>
      </w:r>
      <w:r>
        <w:rPr>
          <w:rFonts w:hint="eastAsia" w:ascii="宋体" w:hAnsi="宋体" w:eastAsia="宋体" w:cs="宋体"/>
          <w:bCs/>
          <w:color w:val="auto"/>
          <w:sz w:val="21"/>
          <w:szCs w:val="21"/>
          <w:highlight w:val="none"/>
          <w:u w:val="single"/>
          <w:lang w:val="en" w:eastAsia="zh-CN"/>
        </w:rPr>
        <w:t>/分项验收的工作安排</w:t>
      </w:r>
      <w:r>
        <w:rPr>
          <w:rFonts w:hint="eastAsia" w:ascii="宋体" w:hAnsi="宋体" w:eastAsia="宋体" w:cs="宋体"/>
          <w:bCs/>
          <w:color w:val="auto"/>
          <w:sz w:val="21"/>
          <w:szCs w:val="21"/>
          <w:highlight w:val="none"/>
          <w:u w:val="single"/>
          <w:lang w:eastAsia="zh-CN"/>
        </w:rPr>
        <w:t>）</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val="en-US" w:eastAsia="zh-CN"/>
        </w:rPr>
        <w:t xml:space="preserve"> </w:t>
      </w:r>
    </w:p>
    <w:p w14:paraId="687E6AA5">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（4）履约验收程序：</w:t>
      </w:r>
      <w:r>
        <w:rPr>
          <w:rFonts w:hint="eastAsia" w:ascii="宋体" w:hAnsi="宋体" w:eastAsia="宋体" w:cs="宋体"/>
          <w:bCs/>
          <w:color w:val="auto"/>
          <w:sz w:val="21"/>
          <w:szCs w:val="21"/>
          <w:highlight w:val="none"/>
          <w:u w:val="single"/>
        </w:rPr>
        <w:t xml:space="preserve">                                         </w:t>
      </w:r>
    </w:p>
    <w:p w14:paraId="31B1C92A">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（5）履约验收的内容：</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color w:val="auto"/>
          <w:sz w:val="21"/>
          <w:szCs w:val="21"/>
          <w:highlight w:val="none"/>
          <w:u w:val="single"/>
          <w:lang w:eastAsia="zh-CN"/>
        </w:rPr>
        <w:t>（应当包括每一项技术和商务要求的履约情况，特别是落实政府采购扶持中小企业，支持绿色发展和乡村振兴等政策情况）</w:t>
      </w:r>
      <w:r>
        <w:rPr>
          <w:rFonts w:hint="eastAsia" w:ascii="宋体" w:hAnsi="宋体" w:eastAsia="宋体" w:cs="宋体"/>
          <w:bCs/>
          <w:color w:val="auto"/>
          <w:sz w:val="21"/>
          <w:szCs w:val="21"/>
          <w:highlight w:val="none"/>
          <w:u w:val="single"/>
        </w:rPr>
        <w:t xml:space="preserve">                                      </w:t>
      </w:r>
    </w:p>
    <w:p w14:paraId="096493CC">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（6）履约验收标准：</w:t>
      </w:r>
      <w:r>
        <w:rPr>
          <w:rFonts w:hint="eastAsia" w:ascii="宋体" w:hAnsi="宋体" w:eastAsia="宋体" w:cs="宋体"/>
          <w:bCs/>
          <w:color w:val="auto"/>
          <w:sz w:val="21"/>
          <w:szCs w:val="21"/>
          <w:highlight w:val="none"/>
          <w:u w:val="single"/>
        </w:rPr>
        <w:t xml:space="preserve">                                         </w:t>
      </w:r>
    </w:p>
    <w:p w14:paraId="33988DD2">
      <w:pPr>
        <w:pStyle w:val="38"/>
        <w:spacing w:beforeLines="0"/>
        <w:rPr>
          <w:rFonts w:hint="eastAsia" w:ascii="宋体" w:hAnsi="宋体" w:eastAsia="宋体" w:cs="宋体"/>
          <w:color w:val="auto"/>
          <w:sz w:val="21"/>
          <w:szCs w:val="21"/>
          <w:highlight w:val="none"/>
          <w:lang w:eastAsia="zh-CN"/>
        </w:rPr>
      </w:pPr>
      <w:r>
        <w:rPr>
          <w:rFonts w:hint="eastAsia" w:ascii="宋体" w:hAnsi="宋体" w:eastAsia="宋体" w:cs="宋体"/>
          <w:bCs/>
          <w:color w:val="auto"/>
          <w:sz w:val="21"/>
          <w:szCs w:val="21"/>
          <w:highlight w:val="none"/>
          <w:u w:val="none"/>
          <w:lang w:eastAsia="zh-CN"/>
        </w:rPr>
        <w:t>（</w:t>
      </w:r>
      <w:r>
        <w:rPr>
          <w:rFonts w:hint="eastAsia" w:ascii="宋体" w:hAnsi="宋体" w:eastAsia="宋体" w:cs="宋体"/>
          <w:bCs/>
          <w:color w:val="auto"/>
          <w:sz w:val="21"/>
          <w:szCs w:val="21"/>
          <w:highlight w:val="none"/>
          <w:u w:val="none"/>
          <w:lang w:val="en-US" w:eastAsia="zh-CN"/>
        </w:rPr>
        <w:t>7</w:t>
      </w:r>
      <w:r>
        <w:rPr>
          <w:rFonts w:hint="eastAsia" w:ascii="宋体" w:hAnsi="宋体" w:eastAsia="宋体" w:cs="宋体"/>
          <w:bCs/>
          <w:color w:val="auto"/>
          <w:sz w:val="21"/>
          <w:szCs w:val="21"/>
          <w:highlight w:val="none"/>
          <w:u w:val="none"/>
          <w:lang w:eastAsia="zh-CN"/>
        </w:rPr>
        <w:t>）是否以采购活动中供应商提供的样品作为参考：</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 xml:space="preserve">是  </w:t>
      </w:r>
      <w:r>
        <w:rPr>
          <w:rFonts w:hint="eastAsia" w:ascii="宋体" w:hAnsi="宋体" w:eastAsia="宋体" w:cs="宋体"/>
          <w:color w:val="auto"/>
          <w:sz w:val="21"/>
          <w:szCs w:val="21"/>
          <w:highlight w:val="none"/>
        </w:rPr>
        <w:sym w:font="Wingdings" w:char="00A8"/>
      </w:r>
      <w:r>
        <w:rPr>
          <w:rFonts w:hint="eastAsia" w:ascii="宋体" w:hAnsi="宋体" w:eastAsia="宋体" w:cs="宋体"/>
          <w:bCs/>
          <w:color w:val="auto"/>
          <w:sz w:val="21"/>
          <w:szCs w:val="21"/>
          <w:highlight w:val="none"/>
        </w:rPr>
        <w:t>否</w:t>
      </w:r>
    </w:p>
    <w:p w14:paraId="2376F331">
      <w:pPr>
        <w:adjustRightInd w:val="0"/>
        <w:snapToGrid w:val="0"/>
        <w:spacing w:before="0" w:beforeLines="0" w:line="400" w:lineRule="exact"/>
        <w:ind w:firstLine="420" w:firstLineChars="200"/>
        <w:rPr>
          <w:rFonts w:hint="eastAsia" w:ascii="宋体" w:hAnsi="宋体" w:eastAsia="宋体" w:cs="宋体"/>
          <w:bCs/>
          <w:color w:val="auto"/>
          <w:sz w:val="21"/>
          <w:szCs w:val="21"/>
          <w:highlight w:val="none"/>
          <w:u w:val="single"/>
        </w:rPr>
      </w:pPr>
      <w:r>
        <w:rPr>
          <w:rFonts w:hint="eastAsia" w:ascii="宋体" w:hAnsi="宋体" w:eastAsia="宋体" w:cs="宋体"/>
          <w:bCs/>
          <w:color w:val="auto"/>
          <w:sz w:val="21"/>
          <w:szCs w:val="21"/>
          <w:highlight w:val="none"/>
        </w:rPr>
        <w:t>（8）履约验收其他事项：</w:t>
      </w:r>
      <w:r>
        <w:rPr>
          <w:rFonts w:hint="eastAsia" w:ascii="宋体" w:hAnsi="宋体" w:eastAsia="宋体" w:cs="宋体"/>
          <w:bCs/>
          <w:color w:val="auto"/>
          <w:sz w:val="21"/>
          <w:szCs w:val="21"/>
          <w:highlight w:val="none"/>
          <w:u w:val="single"/>
        </w:rPr>
        <w:t xml:space="preserve">      </w:t>
      </w:r>
      <w:r>
        <w:rPr>
          <w:rFonts w:hint="eastAsia" w:ascii="宋体" w:hAnsi="宋体" w:eastAsia="宋体" w:cs="宋体"/>
          <w:bCs/>
          <w:i w:val="0"/>
          <w:iCs w:val="0"/>
          <w:color w:val="auto"/>
          <w:sz w:val="21"/>
          <w:szCs w:val="21"/>
          <w:highlight w:val="none"/>
          <w:u w:val="single"/>
        </w:rPr>
        <w:t>（产权过户登记等）</w:t>
      </w:r>
      <w:r>
        <w:rPr>
          <w:rFonts w:hint="eastAsia" w:ascii="宋体" w:hAnsi="宋体" w:eastAsia="宋体" w:cs="宋体"/>
          <w:bCs/>
          <w:color w:val="auto"/>
          <w:sz w:val="21"/>
          <w:szCs w:val="21"/>
          <w:highlight w:val="none"/>
          <w:u w:val="single"/>
        </w:rPr>
        <w:t xml:space="preserve">          </w:t>
      </w:r>
    </w:p>
    <w:p w14:paraId="55AA3A9E">
      <w:pPr>
        <w:numPr>
          <w:ilvl w:val="0"/>
          <w:numId w:val="10"/>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组成合同的文件</w:t>
      </w:r>
    </w:p>
    <w:p w14:paraId="0A4910DD">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本协议书与下列文件一起构成合同文件，如下述文件之间有任何抵触、矛盾或歧义，应按以下顺序解释：</w:t>
      </w:r>
    </w:p>
    <w:p w14:paraId="3AFF9741">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政府采购</w:t>
      </w:r>
      <w:r>
        <w:rPr>
          <w:rFonts w:hint="eastAsia" w:ascii="宋体" w:hAnsi="宋体" w:eastAsia="宋体" w:cs="宋体"/>
          <w:color w:val="auto"/>
          <w:sz w:val="21"/>
          <w:szCs w:val="21"/>
          <w:highlight w:val="none"/>
        </w:rPr>
        <w:t>合同协议书及其变更、补充</w:t>
      </w:r>
      <w:r>
        <w:rPr>
          <w:rFonts w:hint="eastAsia" w:ascii="宋体" w:hAnsi="宋体" w:eastAsia="宋体" w:cs="宋体"/>
          <w:color w:val="auto"/>
          <w:sz w:val="21"/>
          <w:szCs w:val="21"/>
          <w:highlight w:val="none"/>
          <w:lang w:eastAsia="zh-CN"/>
        </w:rPr>
        <w:t>协议</w:t>
      </w:r>
    </w:p>
    <w:p w14:paraId="3C62F3E9">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）政府采购合同专用条款</w:t>
      </w:r>
    </w:p>
    <w:p w14:paraId="45F64433">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）政府采购合同通用条款</w:t>
      </w:r>
    </w:p>
    <w:p w14:paraId="374BF7BA">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）中标</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通知书</w:t>
      </w:r>
    </w:p>
    <w:p w14:paraId="06076EA6">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）投标（响应）文件</w:t>
      </w:r>
    </w:p>
    <w:p w14:paraId="2E9E0CAA">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（6）采购文件</w:t>
      </w:r>
    </w:p>
    <w:p w14:paraId="68B08AB2">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（7）有关技术文件，图纸</w:t>
      </w:r>
    </w:p>
    <w:p w14:paraId="7F815086">
      <w:pPr>
        <w:pStyle w:val="38"/>
        <w:spacing w:beforeLines="0"/>
        <w:rPr>
          <w:rFonts w:hint="eastAsia" w:ascii="宋体" w:hAnsi="宋体" w:eastAsia="宋体" w:cs="宋体"/>
          <w:color w:val="auto"/>
          <w:kern w:val="2"/>
          <w:sz w:val="21"/>
          <w:szCs w:val="21"/>
          <w:highlight w:val="none"/>
          <w:lang w:eastAsia="zh-CN"/>
        </w:rPr>
      </w:pP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lang w:eastAsia="zh-CN"/>
        </w:rPr>
        <w:t>）</w:t>
      </w:r>
      <w:r>
        <w:rPr>
          <w:rFonts w:hint="eastAsia" w:ascii="宋体" w:hAnsi="宋体" w:eastAsia="宋体" w:cs="宋体"/>
          <w:bCs w:val="0"/>
          <w:color w:val="auto"/>
          <w:kern w:val="2"/>
          <w:sz w:val="21"/>
          <w:szCs w:val="21"/>
          <w:highlight w:val="none"/>
          <w:lang w:eastAsia="zh-CN"/>
        </w:rPr>
        <w:t>国家法律、行政法规和规章制度规定或合同约定的作为合同组成部分的其他文件</w:t>
      </w:r>
    </w:p>
    <w:p w14:paraId="5AC14747">
      <w:pPr>
        <w:numPr>
          <w:ilvl w:val="0"/>
          <w:numId w:val="10"/>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合同生效</w:t>
      </w:r>
    </w:p>
    <w:p w14:paraId="5CF57633">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本合同自</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生效。</w:t>
      </w:r>
    </w:p>
    <w:p w14:paraId="11363008">
      <w:pPr>
        <w:numPr>
          <w:ilvl w:val="0"/>
          <w:numId w:val="10"/>
        </w:numPr>
        <w:adjustRightInd w:val="0"/>
        <w:snapToGrid w:val="0"/>
        <w:spacing w:before="0" w:beforeLines="0" w:line="400" w:lineRule="exact"/>
        <w:ind w:firstLine="422" w:firstLineChars="200"/>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合同份数</w:t>
      </w:r>
    </w:p>
    <w:p w14:paraId="0FE93225">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本合同一式</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执</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执</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份，均具有同等法律效力。</w:t>
      </w:r>
    </w:p>
    <w:p w14:paraId="5F98AFB6">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合同订立时间：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w:t>
      </w:r>
    </w:p>
    <w:p w14:paraId="6B6526C9">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合同订立地点：</w:t>
      </w:r>
      <w:r>
        <w:rPr>
          <w:rFonts w:hint="eastAsia" w:ascii="宋体" w:hAnsi="宋体" w:eastAsia="宋体" w:cs="宋体"/>
          <w:color w:val="auto"/>
          <w:sz w:val="21"/>
          <w:szCs w:val="21"/>
          <w:highlight w:val="none"/>
          <w:u w:val="single"/>
        </w:rPr>
        <w:t xml:space="preserve">                           </w:t>
      </w:r>
    </w:p>
    <w:p w14:paraId="0A578710">
      <w:pPr>
        <w:adjustRightInd w:val="0"/>
        <w:snapToGrid w:val="0"/>
        <w:spacing w:before="0" w:beforeLines="0" w:line="400" w:lineRule="exact"/>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附件：具体标</w:t>
      </w:r>
      <w:r>
        <w:rPr>
          <w:rFonts w:hint="eastAsia" w:ascii="宋体" w:hAnsi="宋体" w:eastAsia="宋体" w:cs="宋体"/>
          <w:color w:val="auto"/>
          <w:sz w:val="21"/>
          <w:szCs w:val="21"/>
          <w:highlight w:val="none"/>
          <w:lang w:eastAsia="zh-CN"/>
        </w:rPr>
        <w:t>的及其</w:t>
      </w:r>
      <w:r>
        <w:rPr>
          <w:rFonts w:hint="eastAsia" w:ascii="宋体" w:hAnsi="宋体" w:eastAsia="宋体" w:cs="宋体"/>
          <w:color w:val="auto"/>
          <w:sz w:val="21"/>
          <w:szCs w:val="21"/>
          <w:highlight w:val="none"/>
          <w:u w:val="none"/>
          <w:lang w:val="en-US" w:eastAsia="zh-CN"/>
        </w:rPr>
        <w:t>技术要求和商务要求</w:t>
      </w:r>
      <w:r>
        <w:rPr>
          <w:rFonts w:hint="eastAsia" w:ascii="宋体" w:hAnsi="宋体" w:eastAsia="宋体" w:cs="宋体"/>
          <w:color w:val="auto"/>
          <w:sz w:val="21"/>
          <w:szCs w:val="21"/>
          <w:highlight w:val="none"/>
        </w:rPr>
        <w:t>、联合</w:t>
      </w:r>
      <w:r>
        <w:rPr>
          <w:rFonts w:hint="eastAsia" w:cs="宋体"/>
          <w:color w:val="auto"/>
          <w:sz w:val="21"/>
          <w:szCs w:val="21"/>
          <w:highlight w:val="none"/>
          <w:lang w:val="en-US" w:eastAsia="zh-CN"/>
        </w:rPr>
        <w:t>体</w:t>
      </w:r>
      <w:r>
        <w:rPr>
          <w:rFonts w:hint="eastAsia" w:ascii="宋体" w:hAnsi="宋体" w:eastAsia="宋体" w:cs="宋体"/>
          <w:color w:val="auto"/>
          <w:sz w:val="21"/>
          <w:szCs w:val="21"/>
          <w:highlight w:val="none"/>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、分包</w:t>
      </w:r>
      <w:r>
        <w:rPr>
          <w:rFonts w:hint="eastAsia" w:ascii="宋体" w:hAnsi="宋体" w:eastAsia="宋体" w:cs="宋体"/>
          <w:color w:val="auto"/>
          <w:sz w:val="21"/>
          <w:szCs w:val="21"/>
          <w:highlight w:val="none"/>
          <w:lang w:eastAsia="zh-CN"/>
        </w:rPr>
        <w:t>意向</w:t>
      </w:r>
      <w:r>
        <w:rPr>
          <w:rFonts w:hint="eastAsia" w:ascii="宋体" w:hAnsi="宋体" w:eastAsia="宋体" w:cs="宋体"/>
          <w:color w:val="auto"/>
          <w:sz w:val="21"/>
          <w:szCs w:val="21"/>
          <w:highlight w:val="none"/>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等。</w:t>
      </w:r>
    </w:p>
    <w:p w14:paraId="65DC0B66">
      <w:pPr>
        <w:pStyle w:val="70"/>
        <w:rPr>
          <w:rFonts w:hint="eastAsia" w:ascii="宋体" w:hAnsi="宋体" w:eastAsia="宋体" w:cs="宋体"/>
          <w:color w:val="auto"/>
          <w:sz w:val="21"/>
          <w:szCs w:val="21"/>
          <w:highlight w:val="none"/>
        </w:rPr>
      </w:pPr>
    </w:p>
    <w:p w14:paraId="646E0E95">
      <w:pPr>
        <w:pStyle w:val="70"/>
        <w:rPr>
          <w:rFonts w:hint="eastAsia" w:ascii="宋体" w:hAnsi="宋体" w:eastAsia="宋体" w:cs="宋体"/>
          <w:color w:val="auto"/>
          <w:sz w:val="21"/>
          <w:szCs w:val="21"/>
          <w:highlight w:val="none"/>
        </w:rPr>
      </w:pPr>
    </w:p>
    <w:p w14:paraId="47C1AAC5">
      <w:pPr>
        <w:pStyle w:val="70"/>
        <w:rPr>
          <w:rFonts w:hint="eastAsia" w:ascii="宋体" w:hAnsi="宋体" w:eastAsia="宋体" w:cs="宋体"/>
          <w:color w:val="auto"/>
          <w:sz w:val="21"/>
          <w:szCs w:val="21"/>
          <w:highlight w:val="none"/>
        </w:rPr>
      </w:pPr>
    </w:p>
    <w:p w14:paraId="6A2328A3">
      <w:pPr>
        <w:pStyle w:val="70"/>
        <w:rPr>
          <w:rFonts w:hint="eastAsia" w:ascii="宋体" w:hAnsi="宋体" w:eastAsia="宋体" w:cs="宋体"/>
          <w:color w:val="auto"/>
          <w:sz w:val="21"/>
          <w:szCs w:val="21"/>
          <w:highlight w:val="none"/>
        </w:rPr>
      </w:pPr>
    </w:p>
    <w:p w14:paraId="2C0D138B">
      <w:pPr>
        <w:pStyle w:val="70"/>
        <w:rPr>
          <w:rFonts w:hint="eastAsia" w:ascii="宋体" w:hAnsi="宋体" w:eastAsia="宋体" w:cs="宋体"/>
          <w:color w:val="auto"/>
          <w:sz w:val="21"/>
          <w:szCs w:val="21"/>
          <w:highlight w:val="none"/>
        </w:rPr>
      </w:pPr>
    </w:p>
    <w:p w14:paraId="64384A98">
      <w:pPr>
        <w:pStyle w:val="70"/>
        <w:rPr>
          <w:rFonts w:hint="eastAsia" w:ascii="宋体" w:hAnsi="宋体" w:eastAsia="宋体" w:cs="宋体"/>
          <w:color w:val="auto"/>
          <w:sz w:val="21"/>
          <w:szCs w:val="21"/>
          <w:highlight w:val="none"/>
        </w:rPr>
      </w:pPr>
    </w:p>
    <w:p w14:paraId="0A62AAFC">
      <w:pPr>
        <w:pStyle w:val="70"/>
        <w:rPr>
          <w:rFonts w:hint="eastAsia" w:ascii="宋体" w:hAnsi="宋体" w:eastAsia="宋体" w:cs="宋体"/>
          <w:color w:val="auto"/>
          <w:sz w:val="21"/>
          <w:szCs w:val="21"/>
          <w:highlight w:val="none"/>
        </w:rPr>
      </w:pPr>
    </w:p>
    <w:p w14:paraId="1098B01F">
      <w:pPr>
        <w:pStyle w:val="70"/>
        <w:rPr>
          <w:rFonts w:hint="eastAsia" w:ascii="宋体" w:hAnsi="宋体" w:eastAsia="宋体" w:cs="宋体"/>
          <w:color w:val="auto"/>
          <w:sz w:val="21"/>
          <w:szCs w:val="21"/>
          <w:highlight w:val="none"/>
        </w:rPr>
      </w:pPr>
    </w:p>
    <w:tbl>
      <w:tblPr>
        <w:tblStyle w:val="30"/>
        <w:tblW w:w="8297" w:type="dxa"/>
        <w:tblInd w:w="10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145"/>
        <w:gridCol w:w="2053"/>
        <w:gridCol w:w="1978"/>
        <w:gridCol w:w="2121"/>
      </w:tblGrid>
      <w:tr w14:paraId="7F65D99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198" w:type="dxa"/>
            <w:gridSpan w:val="2"/>
            <w:tcBorders>
              <w:bottom w:val="single" w:color="auto" w:sz="2" w:space="0"/>
              <w:right w:val="single" w:color="auto" w:sz="2" w:space="0"/>
            </w:tcBorders>
            <w:vAlign w:val="center"/>
          </w:tcPr>
          <w:p w14:paraId="590A5DE0">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甲方（采购人</w:t>
            </w:r>
            <w:r>
              <w:rPr>
                <w:rFonts w:hint="eastAsia" w:ascii="宋体" w:hAnsi="宋体" w:eastAsia="宋体" w:cs="宋体"/>
                <w:color w:val="auto"/>
                <w:sz w:val="21"/>
                <w:szCs w:val="21"/>
                <w:highlight w:val="none"/>
                <w:lang w:eastAsia="zh-CN"/>
              </w:rPr>
              <w:t>、受采购人委托签订合同的单位</w:t>
            </w:r>
            <w:r>
              <w:rPr>
                <w:rFonts w:hint="eastAsia" w:ascii="宋体" w:hAnsi="宋体" w:eastAsia="宋体" w:cs="宋体"/>
                <w:color w:val="auto"/>
                <w:sz w:val="21"/>
                <w:szCs w:val="21"/>
                <w:highlight w:val="none"/>
              </w:rPr>
              <w:t>或采购文件约定的合同甲方）</w:t>
            </w:r>
          </w:p>
        </w:tc>
        <w:tc>
          <w:tcPr>
            <w:tcW w:w="4099" w:type="dxa"/>
            <w:gridSpan w:val="2"/>
            <w:tcBorders>
              <w:left w:val="single" w:color="auto" w:sz="2" w:space="0"/>
              <w:bottom w:val="single" w:color="auto" w:sz="2" w:space="0"/>
            </w:tcBorders>
            <w:vAlign w:val="center"/>
          </w:tcPr>
          <w:p w14:paraId="21F6F307">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乙方（供应商）</w:t>
            </w:r>
          </w:p>
        </w:tc>
      </w:tr>
      <w:tr w14:paraId="1135418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2145" w:type="dxa"/>
            <w:tcBorders>
              <w:top w:val="single" w:color="auto" w:sz="2" w:space="0"/>
              <w:bottom w:val="single" w:color="auto" w:sz="2" w:space="0"/>
              <w:right w:val="single" w:color="auto" w:sz="2" w:space="0"/>
            </w:tcBorders>
            <w:vAlign w:val="center"/>
          </w:tcPr>
          <w:p w14:paraId="1D927186">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单位名称（公章</w:t>
            </w:r>
            <w:r>
              <w:rPr>
                <w:rFonts w:hint="eastAsia" w:ascii="宋体" w:hAnsi="宋体" w:eastAsia="宋体" w:cs="宋体"/>
                <w:color w:val="auto"/>
                <w:sz w:val="21"/>
                <w:szCs w:val="21"/>
                <w:highlight w:val="none"/>
                <w:lang w:eastAsia="zh-CN"/>
              </w:rPr>
              <w:t>或合同章</w:t>
            </w:r>
            <w:r>
              <w:rPr>
                <w:rFonts w:hint="eastAsia" w:ascii="宋体" w:hAnsi="宋体" w:eastAsia="宋体" w:cs="宋体"/>
                <w:color w:val="auto"/>
                <w:sz w:val="21"/>
                <w:szCs w:val="21"/>
                <w:highlight w:val="none"/>
              </w:rPr>
              <w:t>）</w:t>
            </w:r>
          </w:p>
        </w:tc>
        <w:tc>
          <w:tcPr>
            <w:tcW w:w="2053" w:type="dxa"/>
            <w:tcBorders>
              <w:top w:val="single" w:color="auto" w:sz="2" w:space="0"/>
              <w:left w:val="single" w:color="auto" w:sz="2" w:space="0"/>
              <w:bottom w:val="single" w:color="auto" w:sz="2" w:space="0"/>
              <w:right w:val="single" w:color="auto" w:sz="2" w:space="0"/>
            </w:tcBorders>
            <w:vAlign w:val="center"/>
          </w:tcPr>
          <w:p w14:paraId="07D06623">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399DE9C8">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单位名称（公章</w:t>
            </w:r>
            <w:r>
              <w:rPr>
                <w:rFonts w:hint="eastAsia" w:ascii="宋体" w:hAnsi="宋体" w:eastAsia="宋体" w:cs="宋体"/>
                <w:color w:val="auto"/>
                <w:sz w:val="21"/>
                <w:szCs w:val="21"/>
                <w:highlight w:val="none"/>
                <w:lang w:eastAsia="zh-CN"/>
              </w:rPr>
              <w:t>或合同章</w:t>
            </w:r>
            <w:r>
              <w:rPr>
                <w:rFonts w:hint="eastAsia" w:ascii="宋体" w:hAnsi="宋体" w:eastAsia="宋体" w:cs="宋体"/>
                <w:color w:val="auto"/>
                <w:sz w:val="21"/>
                <w:szCs w:val="21"/>
                <w:highlight w:val="none"/>
              </w:rPr>
              <w:t>）</w:t>
            </w:r>
          </w:p>
        </w:tc>
        <w:tc>
          <w:tcPr>
            <w:tcW w:w="2121" w:type="dxa"/>
            <w:tcBorders>
              <w:top w:val="single" w:color="auto" w:sz="2" w:space="0"/>
              <w:left w:val="single" w:color="auto" w:sz="2" w:space="0"/>
              <w:bottom w:val="single" w:color="auto" w:sz="2" w:space="0"/>
            </w:tcBorders>
            <w:vAlign w:val="center"/>
          </w:tcPr>
          <w:p w14:paraId="2BEA1F8F">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6254AB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2145" w:type="dxa"/>
            <w:vMerge w:val="restart"/>
            <w:tcBorders>
              <w:top w:val="single" w:color="auto" w:sz="2" w:space="0"/>
              <w:right w:val="single" w:color="auto" w:sz="2" w:space="0"/>
            </w:tcBorders>
            <w:vAlign w:val="center"/>
          </w:tcPr>
          <w:p w14:paraId="224E0EFD">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p>
          <w:p w14:paraId="13831C4D">
            <w:pPr>
              <w:adjustRightInd w:val="0"/>
              <w:snapToGrid w:val="0"/>
              <w:spacing w:line="300" w:lineRule="exact"/>
              <w:ind w:firstLine="100" w:firstLineChars="4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或其委托代理人（签章）</w:t>
            </w:r>
          </w:p>
        </w:tc>
        <w:tc>
          <w:tcPr>
            <w:tcW w:w="2053" w:type="dxa"/>
            <w:vMerge w:val="restart"/>
            <w:tcBorders>
              <w:top w:val="single" w:color="auto" w:sz="2" w:space="0"/>
              <w:left w:val="single" w:color="auto" w:sz="2" w:space="0"/>
              <w:right w:val="single" w:color="auto" w:sz="2" w:space="0"/>
            </w:tcBorders>
            <w:vAlign w:val="center"/>
          </w:tcPr>
          <w:p w14:paraId="228F8881">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right w:val="single" w:color="auto" w:sz="2" w:space="0"/>
            </w:tcBorders>
            <w:vAlign w:val="center"/>
          </w:tcPr>
          <w:p w14:paraId="53E92091">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w:t>
            </w:r>
          </w:p>
          <w:p w14:paraId="3E4BF8FC">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或其委托代理人（签章）</w:t>
            </w:r>
          </w:p>
        </w:tc>
        <w:tc>
          <w:tcPr>
            <w:tcW w:w="2121" w:type="dxa"/>
            <w:tcBorders>
              <w:top w:val="single" w:color="auto" w:sz="2" w:space="0"/>
              <w:left w:val="single" w:color="auto" w:sz="2" w:space="0"/>
              <w:bottom w:val="single" w:color="auto" w:sz="2" w:space="0"/>
            </w:tcBorders>
            <w:vAlign w:val="center"/>
          </w:tcPr>
          <w:p w14:paraId="1B5DB1BE">
            <w:pPr>
              <w:adjustRightInd w:val="0"/>
              <w:snapToGrid w:val="0"/>
              <w:spacing w:line="300" w:lineRule="exact"/>
              <w:jc w:val="center"/>
              <w:rPr>
                <w:rFonts w:hint="eastAsia" w:ascii="宋体" w:hAnsi="宋体" w:eastAsia="宋体" w:cs="宋体"/>
                <w:color w:val="auto"/>
                <w:sz w:val="21"/>
                <w:szCs w:val="21"/>
                <w:highlight w:val="none"/>
              </w:rPr>
            </w:pPr>
          </w:p>
        </w:tc>
      </w:tr>
      <w:tr w14:paraId="128EF17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vMerge w:val="continue"/>
            <w:tcBorders>
              <w:bottom w:val="single" w:color="auto" w:sz="2" w:space="0"/>
              <w:right w:val="single" w:color="auto" w:sz="2" w:space="0"/>
            </w:tcBorders>
            <w:vAlign w:val="center"/>
          </w:tcPr>
          <w:p w14:paraId="0AE4DEC9">
            <w:pPr>
              <w:adjustRightInd w:val="0"/>
              <w:snapToGrid w:val="0"/>
              <w:spacing w:line="300" w:lineRule="exact"/>
              <w:jc w:val="center"/>
              <w:rPr>
                <w:rFonts w:hint="eastAsia" w:ascii="宋体" w:hAnsi="宋体" w:eastAsia="宋体" w:cs="宋体"/>
                <w:color w:val="auto"/>
                <w:sz w:val="21"/>
                <w:szCs w:val="21"/>
                <w:highlight w:val="none"/>
              </w:rPr>
            </w:pPr>
          </w:p>
        </w:tc>
        <w:tc>
          <w:tcPr>
            <w:tcW w:w="2053" w:type="dxa"/>
            <w:vMerge w:val="continue"/>
            <w:tcBorders>
              <w:left w:val="single" w:color="auto" w:sz="2" w:space="0"/>
              <w:bottom w:val="single" w:color="auto" w:sz="2" w:space="0"/>
              <w:right w:val="single" w:color="auto" w:sz="2" w:space="0"/>
            </w:tcBorders>
            <w:vAlign w:val="center"/>
          </w:tcPr>
          <w:p w14:paraId="2CB400AC">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56EC4AEA">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拥有者性别</w:t>
            </w:r>
          </w:p>
        </w:tc>
        <w:tc>
          <w:tcPr>
            <w:tcW w:w="2121" w:type="dxa"/>
            <w:tcBorders>
              <w:top w:val="single" w:color="auto" w:sz="2" w:space="0"/>
              <w:left w:val="single" w:color="auto" w:sz="2" w:space="0"/>
              <w:bottom w:val="single" w:color="auto" w:sz="2" w:space="0"/>
            </w:tcBorders>
            <w:vAlign w:val="center"/>
          </w:tcPr>
          <w:p w14:paraId="4ED91C34">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2EF1CD4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tcBorders>
              <w:top w:val="single" w:color="auto" w:sz="2" w:space="0"/>
              <w:bottom w:val="single" w:color="auto" w:sz="2" w:space="0"/>
              <w:right w:val="single" w:color="auto" w:sz="2" w:space="0"/>
            </w:tcBorders>
            <w:vAlign w:val="center"/>
          </w:tcPr>
          <w:p w14:paraId="7A5FBC4B">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住</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所</w:t>
            </w:r>
          </w:p>
        </w:tc>
        <w:tc>
          <w:tcPr>
            <w:tcW w:w="2053" w:type="dxa"/>
            <w:tcBorders>
              <w:top w:val="single" w:color="auto" w:sz="2" w:space="0"/>
              <w:left w:val="single" w:color="auto" w:sz="2" w:space="0"/>
              <w:bottom w:val="single" w:color="auto" w:sz="2" w:space="0"/>
              <w:right w:val="single" w:color="auto" w:sz="2" w:space="0"/>
            </w:tcBorders>
            <w:vAlign w:val="center"/>
          </w:tcPr>
          <w:p w14:paraId="0C8B31FB">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0EB431D4">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住</w:t>
            </w: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eastAsia="zh-CN"/>
              </w:rPr>
              <w:t>所</w:t>
            </w:r>
          </w:p>
        </w:tc>
        <w:tc>
          <w:tcPr>
            <w:tcW w:w="2121" w:type="dxa"/>
            <w:tcBorders>
              <w:top w:val="single" w:color="auto" w:sz="2" w:space="0"/>
              <w:left w:val="single" w:color="auto" w:sz="2" w:space="0"/>
              <w:bottom w:val="single" w:color="auto" w:sz="2" w:space="0"/>
            </w:tcBorders>
            <w:vAlign w:val="center"/>
          </w:tcPr>
          <w:p w14:paraId="0618CD00">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22FEFF9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tcBorders>
              <w:top w:val="single" w:color="auto" w:sz="2" w:space="0"/>
              <w:bottom w:val="single" w:color="auto" w:sz="2" w:space="0"/>
              <w:right w:val="single" w:color="auto" w:sz="2" w:space="0"/>
            </w:tcBorders>
            <w:vAlign w:val="center"/>
          </w:tcPr>
          <w:p w14:paraId="49CFAFC5">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 系 人</w:t>
            </w:r>
          </w:p>
        </w:tc>
        <w:tc>
          <w:tcPr>
            <w:tcW w:w="2053" w:type="dxa"/>
            <w:tcBorders>
              <w:top w:val="single" w:color="auto" w:sz="2" w:space="0"/>
              <w:left w:val="single" w:color="auto" w:sz="2" w:space="0"/>
              <w:bottom w:val="single" w:color="auto" w:sz="2" w:space="0"/>
              <w:right w:val="single" w:color="auto" w:sz="2" w:space="0"/>
            </w:tcBorders>
            <w:vAlign w:val="center"/>
          </w:tcPr>
          <w:p w14:paraId="4C203CC2">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4BA082A5">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 系 人</w:t>
            </w:r>
          </w:p>
        </w:tc>
        <w:tc>
          <w:tcPr>
            <w:tcW w:w="2121" w:type="dxa"/>
            <w:tcBorders>
              <w:top w:val="single" w:color="auto" w:sz="2" w:space="0"/>
              <w:left w:val="single" w:color="auto" w:sz="2" w:space="0"/>
              <w:bottom w:val="single" w:color="auto" w:sz="2" w:space="0"/>
            </w:tcBorders>
            <w:vAlign w:val="center"/>
          </w:tcPr>
          <w:p w14:paraId="62840CE8">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3B33450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tcBorders>
              <w:top w:val="single" w:color="auto" w:sz="2" w:space="0"/>
              <w:bottom w:val="single" w:color="auto" w:sz="2" w:space="0"/>
              <w:right w:val="single" w:color="auto" w:sz="2" w:space="0"/>
            </w:tcBorders>
            <w:vAlign w:val="center"/>
          </w:tcPr>
          <w:p w14:paraId="02968B4F">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p>
        </w:tc>
        <w:tc>
          <w:tcPr>
            <w:tcW w:w="2053" w:type="dxa"/>
            <w:tcBorders>
              <w:top w:val="single" w:color="auto" w:sz="2" w:space="0"/>
              <w:left w:val="single" w:color="auto" w:sz="2" w:space="0"/>
              <w:bottom w:val="single" w:color="auto" w:sz="2" w:space="0"/>
              <w:right w:val="single" w:color="auto" w:sz="2" w:space="0"/>
            </w:tcBorders>
            <w:vAlign w:val="center"/>
          </w:tcPr>
          <w:p w14:paraId="72AAD5FB">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1E83444B">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p>
        </w:tc>
        <w:tc>
          <w:tcPr>
            <w:tcW w:w="2121" w:type="dxa"/>
            <w:tcBorders>
              <w:top w:val="single" w:color="auto" w:sz="2" w:space="0"/>
              <w:left w:val="single" w:color="auto" w:sz="2" w:space="0"/>
              <w:bottom w:val="single" w:color="auto" w:sz="2" w:space="0"/>
            </w:tcBorders>
            <w:vAlign w:val="center"/>
          </w:tcPr>
          <w:p w14:paraId="6575EF79">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60D2770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tcBorders>
              <w:top w:val="single" w:color="auto" w:sz="2" w:space="0"/>
              <w:bottom w:val="single" w:color="auto" w:sz="2" w:space="0"/>
              <w:right w:val="single" w:color="auto" w:sz="2" w:space="0"/>
            </w:tcBorders>
            <w:vAlign w:val="center"/>
          </w:tcPr>
          <w:p w14:paraId="30CC9B65">
            <w:pPr>
              <w:adjustRightInd w:val="0"/>
              <w:snapToGrid w:val="0"/>
              <w:spacing w:line="300" w:lineRule="exact"/>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通信地址</w:t>
            </w:r>
          </w:p>
        </w:tc>
        <w:tc>
          <w:tcPr>
            <w:tcW w:w="2053" w:type="dxa"/>
            <w:tcBorders>
              <w:top w:val="single" w:color="auto" w:sz="2" w:space="0"/>
              <w:left w:val="single" w:color="auto" w:sz="2" w:space="0"/>
              <w:bottom w:val="single" w:color="auto" w:sz="2" w:space="0"/>
              <w:right w:val="single" w:color="auto" w:sz="2" w:space="0"/>
            </w:tcBorders>
            <w:vAlign w:val="center"/>
          </w:tcPr>
          <w:p w14:paraId="71151071">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71CE21DE">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通信地址</w:t>
            </w:r>
          </w:p>
        </w:tc>
        <w:tc>
          <w:tcPr>
            <w:tcW w:w="2121" w:type="dxa"/>
            <w:tcBorders>
              <w:top w:val="single" w:color="auto" w:sz="2" w:space="0"/>
              <w:left w:val="single" w:color="auto" w:sz="2" w:space="0"/>
              <w:bottom w:val="single" w:color="auto" w:sz="2" w:space="0"/>
            </w:tcBorders>
            <w:vAlign w:val="center"/>
          </w:tcPr>
          <w:p w14:paraId="39A8822F">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1ACB53E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tcBorders>
              <w:top w:val="single" w:color="auto" w:sz="2" w:space="0"/>
              <w:bottom w:val="single" w:color="auto" w:sz="2" w:space="0"/>
              <w:right w:val="single" w:color="auto" w:sz="2" w:space="0"/>
            </w:tcBorders>
            <w:vAlign w:val="center"/>
          </w:tcPr>
          <w:p w14:paraId="3E1ADE54">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邮政编码</w:t>
            </w:r>
          </w:p>
        </w:tc>
        <w:tc>
          <w:tcPr>
            <w:tcW w:w="2053" w:type="dxa"/>
            <w:tcBorders>
              <w:top w:val="single" w:color="auto" w:sz="2" w:space="0"/>
              <w:left w:val="single" w:color="auto" w:sz="2" w:space="0"/>
              <w:bottom w:val="single" w:color="auto" w:sz="2" w:space="0"/>
              <w:right w:val="single" w:color="auto" w:sz="2" w:space="0"/>
            </w:tcBorders>
            <w:vAlign w:val="center"/>
          </w:tcPr>
          <w:p w14:paraId="635D11A6">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633FF53D">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邮政编码</w:t>
            </w:r>
          </w:p>
        </w:tc>
        <w:tc>
          <w:tcPr>
            <w:tcW w:w="2121" w:type="dxa"/>
            <w:tcBorders>
              <w:top w:val="single" w:color="auto" w:sz="2" w:space="0"/>
              <w:left w:val="single" w:color="auto" w:sz="2" w:space="0"/>
              <w:bottom w:val="single" w:color="auto" w:sz="2" w:space="0"/>
            </w:tcBorders>
            <w:vAlign w:val="center"/>
          </w:tcPr>
          <w:p w14:paraId="4D9A0E9D">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19EE818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tcBorders>
              <w:top w:val="single" w:color="auto" w:sz="2" w:space="0"/>
              <w:bottom w:val="single" w:color="auto" w:sz="2" w:space="0"/>
              <w:right w:val="single" w:color="auto" w:sz="2" w:space="0"/>
            </w:tcBorders>
            <w:vAlign w:val="center"/>
          </w:tcPr>
          <w:p w14:paraId="6D4F9E46">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电子邮箱</w:t>
            </w:r>
          </w:p>
        </w:tc>
        <w:tc>
          <w:tcPr>
            <w:tcW w:w="2053" w:type="dxa"/>
            <w:tcBorders>
              <w:top w:val="single" w:color="auto" w:sz="2" w:space="0"/>
              <w:left w:val="single" w:color="auto" w:sz="2" w:space="0"/>
              <w:bottom w:val="single" w:color="auto" w:sz="2" w:space="0"/>
              <w:right w:val="single" w:color="auto" w:sz="2" w:space="0"/>
            </w:tcBorders>
            <w:vAlign w:val="center"/>
          </w:tcPr>
          <w:p w14:paraId="7CBBB304">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1FD0680C">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电子邮箱</w:t>
            </w:r>
          </w:p>
        </w:tc>
        <w:tc>
          <w:tcPr>
            <w:tcW w:w="2121" w:type="dxa"/>
            <w:tcBorders>
              <w:top w:val="single" w:color="auto" w:sz="2" w:space="0"/>
              <w:left w:val="single" w:color="auto" w:sz="2" w:space="0"/>
              <w:bottom w:val="single" w:color="auto" w:sz="2" w:space="0"/>
            </w:tcBorders>
            <w:vAlign w:val="center"/>
          </w:tcPr>
          <w:p w14:paraId="39F8A328">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54DA164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tcBorders>
              <w:top w:val="single" w:color="auto" w:sz="2" w:space="0"/>
              <w:bottom w:val="single" w:color="auto" w:sz="2" w:space="0"/>
              <w:right w:val="single" w:color="auto" w:sz="2" w:space="0"/>
            </w:tcBorders>
            <w:vAlign w:val="center"/>
          </w:tcPr>
          <w:p w14:paraId="466FED6B">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统一社会信用代码</w:t>
            </w:r>
          </w:p>
        </w:tc>
        <w:tc>
          <w:tcPr>
            <w:tcW w:w="2053" w:type="dxa"/>
            <w:tcBorders>
              <w:top w:val="single" w:color="auto" w:sz="2" w:space="0"/>
              <w:left w:val="single" w:color="auto" w:sz="2" w:space="0"/>
              <w:bottom w:val="single" w:color="auto" w:sz="2" w:space="0"/>
              <w:right w:val="single" w:color="auto" w:sz="2" w:space="0"/>
            </w:tcBorders>
            <w:vAlign w:val="center"/>
          </w:tcPr>
          <w:p w14:paraId="30B40EB4">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5FDBFB38">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统一社会信用代码</w:t>
            </w:r>
          </w:p>
        </w:tc>
        <w:tc>
          <w:tcPr>
            <w:tcW w:w="2121" w:type="dxa"/>
            <w:tcBorders>
              <w:top w:val="single" w:color="auto" w:sz="2" w:space="0"/>
              <w:left w:val="single" w:color="auto" w:sz="2" w:space="0"/>
              <w:bottom w:val="single" w:color="auto" w:sz="2" w:space="0"/>
            </w:tcBorders>
            <w:vAlign w:val="center"/>
          </w:tcPr>
          <w:p w14:paraId="20D55CE8">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70703AC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tcBorders>
              <w:top w:val="single" w:color="auto" w:sz="2" w:space="0"/>
              <w:bottom w:val="single" w:color="auto" w:sz="2" w:space="0"/>
              <w:right w:val="single" w:color="auto" w:sz="2" w:space="0"/>
            </w:tcBorders>
            <w:vAlign w:val="center"/>
          </w:tcPr>
          <w:p w14:paraId="2F2FCFF7">
            <w:pPr>
              <w:adjustRightInd w:val="0"/>
              <w:snapToGrid w:val="0"/>
              <w:spacing w:line="300" w:lineRule="exact"/>
              <w:jc w:val="center"/>
              <w:rPr>
                <w:rFonts w:hint="eastAsia" w:ascii="宋体" w:hAnsi="宋体" w:eastAsia="宋体" w:cs="宋体"/>
                <w:color w:val="auto"/>
                <w:sz w:val="21"/>
                <w:szCs w:val="21"/>
                <w:highlight w:val="none"/>
              </w:rPr>
            </w:pPr>
          </w:p>
        </w:tc>
        <w:tc>
          <w:tcPr>
            <w:tcW w:w="2053" w:type="dxa"/>
            <w:tcBorders>
              <w:top w:val="single" w:color="auto" w:sz="2" w:space="0"/>
              <w:left w:val="single" w:color="auto" w:sz="2" w:space="0"/>
              <w:bottom w:val="single" w:color="auto" w:sz="2" w:space="0"/>
              <w:right w:val="single" w:color="auto" w:sz="2" w:space="0"/>
            </w:tcBorders>
            <w:vAlign w:val="center"/>
          </w:tcPr>
          <w:p w14:paraId="5FF3CA63">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6C0E7D19">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开户名称</w:t>
            </w:r>
          </w:p>
        </w:tc>
        <w:tc>
          <w:tcPr>
            <w:tcW w:w="2121" w:type="dxa"/>
            <w:tcBorders>
              <w:top w:val="single" w:color="auto" w:sz="2" w:space="0"/>
              <w:left w:val="single" w:color="auto" w:sz="2" w:space="0"/>
              <w:bottom w:val="single" w:color="auto" w:sz="2" w:space="0"/>
            </w:tcBorders>
            <w:vAlign w:val="center"/>
          </w:tcPr>
          <w:p w14:paraId="12EFB3CD">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72A10E8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tcBorders>
              <w:top w:val="single" w:color="auto" w:sz="2" w:space="0"/>
              <w:bottom w:val="single" w:color="auto" w:sz="2" w:space="0"/>
              <w:right w:val="single" w:color="auto" w:sz="2" w:space="0"/>
            </w:tcBorders>
            <w:vAlign w:val="center"/>
          </w:tcPr>
          <w:p w14:paraId="160523CB">
            <w:pPr>
              <w:adjustRightInd w:val="0"/>
              <w:snapToGrid w:val="0"/>
              <w:spacing w:line="300" w:lineRule="exact"/>
              <w:jc w:val="center"/>
              <w:rPr>
                <w:rFonts w:hint="eastAsia" w:ascii="宋体" w:hAnsi="宋体" w:eastAsia="宋体" w:cs="宋体"/>
                <w:color w:val="auto"/>
                <w:sz w:val="21"/>
                <w:szCs w:val="21"/>
                <w:highlight w:val="none"/>
              </w:rPr>
            </w:pPr>
          </w:p>
        </w:tc>
        <w:tc>
          <w:tcPr>
            <w:tcW w:w="2053" w:type="dxa"/>
            <w:tcBorders>
              <w:top w:val="single" w:color="auto" w:sz="2" w:space="0"/>
              <w:left w:val="single" w:color="auto" w:sz="2" w:space="0"/>
              <w:bottom w:val="single" w:color="auto" w:sz="2" w:space="0"/>
              <w:right w:val="single" w:color="auto" w:sz="2" w:space="0"/>
            </w:tcBorders>
            <w:vAlign w:val="center"/>
          </w:tcPr>
          <w:p w14:paraId="3E6884CF">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43BB25EA">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开户银行</w:t>
            </w:r>
          </w:p>
        </w:tc>
        <w:tc>
          <w:tcPr>
            <w:tcW w:w="2121" w:type="dxa"/>
            <w:tcBorders>
              <w:top w:val="single" w:color="auto" w:sz="2" w:space="0"/>
              <w:left w:val="single" w:color="auto" w:sz="2" w:space="0"/>
              <w:bottom w:val="single" w:color="auto" w:sz="2" w:space="0"/>
            </w:tcBorders>
            <w:vAlign w:val="center"/>
          </w:tcPr>
          <w:p w14:paraId="6BD7EBCD">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4861BE6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45" w:type="dxa"/>
            <w:tcBorders>
              <w:top w:val="single" w:color="auto" w:sz="2" w:space="0"/>
              <w:bottom w:val="single" w:color="auto" w:sz="2" w:space="0"/>
              <w:right w:val="single" w:color="auto" w:sz="2" w:space="0"/>
            </w:tcBorders>
            <w:vAlign w:val="center"/>
          </w:tcPr>
          <w:p w14:paraId="179D9239">
            <w:pPr>
              <w:adjustRightInd w:val="0"/>
              <w:snapToGrid w:val="0"/>
              <w:spacing w:line="300" w:lineRule="exact"/>
              <w:jc w:val="center"/>
              <w:rPr>
                <w:rFonts w:hint="eastAsia" w:ascii="宋体" w:hAnsi="宋体" w:eastAsia="宋体" w:cs="宋体"/>
                <w:color w:val="auto"/>
                <w:sz w:val="21"/>
                <w:szCs w:val="21"/>
                <w:highlight w:val="none"/>
              </w:rPr>
            </w:pPr>
          </w:p>
        </w:tc>
        <w:tc>
          <w:tcPr>
            <w:tcW w:w="2053" w:type="dxa"/>
            <w:tcBorders>
              <w:top w:val="single" w:color="auto" w:sz="2" w:space="0"/>
              <w:left w:val="single" w:color="auto" w:sz="2" w:space="0"/>
              <w:bottom w:val="single" w:color="auto" w:sz="2" w:space="0"/>
              <w:right w:val="single" w:color="auto" w:sz="2" w:space="0"/>
            </w:tcBorders>
            <w:vAlign w:val="center"/>
          </w:tcPr>
          <w:p w14:paraId="27D6B801">
            <w:pPr>
              <w:adjustRightInd w:val="0"/>
              <w:snapToGrid w:val="0"/>
              <w:spacing w:line="300" w:lineRule="exact"/>
              <w:jc w:val="center"/>
              <w:rPr>
                <w:rFonts w:hint="eastAsia" w:ascii="宋体" w:hAnsi="宋体" w:eastAsia="宋体" w:cs="宋体"/>
                <w:color w:val="auto"/>
                <w:sz w:val="21"/>
                <w:szCs w:val="21"/>
                <w:highlight w:val="none"/>
              </w:rPr>
            </w:pPr>
          </w:p>
        </w:tc>
        <w:tc>
          <w:tcPr>
            <w:tcW w:w="1978" w:type="dxa"/>
            <w:tcBorders>
              <w:top w:val="single" w:color="auto" w:sz="2" w:space="0"/>
              <w:left w:val="single" w:color="auto" w:sz="2" w:space="0"/>
              <w:bottom w:val="single" w:color="auto" w:sz="2" w:space="0"/>
              <w:right w:val="single" w:color="auto" w:sz="2" w:space="0"/>
            </w:tcBorders>
            <w:vAlign w:val="center"/>
          </w:tcPr>
          <w:p w14:paraId="20F3154F">
            <w:pPr>
              <w:adjustRightInd w:val="0"/>
              <w:snapToGrid w:val="0"/>
              <w:spacing w:line="3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银行账号</w:t>
            </w:r>
          </w:p>
        </w:tc>
        <w:tc>
          <w:tcPr>
            <w:tcW w:w="2121" w:type="dxa"/>
            <w:tcBorders>
              <w:top w:val="single" w:color="auto" w:sz="2" w:space="0"/>
              <w:left w:val="single" w:color="auto" w:sz="2" w:space="0"/>
              <w:bottom w:val="single" w:color="auto" w:sz="2" w:space="0"/>
            </w:tcBorders>
            <w:vAlign w:val="center"/>
          </w:tcPr>
          <w:p w14:paraId="432DC437">
            <w:pPr>
              <w:adjustRightInd w:val="0"/>
              <w:snapToGrid w:val="0"/>
              <w:spacing w:line="300" w:lineRule="exact"/>
              <w:jc w:val="center"/>
              <w:rPr>
                <w:rFonts w:hint="eastAsia" w:ascii="宋体" w:hAnsi="宋体" w:eastAsia="宋体" w:cs="宋体"/>
                <w:color w:val="auto"/>
                <w:spacing w:val="20"/>
                <w:sz w:val="21"/>
                <w:szCs w:val="21"/>
                <w:highlight w:val="none"/>
              </w:rPr>
            </w:pPr>
          </w:p>
        </w:tc>
      </w:tr>
      <w:tr w14:paraId="083B960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297" w:type="dxa"/>
            <w:gridSpan w:val="4"/>
            <w:tcBorders>
              <w:top w:val="single" w:color="auto" w:sz="2" w:space="0"/>
            </w:tcBorders>
            <w:vAlign w:val="center"/>
          </w:tcPr>
          <w:p w14:paraId="588E91B4">
            <w:pPr>
              <w:pStyle w:val="15"/>
              <w:adjustRightInd w:val="0"/>
              <w:snapToGrid w:val="0"/>
              <w:spacing w:before="156" w:beforeLines="50" w:after="0" w:line="360" w:lineRule="auto"/>
              <w:ind w:left="0" w:leftChars="0"/>
              <w:jc w:val="left"/>
              <w:rPr>
                <w:rFonts w:hint="eastAsia" w:ascii="宋体" w:hAnsi="宋体" w:eastAsia="宋体" w:cs="宋体"/>
                <w:color w:val="auto"/>
                <w:spacing w:val="20"/>
                <w:sz w:val="21"/>
                <w:szCs w:val="21"/>
                <w:highlight w:val="none"/>
              </w:rPr>
            </w:pPr>
            <w:r>
              <w:rPr>
                <w:rFonts w:hint="eastAsia" w:ascii="宋体" w:hAnsi="宋体" w:eastAsia="宋体" w:cs="宋体"/>
                <w:color w:val="auto"/>
                <w:sz w:val="21"/>
                <w:szCs w:val="21"/>
                <w:highlight w:val="none"/>
              </w:rPr>
              <w:t>注：涉及联合体或其他合同主体的信息应按上表格式加列。</w:t>
            </w:r>
          </w:p>
        </w:tc>
      </w:tr>
    </w:tbl>
    <w:p w14:paraId="258FEC98">
      <w:pPr>
        <w:pStyle w:val="3"/>
        <w:keepNext/>
        <w:keepLines/>
        <w:pageBreakBefore w:val="0"/>
        <w:widowControl w:val="0"/>
        <w:kinsoku/>
        <w:wordWrap/>
        <w:overflowPunct/>
        <w:topLinePunct w:val="0"/>
        <w:autoSpaceDE/>
        <w:autoSpaceDN/>
        <w:bidi w:val="0"/>
        <w:adjustRightInd w:val="0"/>
        <w:snapToGrid w:val="0"/>
        <w:spacing w:before="156" w:beforeLines="50" w:after="157" w:afterLines="50" w:line="240" w:lineRule="auto"/>
        <w:jc w:val="center"/>
        <w:textAlignment w:val="auto"/>
        <w:rPr>
          <w:rFonts w:hint="eastAsia" w:ascii="宋体" w:hAnsi="宋体" w:eastAsia="宋体" w:cs="宋体"/>
          <w:b/>
          <w:bCs/>
          <w:color w:val="auto"/>
          <w:sz w:val="36"/>
          <w:szCs w:val="36"/>
          <w:highlight w:val="none"/>
        </w:rPr>
      </w:pPr>
      <w:r>
        <w:rPr>
          <w:rFonts w:hint="eastAsia" w:ascii="宋体" w:hAnsi="宋体" w:eastAsia="宋体" w:cs="宋体"/>
          <w:color w:val="auto"/>
          <w:sz w:val="21"/>
          <w:szCs w:val="21"/>
          <w:highlight w:val="none"/>
          <w:u w:val="single"/>
        </w:rPr>
        <w:br w:type="page"/>
      </w:r>
      <w:bookmarkStart w:id="312" w:name="_Toc27624"/>
      <w:bookmarkStart w:id="313" w:name="_Toc2429"/>
      <w:r>
        <w:rPr>
          <w:rFonts w:hint="eastAsia" w:ascii="宋体" w:hAnsi="宋体" w:eastAsia="宋体" w:cs="宋体"/>
          <w:b/>
          <w:bCs/>
          <w:color w:val="auto"/>
          <w:sz w:val="36"/>
          <w:szCs w:val="36"/>
          <w:highlight w:val="none"/>
        </w:rPr>
        <w:t>第二节 政府采购合同通用条款</w:t>
      </w:r>
      <w:bookmarkEnd w:id="312"/>
      <w:bookmarkEnd w:id="313"/>
    </w:p>
    <w:p w14:paraId="20CD89B6">
      <w:pPr>
        <w:tabs>
          <w:tab w:val="left" w:pos="8820"/>
          <w:tab w:val="left" w:pos="9345"/>
          <w:tab w:val="left" w:pos="9765"/>
        </w:tabs>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bCs/>
          <w:color w:val="auto"/>
          <w:sz w:val="21"/>
          <w:szCs w:val="21"/>
          <w:highlight w:val="none"/>
        </w:rPr>
        <w:t>定义</w:t>
      </w:r>
    </w:p>
    <w:p w14:paraId="6301DA4D">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1.1合同当事人</w:t>
      </w:r>
    </w:p>
    <w:p w14:paraId="42B8F945">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（1）采购人（以下称甲方）是指使用财政性资金，通过政府采购方式向供应商购买货物</w:t>
      </w:r>
      <w:r>
        <w:rPr>
          <w:rFonts w:hint="eastAsia" w:ascii="宋体" w:hAnsi="宋体" w:eastAsia="宋体" w:cs="宋体"/>
          <w:color w:val="auto"/>
          <w:sz w:val="21"/>
          <w:szCs w:val="21"/>
          <w:highlight w:val="none"/>
          <w:lang w:val="en-US" w:eastAsia="zh-CN"/>
        </w:rPr>
        <w:t>及其相关服务的</w:t>
      </w:r>
      <w:r>
        <w:rPr>
          <w:rFonts w:hint="eastAsia" w:ascii="宋体" w:hAnsi="宋体" w:eastAsia="宋体" w:cs="宋体"/>
          <w:color w:val="auto"/>
          <w:sz w:val="21"/>
          <w:szCs w:val="21"/>
          <w:highlight w:val="none"/>
        </w:rPr>
        <w:t>国家机关、事业单位、团体组织。</w:t>
      </w:r>
    </w:p>
    <w:p w14:paraId="1FD6932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（2）供应商（以下称</w:t>
      </w:r>
      <w:r>
        <w:rPr>
          <w:rFonts w:hint="eastAsia" w:ascii="宋体" w:hAnsi="宋体" w:eastAsia="宋体" w:cs="宋体"/>
          <w:color w:val="auto"/>
          <w:sz w:val="21"/>
          <w:szCs w:val="21"/>
          <w:highlight w:val="none"/>
          <w:lang w:eastAsia="zh-CN"/>
        </w:rPr>
        <w:t>乙</w:t>
      </w:r>
      <w:r>
        <w:rPr>
          <w:rFonts w:hint="eastAsia" w:ascii="宋体" w:hAnsi="宋体" w:eastAsia="宋体" w:cs="宋体"/>
          <w:color w:val="auto"/>
          <w:sz w:val="21"/>
          <w:szCs w:val="21"/>
          <w:highlight w:val="none"/>
        </w:rPr>
        <w:t>方）是指参加政府采购活动并且中标（成交），向采购人提供</w:t>
      </w:r>
      <w:r>
        <w:rPr>
          <w:rFonts w:hint="eastAsia" w:ascii="宋体" w:hAnsi="宋体" w:eastAsia="宋体" w:cs="宋体"/>
          <w:color w:val="auto"/>
          <w:sz w:val="21"/>
          <w:szCs w:val="21"/>
          <w:highlight w:val="none"/>
          <w:lang w:val="en-US" w:eastAsia="zh-CN"/>
        </w:rPr>
        <w:t>合同约定的货物及其相关服务的法人、非法人组织或者自然人</w:t>
      </w:r>
      <w:r>
        <w:rPr>
          <w:rFonts w:hint="eastAsia" w:ascii="宋体" w:hAnsi="宋体" w:eastAsia="宋体" w:cs="宋体"/>
          <w:color w:val="auto"/>
          <w:sz w:val="21"/>
          <w:szCs w:val="21"/>
          <w:highlight w:val="none"/>
        </w:rPr>
        <w:t>。</w:t>
      </w:r>
    </w:p>
    <w:p w14:paraId="20E2A82E">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（3）其他合同主体是指除采购人和供应商以外，</w:t>
      </w:r>
      <w:r>
        <w:rPr>
          <w:rFonts w:hint="eastAsia" w:ascii="宋体" w:hAnsi="宋体" w:eastAsia="宋体" w:cs="宋体"/>
          <w:bCs/>
          <w:color w:val="auto"/>
          <w:sz w:val="21"/>
          <w:szCs w:val="21"/>
          <w:highlight w:val="none"/>
        </w:rPr>
        <w:t>依法参与合同缔结或履行，享有权利、承担义务的合同当事人</w:t>
      </w:r>
      <w:r>
        <w:rPr>
          <w:rFonts w:hint="eastAsia" w:ascii="宋体" w:hAnsi="宋体" w:eastAsia="宋体" w:cs="宋体"/>
          <w:color w:val="auto"/>
          <w:sz w:val="21"/>
          <w:szCs w:val="21"/>
          <w:highlight w:val="none"/>
        </w:rPr>
        <w:t>。</w:t>
      </w:r>
    </w:p>
    <w:p w14:paraId="2242665F">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1.2本合同下列术语应解释为：</w:t>
      </w:r>
    </w:p>
    <w:p w14:paraId="35364498">
      <w:pPr>
        <w:adjustRightInd w:val="0"/>
        <w:snapToGrid w:val="0"/>
        <w:spacing w:before="0" w:beforeLines="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（1）“合同”系指</w:t>
      </w:r>
      <w:r>
        <w:rPr>
          <w:rFonts w:hint="eastAsia" w:ascii="宋体" w:hAnsi="宋体" w:eastAsia="宋体" w:cs="宋体"/>
          <w:bCs/>
          <w:color w:val="auto"/>
          <w:sz w:val="21"/>
          <w:szCs w:val="21"/>
          <w:highlight w:val="none"/>
        </w:rPr>
        <w:t>合同当事人意思表示达成一致的任何协议，包括签署的</w:t>
      </w:r>
      <w:r>
        <w:rPr>
          <w:rFonts w:hint="eastAsia" w:ascii="宋体" w:hAnsi="宋体" w:eastAsia="宋体" w:cs="宋体"/>
          <w:color w:val="auto"/>
          <w:sz w:val="21"/>
          <w:szCs w:val="21"/>
          <w:highlight w:val="none"/>
          <w:lang w:eastAsia="zh-CN"/>
        </w:rPr>
        <w:t>政府采购</w:t>
      </w:r>
      <w:r>
        <w:rPr>
          <w:rFonts w:hint="eastAsia" w:ascii="宋体" w:hAnsi="宋体" w:eastAsia="宋体" w:cs="宋体"/>
          <w:color w:val="auto"/>
          <w:sz w:val="21"/>
          <w:szCs w:val="21"/>
          <w:highlight w:val="none"/>
        </w:rPr>
        <w:t>合同协议书及其变更、补充</w:t>
      </w:r>
      <w:r>
        <w:rPr>
          <w:rFonts w:hint="eastAsia" w:ascii="宋体" w:hAnsi="宋体" w:eastAsia="宋体" w:cs="宋体"/>
          <w:color w:val="auto"/>
          <w:sz w:val="21"/>
          <w:szCs w:val="21"/>
          <w:highlight w:val="none"/>
          <w:lang w:eastAsia="zh-CN"/>
        </w:rPr>
        <w:t>协议，</w:t>
      </w:r>
      <w:r>
        <w:rPr>
          <w:rFonts w:hint="eastAsia" w:ascii="宋体" w:hAnsi="宋体" w:eastAsia="宋体" w:cs="宋体"/>
          <w:color w:val="auto"/>
          <w:sz w:val="21"/>
          <w:szCs w:val="21"/>
          <w:highlight w:val="none"/>
        </w:rPr>
        <w:t>政府采购合同专用条款</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政府采购合同通用条款</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中标</w:t>
      </w:r>
      <w:r>
        <w:rPr>
          <w:rFonts w:hint="eastAsia" w:ascii="宋体" w:hAnsi="宋体" w:eastAsia="宋体" w:cs="宋体"/>
          <w:color w:val="auto"/>
          <w:sz w:val="21"/>
          <w:szCs w:val="21"/>
          <w:highlight w:val="none"/>
          <w:lang w:eastAsia="zh-CN"/>
        </w:rPr>
        <w:t>（成交）</w:t>
      </w:r>
      <w:r>
        <w:rPr>
          <w:rFonts w:hint="eastAsia" w:ascii="宋体" w:hAnsi="宋体" w:eastAsia="宋体" w:cs="宋体"/>
          <w:color w:val="auto"/>
          <w:sz w:val="21"/>
          <w:szCs w:val="21"/>
          <w:highlight w:val="none"/>
        </w:rPr>
        <w:t>通知书</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投标（响应）文件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采购文件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有关技术文件</w:t>
      </w:r>
      <w:r>
        <w:rPr>
          <w:rFonts w:hint="eastAsia" w:ascii="宋体" w:hAnsi="宋体" w:eastAsia="宋体" w:cs="宋体"/>
          <w:color w:val="auto"/>
          <w:sz w:val="21"/>
          <w:szCs w:val="21"/>
          <w:highlight w:val="none"/>
          <w:lang w:eastAsia="zh-CN"/>
        </w:rPr>
        <w:t>和</w:t>
      </w:r>
      <w:r>
        <w:rPr>
          <w:rFonts w:hint="eastAsia" w:ascii="宋体" w:hAnsi="宋体" w:eastAsia="宋体" w:cs="宋体"/>
          <w:color w:val="auto"/>
          <w:sz w:val="21"/>
          <w:szCs w:val="21"/>
          <w:highlight w:val="none"/>
        </w:rPr>
        <w:t>图纸</w:t>
      </w:r>
      <w:r>
        <w:rPr>
          <w:rFonts w:hint="eastAsia" w:ascii="宋体" w:hAnsi="宋体" w:eastAsia="宋体" w:cs="宋体"/>
          <w:color w:val="auto"/>
          <w:sz w:val="21"/>
          <w:szCs w:val="21"/>
          <w:highlight w:val="none"/>
          <w:lang w:eastAsia="zh-CN"/>
        </w:rPr>
        <w:t>，以及国家法律、行政法规和规章制度规定或合同约定的作为合同组成部分的其他文件</w:t>
      </w:r>
      <w:r>
        <w:rPr>
          <w:rFonts w:hint="eastAsia" w:ascii="宋体" w:hAnsi="宋体" w:eastAsia="宋体" w:cs="宋体"/>
          <w:color w:val="auto"/>
          <w:sz w:val="21"/>
          <w:szCs w:val="21"/>
          <w:highlight w:val="none"/>
        </w:rPr>
        <w:t>。</w:t>
      </w:r>
    </w:p>
    <w:p w14:paraId="756677D8">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）“合同价</w:t>
      </w:r>
      <w:r>
        <w:rPr>
          <w:rFonts w:hint="eastAsia" w:ascii="宋体" w:hAnsi="宋体" w:eastAsia="宋体" w:cs="宋体"/>
          <w:color w:val="auto"/>
          <w:sz w:val="21"/>
          <w:szCs w:val="21"/>
          <w:highlight w:val="none"/>
          <w:lang w:val="en-US" w:eastAsia="zh-CN"/>
        </w:rPr>
        <w:t>款</w:t>
      </w:r>
      <w:r>
        <w:rPr>
          <w:rFonts w:hint="eastAsia" w:ascii="宋体" w:hAnsi="宋体" w:eastAsia="宋体" w:cs="宋体"/>
          <w:color w:val="auto"/>
          <w:sz w:val="21"/>
          <w:szCs w:val="21"/>
          <w:highlight w:val="none"/>
        </w:rPr>
        <w:t>”系指根据本合同规定乙方在全面履行合同义务后甲方应支付给乙方的价款。</w:t>
      </w:r>
    </w:p>
    <w:p w14:paraId="1465606B">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）“货物”系指乙方根据本合同规定须向甲方提供的各种形态和种类的物品，包括原材料、设备、产品（包括软件）及相关的其备品备件、工具、手册及</w:t>
      </w:r>
      <w:r>
        <w:rPr>
          <w:rFonts w:hint="eastAsia" w:ascii="宋体" w:hAnsi="宋体" w:eastAsia="宋体" w:cs="宋体"/>
          <w:color w:val="auto"/>
          <w:sz w:val="21"/>
          <w:szCs w:val="21"/>
          <w:highlight w:val="none"/>
          <w:lang w:val="en"/>
        </w:rPr>
        <w:t>其他</w:t>
      </w:r>
      <w:r>
        <w:rPr>
          <w:rFonts w:hint="eastAsia" w:ascii="宋体" w:hAnsi="宋体" w:eastAsia="宋体" w:cs="宋体"/>
          <w:color w:val="auto"/>
          <w:sz w:val="21"/>
          <w:szCs w:val="21"/>
          <w:highlight w:val="none"/>
        </w:rPr>
        <w:t>技术资料和材料</w:t>
      </w:r>
      <w:r>
        <w:rPr>
          <w:rFonts w:hint="eastAsia" w:ascii="宋体" w:hAnsi="宋体" w:eastAsia="宋体" w:cs="宋体"/>
          <w:color w:val="auto"/>
          <w:sz w:val="21"/>
          <w:szCs w:val="21"/>
          <w:highlight w:val="none"/>
          <w:lang w:eastAsia="zh-CN"/>
        </w:rPr>
        <w:t>等</w:t>
      </w:r>
      <w:r>
        <w:rPr>
          <w:rFonts w:hint="eastAsia" w:ascii="宋体" w:hAnsi="宋体" w:eastAsia="宋体" w:cs="宋体"/>
          <w:color w:val="auto"/>
          <w:sz w:val="21"/>
          <w:szCs w:val="21"/>
          <w:highlight w:val="none"/>
        </w:rPr>
        <w:t>。</w:t>
      </w:r>
    </w:p>
    <w:p w14:paraId="31856784">
      <w:pPr>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相关</w:t>
      </w:r>
      <w:r>
        <w:rPr>
          <w:rFonts w:hint="eastAsia" w:ascii="宋体" w:hAnsi="宋体" w:eastAsia="宋体" w:cs="宋体"/>
          <w:color w:val="auto"/>
          <w:sz w:val="21"/>
          <w:szCs w:val="21"/>
          <w:highlight w:val="none"/>
        </w:rPr>
        <w:t>服务”系指根据合同规定，乙方应提供的</w:t>
      </w:r>
      <w:r>
        <w:rPr>
          <w:rFonts w:hint="eastAsia" w:ascii="宋体" w:hAnsi="宋体" w:eastAsia="宋体" w:cs="宋体"/>
          <w:color w:val="auto"/>
          <w:sz w:val="21"/>
          <w:szCs w:val="21"/>
          <w:highlight w:val="none"/>
          <w:lang w:val="en-US" w:eastAsia="zh-CN"/>
        </w:rPr>
        <w:t>与货物有关的</w:t>
      </w:r>
      <w:r>
        <w:rPr>
          <w:rFonts w:hint="eastAsia" w:ascii="宋体" w:hAnsi="宋体" w:eastAsia="宋体" w:cs="宋体"/>
          <w:color w:val="auto"/>
          <w:sz w:val="21"/>
          <w:szCs w:val="21"/>
          <w:highlight w:val="none"/>
        </w:rPr>
        <w:t>技术、管理和</w:t>
      </w:r>
      <w:r>
        <w:rPr>
          <w:rFonts w:hint="eastAsia" w:ascii="宋体" w:hAnsi="宋体" w:eastAsia="宋体" w:cs="宋体"/>
          <w:color w:val="auto"/>
          <w:sz w:val="21"/>
          <w:szCs w:val="21"/>
          <w:highlight w:val="none"/>
          <w:lang w:val="en"/>
        </w:rPr>
        <w:t>其他</w:t>
      </w:r>
      <w:r>
        <w:rPr>
          <w:rFonts w:hint="eastAsia" w:ascii="宋体" w:hAnsi="宋体" w:eastAsia="宋体" w:cs="宋体"/>
          <w:color w:val="auto"/>
          <w:sz w:val="21"/>
          <w:szCs w:val="21"/>
          <w:highlight w:val="none"/>
        </w:rPr>
        <w:t>服务，包括但不限于：管理和质量保证、运输、保险、检验、现场准备、安装、集成、调试、培训、维修、</w:t>
      </w:r>
      <w:r>
        <w:rPr>
          <w:rFonts w:hint="eastAsia" w:ascii="宋体" w:hAnsi="宋体" w:eastAsia="宋体" w:cs="宋体"/>
          <w:color w:val="auto"/>
          <w:sz w:val="21"/>
          <w:szCs w:val="21"/>
          <w:highlight w:val="none"/>
          <w:lang w:eastAsia="zh-CN"/>
        </w:rPr>
        <w:t>废弃处置、</w:t>
      </w:r>
      <w:r>
        <w:rPr>
          <w:rFonts w:hint="eastAsia" w:ascii="宋体" w:hAnsi="宋体" w:eastAsia="宋体" w:cs="宋体"/>
          <w:color w:val="auto"/>
          <w:sz w:val="21"/>
          <w:szCs w:val="21"/>
          <w:highlight w:val="none"/>
        </w:rPr>
        <w:t>技术支持等以及合同中规定乙方应承担的</w:t>
      </w:r>
      <w:r>
        <w:rPr>
          <w:rFonts w:hint="eastAsia" w:ascii="宋体" w:hAnsi="宋体" w:eastAsia="宋体" w:cs="宋体"/>
          <w:color w:val="auto"/>
          <w:sz w:val="21"/>
          <w:szCs w:val="21"/>
          <w:highlight w:val="none"/>
          <w:lang w:val="en"/>
        </w:rPr>
        <w:t>其他</w:t>
      </w:r>
      <w:r>
        <w:rPr>
          <w:rFonts w:hint="eastAsia" w:ascii="宋体" w:hAnsi="宋体" w:eastAsia="宋体" w:cs="宋体"/>
          <w:color w:val="auto"/>
          <w:sz w:val="21"/>
          <w:szCs w:val="21"/>
          <w:highlight w:val="none"/>
        </w:rPr>
        <w:t>义务。</w:t>
      </w:r>
    </w:p>
    <w:p w14:paraId="0FE17DB9">
      <w:pPr>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）“分包”系指中标</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成交</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供应商按采购文件、投标（响应）文件的规定，根据分包意向协议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，将中标</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成交</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项目中的部分履约内容，分给具有相应资质条件的供应商履行合同的行为。</w:t>
      </w:r>
    </w:p>
    <w:p w14:paraId="742E5AE2">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）“联合体”系指</w:t>
      </w:r>
      <w:r>
        <w:rPr>
          <w:rFonts w:hint="eastAsia" w:ascii="宋体" w:hAnsi="宋体" w:eastAsia="宋体" w:cs="宋体"/>
          <w:color w:val="auto"/>
          <w:sz w:val="21"/>
          <w:szCs w:val="21"/>
          <w:highlight w:val="none"/>
          <w:lang w:eastAsia="zh-CN"/>
        </w:rPr>
        <w:t>由</w:t>
      </w:r>
      <w:r>
        <w:rPr>
          <w:rFonts w:hint="eastAsia" w:ascii="宋体" w:hAnsi="宋体" w:eastAsia="宋体" w:cs="宋体"/>
          <w:color w:val="auto"/>
          <w:sz w:val="21"/>
          <w:szCs w:val="21"/>
          <w:highlight w:val="none"/>
        </w:rPr>
        <w:t>两个以上的自然人、法人或者</w:t>
      </w:r>
      <w:r>
        <w:rPr>
          <w:rFonts w:hint="eastAsia" w:ascii="宋体" w:hAnsi="宋体" w:eastAsia="宋体" w:cs="宋体"/>
          <w:color w:val="auto"/>
          <w:sz w:val="21"/>
          <w:szCs w:val="21"/>
          <w:highlight w:val="none"/>
          <w:lang w:val="en-US" w:eastAsia="zh-CN"/>
        </w:rPr>
        <w:t>非法人</w:t>
      </w:r>
      <w:r>
        <w:rPr>
          <w:rFonts w:hint="eastAsia" w:ascii="宋体" w:hAnsi="宋体" w:eastAsia="宋体" w:cs="宋体"/>
          <w:color w:val="auto"/>
          <w:sz w:val="21"/>
          <w:szCs w:val="21"/>
          <w:highlight w:val="none"/>
        </w:rPr>
        <w:t>组织组成，</w:t>
      </w:r>
      <w:r>
        <w:rPr>
          <w:rFonts w:hint="eastAsia" w:ascii="宋体" w:hAnsi="宋体" w:eastAsia="宋体" w:cs="宋体"/>
          <w:color w:val="auto"/>
          <w:sz w:val="21"/>
          <w:szCs w:val="21"/>
          <w:highlight w:val="none"/>
          <w:lang w:eastAsia="zh-CN"/>
        </w:rPr>
        <w:t>以一个供应商的身份共同参加政府采购的主体。</w:t>
      </w:r>
      <w:r>
        <w:rPr>
          <w:rFonts w:hint="eastAsia" w:ascii="宋体" w:hAnsi="宋体" w:eastAsia="宋体" w:cs="宋体"/>
          <w:color w:val="auto"/>
          <w:sz w:val="21"/>
          <w:szCs w:val="21"/>
          <w:highlight w:val="none"/>
        </w:rPr>
        <w:t>联合体各方应在签订合同协议书前向甲方提交联合</w:t>
      </w:r>
      <w:r>
        <w:rPr>
          <w:rFonts w:hint="eastAsia" w:cs="宋体"/>
          <w:color w:val="auto"/>
          <w:sz w:val="21"/>
          <w:szCs w:val="21"/>
          <w:highlight w:val="none"/>
          <w:lang w:val="en-US" w:eastAsia="zh-CN"/>
        </w:rPr>
        <w:t>体</w:t>
      </w:r>
      <w:r>
        <w:rPr>
          <w:rFonts w:hint="eastAsia" w:ascii="宋体" w:hAnsi="宋体" w:eastAsia="宋体" w:cs="宋体"/>
          <w:color w:val="auto"/>
          <w:sz w:val="21"/>
          <w:szCs w:val="21"/>
          <w:highlight w:val="none"/>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，且明确牵头人及各成员单位的工作分工、权利、义务、责任，联合体各方应共同与甲方签订合同，就合同约定的事项对</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承担连带责任。联合体具体要求见【</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w:t>
      </w:r>
    </w:p>
    <w:p w14:paraId="6DE644FC">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）其他术语解释，见【</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w:t>
      </w:r>
    </w:p>
    <w:p w14:paraId="740B4C39">
      <w:pPr>
        <w:numPr>
          <w:ilvl w:val="0"/>
          <w:numId w:val="13"/>
        </w:num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合同标的及金额</w:t>
      </w:r>
    </w:p>
    <w:p w14:paraId="6AF0FAD5">
      <w:pPr>
        <w:autoSpaceDE w:val="0"/>
        <w:autoSpaceDN w:val="0"/>
        <w:adjustRightInd w:val="0"/>
        <w:snapToGrid w:val="0"/>
        <w:spacing w:before="0" w:line="400" w:lineRule="exact"/>
        <w:ind w:firstLine="420" w:firstLineChars="200"/>
        <w:jc w:val="left"/>
        <w:rPr>
          <w:rFonts w:hint="eastAsia" w:ascii="宋体" w:hAnsi="宋体" w:eastAsia="宋体" w:cs="宋体"/>
          <w:b/>
          <w:bCs/>
          <w:i/>
          <w:iCs/>
          <w:color w:val="auto"/>
          <w:sz w:val="21"/>
          <w:szCs w:val="21"/>
          <w:highlight w:val="none"/>
        </w:rPr>
      </w:pP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rPr>
        <w:t>.1 合同标的及金额应与中标（成交）结果一致。乙方为履行本合同而发生的所有费用均应包含在合同</w:t>
      </w:r>
      <w:r>
        <w:rPr>
          <w:rFonts w:hint="eastAsia" w:ascii="宋体" w:hAnsi="宋体" w:eastAsia="宋体" w:cs="宋体"/>
          <w:color w:val="auto"/>
          <w:sz w:val="21"/>
          <w:szCs w:val="21"/>
          <w:highlight w:val="none"/>
          <w:lang w:eastAsia="zh-CN"/>
        </w:rPr>
        <w:t>价款</w:t>
      </w:r>
      <w:r>
        <w:rPr>
          <w:rFonts w:hint="eastAsia" w:ascii="宋体" w:hAnsi="宋体" w:eastAsia="宋体" w:cs="宋体"/>
          <w:color w:val="auto"/>
          <w:sz w:val="21"/>
          <w:szCs w:val="21"/>
          <w:highlight w:val="none"/>
        </w:rPr>
        <w:t>中，甲方不再另行支付</w:t>
      </w:r>
      <w:r>
        <w:rPr>
          <w:rFonts w:hint="eastAsia" w:ascii="宋体" w:hAnsi="宋体" w:eastAsia="宋体" w:cs="宋体"/>
          <w:color w:val="auto"/>
          <w:sz w:val="21"/>
          <w:szCs w:val="21"/>
          <w:highlight w:val="none"/>
          <w:lang w:val="en"/>
        </w:rPr>
        <w:t>其他</w:t>
      </w:r>
      <w:r>
        <w:rPr>
          <w:rFonts w:hint="eastAsia" w:ascii="宋体" w:hAnsi="宋体" w:eastAsia="宋体" w:cs="宋体"/>
          <w:color w:val="auto"/>
          <w:sz w:val="21"/>
          <w:szCs w:val="21"/>
          <w:highlight w:val="none"/>
        </w:rPr>
        <w:t>任何费用。</w:t>
      </w:r>
    </w:p>
    <w:p w14:paraId="5D45219E">
      <w:pPr>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eastAsia="zh-CN"/>
        </w:rPr>
        <w:t>3</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履行合同的时间、地点和方式</w:t>
      </w:r>
    </w:p>
    <w:p w14:paraId="236AC1B5">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.1 乙方应当在约定的时间、地点</w:t>
      </w:r>
      <w:r>
        <w:rPr>
          <w:rFonts w:hint="eastAsia" w:ascii="宋体" w:hAnsi="宋体" w:eastAsia="宋体" w:cs="宋体"/>
          <w:color w:val="auto"/>
          <w:sz w:val="21"/>
          <w:szCs w:val="21"/>
          <w:highlight w:val="none"/>
          <w:lang w:eastAsia="zh-CN"/>
        </w:rPr>
        <w:t>，按照约定</w:t>
      </w:r>
      <w:r>
        <w:rPr>
          <w:rFonts w:hint="eastAsia" w:ascii="宋体" w:hAnsi="宋体" w:eastAsia="宋体" w:cs="宋体"/>
          <w:color w:val="auto"/>
          <w:sz w:val="21"/>
          <w:szCs w:val="21"/>
          <w:highlight w:val="none"/>
        </w:rPr>
        <w:t>方式履行合同。</w:t>
      </w:r>
    </w:p>
    <w:p w14:paraId="2358EB6A">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4</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甲方的权利和义务</w:t>
      </w:r>
    </w:p>
    <w:p w14:paraId="54E749E4">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.1 签署合同后，甲方</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rPr>
        <w:t>确定</w:t>
      </w:r>
      <w:r>
        <w:rPr>
          <w:rFonts w:hint="eastAsia" w:ascii="宋体" w:hAnsi="宋体" w:eastAsia="宋体" w:cs="宋体"/>
          <w:color w:val="auto"/>
          <w:sz w:val="21"/>
          <w:szCs w:val="21"/>
          <w:highlight w:val="none"/>
          <w:lang w:val="en-US" w:eastAsia="zh-CN"/>
        </w:rPr>
        <w:t>项目负责人（或项目联系人）</w:t>
      </w:r>
      <w:r>
        <w:rPr>
          <w:rFonts w:hint="eastAsia" w:ascii="宋体" w:hAnsi="宋体" w:eastAsia="宋体" w:cs="宋体"/>
          <w:color w:val="auto"/>
          <w:sz w:val="21"/>
          <w:szCs w:val="21"/>
          <w:highlight w:val="none"/>
        </w:rPr>
        <w:t>，负责与本合同有关的事务。甲方有权对乙方的履约行为进行检查，并及时确认乙方提交的事项。甲方应当配合乙方完成相关项目实施工作。</w:t>
      </w:r>
    </w:p>
    <w:p w14:paraId="5C8713DD">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.2 甲方有权要求乙方按时提交各阶段有关安排计划，并有权定期核对乙方提供货物数量、规格、质量等内容。甲方有权督促乙方工作并要求乙方更换不符合要求的货物。</w:t>
      </w:r>
    </w:p>
    <w:p w14:paraId="7CF4092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.3 甲方有权要求乙方对缺陷部分予以修复，并按合同约定享有货物保修及其他合同约定的权利。</w:t>
      </w:r>
    </w:p>
    <w:p w14:paraId="3DD1A928">
      <w:pPr>
        <w:snapToGrid w:val="0"/>
        <w:spacing w:line="400" w:lineRule="exact"/>
        <w:ind w:firstLine="420" w:firstLineChars="200"/>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4.4 甲方应当按照合同约定及时对交付的货物进行验收，</w:t>
      </w:r>
      <w:r>
        <w:rPr>
          <w:rFonts w:hint="eastAsia" w:ascii="宋体" w:hAnsi="宋体" w:eastAsia="宋体" w:cs="宋体"/>
          <w:b w:val="0"/>
          <w:bCs w:val="0"/>
          <w:color w:val="auto"/>
          <w:sz w:val="21"/>
          <w:szCs w:val="21"/>
          <w:highlight w:val="none"/>
          <w:lang w:eastAsia="zh-CN"/>
        </w:rPr>
        <w:t>未</w:t>
      </w:r>
      <w:r>
        <w:rPr>
          <w:rFonts w:hint="eastAsia" w:ascii="宋体" w:hAnsi="宋体" w:eastAsia="宋体" w:cs="宋体"/>
          <w:color w:val="auto"/>
          <w:sz w:val="21"/>
          <w:szCs w:val="21"/>
          <w:highlight w:val="none"/>
          <w:lang w:val="en-US" w:eastAsia="zh-CN"/>
        </w:rPr>
        <w:t>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b w:val="0"/>
          <w:bCs w:val="0"/>
          <w:color w:val="auto"/>
          <w:sz w:val="21"/>
          <w:szCs w:val="21"/>
          <w:highlight w:val="none"/>
          <w:lang w:eastAsia="zh-CN"/>
        </w:rPr>
        <w:t>约定的期限内对乙方履约提出任何异议或者向乙方作出任何说明的，</w:t>
      </w:r>
      <w:r>
        <w:rPr>
          <w:rFonts w:hint="eastAsia" w:ascii="宋体" w:hAnsi="宋体" w:eastAsia="宋体" w:cs="宋体"/>
          <w:color w:val="auto"/>
          <w:sz w:val="21"/>
          <w:szCs w:val="21"/>
          <w:highlight w:val="none"/>
          <w:lang w:val="en-US" w:eastAsia="zh-CN"/>
        </w:rPr>
        <w:t>视为验收通过。</w:t>
      </w:r>
    </w:p>
    <w:p w14:paraId="12DD8888">
      <w:pPr>
        <w:autoSpaceDE w:val="0"/>
        <w:autoSpaceDN w:val="0"/>
        <w:adjustRightInd w:val="0"/>
        <w:snapToGrid w:val="0"/>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 xml:space="preserve"> 甲方应当根据合同约定</w:t>
      </w:r>
      <w:r>
        <w:rPr>
          <w:rFonts w:hint="eastAsia" w:ascii="宋体" w:hAnsi="宋体" w:eastAsia="宋体" w:cs="宋体"/>
          <w:color w:val="auto"/>
          <w:sz w:val="21"/>
          <w:szCs w:val="21"/>
          <w:highlight w:val="none"/>
          <w:lang w:eastAsia="zh-CN"/>
        </w:rPr>
        <w:t>及</w:t>
      </w:r>
      <w:r>
        <w:rPr>
          <w:rFonts w:hint="eastAsia" w:ascii="宋体" w:hAnsi="宋体" w:eastAsia="宋体" w:cs="宋体"/>
          <w:color w:val="auto"/>
          <w:sz w:val="21"/>
          <w:szCs w:val="21"/>
          <w:highlight w:val="none"/>
        </w:rPr>
        <w:t>时向乙方支付</w:t>
      </w:r>
      <w:r>
        <w:rPr>
          <w:rFonts w:hint="eastAsia" w:ascii="宋体" w:hAnsi="宋体" w:eastAsia="宋体" w:cs="宋体"/>
          <w:color w:val="auto"/>
          <w:sz w:val="21"/>
          <w:szCs w:val="21"/>
          <w:highlight w:val="none"/>
          <w:lang w:eastAsia="zh-CN"/>
        </w:rPr>
        <w:t>合同价款，不得以内部人员变更、履行内部付款流程等为由，拒绝或迟延支付。</w:t>
      </w:r>
    </w:p>
    <w:p w14:paraId="79844F8A">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 xml:space="preserve"> 国家法律法规规定</w:t>
      </w:r>
      <w:r>
        <w:rPr>
          <w:rFonts w:hint="eastAsia" w:ascii="宋体" w:hAnsi="宋体" w:eastAsia="宋体" w:cs="宋体"/>
          <w:color w:val="auto"/>
          <w:sz w:val="21"/>
          <w:szCs w:val="21"/>
          <w:highlight w:val="none"/>
          <w:lang w:eastAsia="zh-CN"/>
        </w:rPr>
        <w:t>及</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lang w:eastAsia="zh-CN"/>
        </w:rPr>
        <w:t>约定应</w:t>
      </w:r>
      <w:r>
        <w:rPr>
          <w:rFonts w:hint="eastAsia" w:ascii="宋体" w:hAnsi="宋体" w:eastAsia="宋体" w:cs="宋体"/>
          <w:color w:val="auto"/>
          <w:sz w:val="21"/>
          <w:szCs w:val="21"/>
          <w:highlight w:val="none"/>
        </w:rPr>
        <w:t>由甲方承担的其他义务和责任。</w:t>
      </w:r>
    </w:p>
    <w:p w14:paraId="306A18A8">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5</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乙方的权利和义务</w:t>
      </w:r>
    </w:p>
    <w:p w14:paraId="71FA861B">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rPr>
        <w:t>.1 签署合同后，乙方</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rPr>
        <w:t>确定</w:t>
      </w:r>
      <w:r>
        <w:rPr>
          <w:rFonts w:hint="eastAsia" w:ascii="宋体" w:hAnsi="宋体" w:eastAsia="宋体" w:cs="宋体"/>
          <w:color w:val="auto"/>
          <w:sz w:val="21"/>
          <w:szCs w:val="21"/>
          <w:highlight w:val="none"/>
          <w:lang w:val="en-US" w:eastAsia="zh-CN"/>
        </w:rPr>
        <w:t>项目负责人（或项目联系人）</w:t>
      </w:r>
      <w:r>
        <w:rPr>
          <w:rFonts w:hint="eastAsia" w:ascii="宋体" w:hAnsi="宋体" w:eastAsia="宋体" w:cs="宋体"/>
          <w:color w:val="auto"/>
          <w:sz w:val="21"/>
          <w:szCs w:val="21"/>
          <w:highlight w:val="none"/>
        </w:rPr>
        <w:t>，负责与本合同有关的事务。</w:t>
      </w:r>
    </w:p>
    <w:p w14:paraId="590260EC">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rPr>
        <w:t>.2 乙方应按照合同要求履约，充分合理安排，确保提供的货物</w:t>
      </w:r>
      <w:r>
        <w:rPr>
          <w:rFonts w:hint="eastAsia" w:ascii="宋体" w:hAnsi="宋体" w:eastAsia="宋体" w:cs="宋体"/>
          <w:color w:val="auto"/>
          <w:sz w:val="21"/>
          <w:szCs w:val="21"/>
          <w:highlight w:val="none"/>
          <w:lang w:eastAsia="zh-CN"/>
        </w:rPr>
        <w:t>及相关</w:t>
      </w:r>
      <w:r>
        <w:rPr>
          <w:rFonts w:hint="eastAsia" w:ascii="宋体" w:hAnsi="宋体" w:eastAsia="宋体" w:cs="宋体"/>
          <w:color w:val="auto"/>
          <w:sz w:val="21"/>
          <w:szCs w:val="21"/>
          <w:highlight w:val="none"/>
        </w:rPr>
        <w:t>服务符合合同</w:t>
      </w:r>
      <w:r>
        <w:rPr>
          <w:rFonts w:hint="eastAsia" w:ascii="宋体" w:hAnsi="宋体" w:eastAsia="宋体" w:cs="宋体"/>
          <w:color w:val="auto"/>
          <w:sz w:val="21"/>
          <w:szCs w:val="21"/>
          <w:highlight w:val="none"/>
          <w:lang w:eastAsia="zh-CN"/>
        </w:rPr>
        <w:t>有关</w:t>
      </w:r>
      <w:r>
        <w:rPr>
          <w:rFonts w:hint="eastAsia" w:ascii="宋体" w:hAnsi="宋体" w:eastAsia="宋体" w:cs="宋体"/>
          <w:color w:val="auto"/>
          <w:sz w:val="21"/>
          <w:szCs w:val="21"/>
          <w:highlight w:val="none"/>
        </w:rPr>
        <w:t>要求。接受项目行业管理部门及政府有关部门的指导，配合甲方的履约检查</w:t>
      </w:r>
      <w:r>
        <w:rPr>
          <w:rFonts w:hint="eastAsia" w:ascii="宋体" w:hAnsi="宋体" w:eastAsia="宋体" w:cs="宋体"/>
          <w:color w:val="auto"/>
          <w:sz w:val="21"/>
          <w:szCs w:val="21"/>
          <w:highlight w:val="none"/>
          <w:lang w:eastAsia="zh-CN"/>
        </w:rPr>
        <w:t>及验收</w:t>
      </w:r>
      <w:r>
        <w:rPr>
          <w:rFonts w:hint="eastAsia" w:ascii="宋体" w:hAnsi="宋体" w:eastAsia="宋体" w:cs="宋体"/>
          <w:color w:val="auto"/>
          <w:sz w:val="21"/>
          <w:szCs w:val="21"/>
          <w:highlight w:val="none"/>
        </w:rPr>
        <w:t>，并负责项目实施过程中的所有协调工作。</w:t>
      </w:r>
    </w:p>
    <w:p w14:paraId="08731634">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5.3乙方有权根据合同约定向甲方收取合同价款。</w:t>
      </w:r>
    </w:p>
    <w:p w14:paraId="3E236034">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5.4国家法律法规规定及</w:t>
      </w:r>
      <w:r>
        <w:rPr>
          <w:rFonts w:hint="eastAsia" w:ascii="宋体" w:hAnsi="宋体" w:eastAsia="宋体" w:cs="宋体"/>
          <w:b/>
          <w:bCs/>
          <w:color w:val="auto"/>
          <w:sz w:val="21"/>
          <w:szCs w:val="21"/>
          <w:highlight w:val="none"/>
          <w:lang w:eastAsia="zh-CN"/>
        </w:rPr>
        <w:t>【政府采购合同专用条款】</w:t>
      </w:r>
      <w:r>
        <w:rPr>
          <w:rFonts w:hint="eastAsia" w:ascii="宋体" w:hAnsi="宋体" w:eastAsia="宋体" w:cs="宋体"/>
          <w:color w:val="auto"/>
          <w:sz w:val="21"/>
          <w:szCs w:val="21"/>
          <w:highlight w:val="none"/>
          <w:lang w:eastAsia="zh-CN"/>
        </w:rPr>
        <w:t>约定应由乙方承担的其他义务和责任。</w:t>
      </w:r>
    </w:p>
    <w:p w14:paraId="162C76F1">
      <w:pPr>
        <w:numPr>
          <w:ilvl w:val="0"/>
          <w:numId w:val="14"/>
        </w:num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合同履</w:t>
      </w:r>
      <w:r>
        <w:rPr>
          <w:rFonts w:hint="eastAsia" w:ascii="宋体" w:hAnsi="宋体" w:eastAsia="宋体" w:cs="宋体"/>
          <w:b/>
          <w:bCs/>
          <w:color w:val="auto"/>
          <w:sz w:val="21"/>
          <w:szCs w:val="21"/>
          <w:highlight w:val="none"/>
          <w:lang w:val="en-US" w:eastAsia="zh-CN"/>
        </w:rPr>
        <w:t>行</w:t>
      </w:r>
    </w:p>
    <w:p w14:paraId="293D87D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6</w:t>
      </w:r>
      <w:r>
        <w:rPr>
          <w:rFonts w:hint="eastAsia" w:ascii="宋体" w:hAnsi="宋体" w:eastAsia="宋体" w:cs="宋体"/>
          <w:color w:val="auto"/>
          <w:sz w:val="21"/>
          <w:szCs w:val="21"/>
          <w:highlight w:val="none"/>
        </w:rPr>
        <w:t>.1 甲乙双方应当按照</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约定顺序履行合同义务；如果没有先后顺序的，应当同时履行。</w:t>
      </w:r>
    </w:p>
    <w:p w14:paraId="443AF495">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6</w:t>
      </w:r>
      <w:r>
        <w:rPr>
          <w:rFonts w:hint="eastAsia" w:ascii="宋体" w:hAnsi="宋体" w:eastAsia="宋体" w:cs="宋体"/>
          <w:color w:val="auto"/>
          <w:sz w:val="21"/>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53BB5749">
      <w:pPr>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7</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货物包装、运输</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保险</w:t>
      </w:r>
      <w:r>
        <w:rPr>
          <w:rFonts w:hint="eastAsia" w:ascii="宋体" w:hAnsi="宋体" w:eastAsia="宋体" w:cs="宋体"/>
          <w:b/>
          <w:bCs/>
          <w:color w:val="auto"/>
          <w:sz w:val="21"/>
          <w:szCs w:val="21"/>
          <w:highlight w:val="none"/>
          <w:lang w:eastAsia="zh-CN"/>
        </w:rPr>
        <w:t>和交付</w:t>
      </w:r>
      <w:r>
        <w:rPr>
          <w:rFonts w:hint="eastAsia" w:ascii="宋体" w:hAnsi="宋体" w:eastAsia="宋体" w:cs="宋体"/>
          <w:b/>
          <w:bCs/>
          <w:color w:val="auto"/>
          <w:sz w:val="21"/>
          <w:szCs w:val="21"/>
          <w:highlight w:val="none"/>
        </w:rPr>
        <w:t>要求</w:t>
      </w:r>
    </w:p>
    <w:p w14:paraId="46CC0A56">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w:t>
      </w:r>
      <w:r>
        <w:rPr>
          <w:rFonts w:hint="eastAsia" w:ascii="宋体" w:hAnsi="宋体" w:eastAsia="宋体" w:cs="宋体"/>
          <w:color w:val="auto"/>
          <w:sz w:val="21"/>
          <w:szCs w:val="21"/>
          <w:highlight w:val="none"/>
        </w:rPr>
        <w:t>.1 本合同</w:t>
      </w:r>
      <w:r>
        <w:rPr>
          <w:rFonts w:hint="eastAsia" w:ascii="宋体" w:hAnsi="宋体" w:eastAsia="宋体" w:cs="宋体"/>
          <w:bCs/>
          <w:color w:val="auto"/>
          <w:sz w:val="21"/>
          <w:szCs w:val="21"/>
          <w:highlight w:val="none"/>
        </w:rPr>
        <w:t>涉及商品包装</w:t>
      </w:r>
      <w:r>
        <w:rPr>
          <w:rFonts w:hint="eastAsia" w:ascii="宋体" w:hAnsi="宋体" w:eastAsia="宋体" w:cs="宋体"/>
          <w:bCs/>
          <w:color w:val="auto"/>
          <w:sz w:val="21"/>
          <w:szCs w:val="21"/>
          <w:highlight w:val="none"/>
          <w:lang w:eastAsia="zh-CN"/>
        </w:rPr>
        <w:t>、</w:t>
      </w:r>
      <w:r>
        <w:rPr>
          <w:rFonts w:hint="eastAsia" w:ascii="宋体" w:hAnsi="宋体" w:eastAsia="宋体" w:cs="宋体"/>
          <w:bCs/>
          <w:color w:val="auto"/>
          <w:sz w:val="21"/>
          <w:szCs w:val="21"/>
          <w:highlight w:val="none"/>
        </w:rPr>
        <w:t>快递包装的，</w:t>
      </w:r>
      <w:r>
        <w:rPr>
          <w:rFonts w:hint="eastAsia" w:ascii="宋体" w:hAnsi="宋体" w:eastAsia="宋体" w:cs="宋体"/>
          <w:color w:val="auto"/>
          <w:sz w:val="21"/>
          <w:szCs w:val="21"/>
          <w:highlight w:val="none"/>
        </w:rPr>
        <w:t>除</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另有</w:t>
      </w:r>
      <w:r>
        <w:rPr>
          <w:rFonts w:hint="eastAsia" w:ascii="宋体" w:hAnsi="宋体" w:eastAsia="宋体" w:cs="宋体"/>
          <w:bCs/>
          <w:color w:val="auto"/>
          <w:sz w:val="21"/>
          <w:szCs w:val="21"/>
          <w:highlight w:val="none"/>
          <w:lang w:eastAsia="zh-CN"/>
        </w:rPr>
        <w:t>约</w:t>
      </w:r>
      <w:r>
        <w:rPr>
          <w:rFonts w:hint="eastAsia" w:ascii="宋体" w:hAnsi="宋体" w:eastAsia="宋体" w:cs="宋体"/>
          <w:bCs/>
          <w:color w:val="auto"/>
          <w:sz w:val="21"/>
          <w:szCs w:val="21"/>
          <w:highlight w:val="none"/>
        </w:rPr>
        <w:t>定</w:t>
      </w:r>
      <w:r>
        <w:rPr>
          <w:rFonts w:hint="eastAsia" w:ascii="宋体" w:hAnsi="宋体" w:eastAsia="宋体" w:cs="宋体"/>
          <w:bCs/>
          <w:color w:val="auto"/>
          <w:sz w:val="21"/>
          <w:szCs w:val="21"/>
          <w:highlight w:val="none"/>
          <w:lang w:eastAsia="zh-CN"/>
        </w:rPr>
        <w:t>外</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t>包装应适应远距离运输、防潮、防震、防锈和防野蛮装卸等要求，确保货物安全无损地运抵</w:t>
      </w:r>
      <w:r>
        <w:rPr>
          <w:rFonts w:hint="eastAsia" w:ascii="宋体" w:hAnsi="宋体" w:eastAsia="宋体" w:cs="宋体"/>
          <w:b/>
          <w:color w:val="auto"/>
          <w:sz w:val="21"/>
          <w:szCs w:val="21"/>
          <w:highlight w:val="none"/>
        </w:rPr>
        <w:t>【政府采购合同专用条款】</w:t>
      </w:r>
      <w:r>
        <w:rPr>
          <w:rFonts w:hint="eastAsia" w:ascii="宋体" w:hAnsi="宋体" w:eastAsia="宋体" w:cs="宋体"/>
          <w:b w:val="0"/>
          <w:bCs/>
          <w:color w:val="auto"/>
          <w:sz w:val="21"/>
          <w:szCs w:val="21"/>
          <w:highlight w:val="none"/>
          <w:lang w:eastAsia="zh-CN"/>
        </w:rPr>
        <w:t>约定的</w:t>
      </w:r>
      <w:r>
        <w:rPr>
          <w:rFonts w:hint="eastAsia" w:ascii="宋体" w:hAnsi="宋体" w:eastAsia="宋体" w:cs="宋体"/>
          <w:color w:val="auto"/>
          <w:sz w:val="21"/>
          <w:szCs w:val="21"/>
          <w:highlight w:val="none"/>
        </w:rPr>
        <w:t>指定现场。</w:t>
      </w:r>
    </w:p>
    <w:p w14:paraId="188C8FFE">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w:t>
      </w:r>
      <w:r>
        <w:rPr>
          <w:rFonts w:hint="eastAsia" w:ascii="宋体" w:hAnsi="宋体" w:eastAsia="宋体" w:cs="宋体"/>
          <w:color w:val="auto"/>
          <w:sz w:val="21"/>
          <w:szCs w:val="21"/>
          <w:highlight w:val="none"/>
        </w:rPr>
        <w:t>.2 除</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另有</w:t>
      </w:r>
      <w:r>
        <w:rPr>
          <w:rFonts w:hint="eastAsia" w:ascii="宋体" w:hAnsi="宋体" w:eastAsia="宋体" w:cs="宋体"/>
          <w:bCs/>
          <w:color w:val="auto"/>
          <w:sz w:val="21"/>
          <w:szCs w:val="21"/>
          <w:highlight w:val="none"/>
          <w:lang w:eastAsia="zh-CN"/>
        </w:rPr>
        <w:t>约</w:t>
      </w:r>
      <w:r>
        <w:rPr>
          <w:rFonts w:hint="eastAsia" w:ascii="宋体" w:hAnsi="宋体" w:eastAsia="宋体" w:cs="宋体"/>
          <w:bCs/>
          <w:color w:val="auto"/>
          <w:sz w:val="21"/>
          <w:szCs w:val="21"/>
          <w:highlight w:val="none"/>
        </w:rPr>
        <w:t>定</w:t>
      </w:r>
      <w:r>
        <w:rPr>
          <w:rFonts w:hint="eastAsia" w:ascii="宋体" w:hAnsi="宋体" w:eastAsia="宋体" w:cs="宋体"/>
          <w:bCs/>
          <w:color w:val="auto"/>
          <w:sz w:val="21"/>
          <w:szCs w:val="21"/>
          <w:highlight w:val="none"/>
          <w:lang w:eastAsia="zh-CN"/>
        </w:rPr>
        <w:t>外</w:t>
      </w:r>
      <w:r>
        <w:rPr>
          <w:rFonts w:hint="eastAsia" w:ascii="宋体" w:hAnsi="宋体" w:eastAsia="宋体" w:cs="宋体"/>
          <w:bCs/>
          <w:color w:val="auto"/>
          <w:sz w:val="21"/>
          <w:szCs w:val="21"/>
          <w:highlight w:val="none"/>
        </w:rPr>
        <w:t>，</w:t>
      </w:r>
      <w:r>
        <w:rPr>
          <w:rFonts w:hint="eastAsia" w:ascii="宋体" w:hAnsi="宋体" w:eastAsia="宋体" w:cs="宋体"/>
          <w:color w:val="auto"/>
          <w:sz w:val="21"/>
          <w:szCs w:val="21"/>
          <w:highlight w:val="none"/>
        </w:rPr>
        <w:t>乙方负责办理将货物运抵本合同规定的交货地点</w:t>
      </w:r>
      <w:r>
        <w:rPr>
          <w:rFonts w:hint="eastAsia" w:ascii="宋体" w:hAnsi="宋体" w:eastAsia="宋体" w:cs="宋体"/>
          <w:color w:val="auto"/>
          <w:sz w:val="21"/>
          <w:szCs w:val="21"/>
          <w:highlight w:val="none"/>
          <w:lang w:eastAsia="zh-CN"/>
        </w:rPr>
        <w:t>，并装卸、交付至甲方</w:t>
      </w:r>
      <w:r>
        <w:rPr>
          <w:rFonts w:hint="eastAsia" w:ascii="宋体" w:hAnsi="宋体" w:eastAsia="宋体" w:cs="宋体"/>
          <w:color w:val="auto"/>
          <w:sz w:val="21"/>
          <w:szCs w:val="21"/>
          <w:highlight w:val="none"/>
        </w:rPr>
        <w:t>的一切运输事项，相关费用应</w:t>
      </w:r>
      <w:r>
        <w:rPr>
          <w:rFonts w:hint="eastAsia" w:ascii="宋体" w:hAnsi="宋体" w:eastAsia="宋体" w:cs="宋体"/>
          <w:color w:val="auto"/>
          <w:sz w:val="21"/>
          <w:szCs w:val="21"/>
          <w:highlight w:val="none"/>
          <w:lang w:eastAsia="zh-CN"/>
        </w:rPr>
        <w:t>包含</w:t>
      </w:r>
      <w:r>
        <w:rPr>
          <w:rFonts w:hint="eastAsia" w:ascii="宋体" w:hAnsi="宋体" w:eastAsia="宋体" w:cs="宋体"/>
          <w:color w:val="auto"/>
          <w:sz w:val="21"/>
          <w:szCs w:val="21"/>
          <w:highlight w:val="none"/>
        </w:rPr>
        <w:t>在合同</w:t>
      </w:r>
      <w:r>
        <w:rPr>
          <w:rFonts w:hint="eastAsia" w:ascii="宋体" w:hAnsi="宋体" w:eastAsia="宋体" w:cs="宋体"/>
          <w:color w:val="auto"/>
          <w:sz w:val="21"/>
          <w:szCs w:val="21"/>
          <w:highlight w:val="none"/>
          <w:lang w:eastAsia="zh-CN"/>
        </w:rPr>
        <w:t>价款</w:t>
      </w:r>
      <w:r>
        <w:rPr>
          <w:rFonts w:hint="eastAsia" w:ascii="宋体" w:hAnsi="宋体" w:eastAsia="宋体" w:cs="宋体"/>
          <w:color w:val="auto"/>
          <w:sz w:val="21"/>
          <w:szCs w:val="21"/>
          <w:highlight w:val="none"/>
        </w:rPr>
        <w:t>中。</w:t>
      </w:r>
    </w:p>
    <w:p w14:paraId="4DE88131">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w:t>
      </w:r>
      <w:r>
        <w:rPr>
          <w:rFonts w:hint="eastAsia" w:ascii="宋体" w:hAnsi="宋体" w:eastAsia="宋体" w:cs="宋体"/>
          <w:color w:val="auto"/>
          <w:sz w:val="21"/>
          <w:szCs w:val="21"/>
          <w:highlight w:val="none"/>
        </w:rPr>
        <w:t>.3 货物保险要求按</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规定执行</w:t>
      </w:r>
      <w:r>
        <w:rPr>
          <w:rFonts w:hint="eastAsia" w:ascii="宋体" w:hAnsi="宋体" w:eastAsia="宋体" w:cs="宋体"/>
          <w:color w:val="auto"/>
          <w:sz w:val="21"/>
          <w:szCs w:val="21"/>
          <w:highlight w:val="none"/>
        </w:rPr>
        <w:t>。</w:t>
      </w:r>
    </w:p>
    <w:p w14:paraId="47223DBE">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7</w:t>
      </w:r>
      <w:r>
        <w:rPr>
          <w:rFonts w:hint="eastAsia" w:ascii="宋体" w:hAnsi="宋体" w:eastAsia="宋体" w:cs="宋体"/>
          <w:color w:val="auto"/>
          <w:sz w:val="21"/>
          <w:szCs w:val="21"/>
          <w:highlight w:val="none"/>
        </w:rPr>
        <w:t xml:space="preserve">.4 </w:t>
      </w:r>
      <w:r>
        <w:rPr>
          <w:rFonts w:hint="eastAsia" w:ascii="宋体" w:hAnsi="宋体" w:eastAsia="宋体" w:cs="宋体"/>
          <w:color w:val="auto"/>
          <w:sz w:val="21"/>
          <w:szCs w:val="21"/>
          <w:highlight w:val="none"/>
          <w:lang w:val="en-US" w:eastAsia="zh-CN"/>
        </w:rPr>
        <w:t>除采购活动</w:t>
      </w:r>
      <w:r>
        <w:rPr>
          <w:rFonts w:hint="eastAsia" w:ascii="宋体" w:hAnsi="宋体" w:eastAsia="宋体" w:cs="宋体"/>
          <w:color w:val="auto"/>
          <w:sz w:val="21"/>
          <w:szCs w:val="21"/>
          <w:highlight w:val="none"/>
        </w:rPr>
        <w:t>对商品包装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快递包装</w:t>
      </w:r>
      <w:r>
        <w:rPr>
          <w:rFonts w:hint="eastAsia" w:ascii="宋体" w:hAnsi="宋体" w:eastAsia="宋体" w:cs="宋体"/>
          <w:color w:val="auto"/>
          <w:sz w:val="21"/>
          <w:szCs w:val="21"/>
          <w:highlight w:val="none"/>
          <w:lang w:val="en-US" w:eastAsia="zh-CN"/>
        </w:rPr>
        <w:t>达成具体约定外</w:t>
      </w:r>
      <w:r>
        <w:rPr>
          <w:rFonts w:hint="eastAsia" w:ascii="宋体" w:hAnsi="宋体" w:eastAsia="宋体" w:cs="宋体"/>
          <w:color w:val="auto"/>
          <w:sz w:val="21"/>
          <w:szCs w:val="21"/>
          <w:highlight w:val="none"/>
        </w:rPr>
        <w:t>，乙方提供产品及相关快递服务</w:t>
      </w:r>
      <w:r>
        <w:rPr>
          <w:rFonts w:hint="eastAsia" w:ascii="宋体" w:hAnsi="宋体" w:eastAsia="宋体" w:cs="宋体"/>
          <w:color w:val="auto"/>
          <w:sz w:val="21"/>
          <w:szCs w:val="21"/>
          <w:highlight w:val="none"/>
          <w:lang w:val="en-US" w:eastAsia="zh-CN"/>
        </w:rPr>
        <w:t>涉及到</w:t>
      </w:r>
      <w:r>
        <w:rPr>
          <w:rFonts w:hint="eastAsia" w:ascii="宋体" w:hAnsi="宋体" w:eastAsia="宋体" w:cs="宋体"/>
          <w:color w:val="auto"/>
          <w:sz w:val="21"/>
          <w:szCs w:val="21"/>
          <w:highlight w:val="none"/>
        </w:rPr>
        <w:t>具体包装要求</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应</w:t>
      </w:r>
      <w:r>
        <w:rPr>
          <w:rFonts w:hint="eastAsia" w:ascii="宋体" w:hAnsi="宋体" w:eastAsia="宋体" w:cs="宋体"/>
          <w:color w:val="auto"/>
          <w:sz w:val="21"/>
          <w:szCs w:val="21"/>
          <w:highlight w:val="none"/>
          <w:lang w:val="en-US" w:eastAsia="zh-CN"/>
        </w:rPr>
        <w:t>不低于</w:t>
      </w:r>
      <w:r>
        <w:rPr>
          <w:rFonts w:hint="eastAsia" w:ascii="宋体" w:hAnsi="宋体" w:eastAsia="宋体" w:cs="宋体"/>
          <w:color w:val="auto"/>
          <w:sz w:val="21"/>
          <w:szCs w:val="21"/>
          <w:highlight w:val="none"/>
        </w:rPr>
        <w:t>《商品包装政府采购需求标准（试行）</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快递包装政府采购需求标准（试行）》</w:t>
      </w:r>
      <w:r>
        <w:rPr>
          <w:rFonts w:hint="eastAsia" w:ascii="宋体" w:hAnsi="宋体" w:eastAsia="宋体" w:cs="宋体"/>
          <w:color w:val="auto"/>
          <w:sz w:val="21"/>
          <w:szCs w:val="21"/>
          <w:highlight w:val="none"/>
          <w:lang w:val="en-US" w:eastAsia="zh-CN"/>
        </w:rPr>
        <w:t>标准</w:t>
      </w:r>
      <w:r>
        <w:rPr>
          <w:rFonts w:hint="eastAsia" w:ascii="宋体" w:hAnsi="宋体" w:eastAsia="宋体" w:cs="宋体"/>
          <w:color w:val="auto"/>
          <w:sz w:val="21"/>
          <w:szCs w:val="21"/>
          <w:highlight w:val="none"/>
        </w:rPr>
        <w:t>，并作为履约验收的内容，必要时甲方可以要求乙方在履约验收环节出具检测报告。</w:t>
      </w:r>
    </w:p>
    <w:p w14:paraId="521F5323">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7.5 </w:t>
      </w:r>
      <w:r>
        <w:rPr>
          <w:rFonts w:hint="eastAsia" w:ascii="宋体" w:hAnsi="宋体" w:eastAsia="宋体" w:cs="宋体"/>
          <w:color w:val="auto"/>
          <w:sz w:val="21"/>
          <w:szCs w:val="21"/>
          <w:highlight w:val="none"/>
        </w:rPr>
        <w:t>乙方在运输到达之前</w:t>
      </w:r>
      <w:r>
        <w:rPr>
          <w:rFonts w:hint="eastAsia" w:ascii="宋体" w:hAnsi="宋体" w:eastAsia="宋体" w:cs="宋体"/>
          <w:color w:val="auto"/>
          <w:sz w:val="21"/>
          <w:szCs w:val="21"/>
          <w:highlight w:val="none"/>
          <w:lang w:eastAsia="zh-CN"/>
        </w:rPr>
        <w:t>应</w:t>
      </w:r>
      <w:r>
        <w:rPr>
          <w:rFonts w:hint="eastAsia" w:ascii="宋体" w:hAnsi="宋体" w:eastAsia="宋体" w:cs="宋体"/>
          <w:color w:val="auto"/>
          <w:sz w:val="21"/>
          <w:szCs w:val="21"/>
          <w:highlight w:val="none"/>
        </w:rPr>
        <w:t>提前通知</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，并提示货物运输装卸的注意事项</w:t>
      </w:r>
      <w:r>
        <w:rPr>
          <w:rFonts w:hint="eastAsia" w:ascii="宋体" w:hAnsi="宋体" w:eastAsia="宋体" w:cs="宋体"/>
          <w:color w:val="auto"/>
          <w:sz w:val="21"/>
          <w:szCs w:val="21"/>
          <w:highlight w:val="none"/>
          <w:lang w:eastAsia="zh-CN"/>
        </w:rPr>
        <w:t>，甲方配合乙方做好货物的接收工作。</w:t>
      </w:r>
    </w:p>
    <w:p w14:paraId="66B9259E">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7.6 如因包装、运输问题导致货物损毁、丢失或者品质下降，甲方有权要求降价、换货、拒收部分或整批货物，由此产生的费用和损失，均由乙方承担。</w:t>
      </w:r>
    </w:p>
    <w:p w14:paraId="2F950898">
      <w:pPr>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eastAsia="zh-CN"/>
        </w:rPr>
        <w:t>8</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质量标准和保证</w:t>
      </w:r>
    </w:p>
    <w:p w14:paraId="5FEC5DDB">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8.1 质量标准</w:t>
      </w:r>
    </w:p>
    <w:p w14:paraId="03D99DD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（1）本合同下</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的货物应符合</w:t>
      </w:r>
      <w:r>
        <w:rPr>
          <w:rFonts w:hint="eastAsia" w:ascii="宋体" w:hAnsi="宋体" w:eastAsia="宋体" w:cs="宋体"/>
          <w:color w:val="auto"/>
          <w:sz w:val="21"/>
          <w:szCs w:val="21"/>
          <w:highlight w:val="none"/>
          <w:lang w:eastAsia="zh-CN"/>
        </w:rPr>
        <w:t>合同约</w:t>
      </w:r>
      <w:r>
        <w:rPr>
          <w:rFonts w:hint="eastAsia" w:ascii="宋体" w:hAnsi="宋体" w:eastAsia="宋体" w:cs="宋体"/>
          <w:color w:val="auto"/>
          <w:sz w:val="21"/>
          <w:szCs w:val="21"/>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s="宋体"/>
          <w:color w:val="auto"/>
          <w:sz w:val="21"/>
          <w:szCs w:val="21"/>
          <w:highlight w:val="none"/>
          <w:lang w:eastAsia="zh-CN"/>
        </w:rPr>
        <w:t>。</w:t>
      </w:r>
    </w:p>
    <w:p w14:paraId="740AB89D">
      <w:pPr>
        <w:pStyle w:val="18"/>
        <w:adjustRightInd w:val="0"/>
        <w:snapToGrid w:val="0"/>
        <w:spacing w:before="0" w:line="400" w:lineRule="exact"/>
        <w:ind w:firstLine="420" w:firstLineChars="20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（2）采用中华人民共和国法定计量单位。</w:t>
      </w:r>
    </w:p>
    <w:p w14:paraId="2F50EC9A">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（3）乙方所</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的货物应符合国家有关安全、环保、卫生</w:t>
      </w:r>
      <w:r>
        <w:rPr>
          <w:rFonts w:hint="eastAsia" w:ascii="宋体" w:hAnsi="宋体" w:eastAsia="宋体" w:cs="宋体"/>
          <w:color w:val="auto"/>
          <w:sz w:val="21"/>
          <w:szCs w:val="21"/>
          <w:highlight w:val="none"/>
          <w:lang w:eastAsia="zh-CN"/>
        </w:rPr>
        <w:t>的</w:t>
      </w:r>
      <w:r>
        <w:rPr>
          <w:rFonts w:hint="eastAsia" w:ascii="宋体" w:hAnsi="宋体" w:eastAsia="宋体" w:cs="宋体"/>
          <w:color w:val="auto"/>
          <w:sz w:val="21"/>
          <w:szCs w:val="21"/>
          <w:highlight w:val="none"/>
        </w:rPr>
        <w:t>规定。</w:t>
      </w:r>
    </w:p>
    <w:p w14:paraId="522025B3">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（4）乙方应向甲方提交所</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货物的技术文件，包括相应的中文技术文件，如：产品目录、图纸、操作手册、使用说明、维护手册或服务指南</w:t>
      </w:r>
      <w:r>
        <w:rPr>
          <w:rFonts w:hint="eastAsia" w:ascii="宋体" w:hAnsi="宋体" w:eastAsia="宋体" w:cs="宋体"/>
          <w:color w:val="auto"/>
          <w:sz w:val="21"/>
          <w:szCs w:val="21"/>
          <w:highlight w:val="none"/>
          <w:lang w:eastAsia="zh-CN"/>
        </w:rPr>
        <w:t>等</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上述</w:t>
      </w:r>
      <w:r>
        <w:rPr>
          <w:rFonts w:hint="eastAsia" w:ascii="宋体" w:hAnsi="宋体" w:eastAsia="宋体" w:cs="宋体"/>
          <w:color w:val="auto"/>
          <w:sz w:val="21"/>
          <w:szCs w:val="21"/>
          <w:highlight w:val="none"/>
        </w:rPr>
        <w:t>文件应包装好随货物一同发运。</w:t>
      </w:r>
    </w:p>
    <w:p w14:paraId="0229408F">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8</w:t>
      </w:r>
      <w:r>
        <w:rPr>
          <w:rFonts w:hint="eastAsia" w:ascii="宋体" w:hAnsi="宋体" w:eastAsia="宋体" w:cs="宋体"/>
          <w:color w:val="auto"/>
          <w:sz w:val="21"/>
          <w:szCs w:val="21"/>
          <w:highlight w:val="none"/>
        </w:rPr>
        <w:t>.2 保证</w:t>
      </w:r>
    </w:p>
    <w:p w14:paraId="38DD8245">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（1）乙方应保证</w:t>
      </w:r>
      <w:r>
        <w:rPr>
          <w:rFonts w:hint="eastAsia" w:ascii="宋体" w:hAnsi="宋体" w:eastAsia="宋体" w:cs="宋体"/>
          <w:color w:val="auto"/>
          <w:sz w:val="21"/>
          <w:szCs w:val="21"/>
          <w:highlight w:val="none"/>
          <w:lang w:eastAsia="zh-CN"/>
        </w:rPr>
        <w:t>提供的货物</w:t>
      </w:r>
      <w:r>
        <w:rPr>
          <w:rFonts w:hint="eastAsia" w:ascii="宋体" w:hAnsi="宋体" w:eastAsia="宋体" w:cs="宋体"/>
          <w:color w:val="auto"/>
          <w:sz w:val="21"/>
          <w:szCs w:val="21"/>
          <w:highlight w:val="none"/>
        </w:rPr>
        <w:t>完全符合合同规定的质量、规格和性能要求。乙方应保证货物在正确安装、正常使用和保养条件下，在其使用寿命期内具</w:t>
      </w:r>
      <w:r>
        <w:rPr>
          <w:rFonts w:hint="eastAsia" w:ascii="宋体" w:hAnsi="宋体" w:eastAsia="宋体" w:cs="宋体"/>
          <w:color w:val="auto"/>
          <w:sz w:val="21"/>
          <w:szCs w:val="21"/>
          <w:highlight w:val="none"/>
          <w:lang w:eastAsia="zh-CN"/>
        </w:rPr>
        <w:t>备合同约定</w:t>
      </w:r>
      <w:r>
        <w:rPr>
          <w:rFonts w:hint="eastAsia" w:ascii="宋体" w:hAnsi="宋体" w:eastAsia="宋体" w:cs="宋体"/>
          <w:color w:val="auto"/>
          <w:sz w:val="21"/>
          <w:szCs w:val="21"/>
          <w:highlight w:val="none"/>
        </w:rPr>
        <w:t>的性能。</w:t>
      </w:r>
      <w:r>
        <w:rPr>
          <w:rFonts w:hint="eastAsia" w:ascii="宋体" w:hAnsi="宋体" w:eastAsia="宋体" w:cs="宋体"/>
          <w:color w:val="auto"/>
          <w:sz w:val="21"/>
          <w:szCs w:val="21"/>
          <w:highlight w:val="none"/>
          <w:lang w:eastAsia="zh-CN"/>
        </w:rPr>
        <w:t>存在</w:t>
      </w:r>
      <w:r>
        <w:rPr>
          <w:rFonts w:hint="eastAsia" w:ascii="宋体" w:hAnsi="宋体" w:eastAsia="宋体" w:cs="宋体"/>
          <w:color w:val="auto"/>
          <w:sz w:val="21"/>
          <w:szCs w:val="21"/>
          <w:highlight w:val="none"/>
        </w:rPr>
        <w:t>质量保证期的，货物最终交付验收</w:t>
      </w:r>
      <w:r>
        <w:rPr>
          <w:rFonts w:hint="eastAsia" w:ascii="宋体" w:hAnsi="宋体" w:eastAsia="宋体" w:cs="宋体"/>
          <w:color w:val="auto"/>
          <w:sz w:val="21"/>
          <w:szCs w:val="21"/>
          <w:highlight w:val="none"/>
          <w:lang w:eastAsia="zh-CN"/>
        </w:rPr>
        <w:t>合格</w:t>
      </w:r>
      <w:r>
        <w:rPr>
          <w:rFonts w:hint="eastAsia" w:ascii="宋体" w:hAnsi="宋体" w:eastAsia="宋体" w:cs="宋体"/>
          <w:color w:val="auto"/>
          <w:sz w:val="21"/>
          <w:szCs w:val="21"/>
          <w:highlight w:val="none"/>
        </w:rPr>
        <w:t>后</w:t>
      </w:r>
      <w:r>
        <w:rPr>
          <w:rFonts w:hint="eastAsia" w:ascii="宋体" w:hAnsi="宋体" w:eastAsia="宋体" w:cs="宋体"/>
          <w:color w:val="auto"/>
          <w:sz w:val="21"/>
          <w:szCs w:val="21"/>
          <w:highlight w:val="none"/>
          <w:lang w:eastAsia="zh-CN"/>
        </w:rPr>
        <w:t>在</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规定或乙方</w:t>
      </w:r>
      <w:r>
        <w:rPr>
          <w:rFonts w:hint="eastAsia" w:ascii="宋体" w:hAnsi="宋体" w:eastAsia="宋体" w:cs="宋体"/>
          <w:color w:val="auto"/>
          <w:sz w:val="21"/>
          <w:szCs w:val="21"/>
          <w:highlight w:val="none"/>
          <w:lang w:eastAsia="zh-CN"/>
        </w:rPr>
        <w:t>书面</w:t>
      </w:r>
      <w:r>
        <w:rPr>
          <w:rFonts w:hint="eastAsia" w:ascii="宋体" w:hAnsi="宋体" w:eastAsia="宋体" w:cs="宋体"/>
          <w:color w:val="auto"/>
          <w:sz w:val="21"/>
          <w:szCs w:val="21"/>
          <w:highlight w:val="none"/>
        </w:rPr>
        <w:t>承诺（两者以较长的为准）的质量保证期内，本保证保持有效。</w:t>
      </w:r>
    </w:p>
    <w:p w14:paraId="047E810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（2）在质量保证期内所发现的缺陷，甲方应尽快以书面形式通知乙方。</w:t>
      </w:r>
    </w:p>
    <w:p w14:paraId="4F7C648C">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（3）乙方收到通知后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应在</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规定的响应时间内以合理的速度免费维修或更换有缺陷的货物或部件。</w:t>
      </w:r>
    </w:p>
    <w:p w14:paraId="6812D149">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.1条规定以书面形式</w:t>
      </w:r>
      <w:r>
        <w:rPr>
          <w:rFonts w:hint="eastAsia" w:ascii="宋体" w:hAnsi="宋体" w:eastAsia="宋体" w:cs="宋体"/>
          <w:color w:val="auto"/>
          <w:sz w:val="21"/>
          <w:szCs w:val="21"/>
          <w:highlight w:val="none"/>
          <w:lang w:eastAsia="zh-CN"/>
        </w:rPr>
        <w:t>追究</w:t>
      </w:r>
      <w:r>
        <w:rPr>
          <w:rFonts w:hint="eastAsia" w:ascii="宋体" w:hAnsi="宋体" w:eastAsia="宋体" w:cs="宋体"/>
          <w:color w:val="auto"/>
          <w:sz w:val="21"/>
          <w:szCs w:val="21"/>
          <w:highlight w:val="none"/>
        </w:rPr>
        <w:t>乙方</w:t>
      </w:r>
      <w:r>
        <w:rPr>
          <w:rFonts w:hint="eastAsia" w:ascii="宋体" w:hAnsi="宋体" w:eastAsia="宋体" w:cs="宋体"/>
          <w:color w:val="auto"/>
          <w:sz w:val="21"/>
          <w:szCs w:val="21"/>
          <w:highlight w:val="none"/>
          <w:lang w:eastAsia="zh-CN"/>
        </w:rPr>
        <w:t>的违约责任</w:t>
      </w:r>
      <w:r>
        <w:rPr>
          <w:rFonts w:hint="eastAsia" w:ascii="宋体" w:hAnsi="宋体" w:eastAsia="宋体" w:cs="宋体"/>
          <w:color w:val="auto"/>
          <w:sz w:val="21"/>
          <w:szCs w:val="21"/>
          <w:highlight w:val="none"/>
        </w:rPr>
        <w:t>。</w:t>
      </w:r>
    </w:p>
    <w:p w14:paraId="1B37C513">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（5）乙方在约定的时间内未能弥补缺陷，甲方可采取必要的补救措施，但其风险和费用将由乙方承担，甲方根据合同</w:t>
      </w:r>
      <w:r>
        <w:rPr>
          <w:rFonts w:hint="eastAsia" w:ascii="宋体" w:hAnsi="宋体" w:eastAsia="宋体" w:cs="宋体"/>
          <w:color w:val="auto"/>
          <w:sz w:val="21"/>
          <w:szCs w:val="21"/>
          <w:highlight w:val="none"/>
          <w:lang w:eastAsia="zh-CN"/>
        </w:rPr>
        <w:t>约定</w:t>
      </w:r>
      <w:r>
        <w:rPr>
          <w:rFonts w:hint="eastAsia" w:ascii="宋体" w:hAnsi="宋体" w:eastAsia="宋体" w:cs="宋体"/>
          <w:color w:val="auto"/>
          <w:sz w:val="21"/>
          <w:szCs w:val="21"/>
          <w:highlight w:val="none"/>
        </w:rPr>
        <w:t>对乙方行使的其他权利不受影响。</w:t>
      </w:r>
    </w:p>
    <w:p w14:paraId="203AC811">
      <w:pPr>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9</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权利瑕疵担保</w:t>
      </w:r>
    </w:p>
    <w:p w14:paraId="06DD8EB3">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9</w:t>
      </w:r>
      <w:r>
        <w:rPr>
          <w:rFonts w:hint="eastAsia" w:ascii="宋体" w:hAnsi="宋体" w:eastAsia="宋体" w:cs="宋体"/>
          <w:color w:val="auto"/>
          <w:sz w:val="21"/>
          <w:szCs w:val="21"/>
          <w:highlight w:val="none"/>
        </w:rPr>
        <w:t>.1 乙方保证对其出售的货物享有合法的权利。</w:t>
      </w:r>
    </w:p>
    <w:p w14:paraId="0BEF4E2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9</w:t>
      </w:r>
      <w:r>
        <w:rPr>
          <w:rFonts w:hint="eastAsia" w:ascii="宋体" w:hAnsi="宋体" w:eastAsia="宋体" w:cs="宋体"/>
          <w:color w:val="auto"/>
          <w:sz w:val="21"/>
          <w:szCs w:val="21"/>
          <w:highlight w:val="none"/>
        </w:rPr>
        <w:t>.2 乙方保证在交付的货物上不存在抵押权等担保物权。</w:t>
      </w:r>
    </w:p>
    <w:p w14:paraId="034222F9">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9</w:t>
      </w:r>
      <w:r>
        <w:rPr>
          <w:rFonts w:hint="eastAsia" w:ascii="宋体" w:hAnsi="宋体" w:eastAsia="宋体" w:cs="宋体"/>
          <w:color w:val="auto"/>
          <w:sz w:val="21"/>
          <w:szCs w:val="21"/>
          <w:highlight w:val="none"/>
        </w:rPr>
        <w:t>.3 如甲方使用</w:t>
      </w:r>
      <w:r>
        <w:rPr>
          <w:rFonts w:hint="eastAsia" w:ascii="宋体" w:hAnsi="宋体" w:eastAsia="宋体" w:cs="宋体"/>
          <w:color w:val="auto"/>
          <w:sz w:val="21"/>
          <w:szCs w:val="21"/>
          <w:highlight w:val="none"/>
          <w:lang w:val="en-US" w:eastAsia="zh-CN"/>
        </w:rPr>
        <w:t>上述</w:t>
      </w:r>
      <w:r>
        <w:rPr>
          <w:rFonts w:hint="eastAsia" w:ascii="宋体" w:hAnsi="宋体" w:eastAsia="宋体" w:cs="宋体"/>
          <w:color w:val="auto"/>
          <w:sz w:val="21"/>
          <w:szCs w:val="21"/>
          <w:highlight w:val="none"/>
        </w:rPr>
        <w:t>货物构成</w:t>
      </w:r>
      <w:r>
        <w:rPr>
          <w:rFonts w:hint="eastAsia" w:ascii="宋体" w:hAnsi="宋体" w:eastAsia="宋体" w:cs="宋体"/>
          <w:color w:val="auto"/>
          <w:sz w:val="21"/>
          <w:szCs w:val="21"/>
          <w:highlight w:val="none"/>
          <w:lang w:val="en-US" w:eastAsia="zh-CN"/>
        </w:rPr>
        <w:t>对第三人</w:t>
      </w:r>
      <w:r>
        <w:rPr>
          <w:rFonts w:hint="eastAsia" w:ascii="宋体" w:hAnsi="宋体" w:eastAsia="宋体" w:cs="宋体"/>
          <w:color w:val="auto"/>
          <w:sz w:val="21"/>
          <w:szCs w:val="21"/>
          <w:highlight w:val="none"/>
        </w:rPr>
        <w:t>侵权的，则由乙方承担全部责任。</w:t>
      </w:r>
    </w:p>
    <w:p w14:paraId="50BCAF9F">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0</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知识产权保护</w:t>
      </w:r>
    </w:p>
    <w:p w14:paraId="5E4BC69F">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0</w:t>
      </w:r>
      <w:r>
        <w:rPr>
          <w:rFonts w:hint="eastAsia" w:ascii="宋体" w:hAnsi="宋体" w:eastAsia="宋体" w:cs="宋体"/>
          <w:color w:val="auto"/>
          <w:sz w:val="21"/>
          <w:szCs w:val="21"/>
          <w:highlight w:val="none"/>
        </w:rPr>
        <w:t>.1 乙方对其所销售的货物应当享有知识产权或经权利人合法授权，保证没有侵犯任何第三人的知识产权等权利。</w:t>
      </w:r>
      <w:bookmarkStart w:id="314" w:name="_Hlk163047038"/>
      <w:r>
        <w:rPr>
          <w:rFonts w:hint="eastAsia" w:ascii="宋体" w:hAnsi="宋体" w:eastAsia="宋体" w:cs="宋体"/>
          <w:color w:val="auto"/>
          <w:sz w:val="21"/>
          <w:szCs w:val="21"/>
          <w:highlight w:val="none"/>
        </w:rPr>
        <w:t>因违反前述约定对第三人构成侵权的，应当由乙方向第三人承担法律责任；甲方依法向第三人赔偿后，有权向乙方追偿。甲方有其他损失的，乙方应当赔偿</w:t>
      </w:r>
      <w:bookmarkEnd w:id="314"/>
      <w:r>
        <w:rPr>
          <w:rFonts w:hint="eastAsia" w:ascii="宋体" w:hAnsi="宋体" w:eastAsia="宋体" w:cs="宋体"/>
          <w:color w:val="auto"/>
          <w:sz w:val="21"/>
          <w:szCs w:val="21"/>
          <w:highlight w:val="none"/>
        </w:rPr>
        <w:t>。</w:t>
      </w:r>
    </w:p>
    <w:p w14:paraId="5C4E430A">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1</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保密义务</w:t>
      </w:r>
    </w:p>
    <w:p w14:paraId="1ECAD0D2">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11.1 </w:t>
      </w:r>
      <w:r>
        <w:rPr>
          <w:rFonts w:hint="eastAsia" w:ascii="宋体" w:hAnsi="宋体" w:eastAsia="宋体" w:cs="宋体"/>
          <w:color w:val="auto"/>
          <w:sz w:val="21"/>
          <w:szCs w:val="21"/>
          <w:highlight w:val="none"/>
        </w:rPr>
        <w:t>甲、乙双方</w:t>
      </w:r>
      <w:r>
        <w:rPr>
          <w:rFonts w:hint="eastAsia" w:ascii="宋体" w:hAnsi="宋体" w:eastAsia="宋体" w:cs="宋体"/>
          <w:color w:val="auto"/>
          <w:sz w:val="21"/>
          <w:szCs w:val="21"/>
          <w:highlight w:val="none"/>
          <w:lang w:eastAsia="zh-CN"/>
        </w:rPr>
        <w:t>对</w:t>
      </w:r>
      <w:r>
        <w:rPr>
          <w:rFonts w:hint="eastAsia" w:ascii="宋体" w:hAnsi="宋体" w:eastAsia="宋体" w:cs="宋体"/>
          <w:color w:val="auto"/>
          <w:sz w:val="21"/>
          <w:szCs w:val="21"/>
          <w:highlight w:val="none"/>
        </w:rPr>
        <w:t>采购和合同履行过程中所获悉的</w:t>
      </w:r>
      <w:r>
        <w:rPr>
          <w:rFonts w:hint="eastAsia" w:ascii="宋体" w:hAnsi="宋体" w:eastAsia="宋体" w:cs="宋体"/>
          <w:color w:val="auto"/>
          <w:sz w:val="21"/>
          <w:szCs w:val="21"/>
          <w:highlight w:val="none"/>
          <w:lang w:eastAsia="zh-CN"/>
        </w:rPr>
        <w:t>国家秘密、工作秘密、</w:t>
      </w:r>
      <w:r>
        <w:rPr>
          <w:rFonts w:hint="eastAsia" w:ascii="宋体" w:hAnsi="宋体" w:eastAsia="宋体" w:cs="宋体"/>
          <w:color w:val="auto"/>
          <w:sz w:val="21"/>
          <w:szCs w:val="21"/>
          <w:highlight w:val="none"/>
        </w:rPr>
        <w:t>商业秘密或者其他应当保密的信息，均有保密义务</w:t>
      </w:r>
      <w:r>
        <w:rPr>
          <w:rFonts w:hint="eastAsia" w:ascii="宋体" w:hAnsi="宋体" w:eastAsia="宋体" w:cs="宋体"/>
          <w:color w:val="auto"/>
          <w:sz w:val="21"/>
          <w:szCs w:val="21"/>
          <w:highlight w:val="none"/>
          <w:lang w:eastAsia="zh-CN"/>
        </w:rPr>
        <w:t>且不受合同有效期所限，直至该信息成为公开信息</w:t>
      </w:r>
      <w:r>
        <w:rPr>
          <w:rFonts w:hint="eastAsia" w:ascii="宋体" w:hAnsi="宋体" w:eastAsia="宋体" w:cs="宋体"/>
          <w:color w:val="auto"/>
          <w:sz w:val="21"/>
          <w:szCs w:val="21"/>
          <w:highlight w:val="none"/>
        </w:rPr>
        <w:t>。泄露、不正当地使用</w:t>
      </w:r>
      <w:r>
        <w:rPr>
          <w:rFonts w:hint="eastAsia" w:ascii="宋体" w:hAnsi="宋体" w:eastAsia="宋体" w:cs="宋体"/>
          <w:color w:val="auto"/>
          <w:sz w:val="21"/>
          <w:szCs w:val="21"/>
          <w:highlight w:val="none"/>
          <w:lang w:eastAsia="zh-CN"/>
        </w:rPr>
        <w:t>国家秘密、工作秘密、</w:t>
      </w:r>
      <w:r>
        <w:rPr>
          <w:rFonts w:hint="eastAsia" w:ascii="宋体" w:hAnsi="宋体" w:eastAsia="宋体" w:cs="宋体"/>
          <w:color w:val="auto"/>
          <w:sz w:val="21"/>
          <w:szCs w:val="21"/>
          <w:highlight w:val="none"/>
        </w:rPr>
        <w:t>商业秘密或者</w:t>
      </w:r>
      <w:r>
        <w:rPr>
          <w:rFonts w:hint="eastAsia" w:ascii="宋体" w:hAnsi="宋体" w:eastAsia="宋体" w:cs="宋体"/>
          <w:color w:val="auto"/>
          <w:sz w:val="21"/>
          <w:szCs w:val="21"/>
          <w:highlight w:val="none"/>
          <w:lang w:eastAsia="zh-CN"/>
        </w:rPr>
        <w:t>其他应当保密的</w:t>
      </w:r>
      <w:r>
        <w:rPr>
          <w:rFonts w:hint="eastAsia" w:ascii="宋体" w:hAnsi="宋体" w:eastAsia="宋体" w:cs="宋体"/>
          <w:color w:val="auto"/>
          <w:sz w:val="21"/>
          <w:szCs w:val="21"/>
          <w:highlight w:val="none"/>
        </w:rPr>
        <w:t>信息，应当承担</w:t>
      </w:r>
      <w:r>
        <w:rPr>
          <w:rFonts w:hint="eastAsia" w:ascii="宋体" w:hAnsi="宋体" w:eastAsia="宋体" w:cs="宋体"/>
          <w:color w:val="auto"/>
          <w:sz w:val="21"/>
          <w:szCs w:val="21"/>
          <w:highlight w:val="none"/>
          <w:lang w:eastAsia="zh-CN"/>
        </w:rPr>
        <w:t>相应</w:t>
      </w:r>
      <w:r>
        <w:rPr>
          <w:rFonts w:hint="eastAsia" w:ascii="宋体" w:hAnsi="宋体" w:eastAsia="宋体" w:cs="宋体"/>
          <w:color w:val="auto"/>
          <w:sz w:val="21"/>
          <w:szCs w:val="21"/>
          <w:highlight w:val="none"/>
        </w:rPr>
        <w:t>责任。其他应当保密的信息由双方在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中约定。</w:t>
      </w:r>
    </w:p>
    <w:p w14:paraId="64F667B0">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2</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合同价款支付</w:t>
      </w:r>
    </w:p>
    <w:p w14:paraId="7337BACD">
      <w:pPr>
        <w:autoSpaceDE/>
        <w:autoSpaceDN/>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2</w:t>
      </w:r>
      <w:r>
        <w:rPr>
          <w:rFonts w:hint="eastAsia" w:ascii="宋体" w:hAnsi="宋体" w:eastAsia="宋体" w:cs="宋体"/>
          <w:color w:val="auto"/>
          <w:sz w:val="21"/>
          <w:szCs w:val="21"/>
          <w:highlight w:val="none"/>
        </w:rPr>
        <w:t xml:space="preserve">.1 </w:t>
      </w:r>
      <w:r>
        <w:rPr>
          <w:rFonts w:hint="eastAsia" w:ascii="宋体" w:hAnsi="宋体" w:eastAsia="宋体" w:cs="宋体"/>
          <w:color w:val="auto"/>
          <w:sz w:val="21"/>
          <w:szCs w:val="21"/>
          <w:highlight w:val="none"/>
          <w:lang w:eastAsia="zh-CN"/>
        </w:rPr>
        <w:t>合同价款支付</w:t>
      </w:r>
      <w:r>
        <w:rPr>
          <w:rFonts w:hint="eastAsia" w:ascii="宋体" w:hAnsi="宋体" w:eastAsia="宋体" w:cs="宋体"/>
          <w:color w:val="auto"/>
          <w:sz w:val="21"/>
          <w:szCs w:val="21"/>
          <w:highlight w:val="none"/>
        </w:rPr>
        <w:t>按照国库集中支付</w:t>
      </w:r>
      <w:r>
        <w:rPr>
          <w:rFonts w:hint="eastAsia" w:ascii="宋体" w:hAnsi="宋体" w:eastAsia="宋体" w:cs="宋体"/>
          <w:color w:val="auto"/>
          <w:sz w:val="21"/>
          <w:szCs w:val="21"/>
          <w:highlight w:val="none"/>
          <w:lang w:eastAsia="zh-CN"/>
        </w:rPr>
        <w:t>制度及财政管理相关</w:t>
      </w:r>
      <w:r>
        <w:rPr>
          <w:rFonts w:hint="eastAsia" w:ascii="宋体" w:hAnsi="宋体" w:eastAsia="宋体" w:cs="宋体"/>
          <w:color w:val="auto"/>
          <w:sz w:val="21"/>
          <w:szCs w:val="21"/>
          <w:highlight w:val="none"/>
        </w:rPr>
        <w:t>规定执行。</w:t>
      </w:r>
    </w:p>
    <w:p w14:paraId="437B5284">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12.2 对于满足合同约定支付条件的，甲方原则上应当自收到发票后10个工作日内将资</w:t>
      </w:r>
      <w:r>
        <w:rPr>
          <w:rFonts w:hint="eastAsia" w:ascii="宋体" w:hAnsi="宋体" w:eastAsia="宋体" w:cs="宋体"/>
          <w:color w:val="auto"/>
          <w:sz w:val="21"/>
          <w:szCs w:val="21"/>
          <w:highlight w:val="none"/>
        </w:rPr>
        <w:t>金支付到合同约定的</w:t>
      </w:r>
      <w:r>
        <w:rPr>
          <w:rFonts w:hint="eastAsia" w:ascii="宋体" w:hAnsi="宋体" w:eastAsia="宋体" w:cs="宋体"/>
          <w:color w:val="auto"/>
          <w:sz w:val="21"/>
          <w:szCs w:val="21"/>
          <w:highlight w:val="none"/>
          <w:lang w:eastAsia="zh-CN"/>
        </w:rPr>
        <w:t>乙方</w:t>
      </w:r>
      <w:r>
        <w:rPr>
          <w:rFonts w:hint="eastAsia" w:ascii="宋体" w:hAnsi="宋体" w:eastAsia="宋体" w:cs="宋体"/>
          <w:color w:val="auto"/>
          <w:sz w:val="21"/>
          <w:szCs w:val="21"/>
          <w:highlight w:val="none"/>
        </w:rPr>
        <w:t>账户，不得以机构变动、人员更替、政策调整等为由迟延付款，不得将采购文件和合同中未规定的义务作为向</w:t>
      </w:r>
      <w:r>
        <w:rPr>
          <w:rFonts w:hint="eastAsia" w:ascii="宋体" w:hAnsi="宋体" w:eastAsia="宋体" w:cs="宋体"/>
          <w:color w:val="auto"/>
          <w:sz w:val="21"/>
          <w:szCs w:val="21"/>
          <w:highlight w:val="none"/>
          <w:lang w:val="en-US" w:eastAsia="zh-CN"/>
        </w:rPr>
        <w:t>乙方</w:t>
      </w:r>
      <w:r>
        <w:rPr>
          <w:rFonts w:hint="eastAsia" w:ascii="宋体" w:hAnsi="宋体" w:eastAsia="宋体" w:cs="宋体"/>
          <w:color w:val="auto"/>
          <w:sz w:val="21"/>
          <w:szCs w:val="21"/>
          <w:highlight w:val="none"/>
        </w:rPr>
        <w:t>付款的条件。具体合同价款支付时间在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中</w:t>
      </w:r>
      <w:r>
        <w:rPr>
          <w:rFonts w:hint="eastAsia" w:ascii="宋体" w:hAnsi="宋体" w:eastAsia="宋体" w:cs="宋体"/>
          <w:color w:val="auto"/>
          <w:sz w:val="21"/>
          <w:szCs w:val="21"/>
          <w:highlight w:val="none"/>
          <w:lang w:eastAsia="zh-CN"/>
        </w:rPr>
        <w:t>约</w:t>
      </w:r>
      <w:r>
        <w:rPr>
          <w:rFonts w:hint="eastAsia" w:ascii="宋体" w:hAnsi="宋体" w:eastAsia="宋体" w:cs="宋体"/>
          <w:color w:val="auto"/>
          <w:sz w:val="21"/>
          <w:szCs w:val="21"/>
          <w:highlight w:val="none"/>
        </w:rPr>
        <w:t>定。</w:t>
      </w:r>
    </w:p>
    <w:p w14:paraId="251B4D0E">
      <w:pPr>
        <w:pStyle w:val="14"/>
        <w:spacing w:after="0" w:line="400" w:lineRule="exac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3</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履约保证金</w:t>
      </w:r>
    </w:p>
    <w:p w14:paraId="6ECEE5A6">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.1 乙方应当以支票、汇票、本票或者金融机构、担保机构出具的保函等非现金形式提交。</w:t>
      </w:r>
    </w:p>
    <w:p w14:paraId="6B569426">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.2 如果乙方</w:t>
      </w:r>
      <w:r>
        <w:rPr>
          <w:rFonts w:hint="eastAsia" w:ascii="宋体" w:hAnsi="宋体" w:eastAsia="宋体" w:cs="宋体"/>
          <w:color w:val="auto"/>
          <w:sz w:val="21"/>
          <w:szCs w:val="21"/>
          <w:highlight w:val="none"/>
          <w:lang w:eastAsia="zh-CN"/>
        </w:rPr>
        <w:t>出现</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b w:val="0"/>
          <w:bCs w:val="0"/>
          <w:color w:val="auto"/>
          <w:sz w:val="21"/>
          <w:szCs w:val="21"/>
          <w:highlight w:val="none"/>
          <w:lang w:eastAsia="zh-CN"/>
        </w:rPr>
        <w:t>约定情形的</w:t>
      </w:r>
      <w:r>
        <w:rPr>
          <w:rFonts w:hint="eastAsia" w:ascii="宋体" w:hAnsi="宋体" w:eastAsia="宋体" w:cs="宋体"/>
          <w:color w:val="auto"/>
          <w:sz w:val="21"/>
          <w:szCs w:val="21"/>
          <w:highlight w:val="none"/>
        </w:rPr>
        <w:t>，履约保证金不予退还；如果乙方未能按合同约定全面履行义务，甲方有权从履约保证金中取得补偿或赔偿，</w:t>
      </w:r>
      <w:r>
        <w:rPr>
          <w:rFonts w:hint="eastAsia" w:ascii="宋体" w:hAnsi="宋体" w:eastAsia="宋体" w:cs="宋体"/>
          <w:color w:val="auto"/>
          <w:sz w:val="21"/>
          <w:szCs w:val="21"/>
          <w:highlight w:val="none"/>
          <w:lang w:eastAsia="zh-CN"/>
        </w:rPr>
        <w:t>且</w:t>
      </w:r>
      <w:r>
        <w:rPr>
          <w:rFonts w:hint="eastAsia" w:ascii="宋体" w:hAnsi="宋体" w:eastAsia="宋体" w:cs="宋体"/>
          <w:color w:val="auto"/>
          <w:sz w:val="21"/>
          <w:szCs w:val="21"/>
          <w:highlight w:val="none"/>
        </w:rPr>
        <w:t>不影响甲方要求乙方承担合同约定的超过履约保证金的违约责任的权利。</w:t>
      </w:r>
    </w:p>
    <w:p w14:paraId="032B324D">
      <w:pPr>
        <w:spacing w:line="400" w:lineRule="exact"/>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3</w:t>
      </w:r>
      <w:r>
        <w:rPr>
          <w:rFonts w:hint="eastAsia" w:ascii="宋体" w:hAnsi="宋体" w:eastAsia="宋体" w:cs="宋体"/>
          <w:color w:val="auto"/>
          <w:sz w:val="21"/>
          <w:szCs w:val="21"/>
          <w:highlight w:val="none"/>
        </w:rPr>
        <w:t>.3 甲方在项目通过验收后按照</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规定的时间内将履约保证金退还乙方；逾期退还的，乙方可要求甲方支付违约金，违约金按照</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规定支付。</w:t>
      </w:r>
    </w:p>
    <w:p w14:paraId="1E608E2F">
      <w:p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4</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color w:val="auto"/>
          <w:sz w:val="21"/>
          <w:szCs w:val="21"/>
          <w:highlight w:val="none"/>
        </w:rPr>
        <w:t>售后服务</w:t>
      </w:r>
    </w:p>
    <w:p w14:paraId="36E9405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4</w:t>
      </w:r>
      <w:r>
        <w:rPr>
          <w:rFonts w:hint="eastAsia" w:ascii="宋体" w:hAnsi="宋体" w:eastAsia="宋体" w:cs="宋体"/>
          <w:color w:val="auto"/>
          <w:sz w:val="21"/>
          <w:szCs w:val="21"/>
          <w:highlight w:val="none"/>
        </w:rPr>
        <w:t>.1 除项目不涉及或采购活动中明确约定无须承担外，乙方还应提供下列服务：</w:t>
      </w:r>
    </w:p>
    <w:p w14:paraId="12CBAEF5">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（1）货物的现场移动、安装、调试、启动监督及技术支持；</w:t>
      </w:r>
    </w:p>
    <w:p w14:paraId="5A304416">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（2）提供货物组装和维修所需的专用工具和辅助材料；</w:t>
      </w:r>
    </w:p>
    <w:p w14:paraId="0086DE7A">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（3）在</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lang w:eastAsia="zh-CN"/>
        </w:rPr>
        <w:t>约定</w:t>
      </w:r>
      <w:r>
        <w:rPr>
          <w:rFonts w:hint="eastAsia" w:ascii="宋体" w:hAnsi="宋体" w:eastAsia="宋体" w:cs="宋体"/>
          <w:color w:val="auto"/>
          <w:sz w:val="21"/>
          <w:szCs w:val="21"/>
          <w:highlight w:val="none"/>
        </w:rPr>
        <w:t>的期限内对所有的货物实施运行监督、维修，但前提条件是该服务并不能免除乙方在质量保证期内所承担的义务；</w:t>
      </w:r>
    </w:p>
    <w:p w14:paraId="3FE92964">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（4）在制造商</w:t>
      </w:r>
      <w:r>
        <w:rPr>
          <w:rFonts w:hint="eastAsia" w:ascii="宋体" w:hAnsi="宋体" w:eastAsia="宋体" w:cs="宋体"/>
          <w:color w:val="auto"/>
          <w:sz w:val="21"/>
          <w:szCs w:val="21"/>
          <w:highlight w:val="none"/>
          <w:lang w:eastAsia="zh-CN"/>
        </w:rPr>
        <w:t>所在地</w:t>
      </w:r>
      <w:r>
        <w:rPr>
          <w:rFonts w:hint="eastAsia" w:ascii="宋体" w:hAnsi="宋体" w:eastAsia="宋体" w:cs="宋体"/>
          <w:color w:val="auto"/>
          <w:sz w:val="21"/>
          <w:szCs w:val="21"/>
          <w:highlight w:val="none"/>
        </w:rPr>
        <w:t>或</w:t>
      </w:r>
      <w:r>
        <w:rPr>
          <w:rFonts w:hint="eastAsia" w:ascii="宋体" w:hAnsi="宋体" w:eastAsia="宋体" w:cs="宋体"/>
          <w:color w:val="auto"/>
          <w:sz w:val="21"/>
          <w:szCs w:val="21"/>
          <w:highlight w:val="none"/>
          <w:lang w:eastAsia="zh-CN"/>
        </w:rPr>
        <w:t>指定</w:t>
      </w:r>
      <w:r>
        <w:rPr>
          <w:rFonts w:hint="eastAsia" w:ascii="宋体" w:hAnsi="宋体" w:eastAsia="宋体" w:cs="宋体"/>
          <w:color w:val="auto"/>
          <w:sz w:val="21"/>
          <w:szCs w:val="21"/>
          <w:highlight w:val="none"/>
        </w:rPr>
        <w:t>现场就货物的安装、启动、运营、维护</w:t>
      </w:r>
      <w:r>
        <w:rPr>
          <w:rFonts w:hint="eastAsia" w:ascii="宋体" w:hAnsi="宋体" w:eastAsia="宋体" w:cs="宋体"/>
          <w:color w:val="auto"/>
          <w:sz w:val="21"/>
          <w:szCs w:val="21"/>
          <w:highlight w:val="none"/>
          <w:lang w:eastAsia="zh-CN"/>
        </w:rPr>
        <w:t>、废弃处置等</w:t>
      </w:r>
      <w:r>
        <w:rPr>
          <w:rFonts w:hint="eastAsia" w:ascii="宋体" w:hAnsi="宋体" w:eastAsia="宋体" w:cs="宋体"/>
          <w:color w:val="auto"/>
          <w:sz w:val="21"/>
          <w:szCs w:val="21"/>
          <w:highlight w:val="none"/>
        </w:rPr>
        <w:t>对甲方操作人员进行培训</w:t>
      </w:r>
      <w:r>
        <w:rPr>
          <w:rFonts w:hint="eastAsia" w:ascii="宋体" w:hAnsi="宋体" w:eastAsia="宋体" w:cs="宋体"/>
          <w:color w:val="auto"/>
          <w:sz w:val="21"/>
          <w:szCs w:val="21"/>
          <w:highlight w:val="none"/>
          <w:lang w:eastAsia="zh-CN"/>
        </w:rPr>
        <w:t>；</w:t>
      </w:r>
    </w:p>
    <w:p w14:paraId="747F1497">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（5）依照法律、行政法规的规定或者按照</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约定，货物在有效使用年限届满后应予回收的，乙方负有自行或者委托第三人对货物予以回收的义务；</w:t>
      </w:r>
    </w:p>
    <w:p w14:paraId="32781964">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规定由乙方提供的其他服务。</w:t>
      </w:r>
    </w:p>
    <w:p w14:paraId="309ABD4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.2 乙方提供的</w:t>
      </w:r>
      <w:r>
        <w:rPr>
          <w:rFonts w:hint="eastAsia" w:ascii="宋体" w:hAnsi="宋体" w:eastAsia="宋体" w:cs="宋体"/>
          <w:color w:val="auto"/>
          <w:sz w:val="21"/>
          <w:szCs w:val="21"/>
          <w:highlight w:val="none"/>
          <w:lang w:eastAsia="zh-CN"/>
        </w:rPr>
        <w:t>售后</w:t>
      </w:r>
      <w:r>
        <w:rPr>
          <w:rFonts w:hint="eastAsia" w:ascii="宋体" w:hAnsi="宋体" w:eastAsia="宋体" w:cs="宋体"/>
          <w:color w:val="auto"/>
          <w:sz w:val="21"/>
          <w:szCs w:val="21"/>
          <w:highlight w:val="none"/>
        </w:rPr>
        <w:t>服务的费用</w:t>
      </w:r>
      <w:r>
        <w:rPr>
          <w:rFonts w:hint="eastAsia" w:ascii="宋体" w:hAnsi="宋体" w:eastAsia="宋体" w:cs="宋体"/>
          <w:color w:val="auto"/>
          <w:sz w:val="21"/>
          <w:szCs w:val="21"/>
          <w:highlight w:val="none"/>
          <w:lang w:val="en-US" w:eastAsia="zh-CN"/>
        </w:rPr>
        <w:t>已</w:t>
      </w:r>
      <w:r>
        <w:rPr>
          <w:rFonts w:hint="eastAsia" w:ascii="宋体" w:hAnsi="宋体" w:eastAsia="宋体" w:cs="宋体"/>
          <w:color w:val="auto"/>
          <w:sz w:val="21"/>
          <w:szCs w:val="21"/>
          <w:highlight w:val="none"/>
        </w:rPr>
        <w:t>包含在合同价款中，甲方不再另行支付。</w:t>
      </w:r>
    </w:p>
    <w:p w14:paraId="40DE2B71">
      <w:pPr>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eastAsia="zh-CN"/>
        </w:rPr>
        <w:t>5</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违约责任</w:t>
      </w:r>
    </w:p>
    <w:p w14:paraId="77427158">
      <w:pPr>
        <w:adjustRightInd w:val="0"/>
        <w:snapToGrid w:val="0"/>
        <w:spacing w:before="0" w:line="40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5</w:t>
      </w:r>
      <w:r>
        <w:rPr>
          <w:rFonts w:hint="eastAsia" w:ascii="宋体" w:hAnsi="宋体" w:eastAsia="宋体" w:cs="宋体"/>
          <w:bCs/>
          <w:color w:val="auto"/>
          <w:sz w:val="21"/>
          <w:szCs w:val="21"/>
          <w:highlight w:val="none"/>
        </w:rPr>
        <w:t>.1质量瑕疵的</w:t>
      </w:r>
      <w:r>
        <w:rPr>
          <w:rFonts w:hint="eastAsia" w:ascii="宋体" w:hAnsi="宋体" w:eastAsia="宋体" w:cs="宋体"/>
          <w:bCs/>
          <w:color w:val="auto"/>
          <w:sz w:val="21"/>
          <w:szCs w:val="21"/>
          <w:highlight w:val="none"/>
          <w:lang w:eastAsia="zh-CN"/>
        </w:rPr>
        <w:t>违约责任</w:t>
      </w:r>
    </w:p>
    <w:p w14:paraId="52445D26">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乙方</w:t>
      </w:r>
      <w:r>
        <w:rPr>
          <w:rFonts w:hint="eastAsia" w:ascii="宋体" w:hAnsi="宋体" w:eastAsia="宋体" w:cs="宋体"/>
          <w:color w:val="auto"/>
          <w:sz w:val="21"/>
          <w:szCs w:val="21"/>
          <w:highlight w:val="none"/>
          <w:lang w:eastAsia="zh-CN"/>
        </w:rPr>
        <w:t>提供</w:t>
      </w:r>
      <w:r>
        <w:rPr>
          <w:rFonts w:hint="eastAsia" w:ascii="宋体" w:hAnsi="宋体" w:eastAsia="宋体" w:cs="宋体"/>
          <w:color w:val="auto"/>
          <w:sz w:val="21"/>
          <w:szCs w:val="21"/>
          <w:highlight w:val="none"/>
        </w:rPr>
        <w:t>的产品不符合</w:t>
      </w:r>
      <w:r>
        <w:rPr>
          <w:rFonts w:hint="eastAsia" w:ascii="宋体" w:hAnsi="宋体" w:eastAsia="宋体" w:cs="宋体"/>
          <w:color w:val="auto"/>
          <w:sz w:val="21"/>
          <w:szCs w:val="21"/>
          <w:highlight w:val="none"/>
          <w:lang w:eastAsia="zh-CN"/>
        </w:rPr>
        <w:t>合同约定的</w:t>
      </w:r>
      <w:r>
        <w:rPr>
          <w:rFonts w:hint="eastAsia" w:ascii="宋体" w:hAnsi="宋体" w:eastAsia="宋体" w:cs="宋体"/>
          <w:color w:val="auto"/>
          <w:sz w:val="21"/>
          <w:szCs w:val="21"/>
          <w:highlight w:val="none"/>
        </w:rPr>
        <w:t>质量标准或存在产品质量缺陷，</w:t>
      </w:r>
      <w:r>
        <w:rPr>
          <w:rFonts w:hint="eastAsia" w:ascii="宋体" w:hAnsi="宋体" w:eastAsia="宋体" w:cs="宋体"/>
          <w:color w:val="auto"/>
          <w:sz w:val="21"/>
          <w:szCs w:val="21"/>
          <w:highlight w:val="none"/>
          <w:lang w:eastAsia="zh-CN"/>
        </w:rPr>
        <w:t>甲方有权要求乙方根据</w:t>
      </w:r>
      <w:r>
        <w:rPr>
          <w:rFonts w:hint="eastAsia" w:ascii="宋体" w:hAnsi="宋体" w:eastAsia="宋体" w:cs="宋体"/>
          <w:b/>
          <w:color w:val="auto"/>
          <w:sz w:val="21"/>
          <w:szCs w:val="21"/>
          <w:highlight w:val="none"/>
        </w:rPr>
        <w:t>【政府采购合同专用条款】</w:t>
      </w:r>
      <w:r>
        <w:rPr>
          <w:rFonts w:hint="eastAsia" w:ascii="宋体" w:hAnsi="宋体" w:eastAsia="宋体" w:cs="宋体"/>
          <w:b w:val="0"/>
          <w:bCs/>
          <w:color w:val="auto"/>
          <w:sz w:val="21"/>
          <w:szCs w:val="21"/>
          <w:highlight w:val="none"/>
          <w:lang w:eastAsia="zh-CN"/>
        </w:rPr>
        <w:t>要求</w:t>
      </w:r>
      <w:r>
        <w:rPr>
          <w:rFonts w:hint="eastAsia" w:ascii="宋体" w:hAnsi="宋体" w:eastAsia="宋体" w:cs="宋体"/>
          <w:color w:val="auto"/>
          <w:sz w:val="21"/>
          <w:szCs w:val="21"/>
          <w:highlight w:val="none"/>
          <w:lang w:eastAsia="zh-CN"/>
        </w:rPr>
        <w:t>及时修理、重作、更换，并承担由此给甲</w:t>
      </w:r>
      <w:r>
        <w:rPr>
          <w:rFonts w:hint="eastAsia" w:ascii="宋体" w:hAnsi="宋体" w:eastAsia="宋体" w:cs="宋体"/>
          <w:color w:val="auto"/>
          <w:sz w:val="21"/>
          <w:szCs w:val="21"/>
          <w:highlight w:val="none"/>
        </w:rPr>
        <w:t>方</w:t>
      </w:r>
      <w:r>
        <w:rPr>
          <w:rFonts w:hint="eastAsia" w:ascii="宋体" w:hAnsi="宋体" w:eastAsia="宋体" w:cs="宋体"/>
          <w:color w:val="auto"/>
          <w:sz w:val="21"/>
          <w:szCs w:val="21"/>
          <w:highlight w:val="none"/>
          <w:lang w:eastAsia="zh-CN"/>
        </w:rPr>
        <w:t>造成的损失</w:t>
      </w:r>
      <w:r>
        <w:rPr>
          <w:rFonts w:hint="eastAsia" w:ascii="宋体" w:hAnsi="宋体" w:eastAsia="宋体" w:cs="宋体"/>
          <w:color w:val="auto"/>
          <w:sz w:val="21"/>
          <w:szCs w:val="21"/>
          <w:highlight w:val="none"/>
        </w:rPr>
        <w:t>。</w:t>
      </w:r>
    </w:p>
    <w:p w14:paraId="45889194">
      <w:pPr>
        <w:autoSpaceDE w:val="0"/>
        <w:autoSpaceDN w:val="0"/>
        <w:adjustRightInd w:val="0"/>
        <w:snapToGrid w:val="0"/>
        <w:spacing w:before="0" w:line="40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5</w:t>
      </w:r>
      <w:r>
        <w:rPr>
          <w:rFonts w:hint="eastAsia" w:ascii="宋体" w:hAnsi="宋体" w:eastAsia="宋体" w:cs="宋体"/>
          <w:bCs/>
          <w:color w:val="auto"/>
          <w:sz w:val="21"/>
          <w:szCs w:val="21"/>
          <w:highlight w:val="none"/>
        </w:rPr>
        <w:t>.2 迟延交货的违约责任</w:t>
      </w:r>
    </w:p>
    <w:p w14:paraId="6F2D81E2">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（1）乙方应按照本合同规定的时间、地点交货和提供</w:t>
      </w:r>
      <w:r>
        <w:rPr>
          <w:rFonts w:hint="eastAsia" w:ascii="宋体" w:hAnsi="宋体" w:eastAsia="宋体" w:cs="宋体"/>
          <w:color w:val="auto"/>
          <w:sz w:val="21"/>
          <w:szCs w:val="21"/>
          <w:highlight w:val="none"/>
          <w:lang w:eastAsia="zh-CN"/>
        </w:rPr>
        <w:t>相关</w:t>
      </w:r>
      <w:r>
        <w:rPr>
          <w:rFonts w:hint="eastAsia" w:ascii="宋体" w:hAnsi="宋体" w:eastAsia="宋体" w:cs="宋体"/>
          <w:color w:val="auto"/>
          <w:sz w:val="21"/>
          <w:szCs w:val="21"/>
          <w:highlight w:val="none"/>
        </w:rPr>
        <w:t>服务。在履行合同过程中，如果乙方遇到可能</w:t>
      </w:r>
      <w:r>
        <w:rPr>
          <w:rFonts w:hint="eastAsia" w:ascii="宋体" w:hAnsi="宋体" w:eastAsia="宋体" w:cs="宋体"/>
          <w:color w:val="auto"/>
          <w:sz w:val="21"/>
          <w:szCs w:val="21"/>
          <w:highlight w:val="none"/>
          <w:lang w:eastAsia="zh-CN"/>
        </w:rPr>
        <w:t>影响</w:t>
      </w:r>
      <w:r>
        <w:rPr>
          <w:rFonts w:hint="eastAsia" w:ascii="宋体" w:hAnsi="宋体" w:eastAsia="宋体" w:cs="宋体"/>
          <w:color w:val="auto"/>
          <w:sz w:val="21"/>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s="宋体"/>
          <w:color w:val="auto"/>
          <w:sz w:val="21"/>
          <w:szCs w:val="21"/>
          <w:highlight w:val="none"/>
          <w:lang w:eastAsia="zh-CN"/>
        </w:rPr>
        <w:t>长</w:t>
      </w:r>
      <w:r>
        <w:rPr>
          <w:rFonts w:hint="eastAsia" w:ascii="宋体" w:hAnsi="宋体" w:eastAsia="宋体" w:cs="宋体"/>
          <w:color w:val="auto"/>
          <w:sz w:val="21"/>
          <w:szCs w:val="21"/>
          <w:highlight w:val="none"/>
        </w:rPr>
        <w:t>交货时间或延期提供服务。</w:t>
      </w:r>
    </w:p>
    <w:p w14:paraId="4D1EFA94">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（2）如果乙方没有按照合同规定的时间交货和提供</w:t>
      </w:r>
      <w:r>
        <w:rPr>
          <w:rFonts w:hint="eastAsia" w:ascii="宋体" w:hAnsi="宋体" w:eastAsia="宋体" w:cs="宋体"/>
          <w:color w:val="auto"/>
          <w:sz w:val="21"/>
          <w:szCs w:val="21"/>
          <w:highlight w:val="none"/>
          <w:lang w:eastAsia="zh-CN"/>
        </w:rPr>
        <w:t>相关</w:t>
      </w:r>
      <w:r>
        <w:rPr>
          <w:rFonts w:hint="eastAsia" w:ascii="宋体" w:hAnsi="宋体" w:eastAsia="宋体" w:cs="宋体"/>
          <w:color w:val="auto"/>
          <w:sz w:val="21"/>
          <w:szCs w:val="21"/>
          <w:highlight w:val="none"/>
        </w:rPr>
        <w:t>服务，甲方有权从货款中扣除误期赔偿费而不影响合同项下的其他补救方法，赔偿费按</w:t>
      </w:r>
      <w:r>
        <w:rPr>
          <w:rFonts w:hint="eastAsia" w:ascii="宋体" w:hAnsi="宋体" w:eastAsia="宋体" w:cs="宋体"/>
          <w:b/>
          <w:color w:val="auto"/>
          <w:sz w:val="21"/>
          <w:szCs w:val="21"/>
          <w:highlight w:val="none"/>
        </w:rPr>
        <w:t>【政府采购合同专用条款】</w:t>
      </w:r>
      <w:r>
        <w:rPr>
          <w:rFonts w:hint="eastAsia" w:ascii="宋体" w:hAnsi="宋体" w:eastAsia="宋体" w:cs="宋体"/>
          <w:color w:val="auto"/>
          <w:sz w:val="21"/>
          <w:szCs w:val="21"/>
          <w:highlight w:val="none"/>
        </w:rPr>
        <w:t>规定执行。如果涉及公共利益，且赔偿金额无法弥补公共利益损失，</w:t>
      </w:r>
      <w:r>
        <w:rPr>
          <w:rFonts w:hint="eastAsia" w:ascii="宋体" w:hAnsi="宋体" w:eastAsia="宋体" w:cs="宋体"/>
          <w:color w:val="auto"/>
          <w:sz w:val="21"/>
          <w:szCs w:val="21"/>
          <w:highlight w:val="none"/>
          <w:lang w:eastAsia="zh-CN"/>
        </w:rPr>
        <w:t>甲方</w:t>
      </w:r>
      <w:r>
        <w:rPr>
          <w:rFonts w:hint="eastAsia" w:ascii="宋体" w:hAnsi="宋体" w:eastAsia="宋体" w:cs="宋体"/>
          <w:color w:val="auto"/>
          <w:sz w:val="21"/>
          <w:szCs w:val="21"/>
          <w:highlight w:val="none"/>
        </w:rPr>
        <w:t>可要求继续履行或者</w:t>
      </w:r>
      <w:r>
        <w:rPr>
          <w:rFonts w:hint="eastAsia" w:ascii="宋体" w:hAnsi="宋体" w:eastAsia="宋体" w:cs="宋体"/>
          <w:color w:val="auto"/>
          <w:sz w:val="21"/>
          <w:szCs w:val="21"/>
          <w:highlight w:val="none"/>
          <w:lang w:eastAsia="zh-CN"/>
        </w:rPr>
        <w:t>采取其他补救措施</w:t>
      </w:r>
      <w:r>
        <w:rPr>
          <w:rFonts w:hint="eastAsia" w:ascii="宋体" w:hAnsi="宋体" w:eastAsia="宋体" w:cs="宋体"/>
          <w:color w:val="auto"/>
          <w:sz w:val="21"/>
          <w:szCs w:val="21"/>
          <w:highlight w:val="none"/>
        </w:rPr>
        <w:t>。</w:t>
      </w:r>
    </w:p>
    <w:p w14:paraId="097BC40B">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eastAsia="zh-CN"/>
        </w:rPr>
        <w:t>5</w:t>
      </w:r>
      <w:r>
        <w:rPr>
          <w:rFonts w:hint="eastAsia" w:ascii="宋体" w:hAnsi="宋体" w:eastAsia="宋体" w:cs="宋体"/>
          <w:color w:val="auto"/>
          <w:sz w:val="21"/>
          <w:szCs w:val="21"/>
          <w:highlight w:val="none"/>
        </w:rPr>
        <w:t>.3 迟延支付的违约责任</w:t>
      </w:r>
    </w:p>
    <w:p w14:paraId="03732E9D">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甲方存在迟延支付乙方合同款项的，应当承担</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规定的逾期付款利息。</w:t>
      </w:r>
    </w:p>
    <w:p w14:paraId="22355F8C">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1</w:t>
      </w:r>
      <w:r>
        <w:rPr>
          <w:rFonts w:hint="eastAsia" w:ascii="宋体" w:hAnsi="宋体" w:eastAsia="宋体" w:cs="宋体"/>
          <w:bCs/>
          <w:color w:val="auto"/>
          <w:sz w:val="21"/>
          <w:szCs w:val="21"/>
          <w:highlight w:val="none"/>
          <w:lang w:eastAsia="zh-CN"/>
        </w:rPr>
        <w:t>5</w:t>
      </w:r>
      <w:r>
        <w:rPr>
          <w:rFonts w:hint="eastAsia" w:ascii="宋体" w:hAnsi="宋体" w:eastAsia="宋体" w:cs="宋体"/>
          <w:bCs/>
          <w:color w:val="auto"/>
          <w:sz w:val="21"/>
          <w:szCs w:val="21"/>
          <w:highlight w:val="none"/>
        </w:rPr>
        <w:t>.4其他违约责任根据项目实际需要按</w:t>
      </w:r>
      <w:r>
        <w:rPr>
          <w:rFonts w:hint="eastAsia" w:ascii="宋体" w:hAnsi="宋体" w:eastAsia="宋体" w:cs="宋体"/>
          <w:b/>
          <w:bCs/>
          <w:color w:val="auto"/>
          <w:sz w:val="21"/>
          <w:szCs w:val="21"/>
          <w:highlight w:val="none"/>
        </w:rPr>
        <w:t>【政府采购合同专用条款】</w:t>
      </w:r>
      <w:r>
        <w:rPr>
          <w:rFonts w:hint="eastAsia" w:ascii="宋体" w:hAnsi="宋体" w:eastAsia="宋体" w:cs="宋体"/>
          <w:color w:val="auto"/>
          <w:sz w:val="21"/>
          <w:szCs w:val="21"/>
          <w:highlight w:val="none"/>
        </w:rPr>
        <w:t>规定执行。</w:t>
      </w:r>
    </w:p>
    <w:p w14:paraId="2BFD95C3">
      <w:pPr>
        <w:numPr>
          <w:ilvl w:val="0"/>
          <w:numId w:val="15"/>
        </w:num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合同变更</w:t>
      </w:r>
      <w:r>
        <w:rPr>
          <w:rFonts w:hint="eastAsia" w:ascii="宋体" w:hAnsi="宋体" w:eastAsia="宋体" w:cs="宋体"/>
          <w:b/>
          <w:color w:val="auto"/>
          <w:sz w:val="21"/>
          <w:szCs w:val="21"/>
          <w:highlight w:val="none"/>
          <w:lang w:eastAsia="zh-CN"/>
        </w:rPr>
        <w:t>、中止与终止</w:t>
      </w:r>
    </w:p>
    <w:p w14:paraId="37ABC617">
      <w:pPr>
        <w:autoSpaceDE/>
        <w:autoSpaceDN/>
        <w:adjustRightInd w:val="0"/>
        <w:snapToGrid w:val="0"/>
        <w:spacing w:before="0" w:line="400" w:lineRule="exact"/>
        <w:ind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.1合同的</w:t>
      </w:r>
      <w:r>
        <w:rPr>
          <w:rFonts w:hint="eastAsia" w:ascii="宋体" w:hAnsi="宋体" w:eastAsia="宋体" w:cs="宋体"/>
          <w:color w:val="auto"/>
          <w:sz w:val="21"/>
          <w:szCs w:val="21"/>
          <w:highlight w:val="none"/>
          <w:lang w:eastAsia="zh-CN"/>
        </w:rPr>
        <w:t>变更</w:t>
      </w:r>
    </w:p>
    <w:p w14:paraId="7FC3D69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政府采购合同履行中，</w:t>
      </w:r>
      <w:r>
        <w:rPr>
          <w:rFonts w:hint="eastAsia" w:ascii="宋体" w:hAnsi="宋体" w:eastAsia="宋体" w:cs="宋体"/>
          <w:color w:val="auto"/>
          <w:sz w:val="21"/>
          <w:szCs w:val="21"/>
          <w:highlight w:val="none"/>
        </w:rPr>
        <w:t>在不改变合同其他条款的前提下，甲方可以在合同价款10%的范围内追加与合同标的相同的货物，并就此与乙方协商</w:t>
      </w:r>
      <w:r>
        <w:rPr>
          <w:rFonts w:hint="eastAsia" w:ascii="宋体" w:hAnsi="宋体" w:eastAsia="宋体" w:cs="宋体"/>
          <w:color w:val="auto"/>
          <w:sz w:val="21"/>
          <w:szCs w:val="21"/>
          <w:highlight w:val="none"/>
          <w:lang w:eastAsia="zh-CN"/>
        </w:rPr>
        <w:t>一致后</w:t>
      </w:r>
      <w:r>
        <w:rPr>
          <w:rFonts w:hint="eastAsia" w:ascii="宋体" w:hAnsi="宋体" w:eastAsia="宋体" w:cs="宋体"/>
          <w:color w:val="auto"/>
          <w:sz w:val="21"/>
          <w:szCs w:val="21"/>
          <w:highlight w:val="none"/>
        </w:rPr>
        <w:t>签订补充协议。</w:t>
      </w:r>
    </w:p>
    <w:p w14:paraId="42D91DE6">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合同的中止</w:t>
      </w:r>
    </w:p>
    <w:p w14:paraId="31D72C9A">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（1）合同履行过程中因供应商就采购文件、采购过程或结果提起投诉的，甲方认为有必要的，</w:t>
      </w:r>
      <w:r>
        <w:rPr>
          <w:rFonts w:hint="eastAsia" w:ascii="宋体" w:hAnsi="宋体" w:eastAsia="宋体" w:cs="宋体"/>
          <w:color w:val="auto"/>
          <w:sz w:val="21"/>
          <w:szCs w:val="21"/>
          <w:highlight w:val="none"/>
          <w:lang w:eastAsia="zh-CN"/>
        </w:rPr>
        <w:t>可以</w:t>
      </w:r>
      <w:r>
        <w:rPr>
          <w:rFonts w:hint="eastAsia" w:ascii="宋体" w:hAnsi="宋体" w:eastAsia="宋体" w:cs="宋体"/>
          <w:color w:val="auto"/>
          <w:sz w:val="21"/>
          <w:szCs w:val="21"/>
          <w:highlight w:val="none"/>
        </w:rPr>
        <w:t>中止合同的履行。</w:t>
      </w:r>
    </w:p>
    <w:p w14:paraId="2ED1AC26">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合同履行过程中，</w:t>
      </w:r>
      <w:r>
        <w:rPr>
          <w:rFonts w:hint="eastAsia" w:ascii="宋体" w:hAnsi="宋体" w:eastAsia="宋体" w:cs="宋体"/>
          <w:color w:val="auto"/>
          <w:sz w:val="21"/>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s="宋体"/>
          <w:color w:val="auto"/>
          <w:sz w:val="21"/>
          <w:szCs w:val="21"/>
          <w:highlight w:val="none"/>
          <w:lang w:eastAsia="zh-CN"/>
        </w:rPr>
        <w:t>，乙方有义务及时告知甲方</w:t>
      </w:r>
      <w:r>
        <w:rPr>
          <w:rFonts w:hint="eastAsia" w:ascii="宋体" w:hAnsi="宋体" w:eastAsia="宋体" w:cs="宋体"/>
          <w:color w:val="auto"/>
          <w:sz w:val="21"/>
          <w:szCs w:val="21"/>
          <w:highlight w:val="none"/>
        </w:rPr>
        <w:t>。甲方</w:t>
      </w:r>
      <w:r>
        <w:rPr>
          <w:rFonts w:hint="eastAsia" w:ascii="宋体" w:hAnsi="宋体" w:eastAsia="宋体" w:cs="宋体"/>
          <w:color w:val="auto"/>
          <w:sz w:val="21"/>
          <w:szCs w:val="21"/>
          <w:highlight w:val="none"/>
          <w:lang w:eastAsia="zh-CN"/>
        </w:rPr>
        <w:t>有权</w:t>
      </w:r>
      <w:r>
        <w:rPr>
          <w:rFonts w:hint="eastAsia" w:ascii="宋体" w:hAnsi="宋体" w:eastAsia="宋体" w:cs="宋体"/>
          <w:color w:val="auto"/>
          <w:sz w:val="21"/>
          <w:szCs w:val="21"/>
          <w:highlight w:val="none"/>
        </w:rPr>
        <w:t>以书面形式通知乙方中止合同</w:t>
      </w:r>
      <w:r>
        <w:rPr>
          <w:rFonts w:hint="eastAsia" w:ascii="宋体" w:hAnsi="宋体" w:eastAsia="宋体" w:cs="宋体"/>
          <w:color w:val="auto"/>
          <w:sz w:val="21"/>
          <w:szCs w:val="21"/>
          <w:highlight w:val="none"/>
          <w:lang w:eastAsia="zh-CN"/>
        </w:rPr>
        <w:t>并要求乙方在合理期限内消除相关情形或者提供适当担保。</w:t>
      </w:r>
      <w:r>
        <w:rPr>
          <w:rFonts w:hint="eastAsia" w:ascii="宋体" w:hAnsi="宋体" w:eastAsia="宋体" w:cs="宋体"/>
          <w:color w:val="auto"/>
          <w:sz w:val="21"/>
          <w:szCs w:val="21"/>
          <w:highlight w:val="none"/>
        </w:rPr>
        <w:t>乙方提供适当担保的，</w:t>
      </w:r>
      <w:r>
        <w:rPr>
          <w:rFonts w:hint="eastAsia" w:ascii="宋体" w:hAnsi="宋体" w:eastAsia="宋体" w:cs="宋体"/>
          <w:color w:val="auto"/>
          <w:sz w:val="21"/>
          <w:szCs w:val="21"/>
          <w:highlight w:val="none"/>
          <w:lang w:eastAsia="zh-CN"/>
        </w:rPr>
        <w:t>合同继续</w:t>
      </w:r>
      <w:r>
        <w:rPr>
          <w:rFonts w:hint="eastAsia" w:ascii="宋体" w:hAnsi="宋体" w:eastAsia="宋体" w:cs="宋体"/>
          <w:color w:val="auto"/>
          <w:sz w:val="21"/>
          <w:szCs w:val="21"/>
          <w:highlight w:val="none"/>
        </w:rPr>
        <w:t>履行</w:t>
      </w:r>
      <w:r>
        <w:rPr>
          <w:rFonts w:hint="eastAsia" w:ascii="宋体" w:hAnsi="宋体" w:eastAsia="宋体" w:cs="宋体"/>
          <w:color w:val="auto"/>
          <w:sz w:val="21"/>
          <w:szCs w:val="21"/>
          <w:highlight w:val="none"/>
          <w:lang w:eastAsia="zh-CN"/>
        </w:rPr>
        <w:t>；乙</w:t>
      </w:r>
      <w:r>
        <w:rPr>
          <w:rFonts w:hint="eastAsia" w:ascii="宋体" w:hAnsi="宋体" w:eastAsia="宋体" w:cs="宋体"/>
          <w:color w:val="auto"/>
          <w:sz w:val="21"/>
          <w:szCs w:val="21"/>
          <w:highlight w:val="none"/>
        </w:rPr>
        <w:t>方在合理期限内未恢复履约能力且未提供适当担保的，视为拒绝</w:t>
      </w:r>
      <w:r>
        <w:rPr>
          <w:rFonts w:hint="eastAsia" w:ascii="宋体" w:hAnsi="宋体" w:eastAsia="宋体" w:cs="宋体"/>
          <w:color w:val="auto"/>
          <w:sz w:val="21"/>
          <w:szCs w:val="21"/>
          <w:highlight w:val="none"/>
          <w:lang w:eastAsia="zh-CN"/>
        </w:rPr>
        <w:t>继续</w:t>
      </w:r>
      <w:r>
        <w:rPr>
          <w:rFonts w:hint="eastAsia" w:ascii="宋体" w:hAnsi="宋体" w:eastAsia="宋体" w:cs="宋体"/>
          <w:color w:val="auto"/>
          <w:sz w:val="21"/>
          <w:szCs w:val="21"/>
          <w:highlight w:val="none"/>
        </w:rPr>
        <w:t>履约，甲方</w:t>
      </w:r>
      <w:r>
        <w:rPr>
          <w:rFonts w:hint="eastAsia" w:ascii="宋体" w:hAnsi="宋体" w:eastAsia="宋体" w:cs="宋体"/>
          <w:color w:val="auto"/>
          <w:sz w:val="21"/>
          <w:szCs w:val="21"/>
          <w:highlight w:val="none"/>
          <w:lang w:eastAsia="zh-CN"/>
        </w:rPr>
        <w:t>有权</w:t>
      </w:r>
      <w:r>
        <w:rPr>
          <w:rFonts w:hint="eastAsia" w:ascii="宋体" w:hAnsi="宋体" w:eastAsia="宋体" w:cs="宋体"/>
          <w:color w:val="auto"/>
          <w:sz w:val="21"/>
          <w:szCs w:val="21"/>
          <w:highlight w:val="none"/>
        </w:rPr>
        <w:t>解除合同并要求乙方承担</w:t>
      </w:r>
      <w:r>
        <w:rPr>
          <w:rFonts w:hint="eastAsia" w:ascii="宋体" w:hAnsi="宋体" w:eastAsia="宋体" w:cs="宋体"/>
          <w:color w:val="auto"/>
          <w:sz w:val="21"/>
          <w:szCs w:val="21"/>
          <w:highlight w:val="none"/>
          <w:lang w:eastAsia="zh-CN"/>
        </w:rPr>
        <w:t>由此给甲方造成的损失</w:t>
      </w:r>
      <w:r>
        <w:rPr>
          <w:rFonts w:hint="eastAsia" w:ascii="宋体" w:hAnsi="宋体" w:eastAsia="宋体" w:cs="宋体"/>
          <w:color w:val="auto"/>
          <w:sz w:val="21"/>
          <w:szCs w:val="21"/>
          <w:highlight w:val="none"/>
        </w:rPr>
        <w:t>。</w:t>
      </w:r>
    </w:p>
    <w:p w14:paraId="5F777960">
      <w:pPr>
        <w:pStyle w:val="38"/>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2B489172">
      <w:pPr>
        <w:snapToGrid w:val="0"/>
        <w:spacing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）甲方不得以行政区划调整、政府换届、机构或者职能调整以及相关责任人更替为由中止合同。</w:t>
      </w:r>
    </w:p>
    <w:p w14:paraId="5716DC18">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6</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合同的终止</w:t>
      </w:r>
    </w:p>
    <w:p w14:paraId="638166A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（1）合同因有效期限届满而终止；</w:t>
      </w:r>
    </w:p>
    <w:p w14:paraId="6869DB91">
      <w:pPr>
        <w:snapToGrid w:val="0"/>
        <w:spacing w:line="400" w:lineRule="exact"/>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（2）乙方未</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合同约定履行，构成根本性违约的，甲方有权终止合同</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并追究乙方的违约责</w:t>
      </w:r>
      <w:r>
        <w:rPr>
          <w:rFonts w:hint="eastAsia" w:ascii="宋体" w:hAnsi="宋体" w:eastAsia="宋体" w:cs="宋体"/>
          <w:color w:val="auto"/>
          <w:sz w:val="21"/>
          <w:szCs w:val="21"/>
          <w:highlight w:val="none"/>
          <w:lang w:val="en-US" w:eastAsia="zh-CN"/>
        </w:rPr>
        <w:t>任</w:t>
      </w:r>
      <w:r>
        <w:rPr>
          <w:rFonts w:hint="eastAsia" w:ascii="宋体" w:hAnsi="宋体" w:eastAsia="宋体" w:cs="宋体"/>
          <w:color w:val="auto"/>
          <w:sz w:val="21"/>
          <w:szCs w:val="21"/>
          <w:highlight w:val="none"/>
        </w:rPr>
        <w:t>。</w:t>
      </w:r>
    </w:p>
    <w:p w14:paraId="489824EE">
      <w:pPr>
        <w:pStyle w:val="38"/>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16.4 涉及国家利益、社会公共利益的情形</w:t>
      </w:r>
    </w:p>
    <w:p w14:paraId="4542B11F">
      <w:pPr>
        <w:pStyle w:val="38"/>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政府采购合同继续履行将损害国家利益和社会公共利益的，双方当事人应当变更、中止或者终止合同。有过错的一方应当承担赔偿责任，双方都有过错的，各自承担相应的责任。</w:t>
      </w:r>
    </w:p>
    <w:p w14:paraId="2B262793">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1</w:t>
      </w:r>
      <w:r>
        <w:rPr>
          <w:rFonts w:hint="eastAsia" w:ascii="宋体" w:hAnsi="宋体" w:eastAsia="宋体" w:cs="宋体"/>
          <w:b/>
          <w:bCs/>
          <w:color w:val="auto"/>
          <w:sz w:val="21"/>
          <w:szCs w:val="21"/>
          <w:highlight w:val="none"/>
          <w:lang w:val="en-US" w:eastAsia="zh-CN"/>
        </w:rPr>
        <w:t>7</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合同分包</w:t>
      </w:r>
    </w:p>
    <w:p w14:paraId="1AFB1813">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.1 乙方不得</w:t>
      </w:r>
      <w:r>
        <w:rPr>
          <w:rFonts w:hint="eastAsia" w:ascii="宋体" w:hAnsi="宋体" w:eastAsia="宋体" w:cs="宋体"/>
          <w:color w:val="auto"/>
          <w:sz w:val="21"/>
          <w:szCs w:val="21"/>
          <w:highlight w:val="none"/>
          <w:lang w:eastAsia="zh-CN"/>
        </w:rPr>
        <w:t>将合同转包给其他供应商。涉及合同分包的，乙方</w:t>
      </w:r>
      <w:r>
        <w:rPr>
          <w:rFonts w:hint="eastAsia" w:ascii="宋体" w:hAnsi="宋体" w:eastAsia="宋体" w:cs="宋体"/>
          <w:color w:val="auto"/>
          <w:sz w:val="21"/>
          <w:szCs w:val="21"/>
          <w:highlight w:val="none"/>
          <w:lang w:val="en-US" w:eastAsia="zh-CN"/>
        </w:rPr>
        <w:t>应</w:t>
      </w:r>
      <w:r>
        <w:rPr>
          <w:rFonts w:hint="eastAsia" w:ascii="宋体" w:hAnsi="宋体" w:eastAsia="宋体" w:cs="宋体"/>
          <w:color w:val="auto"/>
          <w:sz w:val="21"/>
          <w:szCs w:val="21"/>
          <w:highlight w:val="none"/>
          <w:lang w:eastAsia="zh-CN"/>
        </w:rPr>
        <w:t>根据采购文件和投标（响应）文件规定进行</w:t>
      </w:r>
      <w:r>
        <w:rPr>
          <w:rFonts w:hint="eastAsia" w:ascii="宋体" w:hAnsi="宋体" w:eastAsia="宋体" w:cs="宋体"/>
          <w:color w:val="auto"/>
          <w:sz w:val="21"/>
          <w:szCs w:val="21"/>
          <w:highlight w:val="none"/>
        </w:rPr>
        <w:t>合同分包。</w:t>
      </w:r>
    </w:p>
    <w:p w14:paraId="317E7962">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.2 乙方执行政府采购政策向中小企业依法分包的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乙方应当按采购文件</w:t>
      </w:r>
      <w:r>
        <w:rPr>
          <w:rFonts w:hint="eastAsia" w:ascii="宋体" w:hAnsi="宋体" w:eastAsia="宋体" w:cs="宋体"/>
          <w:color w:val="auto"/>
          <w:sz w:val="21"/>
          <w:szCs w:val="21"/>
          <w:highlight w:val="none"/>
          <w:lang w:eastAsia="zh-CN"/>
        </w:rPr>
        <w:t>和</w:t>
      </w:r>
      <w:r>
        <w:rPr>
          <w:rFonts w:hint="eastAsia" w:ascii="宋体" w:hAnsi="宋体" w:eastAsia="宋体" w:cs="宋体"/>
          <w:color w:val="auto"/>
          <w:sz w:val="21"/>
          <w:szCs w:val="21"/>
          <w:highlight w:val="none"/>
        </w:rPr>
        <w:t>投标（响应）文件签订分包</w:t>
      </w:r>
      <w:r>
        <w:rPr>
          <w:rFonts w:hint="eastAsia" w:ascii="宋体" w:hAnsi="宋体" w:eastAsia="宋体" w:cs="宋体"/>
          <w:color w:val="auto"/>
          <w:sz w:val="21"/>
          <w:szCs w:val="21"/>
          <w:highlight w:val="none"/>
          <w:lang w:eastAsia="zh-CN"/>
        </w:rPr>
        <w:t>意向</w:t>
      </w:r>
      <w:r>
        <w:rPr>
          <w:rFonts w:hint="eastAsia" w:ascii="宋体" w:hAnsi="宋体" w:eastAsia="宋体" w:cs="宋体"/>
          <w:color w:val="auto"/>
          <w:sz w:val="21"/>
          <w:szCs w:val="21"/>
          <w:highlight w:val="none"/>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，分包</w:t>
      </w:r>
      <w:r>
        <w:rPr>
          <w:rFonts w:hint="eastAsia" w:ascii="宋体" w:hAnsi="宋体" w:eastAsia="宋体" w:cs="宋体"/>
          <w:color w:val="auto"/>
          <w:sz w:val="21"/>
          <w:szCs w:val="21"/>
          <w:highlight w:val="none"/>
          <w:lang w:eastAsia="zh-CN"/>
        </w:rPr>
        <w:t>意向</w:t>
      </w:r>
      <w:r>
        <w:rPr>
          <w:rFonts w:hint="eastAsia" w:ascii="宋体" w:hAnsi="宋体" w:eastAsia="宋体" w:cs="宋体"/>
          <w:color w:val="auto"/>
          <w:sz w:val="21"/>
          <w:szCs w:val="21"/>
          <w:highlight w:val="none"/>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rPr>
        <w:t>属于本合同组成部分。</w:t>
      </w:r>
    </w:p>
    <w:p w14:paraId="7A5BDE96">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eastAsia="zh-CN"/>
        </w:rPr>
        <w:t>1</w:t>
      </w:r>
      <w:r>
        <w:rPr>
          <w:rFonts w:hint="eastAsia" w:ascii="宋体" w:hAnsi="宋体" w:eastAsia="宋体" w:cs="宋体"/>
          <w:b/>
          <w:bCs/>
          <w:color w:val="auto"/>
          <w:sz w:val="21"/>
          <w:szCs w:val="21"/>
          <w:highlight w:val="none"/>
          <w:lang w:val="en-US" w:eastAsia="zh-CN"/>
        </w:rPr>
        <w:t>8</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不可抗力</w:t>
      </w:r>
    </w:p>
    <w:p w14:paraId="661B434D">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.1 不可抗力是指合同双方不能预见、不能避免且不能克服的客观情况。</w:t>
      </w:r>
    </w:p>
    <w:p w14:paraId="6D0CB9C5">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.2 任何一方对由于不可抗力造成的部分或全部不能履行合同不承担违约责任。但迟延履行后发生不可抗力的，不能免除责任。</w:t>
      </w:r>
    </w:p>
    <w:p w14:paraId="285A423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.3 遇有不可抗力的一方，应及时将事件情况以书面形式</w:t>
      </w:r>
      <w:r>
        <w:rPr>
          <w:rFonts w:hint="eastAsia" w:ascii="宋体" w:hAnsi="宋体" w:eastAsia="宋体" w:cs="宋体"/>
          <w:color w:val="auto"/>
          <w:sz w:val="21"/>
          <w:szCs w:val="21"/>
          <w:highlight w:val="none"/>
          <w:lang w:eastAsia="zh-CN"/>
        </w:rPr>
        <w:t>告</w:t>
      </w:r>
      <w:r>
        <w:rPr>
          <w:rFonts w:hint="eastAsia" w:ascii="宋体" w:hAnsi="宋体" w:eastAsia="宋体" w:cs="宋体"/>
          <w:color w:val="auto"/>
          <w:sz w:val="21"/>
          <w:szCs w:val="21"/>
          <w:highlight w:val="none"/>
        </w:rPr>
        <w:t>知另一方，并在事件发生后及时向另一方提交合同不能履行或部分不能履行或需要延期履行</w:t>
      </w:r>
      <w:r>
        <w:rPr>
          <w:rFonts w:hint="eastAsia" w:ascii="宋体" w:hAnsi="宋体" w:eastAsia="宋体" w:cs="宋体"/>
          <w:color w:val="auto"/>
          <w:sz w:val="21"/>
          <w:szCs w:val="21"/>
          <w:highlight w:val="none"/>
          <w:lang w:eastAsia="zh-CN"/>
        </w:rPr>
        <w:t>的详细</w:t>
      </w:r>
      <w:r>
        <w:rPr>
          <w:rFonts w:hint="eastAsia" w:ascii="宋体" w:hAnsi="宋体" w:eastAsia="宋体" w:cs="宋体"/>
          <w:color w:val="auto"/>
          <w:sz w:val="21"/>
          <w:szCs w:val="21"/>
          <w:highlight w:val="none"/>
        </w:rPr>
        <w:t>报告</w:t>
      </w:r>
      <w:r>
        <w:rPr>
          <w:rFonts w:hint="eastAsia" w:ascii="宋体" w:hAnsi="宋体" w:eastAsia="宋体" w:cs="宋体"/>
          <w:color w:val="auto"/>
          <w:sz w:val="21"/>
          <w:szCs w:val="21"/>
          <w:highlight w:val="none"/>
          <w:lang w:eastAsia="zh-CN"/>
        </w:rPr>
        <w:t>，以</w:t>
      </w:r>
      <w:r>
        <w:rPr>
          <w:rFonts w:hint="eastAsia" w:ascii="宋体" w:hAnsi="宋体" w:eastAsia="宋体" w:cs="宋体"/>
          <w:color w:val="auto"/>
          <w:sz w:val="21"/>
          <w:szCs w:val="21"/>
          <w:highlight w:val="none"/>
          <w:lang w:val="en-US" w:eastAsia="zh-CN"/>
        </w:rPr>
        <w:t>及证明不可抗力发生及其持续时间的证据</w:t>
      </w:r>
      <w:r>
        <w:rPr>
          <w:rFonts w:hint="eastAsia" w:ascii="宋体" w:hAnsi="宋体" w:eastAsia="宋体" w:cs="宋体"/>
          <w:color w:val="auto"/>
          <w:sz w:val="21"/>
          <w:szCs w:val="21"/>
          <w:highlight w:val="none"/>
        </w:rPr>
        <w:t>。</w:t>
      </w:r>
    </w:p>
    <w:p w14:paraId="5D4DA68B">
      <w:pPr>
        <w:autoSpaceDE w:val="0"/>
        <w:autoSpaceDN w:val="0"/>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val="en-US" w:eastAsia="zh-CN"/>
        </w:rPr>
        <w:t>19</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rPr>
        <w:t>解决争议的方法</w:t>
      </w:r>
    </w:p>
    <w:p w14:paraId="7200CB62">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19</w:t>
      </w:r>
      <w:r>
        <w:rPr>
          <w:rFonts w:hint="eastAsia" w:ascii="宋体" w:hAnsi="宋体" w:eastAsia="宋体" w:cs="宋体"/>
          <w:color w:val="auto"/>
          <w:sz w:val="21"/>
          <w:szCs w:val="21"/>
          <w:highlight w:val="none"/>
          <w:lang w:eastAsia="zh-CN"/>
        </w:rPr>
        <w:t>.1 因本合同及合同有关事项发生的争议，由甲乙双方友好协商解决。协商不成时，可以向有关组织申请调解。合同一方或双方不愿调解或调解不成的，可以通过仲裁或诉讼的方式解决争议。</w:t>
      </w:r>
    </w:p>
    <w:p w14:paraId="476EED36">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19.2 选择仲裁的，应在</w:t>
      </w:r>
      <w:r>
        <w:rPr>
          <w:rFonts w:hint="eastAsia" w:ascii="宋体" w:hAnsi="宋体" w:eastAsia="宋体" w:cs="宋体"/>
          <w:b/>
          <w:bCs/>
          <w:color w:val="auto"/>
          <w:sz w:val="21"/>
          <w:szCs w:val="21"/>
          <w:highlight w:val="none"/>
          <w:lang w:val="en-US" w:eastAsia="zh-CN"/>
        </w:rPr>
        <w:t>【政府采购合同专用条款】</w:t>
      </w:r>
      <w:r>
        <w:rPr>
          <w:rFonts w:hint="eastAsia" w:ascii="宋体" w:hAnsi="宋体" w:eastAsia="宋体" w:cs="宋体"/>
          <w:color w:val="auto"/>
          <w:sz w:val="21"/>
          <w:szCs w:val="21"/>
          <w:highlight w:val="none"/>
          <w:lang w:val="en-US" w:eastAsia="zh-CN"/>
        </w:rPr>
        <w:t>中明确仲裁机构及仲裁地；通过诉讼方式解决的，可以在</w:t>
      </w:r>
      <w:r>
        <w:rPr>
          <w:rFonts w:hint="eastAsia" w:ascii="宋体" w:hAnsi="宋体" w:eastAsia="宋体" w:cs="宋体"/>
          <w:b/>
          <w:bCs/>
          <w:color w:val="auto"/>
          <w:sz w:val="21"/>
          <w:szCs w:val="21"/>
          <w:highlight w:val="none"/>
          <w:lang w:val="en-US" w:eastAsia="zh-CN"/>
        </w:rPr>
        <w:t>【政府采购合同专用条款】</w:t>
      </w:r>
      <w:r>
        <w:rPr>
          <w:rFonts w:hint="eastAsia" w:ascii="宋体" w:hAnsi="宋体" w:eastAsia="宋体" w:cs="宋体"/>
          <w:color w:val="auto"/>
          <w:sz w:val="21"/>
          <w:szCs w:val="21"/>
          <w:highlight w:val="none"/>
          <w:lang w:val="en-US" w:eastAsia="zh-CN"/>
        </w:rPr>
        <w:t>中进一步约定选择与争议有实际联系的地点的人民法院管辖，但管辖法院的约定不得违反级别管辖和专属管辖的规定。</w:t>
      </w:r>
    </w:p>
    <w:p w14:paraId="23D399C0">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19.3 如甲乙双方有争议的事项不影响合同其他部分的履行，在争议解决期间，合同其他部分应当继续履行。</w:t>
      </w:r>
    </w:p>
    <w:p w14:paraId="2DB1927E">
      <w:pPr>
        <w:autoSpaceDE w:val="0"/>
        <w:autoSpaceDN w:val="0"/>
        <w:adjustRightInd w:val="0"/>
        <w:snapToGrid w:val="0"/>
        <w:spacing w:before="0" w:line="400" w:lineRule="exact"/>
        <w:jc w:val="left"/>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lang w:val="en-US" w:eastAsia="zh-CN"/>
        </w:rPr>
        <w:t>20</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政府采购政策</w:t>
      </w:r>
    </w:p>
    <w:p w14:paraId="74682314">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 xml:space="preserve">20.1 </w:t>
      </w:r>
      <w:r>
        <w:rPr>
          <w:rFonts w:hint="eastAsia" w:ascii="宋体" w:hAnsi="宋体" w:eastAsia="宋体" w:cs="宋体"/>
          <w:color w:val="auto"/>
          <w:sz w:val="21"/>
          <w:szCs w:val="21"/>
          <w:highlight w:val="none"/>
          <w:lang w:val="en-GB"/>
        </w:rPr>
        <w:t>本合同应当按照规定执行政府采购政策。</w:t>
      </w:r>
    </w:p>
    <w:p w14:paraId="3BC9E37C">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 xml:space="preserve"> 本合同依法执行政府采购政策的方式和内容，属于合同履约验收的范围。</w:t>
      </w:r>
      <w:r>
        <w:rPr>
          <w:rFonts w:hint="eastAsia" w:ascii="宋体" w:hAnsi="宋体" w:eastAsia="宋体" w:cs="宋体"/>
          <w:color w:val="auto"/>
          <w:sz w:val="21"/>
          <w:szCs w:val="21"/>
          <w:highlight w:val="none"/>
          <w:lang w:eastAsia="zh-CN"/>
        </w:rPr>
        <w:t>甲乙双方</w:t>
      </w:r>
      <w:r>
        <w:rPr>
          <w:rFonts w:hint="eastAsia" w:ascii="宋体" w:hAnsi="宋体" w:eastAsia="宋体" w:cs="宋体"/>
          <w:color w:val="auto"/>
          <w:sz w:val="21"/>
          <w:szCs w:val="21"/>
          <w:highlight w:val="none"/>
          <w:lang w:val="en-GB"/>
        </w:rPr>
        <w:t>未按规定要求执行政府采购政策造成损失的</w:t>
      </w:r>
      <w:r>
        <w:rPr>
          <w:rFonts w:hint="eastAsia" w:ascii="宋体" w:hAnsi="宋体" w:eastAsia="宋体" w:cs="宋体"/>
          <w:color w:val="auto"/>
          <w:sz w:val="21"/>
          <w:szCs w:val="21"/>
          <w:highlight w:val="none"/>
        </w:rPr>
        <w:t>，有过错的一方应当承</w:t>
      </w:r>
      <w:r>
        <w:rPr>
          <w:rFonts w:hint="eastAsia" w:ascii="宋体" w:hAnsi="宋体" w:eastAsia="宋体" w:cs="宋体"/>
          <w:color w:val="auto"/>
          <w:sz w:val="21"/>
          <w:szCs w:val="21"/>
          <w:highlight w:val="none"/>
          <w:lang w:val="en-US" w:eastAsia="zh-CN"/>
        </w:rPr>
        <w:t>担赔偿责任，双方都有过错的，各自承担相应的责任。</w:t>
      </w:r>
    </w:p>
    <w:p w14:paraId="2D54BADD">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w:t>
      </w:r>
      <w:r>
        <w:rPr>
          <w:rFonts w:hint="eastAsia" w:cs="宋体"/>
          <w:color w:val="auto"/>
          <w:sz w:val="21"/>
          <w:szCs w:val="21"/>
          <w:highlight w:val="none"/>
          <w:lang w:val="en-US" w:eastAsia="zh-CN"/>
        </w:rPr>
        <w:t>体</w:t>
      </w:r>
      <w:r>
        <w:rPr>
          <w:rFonts w:hint="eastAsia" w:ascii="宋体" w:hAnsi="宋体" w:eastAsia="宋体" w:cs="宋体"/>
          <w:color w:val="auto"/>
          <w:sz w:val="21"/>
          <w:szCs w:val="21"/>
          <w:highlight w:val="none"/>
          <w:lang w:val="en-US" w:eastAsia="zh-CN"/>
        </w:rPr>
        <w:t>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lang w:val="en-US" w:eastAsia="zh-CN"/>
        </w:rPr>
        <w:t>或者分包意向协议</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lang w:val="en-US" w:eastAsia="zh-CN"/>
        </w:rPr>
        <w:t>作为采购合同的组成部分。</w:t>
      </w:r>
    </w:p>
    <w:p w14:paraId="24C9FE20">
      <w:p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val="en-US" w:eastAsia="zh-CN"/>
        </w:rPr>
        <w:t>1</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 xml:space="preserve"> </w:t>
      </w:r>
      <w:r>
        <w:rPr>
          <w:rFonts w:hint="eastAsia" w:ascii="宋体" w:hAnsi="宋体" w:eastAsia="宋体" w:cs="宋体"/>
          <w:b/>
          <w:color w:val="auto"/>
          <w:sz w:val="21"/>
          <w:szCs w:val="21"/>
          <w:highlight w:val="none"/>
        </w:rPr>
        <w:t>法律适用</w:t>
      </w:r>
    </w:p>
    <w:p w14:paraId="733BC9CA">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21.1 本合同的订立、生效、解释、履行及与本合同有关的争议解决，均适用法律、行政法规。</w:t>
      </w:r>
    </w:p>
    <w:p w14:paraId="2992C879">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21.2 本合同条款与法律、行政法规的强制性规定不一致的，双方当事人应按照法律、行政法规的强制性规定修改本合同的相关条款。</w:t>
      </w:r>
    </w:p>
    <w:p w14:paraId="2AD2F42E">
      <w:pPr>
        <w:numPr>
          <w:ilvl w:val="-1"/>
          <w:numId w:val="0"/>
        </w:numPr>
        <w:autoSpaceDE w:val="0"/>
        <w:autoSpaceDN w:val="0"/>
        <w:adjustRightInd w:val="0"/>
        <w:snapToGrid w:val="0"/>
        <w:spacing w:before="0" w:line="400" w:lineRule="exact"/>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lang w:val="en-US" w:eastAsia="zh-CN"/>
        </w:rPr>
        <w:t xml:space="preserve">22. </w:t>
      </w:r>
      <w:r>
        <w:rPr>
          <w:rFonts w:hint="eastAsia" w:ascii="宋体" w:hAnsi="宋体" w:eastAsia="宋体" w:cs="宋体"/>
          <w:b/>
          <w:color w:val="auto"/>
          <w:sz w:val="21"/>
          <w:szCs w:val="21"/>
          <w:highlight w:val="none"/>
        </w:rPr>
        <w:t>通知</w:t>
      </w:r>
    </w:p>
    <w:p w14:paraId="2FAD3C71">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22.1 本合同任何一方向对方发出的通知、信件、数据电文等，应当发送至本合同第一部分《政府采购合同协议书》所约定的通讯地址、联系人、联系电话或电子邮箱。</w:t>
      </w:r>
    </w:p>
    <w:p w14:paraId="473EBC9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22.2 一方当事人变更名称、住所、联系人、联系电话或电子邮箱等信息的，应当在变更后3日内及时书面通知对方，对方实际收到变更通知前的送达仍为有效送达。</w:t>
      </w:r>
    </w:p>
    <w:p w14:paraId="1CA086C8">
      <w:pPr>
        <w:autoSpaceDE w:val="0"/>
        <w:autoSpaceDN w:val="0"/>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22.3本合同一方给另一方的通知均应采用书面形式，传真或快递送到本合</w:t>
      </w:r>
      <w:r>
        <w:rPr>
          <w:rFonts w:hint="eastAsia" w:ascii="宋体" w:hAnsi="宋体" w:eastAsia="宋体" w:cs="宋体"/>
          <w:color w:val="auto"/>
          <w:sz w:val="21"/>
          <w:szCs w:val="21"/>
          <w:highlight w:val="none"/>
        </w:rPr>
        <w:t>同中规定的对方的地址和办理签收手续。</w:t>
      </w:r>
    </w:p>
    <w:p w14:paraId="7A45F8DB">
      <w:pPr>
        <w:adjustRightInd w:val="0"/>
        <w:snapToGrid w:val="0"/>
        <w:spacing w:before="0" w:line="400" w:lineRule="exact"/>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通知以送达之日或通知书中规定的生效之日起生效，两者中以较迟之日为准。</w:t>
      </w:r>
    </w:p>
    <w:p w14:paraId="2694C3F3">
      <w:pPr>
        <w:numPr>
          <w:ilvl w:val="0"/>
          <w:numId w:val="16"/>
        </w:numPr>
        <w:adjustRightInd w:val="0"/>
        <w:snapToGrid w:val="0"/>
        <w:spacing w:before="0" w:line="400" w:lineRule="exact"/>
        <w:jc w:val="left"/>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合同未尽事项</w:t>
      </w:r>
    </w:p>
    <w:p w14:paraId="55C782B2">
      <w:pPr>
        <w:adjustRightInd w:val="0"/>
        <w:snapToGrid w:val="0"/>
        <w:spacing w:before="0" w:line="400" w:lineRule="exact"/>
        <w:ind w:firstLine="420" w:firstLineChars="200"/>
        <w:jc w:val="left"/>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2</w:t>
      </w:r>
      <w:r>
        <w:rPr>
          <w:rFonts w:hint="eastAsia" w:ascii="宋体" w:hAnsi="宋体" w:eastAsia="宋体" w:cs="宋体"/>
          <w:bCs/>
          <w:color w:val="auto"/>
          <w:sz w:val="21"/>
          <w:szCs w:val="21"/>
          <w:highlight w:val="none"/>
          <w:lang w:val="en-US" w:eastAsia="zh-CN"/>
        </w:rPr>
        <w:t>3</w:t>
      </w:r>
      <w:r>
        <w:rPr>
          <w:rFonts w:hint="eastAsia" w:ascii="宋体" w:hAnsi="宋体" w:eastAsia="宋体" w:cs="宋体"/>
          <w:bCs/>
          <w:color w:val="auto"/>
          <w:sz w:val="21"/>
          <w:szCs w:val="21"/>
          <w:highlight w:val="none"/>
        </w:rPr>
        <w:t>.1合同未尽事项见</w:t>
      </w:r>
      <w:r>
        <w:rPr>
          <w:rFonts w:hint="eastAsia" w:ascii="宋体" w:hAnsi="宋体" w:eastAsia="宋体" w:cs="宋体"/>
          <w:b/>
          <w:color w:val="auto"/>
          <w:sz w:val="21"/>
          <w:szCs w:val="21"/>
          <w:highlight w:val="none"/>
        </w:rPr>
        <w:t>【政府采购合同专用条款】</w:t>
      </w:r>
      <w:r>
        <w:rPr>
          <w:rFonts w:hint="eastAsia" w:ascii="宋体" w:hAnsi="宋体" w:eastAsia="宋体" w:cs="宋体"/>
          <w:bCs/>
          <w:color w:val="auto"/>
          <w:sz w:val="21"/>
          <w:szCs w:val="21"/>
          <w:highlight w:val="none"/>
        </w:rPr>
        <w:t>。</w:t>
      </w:r>
    </w:p>
    <w:p w14:paraId="1C8FB3A1">
      <w:pPr>
        <w:adjustRightInd w:val="0"/>
        <w:snapToGrid w:val="0"/>
        <w:spacing w:line="400" w:lineRule="exact"/>
        <w:ind w:firstLine="0" w:firstLineChars="0"/>
        <w:jc w:val="left"/>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 xml:space="preserve">    23.2 合同附件与合同正文具有同等的法律效力。</w:t>
      </w:r>
      <w:bookmarkStart w:id="315" w:name="_Toc20313"/>
    </w:p>
    <w:p w14:paraId="5D811D7D">
      <w:pPr>
        <w:adjustRightInd w:val="0"/>
        <w:snapToGrid w:val="0"/>
        <w:jc w:val="center"/>
        <w:rPr>
          <w:rFonts w:hint="eastAsia" w:ascii="黑体" w:hAnsi="华文中宋" w:eastAsia="黑体"/>
          <w:b w:val="0"/>
          <w:bCs w:val="0"/>
          <w:color w:val="auto"/>
          <w:sz w:val="28"/>
          <w:szCs w:val="28"/>
          <w:highlight w:val="none"/>
        </w:rPr>
      </w:pPr>
      <w:r>
        <w:rPr>
          <w:rFonts w:hint="eastAsia" w:ascii="黑体" w:hAnsi="华文中宋" w:eastAsia="黑体"/>
          <w:b w:val="0"/>
          <w:bCs w:val="0"/>
          <w:color w:val="auto"/>
          <w:sz w:val="28"/>
          <w:szCs w:val="28"/>
          <w:highlight w:val="none"/>
        </w:rPr>
        <w:br w:type="page"/>
      </w:r>
    </w:p>
    <w:p w14:paraId="2706CE53">
      <w:pPr>
        <w:pStyle w:val="3"/>
        <w:keepNext/>
        <w:keepLines/>
        <w:pageBreakBefore w:val="0"/>
        <w:widowControl w:val="0"/>
        <w:kinsoku/>
        <w:wordWrap/>
        <w:overflowPunct/>
        <w:topLinePunct w:val="0"/>
        <w:autoSpaceDE/>
        <w:autoSpaceDN/>
        <w:bidi w:val="0"/>
        <w:adjustRightInd w:val="0"/>
        <w:snapToGrid w:val="0"/>
        <w:spacing w:before="156" w:beforeLines="50" w:after="157" w:afterLines="50" w:line="240" w:lineRule="auto"/>
        <w:jc w:val="center"/>
        <w:textAlignment w:val="auto"/>
        <w:rPr>
          <w:rFonts w:hint="eastAsia" w:ascii="宋体" w:hAnsi="宋体" w:eastAsia="宋体" w:cs="宋体"/>
          <w:b/>
          <w:bCs/>
          <w:color w:val="auto"/>
          <w:sz w:val="36"/>
          <w:szCs w:val="36"/>
          <w:highlight w:val="none"/>
        </w:rPr>
      </w:pPr>
      <w:bookmarkStart w:id="316" w:name="_Toc15974"/>
      <w:r>
        <w:rPr>
          <w:rFonts w:hint="eastAsia" w:ascii="宋体" w:hAnsi="宋体" w:eastAsia="宋体" w:cs="宋体"/>
          <w:b/>
          <w:bCs/>
          <w:color w:val="auto"/>
          <w:sz w:val="36"/>
          <w:szCs w:val="36"/>
          <w:highlight w:val="none"/>
        </w:rPr>
        <w:t>第三节 政府采购合同专用条款</w:t>
      </w:r>
      <w:bookmarkEnd w:id="315"/>
      <w:bookmarkEnd w:id="316"/>
    </w:p>
    <w:tbl>
      <w:tblPr>
        <w:tblStyle w:val="30"/>
        <w:tblW w:w="8256" w:type="dxa"/>
        <w:tblInd w:w="272"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07"/>
        <w:gridCol w:w="2233"/>
        <w:gridCol w:w="4316"/>
      </w:tblGrid>
      <w:tr w14:paraId="03D60B4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054786BD">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25C68FAF">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第1.2（</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2233" w:type="dxa"/>
            <w:vAlign w:val="center"/>
          </w:tcPr>
          <w:p w14:paraId="652BFC01">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lang w:eastAsia="zh-CN"/>
              </w:rPr>
              <w:t>联合体具体要求</w:t>
            </w:r>
          </w:p>
        </w:tc>
        <w:tc>
          <w:tcPr>
            <w:tcW w:w="4316" w:type="dxa"/>
            <w:vAlign w:val="center"/>
          </w:tcPr>
          <w:p w14:paraId="6647FD66">
            <w:pPr>
              <w:adjustRightInd w:val="0"/>
              <w:snapToGrid w:val="0"/>
              <w:jc w:val="left"/>
              <w:rPr>
                <w:rFonts w:ascii="宋体" w:hAnsi="宋体"/>
                <w:color w:val="auto"/>
                <w:szCs w:val="21"/>
                <w:highlight w:val="none"/>
              </w:rPr>
            </w:pPr>
          </w:p>
        </w:tc>
      </w:tr>
      <w:tr w14:paraId="76C0798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07" w:type="dxa"/>
            <w:vAlign w:val="center"/>
          </w:tcPr>
          <w:p w14:paraId="27CD9230">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23A8C13B">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第1.2（</w:t>
            </w:r>
            <w:r>
              <w:rPr>
                <w:rFonts w:hint="eastAsia" w:ascii="宋体" w:hAnsi="宋体"/>
                <w:color w:val="auto"/>
                <w:szCs w:val="21"/>
                <w:highlight w:val="none"/>
                <w:lang w:val="en-US" w:eastAsia="zh-CN"/>
              </w:rPr>
              <w:t>7</w:t>
            </w:r>
            <w:r>
              <w:rPr>
                <w:rFonts w:hint="eastAsia" w:ascii="宋体" w:hAnsi="宋体"/>
                <w:color w:val="auto"/>
                <w:szCs w:val="21"/>
                <w:highlight w:val="none"/>
              </w:rPr>
              <w:t>）项</w:t>
            </w:r>
          </w:p>
        </w:tc>
        <w:tc>
          <w:tcPr>
            <w:tcW w:w="2233" w:type="dxa"/>
            <w:vAlign w:val="center"/>
          </w:tcPr>
          <w:p w14:paraId="12151834">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其他术语解释</w:t>
            </w:r>
          </w:p>
        </w:tc>
        <w:tc>
          <w:tcPr>
            <w:tcW w:w="4316" w:type="dxa"/>
            <w:vAlign w:val="center"/>
          </w:tcPr>
          <w:p w14:paraId="3F949FBC">
            <w:pPr>
              <w:adjustRightInd w:val="0"/>
              <w:snapToGrid w:val="0"/>
              <w:jc w:val="left"/>
              <w:rPr>
                <w:rFonts w:ascii="宋体" w:hAnsi="宋体" w:eastAsia="宋体" w:cs="Times New Roman"/>
                <w:color w:val="auto"/>
                <w:kern w:val="2"/>
                <w:sz w:val="21"/>
                <w:szCs w:val="21"/>
                <w:highlight w:val="none"/>
                <w:lang w:val="en-US" w:eastAsia="zh-CN" w:bidi="ar-SA"/>
              </w:rPr>
            </w:pPr>
          </w:p>
        </w:tc>
      </w:tr>
      <w:tr w14:paraId="0FDBF7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0754D71B">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0C8720E0">
            <w:pPr>
              <w:keepNext w:val="0"/>
              <w:keepLines w:val="0"/>
              <w:pageBreakBefore w:val="0"/>
              <w:kinsoku/>
              <w:wordWrap/>
              <w:overflowPunct/>
              <w:topLinePunct w:val="0"/>
              <w:bidi w:val="0"/>
              <w:adjustRightInd w:val="0"/>
              <w:snapToGrid w:val="0"/>
              <w:spacing w:line="240" w:lineRule="auto"/>
              <w:jc w:val="center"/>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4.4款</w:t>
            </w:r>
          </w:p>
        </w:tc>
        <w:tc>
          <w:tcPr>
            <w:tcW w:w="2233" w:type="dxa"/>
            <w:vAlign w:val="center"/>
          </w:tcPr>
          <w:p w14:paraId="75443720">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履约验收中甲方提出异议或作出说明的期限</w:t>
            </w:r>
          </w:p>
        </w:tc>
        <w:tc>
          <w:tcPr>
            <w:tcW w:w="4316" w:type="dxa"/>
            <w:vAlign w:val="center"/>
          </w:tcPr>
          <w:p w14:paraId="49DD4FED">
            <w:pPr>
              <w:adjustRightInd w:val="0"/>
              <w:snapToGrid w:val="0"/>
              <w:jc w:val="left"/>
              <w:rPr>
                <w:rFonts w:ascii="宋体" w:hAnsi="宋体" w:eastAsia="宋体" w:cs="Times New Roman"/>
                <w:color w:val="auto"/>
                <w:kern w:val="2"/>
                <w:sz w:val="21"/>
                <w:szCs w:val="21"/>
                <w:highlight w:val="none"/>
                <w:lang w:val="en-US" w:eastAsia="zh-CN" w:bidi="ar-SA"/>
              </w:rPr>
            </w:pPr>
          </w:p>
        </w:tc>
      </w:tr>
      <w:tr w14:paraId="642F05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50683BA9">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51148CDF">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4.6款</w:t>
            </w:r>
          </w:p>
        </w:tc>
        <w:tc>
          <w:tcPr>
            <w:tcW w:w="2233" w:type="dxa"/>
            <w:vAlign w:val="center"/>
          </w:tcPr>
          <w:p w14:paraId="3E68F7E4">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约定甲方承担的其他义务和责任</w:t>
            </w:r>
          </w:p>
        </w:tc>
        <w:tc>
          <w:tcPr>
            <w:tcW w:w="4316" w:type="dxa"/>
            <w:vAlign w:val="center"/>
          </w:tcPr>
          <w:p w14:paraId="195EE5ED">
            <w:pPr>
              <w:adjustRightInd w:val="0"/>
              <w:snapToGrid w:val="0"/>
              <w:jc w:val="left"/>
              <w:rPr>
                <w:rFonts w:ascii="宋体" w:hAnsi="宋体" w:eastAsia="宋体" w:cs="Times New Roman"/>
                <w:color w:val="auto"/>
                <w:kern w:val="2"/>
                <w:sz w:val="21"/>
                <w:szCs w:val="21"/>
                <w:highlight w:val="none"/>
                <w:lang w:val="en-US" w:eastAsia="zh-CN" w:bidi="ar-SA"/>
              </w:rPr>
            </w:pPr>
          </w:p>
        </w:tc>
      </w:tr>
      <w:tr w14:paraId="5EA9A55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683DB0A9">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013C1321">
            <w:pPr>
              <w:keepNext w:val="0"/>
              <w:keepLines w:val="0"/>
              <w:pageBreakBefore w:val="0"/>
              <w:kinsoku/>
              <w:wordWrap/>
              <w:overflowPunct/>
              <w:topLinePunct w:val="0"/>
              <w:bidi w:val="0"/>
              <w:snapToGrid w:val="0"/>
              <w:spacing w:line="240" w:lineRule="auto"/>
              <w:jc w:val="center"/>
              <w:textAlignment w:val="auto"/>
              <w:rPr>
                <w:rFonts w:hint="default"/>
                <w:color w:val="auto"/>
                <w:highlight w:val="none"/>
                <w:lang w:val="en-US"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5.4款</w:t>
            </w:r>
          </w:p>
        </w:tc>
        <w:tc>
          <w:tcPr>
            <w:tcW w:w="2233" w:type="dxa"/>
            <w:vAlign w:val="center"/>
          </w:tcPr>
          <w:p w14:paraId="016E7306">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约定乙方承担的其他义务和责任</w:t>
            </w:r>
          </w:p>
        </w:tc>
        <w:tc>
          <w:tcPr>
            <w:tcW w:w="4316" w:type="dxa"/>
            <w:vAlign w:val="center"/>
          </w:tcPr>
          <w:p w14:paraId="407376AA">
            <w:pPr>
              <w:adjustRightInd w:val="0"/>
              <w:snapToGrid w:val="0"/>
              <w:jc w:val="left"/>
              <w:rPr>
                <w:rFonts w:ascii="宋体" w:hAnsi="宋体" w:eastAsia="宋体" w:cs="Times New Roman"/>
                <w:color w:val="auto"/>
                <w:kern w:val="2"/>
                <w:sz w:val="21"/>
                <w:szCs w:val="21"/>
                <w:highlight w:val="none"/>
                <w:lang w:val="en-US" w:eastAsia="zh-CN" w:bidi="ar-SA"/>
              </w:rPr>
            </w:pPr>
          </w:p>
        </w:tc>
      </w:tr>
      <w:tr w14:paraId="28A99E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4E9DBAA8">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第二节</w:t>
            </w:r>
          </w:p>
          <w:p w14:paraId="229BB947">
            <w:pPr>
              <w:keepNext w:val="0"/>
              <w:keepLines w:val="0"/>
              <w:pageBreakBefore w:val="0"/>
              <w:kinsoku/>
              <w:wordWrap/>
              <w:overflowPunct/>
              <w:topLinePunct w:val="0"/>
              <w:bidi w:val="0"/>
              <w:snapToGrid w:val="0"/>
              <w:spacing w:line="240" w:lineRule="auto"/>
              <w:jc w:val="center"/>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第</w:t>
            </w:r>
            <w:r>
              <w:rPr>
                <w:rFonts w:hint="eastAsia" w:ascii="宋体" w:hAnsi="宋体"/>
                <w:color w:val="auto"/>
                <w:szCs w:val="21"/>
                <w:highlight w:val="none"/>
                <w:lang w:val="en-US" w:eastAsia="zh-CN"/>
              </w:rPr>
              <w:t>6.1款</w:t>
            </w:r>
          </w:p>
        </w:tc>
        <w:tc>
          <w:tcPr>
            <w:tcW w:w="2233" w:type="dxa"/>
            <w:vAlign w:val="center"/>
          </w:tcPr>
          <w:p w14:paraId="6A8147E5">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履行合同义务的顺序</w:t>
            </w:r>
          </w:p>
        </w:tc>
        <w:tc>
          <w:tcPr>
            <w:tcW w:w="4316" w:type="dxa"/>
            <w:vAlign w:val="center"/>
          </w:tcPr>
          <w:p w14:paraId="56A5242A">
            <w:pPr>
              <w:adjustRightInd w:val="0"/>
              <w:snapToGrid w:val="0"/>
              <w:jc w:val="left"/>
              <w:rPr>
                <w:rFonts w:ascii="宋体" w:hAnsi="宋体" w:eastAsia="宋体" w:cs="Times New Roman"/>
                <w:color w:val="auto"/>
                <w:kern w:val="2"/>
                <w:sz w:val="21"/>
                <w:szCs w:val="21"/>
                <w:highlight w:val="none"/>
                <w:lang w:val="en-US" w:eastAsia="zh-CN" w:bidi="ar-SA"/>
              </w:rPr>
            </w:pPr>
          </w:p>
        </w:tc>
      </w:tr>
      <w:tr w14:paraId="06E006F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Ex>
        <w:trPr>
          <w:trHeight w:val="667" w:hRule="atLeast"/>
        </w:trPr>
        <w:tc>
          <w:tcPr>
            <w:tcW w:w="1707" w:type="dxa"/>
            <w:vMerge w:val="restart"/>
            <w:vAlign w:val="center"/>
          </w:tcPr>
          <w:p w14:paraId="6647DD08">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2F05D4F5">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.1</w:t>
            </w:r>
            <w:r>
              <w:rPr>
                <w:rFonts w:hint="eastAsia" w:ascii="宋体" w:hAnsi="宋体"/>
                <w:color w:val="auto"/>
                <w:szCs w:val="21"/>
                <w:highlight w:val="none"/>
                <w:lang w:val="en-US" w:eastAsia="zh-CN"/>
              </w:rPr>
              <w:t>款</w:t>
            </w:r>
          </w:p>
        </w:tc>
        <w:tc>
          <w:tcPr>
            <w:tcW w:w="2233" w:type="dxa"/>
            <w:vAlign w:val="center"/>
          </w:tcPr>
          <w:p w14:paraId="30C791B0">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包装</w:t>
            </w:r>
            <w:r>
              <w:rPr>
                <w:rFonts w:hint="eastAsia" w:ascii="宋体" w:hAnsi="宋体"/>
                <w:color w:val="auto"/>
                <w:szCs w:val="21"/>
                <w:highlight w:val="none"/>
                <w:lang w:eastAsia="zh-CN"/>
              </w:rPr>
              <w:t>特殊要求</w:t>
            </w:r>
          </w:p>
        </w:tc>
        <w:tc>
          <w:tcPr>
            <w:tcW w:w="4316" w:type="dxa"/>
            <w:vAlign w:val="center"/>
          </w:tcPr>
          <w:p w14:paraId="6810CE71">
            <w:pPr>
              <w:rPr>
                <w:color w:val="auto"/>
                <w:highlight w:val="none"/>
              </w:rPr>
            </w:pPr>
          </w:p>
        </w:tc>
      </w:tr>
      <w:tr w14:paraId="63ECD0D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07" w:type="dxa"/>
            <w:vMerge w:val="continue"/>
            <w:vAlign w:val="center"/>
          </w:tcPr>
          <w:p w14:paraId="4F10AFD4">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p>
        </w:tc>
        <w:tc>
          <w:tcPr>
            <w:tcW w:w="2233" w:type="dxa"/>
            <w:vAlign w:val="center"/>
          </w:tcPr>
          <w:p w14:paraId="4C4400B2">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指定现场</w:t>
            </w:r>
          </w:p>
        </w:tc>
        <w:tc>
          <w:tcPr>
            <w:tcW w:w="4316" w:type="dxa"/>
            <w:vAlign w:val="center"/>
          </w:tcPr>
          <w:p w14:paraId="13DF4360">
            <w:pPr>
              <w:rPr>
                <w:rFonts w:hint="eastAsia"/>
                <w:color w:val="auto"/>
                <w:highlight w:val="none"/>
              </w:rPr>
            </w:pPr>
          </w:p>
        </w:tc>
      </w:tr>
      <w:tr w14:paraId="7B25F9E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07" w:type="dxa"/>
            <w:vAlign w:val="center"/>
          </w:tcPr>
          <w:p w14:paraId="035B5693">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03A3EF34">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2233" w:type="dxa"/>
            <w:vAlign w:val="center"/>
          </w:tcPr>
          <w:p w14:paraId="7694EE40">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运输特殊要求</w:t>
            </w:r>
          </w:p>
        </w:tc>
        <w:tc>
          <w:tcPr>
            <w:tcW w:w="4316" w:type="dxa"/>
            <w:vAlign w:val="center"/>
          </w:tcPr>
          <w:p w14:paraId="1DC81E7D">
            <w:pPr>
              <w:rPr>
                <w:rFonts w:hint="eastAsia"/>
                <w:color w:val="auto"/>
                <w:highlight w:val="none"/>
              </w:rPr>
            </w:pPr>
          </w:p>
        </w:tc>
      </w:tr>
      <w:tr w14:paraId="32637F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07" w:type="dxa"/>
            <w:vAlign w:val="center"/>
          </w:tcPr>
          <w:p w14:paraId="2DF63CCC">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776B4366">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7</w:t>
            </w:r>
            <w:r>
              <w:rPr>
                <w:rFonts w:hint="eastAsia" w:ascii="宋体" w:hAnsi="宋体"/>
                <w:color w:val="auto"/>
                <w:szCs w:val="21"/>
                <w:highlight w:val="none"/>
              </w:rPr>
              <w:t>.3</w:t>
            </w:r>
            <w:r>
              <w:rPr>
                <w:rFonts w:hint="eastAsia" w:ascii="宋体" w:hAnsi="宋体"/>
                <w:color w:val="auto"/>
                <w:szCs w:val="21"/>
                <w:highlight w:val="none"/>
                <w:lang w:val="en-US" w:eastAsia="zh-CN"/>
              </w:rPr>
              <w:t>款</w:t>
            </w:r>
          </w:p>
        </w:tc>
        <w:tc>
          <w:tcPr>
            <w:tcW w:w="2233" w:type="dxa"/>
            <w:vAlign w:val="center"/>
          </w:tcPr>
          <w:p w14:paraId="24FF8991">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保险要求</w:t>
            </w:r>
          </w:p>
        </w:tc>
        <w:tc>
          <w:tcPr>
            <w:tcW w:w="4316" w:type="dxa"/>
            <w:vAlign w:val="center"/>
          </w:tcPr>
          <w:p w14:paraId="1D179366">
            <w:pPr>
              <w:rPr>
                <w:rFonts w:hint="eastAsia"/>
                <w:color w:val="auto"/>
                <w:highlight w:val="none"/>
              </w:rPr>
            </w:pPr>
          </w:p>
        </w:tc>
      </w:tr>
      <w:tr w14:paraId="2BE6BC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668B4AC8">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0227C361">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.2（1）项</w:t>
            </w:r>
          </w:p>
        </w:tc>
        <w:tc>
          <w:tcPr>
            <w:tcW w:w="2233" w:type="dxa"/>
            <w:vAlign w:val="center"/>
          </w:tcPr>
          <w:p w14:paraId="6247428B">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质量保证期</w:t>
            </w:r>
          </w:p>
        </w:tc>
        <w:tc>
          <w:tcPr>
            <w:tcW w:w="4316" w:type="dxa"/>
            <w:vAlign w:val="center"/>
          </w:tcPr>
          <w:p w14:paraId="2913D106">
            <w:pPr>
              <w:autoSpaceDE w:val="0"/>
              <w:autoSpaceDN w:val="0"/>
              <w:adjustRightInd w:val="0"/>
              <w:snapToGrid w:val="0"/>
              <w:ind w:firstLine="480" w:firstLineChars="200"/>
              <w:jc w:val="left"/>
              <w:rPr>
                <w:rFonts w:ascii="宋体" w:hAnsi="宋体"/>
                <w:color w:val="auto"/>
                <w:szCs w:val="21"/>
                <w:highlight w:val="none"/>
              </w:rPr>
            </w:pPr>
          </w:p>
        </w:tc>
      </w:tr>
      <w:tr w14:paraId="2DD4433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3C07849F">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3793A19C">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8</w:t>
            </w:r>
            <w:r>
              <w:rPr>
                <w:rFonts w:hint="eastAsia" w:ascii="宋体" w:hAnsi="宋体"/>
                <w:color w:val="auto"/>
                <w:szCs w:val="21"/>
                <w:highlight w:val="none"/>
              </w:rPr>
              <w:t>.2（3）项</w:t>
            </w:r>
          </w:p>
        </w:tc>
        <w:tc>
          <w:tcPr>
            <w:tcW w:w="2233" w:type="dxa"/>
            <w:vAlign w:val="center"/>
          </w:tcPr>
          <w:p w14:paraId="0682C5AC">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lang w:eastAsia="zh-CN"/>
              </w:rPr>
            </w:pPr>
            <w:r>
              <w:rPr>
                <w:rFonts w:hint="eastAsia" w:ascii="宋体" w:hAnsi="宋体"/>
                <w:color w:val="auto"/>
                <w:szCs w:val="21"/>
                <w:highlight w:val="none"/>
                <w:lang w:eastAsia="zh-CN"/>
              </w:rPr>
              <w:t>货物质量缺陷</w:t>
            </w:r>
          </w:p>
          <w:p w14:paraId="086BE46B">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响应时间</w:t>
            </w:r>
          </w:p>
        </w:tc>
        <w:tc>
          <w:tcPr>
            <w:tcW w:w="4316" w:type="dxa"/>
            <w:vAlign w:val="center"/>
          </w:tcPr>
          <w:p w14:paraId="142B235E">
            <w:pPr>
              <w:adjustRightInd w:val="0"/>
              <w:snapToGrid w:val="0"/>
              <w:jc w:val="left"/>
              <w:rPr>
                <w:rFonts w:ascii="宋体" w:hAnsi="宋体"/>
                <w:color w:val="auto"/>
                <w:szCs w:val="21"/>
                <w:highlight w:val="none"/>
              </w:rPr>
            </w:pPr>
          </w:p>
        </w:tc>
      </w:tr>
      <w:tr w14:paraId="5CE121A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390BB6B0">
            <w:pPr>
              <w:keepNext w:val="0"/>
              <w:keepLines w:val="0"/>
              <w:pageBreakBefore w:val="0"/>
              <w:kinsoku/>
              <w:wordWrap/>
              <w:overflowPunct/>
              <w:topLinePunct w:val="0"/>
              <w:bidi w:val="0"/>
              <w:snapToGrid w:val="0"/>
              <w:spacing w:line="240" w:lineRule="auto"/>
              <w:jc w:val="center"/>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第二节</w:t>
            </w:r>
          </w:p>
          <w:p w14:paraId="0FC9F960">
            <w:pPr>
              <w:pStyle w:val="38"/>
              <w:keepNext w:val="0"/>
              <w:keepLines w:val="0"/>
              <w:pageBreakBefore w:val="0"/>
              <w:kinsoku/>
              <w:wordWrap/>
              <w:overflowPunct/>
              <w:topLinePunct w:val="0"/>
              <w:bidi w:val="0"/>
              <w:spacing w:line="240" w:lineRule="auto"/>
              <w:ind w:firstLine="0" w:firstLineChars="0"/>
              <w:jc w:val="center"/>
              <w:textAlignment w:val="auto"/>
              <w:rPr>
                <w:rFonts w:hint="default"/>
                <w:color w:val="auto"/>
                <w:highlight w:val="none"/>
                <w:lang w:val="en-US" w:eastAsia="zh-CN"/>
              </w:rPr>
            </w:pPr>
            <w:r>
              <w:rPr>
                <w:rFonts w:hint="eastAsia" w:ascii="宋体" w:hAnsi="宋体" w:eastAsia="宋体" w:cs="宋体"/>
                <w:color w:val="auto"/>
                <w:szCs w:val="21"/>
                <w:highlight w:val="none"/>
                <w:lang w:val="en-US" w:eastAsia="zh-CN"/>
              </w:rPr>
              <w:t>第11.1款</w:t>
            </w:r>
          </w:p>
        </w:tc>
        <w:tc>
          <w:tcPr>
            <w:tcW w:w="2233" w:type="dxa"/>
            <w:vAlign w:val="center"/>
          </w:tcPr>
          <w:p w14:paraId="01F56F9B">
            <w:pPr>
              <w:keepNext w:val="0"/>
              <w:keepLines w:val="0"/>
              <w:pageBreakBefore w:val="0"/>
              <w:kinsoku/>
              <w:wordWrap/>
              <w:overflowPunct/>
              <w:topLinePunct w:val="0"/>
              <w:bidi w:val="0"/>
              <w:adjustRightInd w:val="0"/>
              <w:snapToGrid w:val="0"/>
              <w:spacing w:line="240" w:lineRule="auto"/>
              <w:jc w:val="both"/>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其他应当保密的信息</w:t>
            </w:r>
          </w:p>
        </w:tc>
        <w:tc>
          <w:tcPr>
            <w:tcW w:w="4316" w:type="dxa"/>
            <w:vAlign w:val="center"/>
          </w:tcPr>
          <w:p w14:paraId="71C67A13">
            <w:pPr>
              <w:adjustRightInd w:val="0"/>
              <w:snapToGrid w:val="0"/>
              <w:jc w:val="left"/>
              <w:rPr>
                <w:rFonts w:ascii="宋体" w:hAnsi="宋体"/>
                <w:color w:val="auto"/>
                <w:szCs w:val="21"/>
                <w:highlight w:val="none"/>
              </w:rPr>
            </w:pPr>
          </w:p>
        </w:tc>
      </w:tr>
      <w:tr w14:paraId="4D2F319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07" w:type="dxa"/>
            <w:vAlign w:val="center"/>
          </w:tcPr>
          <w:p w14:paraId="49164D1B">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23A38016">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2</w:t>
            </w:r>
            <w:r>
              <w:rPr>
                <w:rFonts w:hint="eastAsia" w:ascii="宋体" w:hAnsi="宋体"/>
                <w:color w:val="auto"/>
                <w:szCs w:val="21"/>
                <w:highlight w:val="none"/>
              </w:rPr>
              <w:t>.2款</w:t>
            </w:r>
          </w:p>
        </w:tc>
        <w:tc>
          <w:tcPr>
            <w:tcW w:w="2233" w:type="dxa"/>
            <w:vAlign w:val="center"/>
          </w:tcPr>
          <w:p w14:paraId="4C572A76">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rPr>
              <w:t>合同价款支付</w:t>
            </w:r>
            <w:r>
              <w:rPr>
                <w:rFonts w:hint="eastAsia" w:ascii="宋体" w:hAnsi="宋体"/>
                <w:color w:val="auto"/>
                <w:szCs w:val="21"/>
                <w:highlight w:val="none"/>
                <w:lang w:eastAsia="zh-CN"/>
              </w:rPr>
              <w:t>时间</w:t>
            </w:r>
          </w:p>
        </w:tc>
        <w:tc>
          <w:tcPr>
            <w:tcW w:w="4316" w:type="dxa"/>
            <w:vAlign w:val="center"/>
          </w:tcPr>
          <w:p w14:paraId="48A51037">
            <w:pPr>
              <w:adjustRightInd w:val="0"/>
              <w:snapToGrid w:val="0"/>
              <w:jc w:val="left"/>
              <w:rPr>
                <w:rFonts w:ascii="宋体" w:hAnsi="宋体"/>
                <w:color w:val="auto"/>
                <w:szCs w:val="21"/>
                <w:highlight w:val="none"/>
              </w:rPr>
            </w:pPr>
          </w:p>
        </w:tc>
      </w:tr>
      <w:tr w14:paraId="717E40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07" w:type="dxa"/>
            <w:vAlign w:val="center"/>
          </w:tcPr>
          <w:p w14:paraId="52DC1420">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第二节</w:t>
            </w:r>
          </w:p>
          <w:p w14:paraId="2B4D3BCF">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13.2</w:t>
            </w:r>
            <w:r>
              <w:rPr>
                <w:rFonts w:hint="eastAsia" w:ascii="宋体" w:hAnsi="宋体"/>
                <w:color w:val="auto"/>
                <w:szCs w:val="21"/>
                <w:highlight w:val="none"/>
              </w:rPr>
              <w:t>款</w:t>
            </w:r>
          </w:p>
        </w:tc>
        <w:tc>
          <w:tcPr>
            <w:tcW w:w="2233" w:type="dxa"/>
            <w:vAlign w:val="center"/>
          </w:tcPr>
          <w:p w14:paraId="20D718BD">
            <w:pPr>
              <w:keepNext w:val="0"/>
              <w:keepLines w:val="0"/>
              <w:pageBreakBefore w:val="0"/>
              <w:kinsoku/>
              <w:wordWrap/>
              <w:overflowPunct/>
              <w:topLinePunct w:val="0"/>
              <w:bidi w:val="0"/>
              <w:adjustRightInd w:val="0"/>
              <w:snapToGrid w:val="0"/>
              <w:spacing w:line="240" w:lineRule="auto"/>
              <w:jc w:val="left"/>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履约保证金不予退还的情形</w:t>
            </w:r>
          </w:p>
        </w:tc>
        <w:tc>
          <w:tcPr>
            <w:tcW w:w="4316" w:type="dxa"/>
            <w:vAlign w:val="center"/>
          </w:tcPr>
          <w:p w14:paraId="6005F1AC">
            <w:pPr>
              <w:adjustRightInd w:val="0"/>
              <w:snapToGrid w:val="0"/>
              <w:jc w:val="left"/>
              <w:rPr>
                <w:rFonts w:ascii="宋体" w:hAnsi="宋体"/>
                <w:color w:val="auto"/>
                <w:szCs w:val="21"/>
                <w:highlight w:val="none"/>
              </w:rPr>
            </w:pPr>
          </w:p>
        </w:tc>
      </w:tr>
      <w:tr w14:paraId="6C00EAA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39E90509">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第二节</w:t>
            </w:r>
          </w:p>
          <w:p w14:paraId="1140CFAA">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13.3</w:t>
            </w:r>
            <w:r>
              <w:rPr>
                <w:rFonts w:hint="eastAsia" w:ascii="宋体" w:hAnsi="宋体"/>
                <w:color w:val="auto"/>
                <w:szCs w:val="21"/>
                <w:highlight w:val="none"/>
              </w:rPr>
              <w:t>款</w:t>
            </w:r>
          </w:p>
        </w:tc>
        <w:tc>
          <w:tcPr>
            <w:tcW w:w="2233" w:type="dxa"/>
            <w:vAlign w:val="center"/>
          </w:tcPr>
          <w:p w14:paraId="66FC4426">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履约保证金退还时间及</w:t>
            </w:r>
            <w:r>
              <w:rPr>
                <w:rFonts w:hint="eastAsia" w:ascii="宋体" w:hAnsi="宋体"/>
                <w:color w:val="auto"/>
                <w:szCs w:val="21"/>
                <w:highlight w:val="none"/>
                <w:lang w:eastAsia="zh-CN"/>
              </w:rPr>
              <w:t>逾期退还的</w:t>
            </w:r>
            <w:r>
              <w:rPr>
                <w:rFonts w:hint="eastAsia" w:ascii="宋体" w:hAnsi="宋体"/>
                <w:color w:val="auto"/>
                <w:szCs w:val="21"/>
                <w:highlight w:val="none"/>
              </w:rPr>
              <w:t>违约金</w:t>
            </w:r>
          </w:p>
        </w:tc>
        <w:tc>
          <w:tcPr>
            <w:tcW w:w="4316" w:type="dxa"/>
            <w:vAlign w:val="center"/>
          </w:tcPr>
          <w:p w14:paraId="388827F7">
            <w:pPr>
              <w:adjustRightInd w:val="0"/>
              <w:snapToGrid w:val="0"/>
              <w:jc w:val="left"/>
              <w:rPr>
                <w:rFonts w:ascii="宋体" w:hAnsi="宋体"/>
                <w:color w:val="auto"/>
                <w:szCs w:val="21"/>
                <w:highlight w:val="none"/>
              </w:rPr>
            </w:pPr>
          </w:p>
        </w:tc>
      </w:tr>
      <w:tr w14:paraId="4DE3F26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07" w:type="dxa"/>
            <w:vAlign w:val="center"/>
          </w:tcPr>
          <w:p w14:paraId="0DB27517">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61B2C599">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3</w:t>
            </w:r>
            <w:r>
              <w:rPr>
                <w:rFonts w:hint="eastAsia" w:ascii="宋体" w:hAnsi="宋体"/>
                <w:color w:val="auto"/>
                <w:szCs w:val="21"/>
                <w:highlight w:val="none"/>
              </w:rPr>
              <w:t>）项</w:t>
            </w:r>
          </w:p>
        </w:tc>
        <w:tc>
          <w:tcPr>
            <w:tcW w:w="2233" w:type="dxa"/>
            <w:vAlign w:val="center"/>
          </w:tcPr>
          <w:p w14:paraId="5556439F">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运行监督、维修期限</w:t>
            </w:r>
          </w:p>
        </w:tc>
        <w:tc>
          <w:tcPr>
            <w:tcW w:w="4316" w:type="dxa"/>
            <w:vAlign w:val="center"/>
          </w:tcPr>
          <w:p w14:paraId="60EB4076">
            <w:pPr>
              <w:adjustRightInd w:val="0"/>
              <w:snapToGrid w:val="0"/>
              <w:jc w:val="left"/>
              <w:rPr>
                <w:rFonts w:ascii="宋体" w:hAnsi="宋体"/>
                <w:color w:val="auto"/>
                <w:szCs w:val="21"/>
                <w:highlight w:val="none"/>
              </w:rPr>
            </w:pPr>
          </w:p>
        </w:tc>
      </w:tr>
      <w:tr w14:paraId="21B1D8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07" w:type="dxa"/>
            <w:vAlign w:val="center"/>
          </w:tcPr>
          <w:p w14:paraId="49B4D01F">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76FDE56A">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5</w:t>
            </w:r>
            <w:r>
              <w:rPr>
                <w:rFonts w:hint="eastAsia" w:ascii="宋体" w:hAnsi="宋体"/>
                <w:color w:val="auto"/>
                <w:szCs w:val="21"/>
                <w:highlight w:val="none"/>
              </w:rPr>
              <w:t>）项</w:t>
            </w:r>
          </w:p>
        </w:tc>
        <w:tc>
          <w:tcPr>
            <w:tcW w:w="2233" w:type="dxa"/>
            <w:vAlign w:val="center"/>
          </w:tcPr>
          <w:p w14:paraId="7513506B">
            <w:pPr>
              <w:keepNext w:val="0"/>
              <w:keepLines w:val="0"/>
              <w:pageBreakBefore w:val="0"/>
              <w:kinsoku/>
              <w:wordWrap/>
              <w:overflowPunct/>
              <w:topLinePunct w:val="0"/>
              <w:bidi w:val="0"/>
              <w:adjustRightInd w:val="0"/>
              <w:snapToGrid w:val="0"/>
              <w:spacing w:line="240" w:lineRule="auto"/>
              <w:jc w:val="left"/>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货物回收的约定</w:t>
            </w:r>
          </w:p>
        </w:tc>
        <w:tc>
          <w:tcPr>
            <w:tcW w:w="4316" w:type="dxa"/>
            <w:vAlign w:val="center"/>
          </w:tcPr>
          <w:p w14:paraId="18BB485F">
            <w:pPr>
              <w:adjustRightInd w:val="0"/>
              <w:snapToGrid w:val="0"/>
              <w:jc w:val="left"/>
              <w:rPr>
                <w:rFonts w:ascii="宋体" w:hAnsi="宋体"/>
                <w:color w:val="auto"/>
                <w:szCs w:val="21"/>
                <w:highlight w:val="none"/>
              </w:rPr>
            </w:pPr>
          </w:p>
        </w:tc>
      </w:tr>
      <w:tr w14:paraId="6C5E714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7EFBAFB8">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78F6104B">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4</w:t>
            </w:r>
            <w:r>
              <w:rPr>
                <w:rFonts w:hint="eastAsia" w:ascii="宋体" w:hAnsi="宋体"/>
                <w:color w:val="auto"/>
                <w:szCs w:val="21"/>
                <w:highlight w:val="none"/>
              </w:rPr>
              <w:t>.1（</w:t>
            </w:r>
            <w:r>
              <w:rPr>
                <w:rFonts w:hint="eastAsia" w:ascii="宋体" w:hAnsi="宋体"/>
                <w:color w:val="auto"/>
                <w:szCs w:val="21"/>
                <w:highlight w:val="none"/>
                <w:lang w:val="en-US" w:eastAsia="zh-CN"/>
              </w:rPr>
              <w:t>6</w:t>
            </w:r>
            <w:r>
              <w:rPr>
                <w:rFonts w:hint="eastAsia" w:ascii="宋体" w:hAnsi="宋体"/>
                <w:color w:val="auto"/>
                <w:szCs w:val="21"/>
                <w:highlight w:val="none"/>
              </w:rPr>
              <w:t>）项</w:t>
            </w:r>
          </w:p>
        </w:tc>
        <w:tc>
          <w:tcPr>
            <w:tcW w:w="2233" w:type="dxa"/>
            <w:vAlign w:val="center"/>
          </w:tcPr>
          <w:p w14:paraId="0B272F44">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乙方提供的其他服务</w:t>
            </w:r>
          </w:p>
        </w:tc>
        <w:tc>
          <w:tcPr>
            <w:tcW w:w="4316" w:type="dxa"/>
            <w:vAlign w:val="center"/>
          </w:tcPr>
          <w:p w14:paraId="2067FDB4">
            <w:pPr>
              <w:adjustRightInd w:val="0"/>
              <w:snapToGrid w:val="0"/>
              <w:jc w:val="left"/>
              <w:rPr>
                <w:rFonts w:ascii="宋体" w:hAnsi="宋体"/>
                <w:color w:val="auto"/>
                <w:szCs w:val="21"/>
                <w:highlight w:val="none"/>
              </w:rPr>
            </w:pPr>
          </w:p>
        </w:tc>
      </w:tr>
      <w:tr w14:paraId="406B184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61A9A161">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5C616057">
            <w:pPr>
              <w:keepNext w:val="0"/>
              <w:keepLines w:val="0"/>
              <w:pageBreakBefore w:val="0"/>
              <w:kinsoku/>
              <w:wordWrap/>
              <w:overflowPunct/>
              <w:topLinePunct w:val="0"/>
              <w:bidi w:val="0"/>
              <w:adjustRightInd w:val="0"/>
              <w:snapToGrid w:val="0"/>
              <w:spacing w:line="240" w:lineRule="auto"/>
              <w:jc w:val="center"/>
              <w:textAlignment w:val="auto"/>
              <w:rPr>
                <w:rFonts w:hint="default" w:ascii="宋体" w:hAnsi="宋体" w:eastAsia="宋体"/>
                <w:color w:val="auto"/>
                <w:szCs w:val="21"/>
                <w:highlight w:val="none"/>
                <w:lang w:val="en-US" w:eastAsia="zh-CN"/>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1款</w:t>
            </w:r>
          </w:p>
        </w:tc>
        <w:tc>
          <w:tcPr>
            <w:tcW w:w="2233" w:type="dxa"/>
            <w:vAlign w:val="center"/>
          </w:tcPr>
          <w:p w14:paraId="634B89E3">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rPr>
            </w:pPr>
            <w:r>
              <w:rPr>
                <w:rFonts w:hint="eastAsia" w:ascii="宋体" w:hAnsi="宋体"/>
                <w:color w:val="auto"/>
                <w:szCs w:val="21"/>
                <w:highlight w:val="none"/>
                <w:lang w:eastAsia="zh-CN"/>
              </w:rPr>
              <w:t>修理、重作、更换相关具体规定</w:t>
            </w:r>
          </w:p>
        </w:tc>
        <w:tc>
          <w:tcPr>
            <w:tcW w:w="4316" w:type="dxa"/>
            <w:vAlign w:val="center"/>
          </w:tcPr>
          <w:p w14:paraId="246B6730">
            <w:pPr>
              <w:adjustRightInd w:val="0"/>
              <w:snapToGrid w:val="0"/>
              <w:jc w:val="left"/>
              <w:rPr>
                <w:rFonts w:ascii="宋体" w:hAnsi="宋体"/>
                <w:color w:val="auto"/>
                <w:szCs w:val="21"/>
                <w:highlight w:val="none"/>
              </w:rPr>
            </w:pPr>
          </w:p>
        </w:tc>
      </w:tr>
      <w:tr w14:paraId="17FBA3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4EA37292">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48C3260E">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.2（2）项</w:t>
            </w:r>
          </w:p>
        </w:tc>
        <w:tc>
          <w:tcPr>
            <w:tcW w:w="2233" w:type="dxa"/>
            <w:vAlign w:val="center"/>
          </w:tcPr>
          <w:p w14:paraId="5DAFAEFA">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迟延交货赔偿费</w:t>
            </w:r>
          </w:p>
        </w:tc>
        <w:tc>
          <w:tcPr>
            <w:tcW w:w="4316" w:type="dxa"/>
            <w:vAlign w:val="center"/>
          </w:tcPr>
          <w:p w14:paraId="1F48F1CA">
            <w:pPr>
              <w:adjustRightInd w:val="0"/>
              <w:snapToGrid w:val="0"/>
              <w:jc w:val="left"/>
              <w:rPr>
                <w:rFonts w:ascii="宋体" w:hAnsi="宋体"/>
                <w:color w:val="auto"/>
                <w:szCs w:val="21"/>
                <w:highlight w:val="none"/>
                <w:u w:val="single"/>
              </w:rPr>
            </w:pPr>
          </w:p>
        </w:tc>
      </w:tr>
      <w:tr w14:paraId="014AC4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07" w:type="dxa"/>
            <w:vAlign w:val="center"/>
          </w:tcPr>
          <w:p w14:paraId="293DEDEE">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68ACB0BB">
            <w:pPr>
              <w:keepNext w:val="0"/>
              <w:keepLines w:val="0"/>
              <w:pageBreakBefore w:val="0"/>
              <w:kinsoku/>
              <w:wordWrap/>
              <w:overflowPunct/>
              <w:topLinePunct w:val="0"/>
              <w:bidi w:val="0"/>
              <w:adjustRightInd w:val="0"/>
              <w:snapToGrid w:val="0"/>
              <w:spacing w:line="240" w:lineRule="auto"/>
              <w:jc w:val="center"/>
              <w:textAlignment w:val="auto"/>
              <w:rPr>
                <w:rFonts w:hint="eastAsia"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w:t>
            </w:r>
            <w:r>
              <w:rPr>
                <w:rFonts w:hint="eastAsia" w:ascii="宋体" w:hAnsi="宋体"/>
                <w:color w:val="auto"/>
                <w:szCs w:val="21"/>
                <w:highlight w:val="none"/>
                <w:lang w:val="en-US" w:eastAsia="zh-CN"/>
              </w:rPr>
              <w:t>3款</w:t>
            </w:r>
          </w:p>
        </w:tc>
        <w:tc>
          <w:tcPr>
            <w:tcW w:w="2233" w:type="dxa"/>
            <w:vAlign w:val="center"/>
          </w:tcPr>
          <w:p w14:paraId="2D6D8DEF">
            <w:pPr>
              <w:keepNext w:val="0"/>
              <w:keepLines w:val="0"/>
              <w:pageBreakBefore w:val="0"/>
              <w:kinsoku/>
              <w:wordWrap/>
              <w:overflowPunct/>
              <w:topLinePunct w:val="0"/>
              <w:bidi w:val="0"/>
              <w:adjustRightInd w:val="0"/>
              <w:snapToGrid w:val="0"/>
              <w:spacing w:line="240" w:lineRule="auto"/>
              <w:jc w:val="left"/>
              <w:textAlignment w:val="auto"/>
              <w:rPr>
                <w:rFonts w:hint="eastAsia" w:ascii="宋体" w:hAnsi="宋体"/>
                <w:color w:val="auto"/>
                <w:szCs w:val="21"/>
                <w:highlight w:val="none"/>
              </w:rPr>
            </w:pPr>
            <w:r>
              <w:rPr>
                <w:rFonts w:hint="eastAsia" w:ascii="宋体" w:hAnsi="宋体"/>
                <w:color w:val="auto"/>
                <w:szCs w:val="21"/>
                <w:highlight w:val="none"/>
              </w:rPr>
              <w:t>逾期付款利息</w:t>
            </w:r>
          </w:p>
        </w:tc>
        <w:tc>
          <w:tcPr>
            <w:tcW w:w="4316" w:type="dxa"/>
            <w:vAlign w:val="center"/>
          </w:tcPr>
          <w:p w14:paraId="6B4820C2">
            <w:pPr>
              <w:adjustRightInd w:val="0"/>
              <w:snapToGrid w:val="0"/>
              <w:jc w:val="left"/>
              <w:rPr>
                <w:rFonts w:ascii="宋体" w:hAnsi="宋体"/>
                <w:color w:val="auto"/>
                <w:szCs w:val="21"/>
                <w:highlight w:val="none"/>
                <w:u w:val="single"/>
              </w:rPr>
            </w:pPr>
          </w:p>
        </w:tc>
      </w:tr>
      <w:tr w14:paraId="723932F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07" w:type="dxa"/>
            <w:tcBorders>
              <w:bottom w:val="single" w:color="auto" w:sz="2" w:space="0"/>
              <w:right w:val="single" w:color="auto" w:sz="2" w:space="0"/>
            </w:tcBorders>
            <w:vAlign w:val="center"/>
          </w:tcPr>
          <w:p w14:paraId="01C78EE0">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392E11A8">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第1</w:t>
            </w:r>
            <w:r>
              <w:rPr>
                <w:rFonts w:hint="eastAsia" w:ascii="宋体" w:hAnsi="宋体"/>
                <w:color w:val="auto"/>
                <w:szCs w:val="21"/>
                <w:highlight w:val="none"/>
                <w:lang w:val="en-US" w:eastAsia="zh-CN"/>
              </w:rPr>
              <w:t>5</w:t>
            </w:r>
            <w:r>
              <w:rPr>
                <w:rFonts w:hint="eastAsia" w:ascii="宋体" w:hAnsi="宋体"/>
                <w:color w:val="auto"/>
                <w:szCs w:val="21"/>
                <w:highlight w:val="none"/>
              </w:rPr>
              <w:t>.4</w:t>
            </w:r>
            <w:r>
              <w:rPr>
                <w:rFonts w:hint="eastAsia" w:ascii="宋体" w:hAnsi="宋体"/>
                <w:color w:val="auto"/>
                <w:szCs w:val="21"/>
                <w:highlight w:val="none"/>
                <w:lang w:val="en-US" w:eastAsia="zh-CN"/>
              </w:rPr>
              <w:t>款</w:t>
            </w:r>
          </w:p>
        </w:tc>
        <w:tc>
          <w:tcPr>
            <w:tcW w:w="2233" w:type="dxa"/>
            <w:tcBorders>
              <w:left w:val="single" w:color="auto" w:sz="2" w:space="0"/>
              <w:bottom w:val="single" w:color="auto" w:sz="2" w:space="0"/>
              <w:right w:val="single" w:color="auto" w:sz="2" w:space="0"/>
            </w:tcBorders>
            <w:vAlign w:val="center"/>
          </w:tcPr>
          <w:p w14:paraId="377F2C41">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rPr>
              <w:t>其他违约责任</w:t>
            </w:r>
          </w:p>
        </w:tc>
        <w:tc>
          <w:tcPr>
            <w:tcW w:w="4316" w:type="dxa"/>
            <w:tcBorders>
              <w:left w:val="single" w:color="auto" w:sz="2" w:space="0"/>
              <w:bottom w:val="single" w:color="auto" w:sz="2" w:space="0"/>
            </w:tcBorders>
            <w:vAlign w:val="center"/>
          </w:tcPr>
          <w:p w14:paraId="27B6C4C5">
            <w:pPr>
              <w:adjustRightInd w:val="0"/>
              <w:snapToGrid w:val="0"/>
              <w:jc w:val="left"/>
              <w:rPr>
                <w:rFonts w:ascii="宋体" w:hAnsi="宋体"/>
                <w:color w:val="auto"/>
                <w:szCs w:val="21"/>
                <w:highlight w:val="none"/>
                <w:u w:val="single"/>
              </w:rPr>
            </w:pPr>
          </w:p>
        </w:tc>
      </w:tr>
      <w:tr w14:paraId="1CAF66A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07" w:type="dxa"/>
            <w:tcBorders>
              <w:top w:val="single" w:color="auto" w:sz="2" w:space="0"/>
              <w:right w:val="single" w:color="auto" w:sz="2" w:space="0"/>
            </w:tcBorders>
            <w:vAlign w:val="center"/>
          </w:tcPr>
          <w:p w14:paraId="272ED3EF">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7B432532">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w:t>
            </w:r>
            <w:r>
              <w:rPr>
                <w:rFonts w:hint="eastAsia" w:ascii="宋体" w:hAnsi="宋体"/>
                <w:color w:val="auto"/>
                <w:szCs w:val="21"/>
                <w:highlight w:val="none"/>
                <w:lang w:val="en-US" w:eastAsia="zh-CN"/>
              </w:rPr>
              <w:t>19</w:t>
            </w:r>
            <w:r>
              <w:rPr>
                <w:rFonts w:hint="eastAsia" w:ascii="宋体" w:hAnsi="宋体"/>
                <w:color w:val="auto"/>
                <w:szCs w:val="21"/>
                <w:highlight w:val="none"/>
              </w:rPr>
              <w:t>.2</w:t>
            </w:r>
            <w:r>
              <w:rPr>
                <w:rFonts w:hint="eastAsia" w:ascii="宋体" w:hAnsi="宋体"/>
                <w:color w:val="auto"/>
                <w:szCs w:val="21"/>
                <w:highlight w:val="none"/>
                <w:lang w:val="en-US" w:eastAsia="zh-CN"/>
              </w:rPr>
              <w:t>款</w:t>
            </w:r>
          </w:p>
        </w:tc>
        <w:tc>
          <w:tcPr>
            <w:tcW w:w="2233" w:type="dxa"/>
            <w:tcBorders>
              <w:top w:val="single" w:color="auto" w:sz="2" w:space="0"/>
              <w:left w:val="single" w:color="auto" w:sz="2" w:space="0"/>
              <w:right w:val="single" w:color="auto" w:sz="2" w:space="0"/>
            </w:tcBorders>
            <w:vAlign w:val="center"/>
          </w:tcPr>
          <w:p w14:paraId="39ED1C44">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color w:val="auto"/>
                <w:szCs w:val="21"/>
                <w:highlight w:val="none"/>
                <w:lang w:val="en-US" w:eastAsia="zh-CN"/>
              </w:rPr>
              <w:t>解决争议的方法</w:t>
            </w:r>
          </w:p>
        </w:tc>
        <w:tc>
          <w:tcPr>
            <w:tcW w:w="4316" w:type="dxa"/>
            <w:tcBorders>
              <w:top w:val="single" w:color="auto" w:sz="2" w:space="0"/>
              <w:left w:val="single" w:color="auto" w:sz="2" w:space="0"/>
            </w:tcBorders>
            <w:vAlign w:val="center"/>
          </w:tcPr>
          <w:p w14:paraId="06E5E929">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因本合同及合同有关事项发生的争议，按下列第</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种方式解决：</w:t>
            </w:r>
          </w:p>
          <w:p w14:paraId="0A4F538C">
            <w:pPr>
              <w:autoSpaceDE w:val="0"/>
              <w:autoSpaceDN w:val="0"/>
              <w:adjustRightInd w:val="0"/>
              <w:snapToGrid w:val="0"/>
              <w:spacing w:line="400" w:lineRule="exact"/>
              <w:jc w:val="left"/>
              <w:rPr>
                <w:rFonts w:hint="eastAsia" w:ascii="宋体" w:hAnsi="宋体" w:eastAsia="宋体" w:cs="宋体"/>
                <w:b w:val="0"/>
                <w:bCs w:val="0"/>
                <w:iCs/>
                <w:color w:val="auto"/>
                <w:szCs w:val="21"/>
                <w:highlight w:val="none"/>
              </w:rPr>
            </w:pPr>
            <w:r>
              <w:rPr>
                <w:rFonts w:hint="eastAsia" w:ascii="宋体" w:hAnsi="宋体" w:eastAsia="宋体" w:cs="宋体"/>
                <w:b w:val="0"/>
                <w:bCs w:val="0"/>
                <w:iCs/>
                <w:color w:val="auto"/>
                <w:szCs w:val="21"/>
                <w:highlight w:val="none"/>
              </w:rPr>
              <w:t>（1）向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仲裁委员会申请仲裁，仲裁地点为</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w:t>
            </w:r>
          </w:p>
          <w:p w14:paraId="1296E306">
            <w:pPr>
              <w:adjustRightInd w:val="0"/>
              <w:snapToGrid w:val="0"/>
              <w:ind w:firstLine="0" w:firstLineChars="0"/>
              <w:jc w:val="left"/>
              <w:rPr>
                <w:rFonts w:ascii="宋体" w:hAnsi="宋体"/>
                <w:color w:val="auto"/>
                <w:szCs w:val="21"/>
                <w:highlight w:val="none"/>
                <w:u w:val="single"/>
              </w:rPr>
            </w:pPr>
            <w:r>
              <w:rPr>
                <w:rFonts w:hint="eastAsia" w:ascii="宋体" w:hAnsi="宋体" w:eastAsia="宋体" w:cs="宋体"/>
                <w:b w:val="0"/>
                <w:bCs w:val="0"/>
                <w:iCs/>
                <w:color w:val="auto"/>
                <w:szCs w:val="21"/>
                <w:highlight w:val="none"/>
              </w:rPr>
              <w:t>（2）向</w:t>
            </w:r>
            <w:r>
              <w:rPr>
                <w:rFonts w:hint="eastAsia" w:ascii="宋体" w:hAnsi="宋体" w:eastAsia="宋体" w:cs="宋体"/>
                <w:b w:val="0"/>
                <w:bCs w:val="0"/>
                <w:iCs/>
                <w:color w:val="auto"/>
                <w:szCs w:val="21"/>
                <w:highlight w:val="none"/>
                <w:u w:val="single"/>
              </w:rPr>
              <w:t xml:space="preserve">                    </w:t>
            </w:r>
            <w:r>
              <w:rPr>
                <w:rFonts w:hint="eastAsia" w:ascii="宋体" w:hAnsi="宋体" w:eastAsia="宋体" w:cs="宋体"/>
                <w:b w:val="0"/>
                <w:bCs w:val="0"/>
                <w:iCs/>
                <w:color w:val="auto"/>
                <w:szCs w:val="21"/>
                <w:highlight w:val="none"/>
              </w:rPr>
              <w:t>人民法院起诉。</w:t>
            </w:r>
          </w:p>
        </w:tc>
      </w:tr>
      <w:tr w14:paraId="454DBFB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07" w:type="dxa"/>
            <w:vAlign w:val="center"/>
          </w:tcPr>
          <w:p w14:paraId="01156526">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第二节</w:t>
            </w:r>
          </w:p>
          <w:p w14:paraId="73E369BD">
            <w:pPr>
              <w:keepNext w:val="0"/>
              <w:keepLines w:val="0"/>
              <w:pageBreakBefore w:val="0"/>
              <w:kinsoku/>
              <w:wordWrap/>
              <w:overflowPunct/>
              <w:topLinePunct w:val="0"/>
              <w:bidi w:val="0"/>
              <w:adjustRightInd w:val="0"/>
              <w:snapToGrid w:val="0"/>
              <w:spacing w:line="240" w:lineRule="auto"/>
              <w:jc w:val="center"/>
              <w:textAlignment w:val="auto"/>
              <w:rPr>
                <w:rFonts w:ascii="宋体" w:hAnsi="宋体"/>
                <w:color w:val="auto"/>
                <w:szCs w:val="21"/>
                <w:highlight w:val="none"/>
              </w:rPr>
            </w:pPr>
            <w:r>
              <w:rPr>
                <w:rFonts w:hint="eastAsia" w:ascii="宋体" w:hAnsi="宋体"/>
                <w:color w:val="auto"/>
                <w:szCs w:val="21"/>
                <w:highlight w:val="none"/>
              </w:rPr>
              <w:t>第2</w:t>
            </w:r>
            <w:r>
              <w:rPr>
                <w:rFonts w:hint="eastAsia" w:ascii="宋体" w:hAnsi="宋体"/>
                <w:color w:val="auto"/>
                <w:szCs w:val="21"/>
                <w:highlight w:val="none"/>
                <w:lang w:val="en-US" w:eastAsia="zh-CN"/>
              </w:rPr>
              <w:t>3.1</w:t>
            </w:r>
            <w:r>
              <w:rPr>
                <w:rFonts w:hint="eastAsia" w:ascii="宋体" w:hAnsi="宋体"/>
                <w:color w:val="auto"/>
                <w:szCs w:val="21"/>
                <w:highlight w:val="none"/>
                <w:lang w:eastAsia="zh-CN"/>
              </w:rPr>
              <w:t>款</w:t>
            </w:r>
          </w:p>
        </w:tc>
        <w:tc>
          <w:tcPr>
            <w:tcW w:w="2233" w:type="dxa"/>
            <w:vAlign w:val="center"/>
          </w:tcPr>
          <w:p w14:paraId="680981F6">
            <w:pPr>
              <w:keepNext w:val="0"/>
              <w:keepLines w:val="0"/>
              <w:pageBreakBefore w:val="0"/>
              <w:kinsoku/>
              <w:wordWrap/>
              <w:overflowPunct/>
              <w:topLinePunct w:val="0"/>
              <w:bidi w:val="0"/>
              <w:adjustRightInd w:val="0"/>
              <w:snapToGrid w:val="0"/>
              <w:spacing w:line="240" w:lineRule="auto"/>
              <w:jc w:val="left"/>
              <w:textAlignment w:val="auto"/>
              <w:rPr>
                <w:rFonts w:ascii="宋体" w:hAnsi="宋体"/>
                <w:color w:val="auto"/>
                <w:szCs w:val="21"/>
                <w:highlight w:val="none"/>
              </w:rPr>
            </w:pPr>
            <w:r>
              <w:rPr>
                <w:rFonts w:hint="eastAsia" w:ascii="宋体" w:hAnsi="宋体"/>
                <w:bCs/>
                <w:color w:val="auto"/>
                <w:szCs w:val="21"/>
                <w:highlight w:val="none"/>
                <w:lang w:eastAsia="zh-CN"/>
              </w:rPr>
              <w:t>其他专用条款</w:t>
            </w:r>
          </w:p>
        </w:tc>
        <w:tc>
          <w:tcPr>
            <w:tcW w:w="4316" w:type="dxa"/>
            <w:vAlign w:val="center"/>
          </w:tcPr>
          <w:p w14:paraId="489DF800">
            <w:pPr>
              <w:adjustRightInd w:val="0"/>
              <w:snapToGrid w:val="0"/>
              <w:jc w:val="left"/>
              <w:rPr>
                <w:rFonts w:hint="default" w:ascii="宋体" w:hAnsi="宋体" w:eastAsia="宋体"/>
                <w:color w:val="auto"/>
                <w:szCs w:val="21"/>
                <w:highlight w:val="none"/>
                <w:lang w:val="en-US" w:eastAsia="zh-CN"/>
              </w:rPr>
            </w:pPr>
          </w:p>
        </w:tc>
      </w:tr>
    </w:tbl>
    <w:p w14:paraId="0B57DE7A">
      <w:pPr>
        <w:rPr>
          <w:color w:val="auto"/>
          <w:highlight w:val="none"/>
        </w:rPr>
      </w:pPr>
    </w:p>
    <w:p w14:paraId="07E2BA68">
      <w:pPr>
        <w:rPr>
          <w:color w:val="auto"/>
          <w:highlight w:val="none"/>
        </w:rPr>
      </w:pPr>
    </w:p>
    <w:p w14:paraId="5B9FC6AB">
      <w:pPr>
        <w:rPr>
          <w:color w:val="auto"/>
          <w:highlight w:val="none"/>
          <w:lang w:val="zh-CN"/>
        </w:rPr>
      </w:pPr>
    </w:p>
    <w:p w14:paraId="23832AF9">
      <w:pPr>
        <w:rPr>
          <w:color w:val="auto"/>
          <w:highlight w:val="none"/>
          <w:lang w:val="zh-CN"/>
        </w:rPr>
      </w:pPr>
    </w:p>
    <w:p w14:paraId="36398570">
      <w:pPr>
        <w:pStyle w:val="3"/>
        <w:rPr>
          <w:color w:val="auto"/>
          <w:highlight w:val="none"/>
          <w:lang w:val="zh-CN"/>
        </w:rPr>
      </w:pPr>
    </w:p>
    <w:p w14:paraId="4D7AFD7D">
      <w:pPr>
        <w:rPr>
          <w:color w:val="auto"/>
          <w:highlight w:val="none"/>
          <w:lang w:val="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ED2F32E">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317" w:name="_Toc155185919"/>
      <w:bookmarkStart w:id="318" w:name="_Toc163492913"/>
      <w:bookmarkStart w:id="319" w:name="_Toc15820"/>
      <w:r>
        <w:rPr>
          <w:rFonts w:hint="eastAsia" w:ascii="宋体" w:hAnsi="宋体" w:eastAsia="宋体" w:cs="宋体"/>
          <w:b/>
          <w:bCs/>
          <w:color w:val="auto"/>
          <w:kern w:val="44"/>
          <w:sz w:val="36"/>
          <w:szCs w:val="36"/>
          <w:highlight w:val="none"/>
          <w:lang w:val="en-US" w:eastAsia="zh-CN" w:bidi="ar-SA"/>
        </w:rPr>
        <w:t>第七章 投标文件格式</w:t>
      </w:r>
      <w:bookmarkEnd w:id="317"/>
      <w:bookmarkEnd w:id="318"/>
      <w:bookmarkEnd w:id="319"/>
    </w:p>
    <w:p w14:paraId="45B608C7">
      <w:pPr>
        <w:ind w:firstLine="480" w:firstLineChars="200"/>
        <w:rPr>
          <w:rFonts w:hint="eastAsia" w:cs="仿宋_GB2312"/>
          <w:color w:val="auto"/>
          <w:szCs w:val="24"/>
          <w:highlight w:val="none"/>
          <w:lang w:val="zh-CN"/>
        </w:rPr>
      </w:pPr>
      <w:bookmarkStart w:id="320" w:name="_Toc163492937"/>
    </w:p>
    <w:p w14:paraId="1CC78F71">
      <w:pPr>
        <w:ind w:firstLine="480" w:firstLineChars="200"/>
        <w:rPr>
          <w:rFonts w:cs="仿宋_GB2312"/>
          <w:color w:val="auto"/>
          <w:szCs w:val="24"/>
          <w:highlight w:val="none"/>
          <w:lang w:val="zh-CN"/>
        </w:rPr>
      </w:pPr>
      <w:r>
        <w:rPr>
          <w:rFonts w:hint="eastAsia" w:cs="仿宋_GB2312"/>
          <w:color w:val="auto"/>
          <w:szCs w:val="24"/>
          <w:highlight w:val="none"/>
          <w:lang w:val="zh-CN"/>
        </w:rPr>
        <w:t>封面：</w:t>
      </w:r>
    </w:p>
    <w:p w14:paraId="61C3FA38">
      <w:pPr>
        <w:autoSpaceDE w:val="0"/>
        <w:autoSpaceDN w:val="0"/>
        <w:adjustRightInd w:val="0"/>
        <w:rPr>
          <w:color w:val="auto"/>
          <w:sz w:val="21"/>
          <w:szCs w:val="24"/>
          <w:highlight w:val="none"/>
        </w:rPr>
      </w:pPr>
    </w:p>
    <w:p w14:paraId="4B5B79C3">
      <w:pPr>
        <w:autoSpaceDE w:val="0"/>
        <w:autoSpaceDN w:val="0"/>
        <w:adjustRightInd w:val="0"/>
        <w:rPr>
          <w:color w:val="auto"/>
          <w:sz w:val="21"/>
          <w:szCs w:val="24"/>
          <w:highlight w:val="none"/>
        </w:rPr>
      </w:pPr>
    </w:p>
    <w:p w14:paraId="15B17DC3">
      <w:pPr>
        <w:autoSpaceDE w:val="0"/>
        <w:autoSpaceDN w:val="0"/>
        <w:adjustRightInd w:val="0"/>
        <w:jc w:val="center"/>
        <w:rPr>
          <w:color w:val="auto"/>
          <w:sz w:val="21"/>
          <w:szCs w:val="24"/>
          <w:highlight w:val="none"/>
        </w:rPr>
      </w:pPr>
    </w:p>
    <w:p w14:paraId="6974D908">
      <w:pPr>
        <w:autoSpaceDE w:val="0"/>
        <w:autoSpaceDN w:val="0"/>
        <w:adjustRightInd w:val="0"/>
        <w:jc w:val="center"/>
        <w:rPr>
          <w:b/>
          <w:color w:val="auto"/>
          <w:sz w:val="84"/>
          <w:szCs w:val="84"/>
          <w:highlight w:val="none"/>
        </w:rPr>
      </w:pPr>
      <w:r>
        <w:rPr>
          <w:rFonts w:hint="eastAsia"/>
          <w:b/>
          <w:color w:val="auto"/>
          <w:sz w:val="84"/>
          <w:szCs w:val="84"/>
          <w:highlight w:val="none"/>
        </w:rPr>
        <w:t>投 标 文 件</w:t>
      </w:r>
    </w:p>
    <w:p w14:paraId="732D040F">
      <w:pPr>
        <w:autoSpaceDE w:val="0"/>
        <w:autoSpaceDN w:val="0"/>
        <w:adjustRightInd w:val="0"/>
        <w:rPr>
          <w:b/>
          <w:bCs/>
          <w:color w:val="auto"/>
          <w:sz w:val="22"/>
          <w:highlight w:val="none"/>
        </w:rPr>
      </w:pPr>
    </w:p>
    <w:p w14:paraId="26A46C49">
      <w:pPr>
        <w:autoSpaceDE w:val="0"/>
        <w:autoSpaceDN w:val="0"/>
        <w:adjustRightInd w:val="0"/>
        <w:jc w:val="center"/>
        <w:rPr>
          <w:rFonts w:hint="eastAsia" w:eastAsia="宋体"/>
          <w:color w:val="auto"/>
          <w:sz w:val="36"/>
          <w:szCs w:val="36"/>
          <w:highlight w:val="none"/>
          <w:lang w:eastAsia="zh-CN"/>
        </w:rPr>
      </w:pPr>
      <w:r>
        <w:rPr>
          <w:rFonts w:hint="eastAsia"/>
          <w:color w:val="auto"/>
          <w:sz w:val="36"/>
          <w:szCs w:val="36"/>
          <w:highlight w:val="none"/>
          <w:lang w:val="en-US" w:eastAsia="zh-CN"/>
        </w:rPr>
        <w:t>（标项X</w:t>
      </w:r>
      <w:r>
        <w:rPr>
          <w:rFonts w:hint="eastAsia"/>
          <w:color w:val="auto"/>
          <w:sz w:val="36"/>
          <w:szCs w:val="36"/>
          <w:highlight w:val="none"/>
          <w:lang w:eastAsia="zh-CN"/>
        </w:rPr>
        <w:t>）【</w:t>
      </w:r>
      <w:r>
        <w:rPr>
          <w:rFonts w:hint="eastAsia"/>
          <w:color w:val="auto"/>
          <w:sz w:val="36"/>
          <w:szCs w:val="36"/>
          <w:highlight w:val="none"/>
          <w:lang w:val="en-US" w:eastAsia="zh-CN"/>
        </w:rPr>
        <w:t>如不分标项，请删去本行</w:t>
      </w:r>
      <w:r>
        <w:rPr>
          <w:rFonts w:hint="eastAsia"/>
          <w:color w:val="auto"/>
          <w:sz w:val="36"/>
          <w:szCs w:val="36"/>
          <w:highlight w:val="none"/>
          <w:lang w:eastAsia="zh-CN"/>
        </w:rPr>
        <w:t>】</w:t>
      </w:r>
    </w:p>
    <w:p w14:paraId="63D66977">
      <w:pPr>
        <w:autoSpaceDE w:val="0"/>
        <w:autoSpaceDN w:val="0"/>
        <w:adjustRightInd w:val="0"/>
        <w:rPr>
          <w:color w:val="auto"/>
          <w:sz w:val="21"/>
          <w:szCs w:val="21"/>
          <w:highlight w:val="none"/>
        </w:rPr>
      </w:pPr>
    </w:p>
    <w:p w14:paraId="09ABE229">
      <w:pPr>
        <w:pStyle w:val="3"/>
        <w:rPr>
          <w:color w:val="auto"/>
          <w:highlight w:val="none"/>
        </w:rPr>
      </w:pPr>
    </w:p>
    <w:p w14:paraId="6D0B334D">
      <w:pPr>
        <w:rPr>
          <w:color w:val="auto"/>
          <w:highlight w:val="none"/>
        </w:rPr>
      </w:pPr>
    </w:p>
    <w:p w14:paraId="0F3339E7">
      <w:pPr>
        <w:rPr>
          <w:color w:val="auto"/>
          <w:highlight w:val="none"/>
        </w:rPr>
      </w:pPr>
    </w:p>
    <w:p w14:paraId="1B41D8F1">
      <w:pPr>
        <w:autoSpaceDE w:val="0"/>
        <w:autoSpaceDN w:val="0"/>
        <w:adjustRightInd w:val="0"/>
        <w:rPr>
          <w:color w:val="auto"/>
          <w:sz w:val="21"/>
          <w:szCs w:val="21"/>
          <w:highlight w:val="none"/>
        </w:rPr>
      </w:pPr>
    </w:p>
    <w:p w14:paraId="6690FA48">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3D3D875F">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cs="宋体"/>
          <w:color w:val="auto"/>
          <w:sz w:val="36"/>
          <w:szCs w:val="36"/>
          <w:highlight w:val="none"/>
          <w:lang w:val="en-US" w:eastAsia="zh-CN"/>
        </w:rPr>
        <w:t>/标项号</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67E583BA">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投</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30A63014">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lang w:eastAsia="zh-CN"/>
        </w:rPr>
        <w:t>联</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lang w:eastAsia="zh-CN"/>
        </w:rPr>
        <w:t>系</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5801BCF8">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lang w:eastAsia="zh-CN"/>
        </w:rPr>
        <w:t>联系电话</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25D7500A">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lang w:eastAsia="zh-CN"/>
        </w:rPr>
        <w:t>联系</w:t>
      </w:r>
      <w:r>
        <w:rPr>
          <w:rFonts w:hint="eastAsia" w:ascii="宋体" w:hAnsi="宋体" w:eastAsia="宋体" w:cs="宋体"/>
          <w:color w:val="auto"/>
          <w:sz w:val="36"/>
          <w:szCs w:val="36"/>
          <w:highlight w:val="none"/>
          <w:lang w:val="en-US" w:eastAsia="zh-CN"/>
        </w:rPr>
        <w:t>地址</w:t>
      </w:r>
      <w:r>
        <w:rPr>
          <w:rFonts w:hint="eastAsia" w:ascii="宋体" w:hAnsi="宋体" w:eastAsia="宋体" w:cs="宋体"/>
          <w:color w:val="auto"/>
          <w:sz w:val="36"/>
          <w:szCs w:val="36"/>
          <w:highlight w:val="none"/>
        </w:rPr>
        <w:t>：</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51734FC5">
      <w:pPr>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039533BB">
      <w:pPr>
        <w:rPr>
          <w:color w:val="auto"/>
          <w:highlight w:val="none"/>
          <w:lang w:val="zh-CN"/>
        </w:rPr>
      </w:pPr>
      <w:r>
        <w:rPr>
          <w:color w:val="auto"/>
          <w:highlight w:val="none"/>
          <w:lang w:val="zh-CN"/>
        </w:rPr>
        <w:br w:type="page"/>
      </w:r>
    </w:p>
    <w:p w14:paraId="0DA6D818">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321" w:name="_Toc25898"/>
      <w:bookmarkStart w:id="322" w:name="_Toc163492921"/>
      <w:bookmarkStart w:id="323" w:name="_Toc155185927"/>
      <w:r>
        <w:rPr>
          <w:rFonts w:hint="eastAsia" w:eastAsia="宋体" w:asciiTheme="majorHAnsi" w:hAnsiTheme="majorHAnsi" w:cstheme="majorBidi"/>
          <w:b/>
          <w:bCs/>
          <w:color w:val="auto"/>
          <w:kern w:val="2"/>
          <w:sz w:val="28"/>
          <w:szCs w:val="28"/>
          <w:highlight w:val="none"/>
          <w:lang w:val="en-US" w:eastAsia="zh-CN" w:bidi="ar-SA"/>
        </w:rPr>
        <w:t>一、满足《中华人民共和国政府采购法》第二十二条规定</w:t>
      </w:r>
      <w:bookmarkEnd w:id="321"/>
    </w:p>
    <w:bookmarkEnd w:id="322"/>
    <w:bookmarkEnd w:id="323"/>
    <w:p w14:paraId="596D99B2">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color w:val="auto"/>
          <w:kern w:val="2"/>
          <w:sz w:val="24"/>
          <w:szCs w:val="24"/>
          <w:highlight w:val="none"/>
          <w:lang w:val="en-US" w:eastAsia="zh-CN" w:bidi="ar-SA"/>
        </w:rPr>
      </w:pPr>
      <w:bookmarkStart w:id="324" w:name="_Toc163492922"/>
      <w:bookmarkStart w:id="325" w:name="_Toc155185928"/>
      <w:r>
        <w:rPr>
          <w:rFonts w:hint="eastAsia" w:ascii="宋体" w:hAnsi="宋体" w:eastAsia="宋体" w:cs="宋体"/>
          <w:b/>
          <w:bCs/>
          <w:color w:val="auto"/>
          <w:kern w:val="2"/>
          <w:sz w:val="24"/>
          <w:szCs w:val="24"/>
          <w:highlight w:val="none"/>
          <w:lang w:val="en-US" w:eastAsia="zh-CN" w:bidi="ar-SA"/>
        </w:rPr>
        <w:t>（一）法人、其他组织或者自然人的证明文件</w:t>
      </w:r>
    </w:p>
    <w:p w14:paraId="37E921C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1、投标人</w:t>
      </w:r>
      <w:r>
        <w:rPr>
          <w:rFonts w:hint="eastAsia" w:ascii="宋体" w:hAnsi="宋体" w:eastAsia="宋体" w:cs="宋体"/>
          <w:b w:val="0"/>
          <w:bCs w:val="0"/>
          <w:color w:val="auto"/>
          <w:kern w:val="0"/>
          <w:sz w:val="24"/>
          <w:szCs w:val="24"/>
          <w:highlight w:val="none"/>
          <w:lang w:val="en-US" w:eastAsia="zh-CN"/>
        </w:rPr>
        <w:t>为企业（包括合伙企业）的，应提供有效的“营业执照”；</w:t>
      </w:r>
    </w:p>
    <w:p w14:paraId="6113B06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2、投标人</w:t>
      </w:r>
      <w:r>
        <w:rPr>
          <w:rFonts w:hint="eastAsia" w:ascii="宋体" w:hAnsi="宋体" w:eastAsia="宋体" w:cs="宋体"/>
          <w:b w:val="0"/>
          <w:bCs w:val="0"/>
          <w:color w:val="auto"/>
          <w:kern w:val="0"/>
          <w:sz w:val="24"/>
          <w:szCs w:val="24"/>
          <w:highlight w:val="none"/>
          <w:lang w:val="en-US" w:eastAsia="zh-CN"/>
        </w:rPr>
        <w:t>为事业单位的，应提供有效的“事业单位法人证书”；</w:t>
      </w:r>
    </w:p>
    <w:p w14:paraId="7CA6A97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3、投标人</w:t>
      </w:r>
      <w:r>
        <w:rPr>
          <w:rFonts w:hint="eastAsia" w:ascii="宋体" w:hAnsi="宋体" w:eastAsia="宋体" w:cs="宋体"/>
          <w:b w:val="0"/>
          <w:bCs w:val="0"/>
          <w:color w:val="auto"/>
          <w:kern w:val="0"/>
          <w:sz w:val="24"/>
          <w:szCs w:val="24"/>
          <w:highlight w:val="none"/>
          <w:lang w:val="en-US" w:eastAsia="zh-CN"/>
        </w:rPr>
        <w:t>为非企业机构的，应提供有效的“执业许可证”、“登记证书”等证明文件；</w:t>
      </w:r>
    </w:p>
    <w:p w14:paraId="46C331C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4、投标人</w:t>
      </w:r>
      <w:r>
        <w:rPr>
          <w:rFonts w:hint="eastAsia" w:ascii="宋体" w:hAnsi="宋体" w:eastAsia="宋体" w:cs="宋体"/>
          <w:b w:val="0"/>
          <w:bCs w:val="0"/>
          <w:color w:val="auto"/>
          <w:kern w:val="0"/>
          <w:sz w:val="24"/>
          <w:szCs w:val="24"/>
          <w:highlight w:val="none"/>
          <w:lang w:val="en-US" w:eastAsia="zh-CN"/>
        </w:rPr>
        <w:t>是个体工商户的，应提供有效的“个体工商户营业执照”；</w:t>
      </w:r>
    </w:p>
    <w:p w14:paraId="6B91347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5、投标人</w:t>
      </w:r>
      <w:r>
        <w:rPr>
          <w:rFonts w:hint="eastAsia" w:ascii="宋体" w:hAnsi="宋体" w:eastAsia="宋体" w:cs="宋体"/>
          <w:b w:val="0"/>
          <w:bCs w:val="0"/>
          <w:color w:val="auto"/>
          <w:kern w:val="0"/>
          <w:sz w:val="24"/>
          <w:szCs w:val="24"/>
          <w:highlight w:val="none"/>
          <w:lang w:val="en-US" w:eastAsia="zh-CN"/>
        </w:rPr>
        <w:t>是自然人的，应提供有效的自然人身份证明。</w:t>
      </w:r>
    </w:p>
    <w:p w14:paraId="29E145A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p>
    <w:p w14:paraId="6A75D5EE">
      <w:pP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br w:type="page"/>
      </w:r>
    </w:p>
    <w:bookmarkEnd w:id="324"/>
    <w:bookmarkEnd w:id="325"/>
    <w:p w14:paraId="5C21502A">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0" w:leftChars="0" w:firstLine="0" w:firstLineChars="0"/>
        <w:textAlignment w:val="auto"/>
        <w:rPr>
          <w:rFonts w:hint="eastAsia" w:eastAsia="宋体" w:cstheme="majorBidi"/>
          <w:b/>
          <w:bCs/>
          <w:color w:val="auto"/>
          <w:kern w:val="2"/>
          <w:sz w:val="24"/>
          <w:szCs w:val="24"/>
          <w:highlight w:val="none"/>
          <w:lang w:val="en-US" w:eastAsia="zh-CN" w:bidi="ar-SA"/>
        </w:rPr>
      </w:pPr>
      <w:bookmarkStart w:id="326" w:name="_Toc16010"/>
      <w:r>
        <w:rPr>
          <w:rFonts w:hint="eastAsia" w:eastAsia="宋体" w:cstheme="majorBidi"/>
          <w:b/>
          <w:bCs/>
          <w:color w:val="auto"/>
          <w:kern w:val="2"/>
          <w:sz w:val="24"/>
          <w:szCs w:val="24"/>
          <w:highlight w:val="none"/>
          <w:lang w:val="en-US" w:eastAsia="zh-CN" w:bidi="ar-SA"/>
        </w:rPr>
        <w:t>（二）政府采购供应商信用承诺函</w:t>
      </w:r>
      <w:bookmarkEnd w:id="326"/>
    </w:p>
    <w:p w14:paraId="58F63424">
      <w:pPr>
        <w:spacing w:line="560" w:lineRule="exac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单位名称</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自然人姓名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79786D76">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统一社会信用代码</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身份证号码</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1CB25D8E">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负责人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14769F0F">
      <w:pPr>
        <w:spacing w:line="560" w:lineRule="exact"/>
        <w:ind w:firstLine="480" w:firstLineChars="200"/>
        <w:rPr>
          <w:rFonts w:hint="eastAsia" w:ascii="宋体" w:hAnsi="宋体" w:eastAsia="宋体" w:cs="宋体"/>
          <w:color w:val="auto"/>
          <w:kern w:val="0"/>
          <w:sz w:val="24"/>
          <w:szCs w:val="24"/>
          <w:highlight w:val="none"/>
        </w:rPr>
      </w:pPr>
    </w:p>
    <w:p w14:paraId="246E42D7">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我单位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 xml:space="preserve">自愿参加本次政府采购活动，严格遵守《中华人民共和国政府采购法》及相关法律法规，坚守公开、公平、公正和诚实信用等原则，依法诚信经营，并郑重承诺：    </w:t>
      </w:r>
    </w:p>
    <w:p w14:paraId="348AF3BD">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一、我单位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符合《中华人民共和国政府采购法》第二十二条规定：</w:t>
      </w:r>
    </w:p>
    <w:p w14:paraId="74A14CCE">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一</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具有独立承担民事责任的能力;</w:t>
      </w:r>
    </w:p>
    <w:p w14:paraId="6DE2679C">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（二）</w:t>
      </w:r>
      <w:r>
        <w:rPr>
          <w:rFonts w:hint="eastAsia" w:ascii="宋体" w:hAnsi="宋体" w:eastAsia="宋体" w:cs="宋体"/>
          <w:color w:val="auto"/>
          <w:kern w:val="0"/>
          <w:sz w:val="24"/>
          <w:szCs w:val="24"/>
          <w:highlight w:val="none"/>
        </w:rPr>
        <w:t>具有良好的商业信誉和健全的财务会计制度;</w:t>
      </w:r>
    </w:p>
    <w:p w14:paraId="105E2D07">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（三）</w:t>
      </w:r>
      <w:r>
        <w:rPr>
          <w:rFonts w:hint="eastAsia" w:ascii="宋体" w:hAnsi="宋体" w:eastAsia="宋体" w:cs="宋体"/>
          <w:color w:val="auto"/>
          <w:kern w:val="0"/>
          <w:sz w:val="24"/>
          <w:szCs w:val="24"/>
          <w:highlight w:val="none"/>
        </w:rPr>
        <w:t>具有履行合同所必需的设备和专业技术能力;</w:t>
      </w:r>
    </w:p>
    <w:p w14:paraId="12E1C97D">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（四）</w:t>
      </w:r>
      <w:r>
        <w:rPr>
          <w:rFonts w:hint="eastAsia" w:ascii="宋体" w:hAnsi="宋体" w:eastAsia="宋体" w:cs="宋体"/>
          <w:color w:val="auto"/>
          <w:kern w:val="0"/>
          <w:sz w:val="24"/>
          <w:szCs w:val="24"/>
          <w:highlight w:val="none"/>
        </w:rPr>
        <w:t>有依法缴纳税收和社会保障资金的良好记录;</w:t>
      </w:r>
    </w:p>
    <w:p w14:paraId="2AA32F62">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（五）</w:t>
      </w:r>
      <w:r>
        <w:rPr>
          <w:rFonts w:hint="eastAsia" w:ascii="宋体" w:hAnsi="宋体" w:eastAsia="宋体" w:cs="宋体"/>
          <w:color w:val="auto"/>
          <w:kern w:val="0"/>
          <w:sz w:val="24"/>
          <w:szCs w:val="24"/>
          <w:highlight w:val="none"/>
        </w:rPr>
        <w:t>参加政府采购活动前三年内，在经营活动中没有重大违法记录;</w:t>
      </w:r>
    </w:p>
    <w:p w14:paraId="774CDC22">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（六）</w:t>
      </w:r>
      <w:r>
        <w:rPr>
          <w:rFonts w:hint="eastAsia" w:ascii="宋体" w:hAnsi="宋体" w:eastAsia="宋体" w:cs="宋体"/>
          <w:color w:val="auto"/>
          <w:kern w:val="0"/>
          <w:sz w:val="24"/>
          <w:szCs w:val="24"/>
          <w:highlight w:val="none"/>
        </w:rPr>
        <w:t>符合法律、行政法规规定的其他条件。</w:t>
      </w:r>
    </w:p>
    <w:p w14:paraId="431B1615">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二、我单位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未被列入严重违法失信名单、失信被执行人</w:t>
      </w:r>
      <w:r>
        <w:rPr>
          <w:rFonts w:hint="eastAsia" w:ascii="宋体" w:hAnsi="宋体" w:eastAsia="宋体" w:cs="宋体"/>
          <w:color w:val="auto"/>
          <w:kern w:val="0"/>
          <w:sz w:val="24"/>
          <w:szCs w:val="24"/>
          <w:highlight w:val="none"/>
          <w:lang w:eastAsia="zh-CN"/>
        </w:rPr>
        <w:t>名单</w:t>
      </w:r>
      <w:r>
        <w:rPr>
          <w:rFonts w:hint="eastAsia" w:ascii="宋体" w:hAnsi="宋体" w:eastAsia="宋体" w:cs="宋体"/>
          <w:color w:val="auto"/>
          <w:kern w:val="0"/>
          <w:sz w:val="24"/>
          <w:szCs w:val="24"/>
          <w:highlight w:val="none"/>
        </w:rPr>
        <w:t>、重大税收违法失信主体、政府采购严重违法失信行为记录名</w:t>
      </w:r>
      <w:r>
        <w:rPr>
          <w:rFonts w:hint="eastAsia" w:ascii="宋体" w:hAnsi="宋体" w:eastAsia="宋体" w:cs="宋体"/>
          <w:color w:val="auto"/>
          <w:kern w:val="0"/>
          <w:sz w:val="24"/>
          <w:szCs w:val="24"/>
          <w:highlight w:val="none"/>
          <w:lang w:eastAsia="zh-CN"/>
        </w:rPr>
        <w:t>单</w:t>
      </w:r>
      <w:r>
        <w:rPr>
          <w:rFonts w:hint="eastAsia" w:ascii="宋体" w:hAnsi="宋体" w:eastAsia="宋体" w:cs="宋体"/>
          <w:color w:val="auto"/>
          <w:kern w:val="0"/>
          <w:sz w:val="24"/>
          <w:szCs w:val="24"/>
          <w:highlight w:val="none"/>
        </w:rPr>
        <w:t>。</w:t>
      </w:r>
    </w:p>
    <w:p w14:paraId="08C8C48C">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三、如果本公司（本人）有幸中标（成交），在合同签订之前，采购单位有权要求本公司（本人）提供资格证明材料原件进行核验。</w:t>
      </w:r>
    </w:p>
    <w:p w14:paraId="427CE4E5">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四、我单位</w:t>
      </w:r>
      <w:r>
        <w:rPr>
          <w:rFonts w:hint="eastAsia" w:ascii="宋体" w:hAnsi="宋体" w:eastAsia="宋体" w:cs="宋体"/>
          <w:color w:val="auto"/>
          <w:kern w:val="0"/>
          <w:sz w:val="24"/>
          <w:szCs w:val="24"/>
          <w:highlight w:val="none"/>
          <w:lang w:eastAsia="zh-CN"/>
        </w:rPr>
        <w:t>（本人）</w:t>
      </w:r>
      <w:r>
        <w:rPr>
          <w:rFonts w:hint="eastAsia" w:ascii="宋体" w:hAnsi="宋体" w:eastAsia="宋体" w:cs="宋体"/>
          <w:color w:val="auto"/>
          <w:kern w:val="0"/>
          <w:sz w:val="24"/>
          <w:szCs w:val="24"/>
          <w:highlight w:val="none"/>
        </w:rPr>
        <w:t>保证上述承诺事项的真实性。如有弄虚作假或其他违法违规行为，自愿按照规定将违背承诺行为作为失信行为记录到社会信用信息平台，并视同为“提供虚假材料谋取中标、成交”按照《</w:t>
      </w:r>
      <w:r>
        <w:rPr>
          <w:rFonts w:hint="eastAsia"/>
          <w:color w:val="auto"/>
          <w:highlight w:val="none"/>
        </w:rPr>
        <w:t>中华人民共和国政府采购法</w:t>
      </w:r>
      <w:r>
        <w:rPr>
          <w:rFonts w:hint="eastAsia" w:ascii="宋体" w:hAnsi="宋体" w:eastAsia="宋体" w:cs="宋体"/>
          <w:color w:val="auto"/>
          <w:kern w:val="0"/>
          <w:sz w:val="24"/>
          <w:szCs w:val="24"/>
          <w:highlight w:val="none"/>
        </w:rPr>
        <w:t>》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2A94C0D9">
      <w:pPr>
        <w:spacing w:line="560" w:lineRule="exact"/>
        <w:rPr>
          <w:rFonts w:hint="eastAsia" w:ascii="宋体" w:hAnsi="宋体" w:eastAsia="宋体" w:cs="宋体"/>
          <w:color w:val="auto"/>
          <w:kern w:val="0"/>
          <w:sz w:val="24"/>
          <w:szCs w:val="24"/>
          <w:highlight w:val="none"/>
        </w:rPr>
      </w:pPr>
    </w:p>
    <w:p w14:paraId="02764E84">
      <w:pPr>
        <w:spacing w:line="560" w:lineRule="exact"/>
        <w:rPr>
          <w:rFonts w:hint="eastAsia" w:ascii="宋体" w:hAnsi="宋体" w:eastAsia="宋体" w:cs="宋体"/>
          <w:color w:val="auto"/>
          <w:kern w:val="0"/>
          <w:sz w:val="24"/>
          <w:szCs w:val="24"/>
          <w:highlight w:val="none"/>
        </w:rPr>
      </w:pPr>
    </w:p>
    <w:p w14:paraId="3D649434">
      <w:pPr>
        <w:spacing w:line="560" w:lineRule="exact"/>
        <w:rPr>
          <w:rFonts w:hint="eastAsia" w:ascii="宋体" w:hAnsi="宋体" w:eastAsia="宋体" w:cs="宋体"/>
          <w:color w:val="auto"/>
          <w:kern w:val="0"/>
          <w:sz w:val="24"/>
          <w:szCs w:val="24"/>
          <w:highlight w:val="none"/>
        </w:rPr>
      </w:pPr>
      <w:r>
        <w:rPr>
          <w:rFonts w:hint="eastAsia" w:cs="宋体"/>
          <w:color w:val="auto"/>
          <w:kern w:val="0"/>
          <w:sz w:val="24"/>
          <w:szCs w:val="24"/>
          <w:highlight w:val="none"/>
          <w:lang w:val="en-US" w:eastAsia="zh-CN"/>
        </w:rPr>
        <w:t>供应商名称</w:t>
      </w:r>
      <w:r>
        <w:rPr>
          <w:rFonts w:hint="eastAsia" w:ascii="宋体" w:hAnsi="宋体" w:eastAsia="宋体" w:cs="宋体"/>
          <w:color w:val="auto"/>
          <w:kern w:val="0"/>
          <w:sz w:val="24"/>
          <w:szCs w:val="24"/>
          <w:highlight w:val="none"/>
          <w:lang w:eastAsia="zh-CN"/>
        </w:rPr>
        <w:t>（</w:t>
      </w:r>
      <w:r>
        <w:rPr>
          <w:rFonts w:hint="eastAsia" w:cs="宋体"/>
          <w:color w:val="auto"/>
          <w:kern w:val="0"/>
          <w:sz w:val="24"/>
          <w:szCs w:val="24"/>
          <w:highlight w:val="none"/>
          <w:lang w:eastAsia="zh-CN"/>
        </w:rPr>
        <w:t>公章</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0532D8B6">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负责人</w:t>
      </w:r>
      <w:r>
        <w:rPr>
          <w:rFonts w:hint="eastAsia" w:ascii="宋体" w:hAnsi="宋体" w:eastAsia="宋体" w:cs="宋体"/>
          <w:color w:val="auto"/>
          <w:kern w:val="0"/>
          <w:sz w:val="24"/>
          <w:szCs w:val="24"/>
          <w:highlight w:val="none"/>
          <w:lang w:val="en-US" w:eastAsia="zh-CN"/>
        </w:rPr>
        <w:t>或</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或授权代表</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rPr>
        <w:t>：</w:t>
      </w:r>
    </w:p>
    <w:p w14:paraId="4781E5E7">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14:paraId="18028D71">
      <w:pPr>
        <w:widowControl/>
        <w:spacing w:line="560" w:lineRule="exact"/>
        <w:ind w:firstLine="630"/>
        <w:jc w:val="left"/>
        <w:rPr>
          <w:rFonts w:hint="eastAsia" w:ascii="宋体" w:hAnsi="宋体" w:eastAsia="宋体" w:cs="宋体"/>
          <w:color w:val="auto"/>
          <w:kern w:val="0"/>
          <w:sz w:val="24"/>
          <w:szCs w:val="24"/>
          <w:highlight w:val="none"/>
        </w:rPr>
      </w:pPr>
    </w:p>
    <w:p w14:paraId="55E34DAB">
      <w:pPr>
        <w:rPr>
          <w:rFonts w:ascii="Arial" w:hAnsi="Arial" w:cs="Arial"/>
          <w:color w:val="auto"/>
          <w:szCs w:val="21"/>
          <w:highlight w:val="none"/>
        </w:rPr>
      </w:pPr>
      <w:r>
        <w:rPr>
          <w:rFonts w:ascii="Arial" w:hAnsi="Arial" w:cs="Arial"/>
          <w:color w:val="auto"/>
          <w:szCs w:val="21"/>
          <w:highlight w:val="none"/>
        </w:rPr>
        <w:br w:type="page"/>
      </w:r>
    </w:p>
    <w:p w14:paraId="47ED61F3">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zh-CN" w:eastAsia="zh-CN" w:bidi="ar-SA"/>
        </w:rPr>
      </w:pPr>
      <w:bookmarkStart w:id="327" w:name="_Toc163492923"/>
      <w:bookmarkStart w:id="328" w:name="_Toc155185930"/>
      <w:bookmarkStart w:id="329" w:name="_Toc109899498"/>
      <w:bookmarkStart w:id="330" w:name="_Toc140132840"/>
      <w:bookmarkStart w:id="331" w:name="_Toc109899917"/>
      <w:bookmarkStart w:id="332" w:name="_Toc109900336"/>
      <w:bookmarkStart w:id="333" w:name="_Toc17265"/>
      <w:r>
        <w:rPr>
          <w:rFonts w:hint="eastAsia" w:cstheme="majorBidi"/>
          <w:b/>
          <w:bCs/>
          <w:color w:val="auto"/>
          <w:kern w:val="2"/>
          <w:sz w:val="28"/>
          <w:szCs w:val="28"/>
          <w:highlight w:val="none"/>
          <w:lang w:val="en-US" w:eastAsia="zh-CN" w:bidi="ar-SA"/>
        </w:rPr>
        <w:t>二</w:t>
      </w:r>
      <w:r>
        <w:rPr>
          <w:rFonts w:hint="eastAsia" w:eastAsia="宋体" w:asciiTheme="majorHAnsi" w:hAnsiTheme="majorHAnsi" w:cstheme="majorBidi"/>
          <w:b/>
          <w:bCs/>
          <w:color w:val="auto"/>
          <w:kern w:val="2"/>
          <w:sz w:val="28"/>
          <w:szCs w:val="28"/>
          <w:highlight w:val="none"/>
          <w:lang w:val="en-US" w:eastAsia="zh-CN" w:bidi="ar-SA"/>
        </w:rPr>
        <w:t>、</w:t>
      </w:r>
      <w:bookmarkEnd w:id="327"/>
      <w:bookmarkEnd w:id="328"/>
      <w:bookmarkEnd w:id="329"/>
      <w:bookmarkEnd w:id="330"/>
      <w:bookmarkEnd w:id="331"/>
      <w:bookmarkEnd w:id="332"/>
      <w:bookmarkStart w:id="334" w:name="_Toc155185931"/>
      <w:bookmarkStart w:id="335" w:name="_Toc163492924"/>
      <w:r>
        <w:rPr>
          <w:rFonts w:hint="eastAsia" w:eastAsia="宋体" w:asciiTheme="majorHAnsi" w:hAnsiTheme="majorHAnsi" w:cstheme="majorBidi"/>
          <w:b/>
          <w:bCs/>
          <w:color w:val="auto"/>
          <w:kern w:val="2"/>
          <w:sz w:val="28"/>
          <w:szCs w:val="28"/>
          <w:highlight w:val="none"/>
          <w:lang w:val="zh-CN" w:eastAsia="zh-CN" w:bidi="ar-SA"/>
        </w:rPr>
        <w:t>联合体协议书</w:t>
      </w:r>
      <w:bookmarkEnd w:id="334"/>
      <w:r>
        <w:rPr>
          <w:rFonts w:hint="eastAsia" w:ascii="宋体" w:hAnsi="宋体" w:eastAsia="宋体" w:cstheme="minorBidi"/>
          <w:b w:val="0"/>
          <w:bCs w:val="0"/>
          <w:color w:val="auto"/>
          <w:kern w:val="2"/>
          <w:sz w:val="28"/>
          <w:szCs w:val="28"/>
          <w:highlight w:val="none"/>
          <w:lang w:val="zh-CN" w:eastAsia="zh-CN" w:bidi="ar-SA"/>
        </w:rPr>
        <w:t>【如适用】</w:t>
      </w:r>
      <w:bookmarkEnd w:id="333"/>
      <w:bookmarkEnd w:id="335"/>
    </w:p>
    <w:p w14:paraId="40DCAA17">
      <w:pPr>
        <w:snapToGrid w:val="0"/>
        <w:spacing w:line="360" w:lineRule="auto"/>
        <w:jc w:val="center"/>
        <w:outlineLvl w:val="0"/>
        <w:rPr>
          <w:rFonts w:hint="eastAsia" w:ascii="宋体" w:hAnsi="宋体" w:cs="宋体"/>
          <w:b/>
          <w:color w:val="auto"/>
          <w:kern w:val="0"/>
          <w:sz w:val="32"/>
          <w:szCs w:val="32"/>
          <w:highlight w:val="none"/>
        </w:rPr>
      </w:pPr>
    </w:p>
    <w:p w14:paraId="5B611573">
      <w:pPr>
        <w:snapToGrid w:val="0"/>
        <w:spacing w:line="360" w:lineRule="auto"/>
        <w:jc w:val="center"/>
        <w:outlineLvl w:val="0"/>
        <w:rPr>
          <w:rFonts w:hint="eastAsia" w:ascii="宋体" w:hAnsi="宋体" w:cs="宋体"/>
          <w:b/>
          <w:color w:val="auto"/>
          <w:kern w:val="0"/>
          <w:sz w:val="32"/>
          <w:szCs w:val="32"/>
          <w:highlight w:val="none"/>
        </w:rPr>
      </w:pPr>
      <w:bookmarkStart w:id="336" w:name="_Toc17246"/>
      <w:r>
        <w:rPr>
          <w:rFonts w:hint="eastAsia" w:ascii="宋体" w:hAnsi="宋体" w:cs="宋体"/>
          <w:b/>
          <w:color w:val="auto"/>
          <w:kern w:val="0"/>
          <w:sz w:val="32"/>
          <w:szCs w:val="32"/>
          <w:highlight w:val="none"/>
        </w:rPr>
        <w:t>联合体协议书</w:t>
      </w:r>
      <w:bookmarkEnd w:id="336"/>
    </w:p>
    <w:p w14:paraId="2F882EE8">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w:t>
      </w:r>
      <w:r>
        <w:rPr>
          <w:rFonts w:hint="eastAsia" w:cs="宋体"/>
          <w:b/>
          <w:color w:val="auto"/>
          <w:sz w:val="24"/>
          <w:highlight w:val="none"/>
          <w:lang w:val="en-US" w:eastAsia="zh-CN"/>
        </w:rPr>
        <w:t>体</w:t>
      </w:r>
      <w:r>
        <w:rPr>
          <w:rFonts w:hint="eastAsia" w:ascii="宋体" w:hAnsi="宋体" w:cs="宋体"/>
          <w:b/>
          <w:color w:val="auto"/>
          <w:sz w:val="24"/>
          <w:highlight w:val="none"/>
        </w:rPr>
        <w:t>协议</w:t>
      </w:r>
      <w:r>
        <w:rPr>
          <w:rFonts w:hint="eastAsia" w:cs="宋体"/>
          <w:b/>
          <w:color w:val="auto"/>
          <w:sz w:val="24"/>
          <w:highlight w:val="none"/>
          <w:lang w:val="en-US" w:eastAsia="zh-CN"/>
        </w:rPr>
        <w:t>书</w:t>
      </w:r>
      <w:r>
        <w:rPr>
          <w:rFonts w:hint="eastAsia" w:ascii="宋体" w:hAnsi="宋体" w:cs="宋体"/>
          <w:b/>
          <w:color w:val="auto"/>
          <w:sz w:val="24"/>
          <w:highlight w:val="none"/>
        </w:rPr>
        <w:t>；本项目不接受联合体投标或者投标人不以联合体形式投标的，则不需要提供）</w:t>
      </w:r>
    </w:p>
    <w:p w14:paraId="63B7995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rPr>
        <w:t>（项目名称</w:t>
      </w:r>
      <w:r>
        <w:rPr>
          <w:rFonts w:hint="eastAsia" w:cs="宋体"/>
          <w:color w:val="auto"/>
          <w:sz w:val="24"/>
          <w:highlight w:val="none"/>
          <w:lang w:val="en-US" w:eastAsia="zh-CN"/>
        </w:rPr>
        <w:t>/标项号</w:t>
      </w:r>
      <w:r>
        <w:rPr>
          <w:rFonts w:hint="eastAsia" w:ascii="宋体" w:hAnsi="宋体" w:cs="宋体"/>
          <w:color w:val="auto"/>
          <w:sz w:val="24"/>
          <w:highlight w:val="none"/>
        </w:rPr>
        <w:t>）【</w:t>
      </w:r>
      <w:r>
        <w:rPr>
          <w:rFonts w:hint="eastAsia" w:cs="宋体"/>
          <w:color w:val="auto"/>
          <w:sz w:val="24"/>
          <w:highlight w:val="none"/>
          <w:lang w:val="en-US" w:eastAsia="zh-CN"/>
        </w:rPr>
        <w:t>项目</w:t>
      </w:r>
      <w:r>
        <w:rPr>
          <w:rFonts w:hint="eastAsia" w:ascii="宋体" w:hAnsi="宋体" w:cs="宋体"/>
          <w:color w:val="auto"/>
          <w:sz w:val="24"/>
          <w:highlight w:val="none"/>
        </w:rPr>
        <w:t>编号：</w:t>
      </w:r>
      <w:r>
        <w:rPr>
          <w:rFonts w:hint="eastAsia" w:cs="宋体"/>
          <w:color w:val="auto"/>
          <w:sz w:val="24"/>
          <w:highlight w:val="non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投标。 </w:t>
      </w:r>
    </w:p>
    <w:p w14:paraId="635FBBF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10F8AFB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1691261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2E89E307">
      <w:pPr>
        <w:snapToGrid w:val="0"/>
        <w:spacing w:line="360" w:lineRule="auto"/>
        <w:ind w:firstLine="576"/>
        <w:rPr>
          <w:rFonts w:ascii="宋体" w:hAnsi="宋体" w:cs="宋体"/>
          <w:color w:val="auto"/>
          <w:kern w:val="0"/>
          <w:sz w:val="24"/>
          <w:highlight w:val="none"/>
          <w:lang w:val="zh-CN"/>
        </w:rPr>
      </w:pPr>
      <w:bookmarkStart w:id="337"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承担</w:t>
      </w:r>
      <w:r>
        <w:rPr>
          <w:rFonts w:hint="eastAsia" w:ascii="宋体" w:hAnsi="宋体" w:cs="宋体"/>
          <w:color w:val="auto"/>
          <w:kern w:val="0"/>
          <w:sz w:val="24"/>
          <w:highlight w:val="none"/>
          <w:lang w:val="en-US" w:eastAsia="zh-CN"/>
        </w:rPr>
        <w:t>项目采购合同金额的</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，负责</w:t>
      </w:r>
      <w:r>
        <w:rPr>
          <w:rFonts w:hint="eastAsia" w:ascii="宋体" w:hAnsi="宋体" w:cs="宋体"/>
          <w:color w:val="auto"/>
          <w:kern w:val="0"/>
          <w:sz w:val="24"/>
          <w:highlight w:val="none"/>
          <w:lang w:val="zh-CN"/>
        </w:rPr>
        <w:t>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0726A60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承担</w:t>
      </w:r>
      <w:r>
        <w:rPr>
          <w:rFonts w:hint="eastAsia" w:ascii="宋体" w:hAnsi="宋体" w:cs="宋体"/>
          <w:color w:val="auto"/>
          <w:kern w:val="0"/>
          <w:sz w:val="24"/>
          <w:highlight w:val="none"/>
          <w:lang w:val="en-US" w:eastAsia="zh-CN"/>
        </w:rPr>
        <w:t>项目采购合同金额的</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，负责</w:t>
      </w:r>
      <w:r>
        <w:rPr>
          <w:rFonts w:hint="eastAsia" w:ascii="宋体" w:hAnsi="宋体" w:cs="宋体"/>
          <w:color w:val="auto"/>
          <w:kern w:val="0"/>
          <w:sz w:val="24"/>
          <w:highlight w:val="none"/>
          <w:lang w:val="zh-CN"/>
        </w:rPr>
        <w:t>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2A50ED5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337"/>
    <w:p w14:paraId="5262ABC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1A3A36FA">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w:t>
      </w:r>
      <w:r>
        <w:rPr>
          <w:rFonts w:hint="eastAsia" w:cs="宋体"/>
          <w:b/>
          <w:color w:val="auto"/>
          <w:kern w:val="0"/>
          <w:sz w:val="24"/>
          <w:highlight w:val="none"/>
          <w:lang w:val="en-US" w:eastAsia="zh-CN"/>
        </w:rPr>
        <w:t>体</w:t>
      </w:r>
      <w:r>
        <w:rPr>
          <w:rFonts w:hint="eastAsia" w:ascii="宋体" w:hAnsi="宋体" w:cs="宋体"/>
          <w:b/>
          <w:color w:val="auto"/>
          <w:kern w:val="0"/>
          <w:sz w:val="24"/>
          <w:highlight w:val="none"/>
          <w:lang w:val="zh-CN"/>
        </w:rPr>
        <w:t>协议</w:t>
      </w:r>
      <w:r>
        <w:rPr>
          <w:rFonts w:hint="eastAsia" w:cs="宋体"/>
          <w:b/>
          <w:color w:val="auto"/>
          <w:kern w:val="0"/>
          <w:sz w:val="24"/>
          <w:highlight w:val="none"/>
          <w:lang w:val="en-US" w:eastAsia="zh-CN"/>
        </w:rPr>
        <w:t>书</w:t>
      </w:r>
      <w:r>
        <w:rPr>
          <w:rFonts w:hint="eastAsia" w:ascii="宋体" w:hAnsi="宋体" w:cs="宋体"/>
          <w:b/>
          <w:color w:val="auto"/>
          <w:kern w:val="0"/>
          <w:sz w:val="24"/>
          <w:highlight w:val="none"/>
          <w:lang w:val="zh-CN"/>
        </w:rPr>
        <w:t>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632BA5C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w:t>
      </w:r>
      <w:r>
        <w:rPr>
          <w:rFonts w:hint="eastAsia" w:cs="宋体"/>
          <w:b/>
          <w:bCs/>
          <w:color w:val="auto"/>
          <w:sz w:val="24"/>
          <w:highlight w:val="none"/>
          <w:lang w:val="en-US" w:eastAsia="zh-CN"/>
        </w:rPr>
        <w:t>体</w:t>
      </w:r>
      <w:r>
        <w:rPr>
          <w:rFonts w:hint="eastAsia" w:ascii="宋体" w:hAnsi="宋体" w:cs="宋体"/>
          <w:b/>
          <w:bCs/>
          <w:color w:val="auto"/>
          <w:sz w:val="24"/>
          <w:highlight w:val="none"/>
        </w:rPr>
        <w:t>协议</w:t>
      </w:r>
      <w:r>
        <w:rPr>
          <w:rFonts w:hint="eastAsia" w:cs="宋体"/>
          <w:b/>
          <w:bCs/>
          <w:color w:val="auto"/>
          <w:sz w:val="24"/>
          <w:highlight w:val="none"/>
          <w:lang w:val="en-US" w:eastAsia="zh-CN"/>
        </w:rPr>
        <w:t>书</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p>
    <w:p w14:paraId="3A80F01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w:t>
      </w:r>
      <w:r>
        <w:rPr>
          <w:rFonts w:hint="eastAsia" w:ascii="宋体" w:hAnsi="宋体" w:cs="宋体"/>
          <w:color w:val="auto"/>
          <w:sz w:val="24"/>
          <w:highlight w:val="none"/>
          <w:lang w:val="en-US" w:eastAsia="zh-CN"/>
        </w:rPr>
        <w:t>采购</w:t>
      </w:r>
      <w:r>
        <w:rPr>
          <w:rFonts w:hint="eastAsia" w:ascii="宋体" w:hAnsi="宋体" w:cs="宋体"/>
          <w:color w:val="auto"/>
          <w:sz w:val="24"/>
          <w:highlight w:val="none"/>
        </w:rPr>
        <w:t>合同，并就采购合同约定的事项对采购人承担连带责任。</w:t>
      </w:r>
    </w:p>
    <w:p w14:paraId="4E54FCF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71811E4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4098D9F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64311D46">
      <w:pPr>
        <w:snapToGrid w:val="0"/>
        <w:spacing w:line="360" w:lineRule="auto"/>
        <w:ind w:firstLine="576"/>
        <w:rPr>
          <w:rFonts w:hint="eastAsia"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5B3E9749">
      <w:pPr>
        <w:snapToGrid w:val="0"/>
        <w:spacing w:line="360" w:lineRule="auto"/>
        <w:ind w:firstLine="576"/>
        <w:rPr>
          <w:rFonts w:hint="eastAsia" w:ascii="宋体" w:hAnsi="宋体" w:cs="宋体"/>
          <w:color w:val="auto"/>
          <w:kern w:val="0"/>
          <w:sz w:val="24"/>
          <w:highlight w:val="none"/>
          <w:lang w:val="zh-CN"/>
        </w:rPr>
      </w:pPr>
      <w:r>
        <w:rPr>
          <w:rFonts w:hint="eastAsia" w:cs="宋体"/>
          <w:color w:val="auto"/>
          <w:kern w:val="0"/>
          <w:sz w:val="24"/>
          <w:highlight w:val="none"/>
          <w:lang w:val="en-US" w:eastAsia="zh-CN"/>
        </w:rPr>
        <w:t>4、</w:t>
      </w:r>
      <w:r>
        <w:rPr>
          <w:rFonts w:hint="eastAsia" w:ascii="宋体" w:hAnsi="宋体" w:cs="宋体"/>
          <w:color w:val="auto"/>
          <w:kern w:val="0"/>
          <w:sz w:val="24"/>
          <w:highlight w:val="none"/>
          <w:lang w:val="zh-CN"/>
        </w:rPr>
        <w:t>其他：……</w:t>
      </w:r>
    </w:p>
    <w:p w14:paraId="7C06BA2D">
      <w:pPr>
        <w:snapToGrid w:val="0"/>
        <w:spacing w:line="360" w:lineRule="auto"/>
        <w:ind w:firstLine="576"/>
        <w:rPr>
          <w:rFonts w:hint="eastAsia" w:ascii="宋体" w:hAnsi="宋体" w:cs="宋体"/>
          <w:color w:val="auto"/>
          <w:kern w:val="0"/>
          <w:sz w:val="24"/>
          <w:highlight w:val="none"/>
          <w:lang w:val="zh-CN"/>
        </w:rPr>
      </w:pPr>
      <w:r>
        <w:rPr>
          <w:rFonts w:hint="eastAsia" w:cs="宋体"/>
          <w:color w:val="auto"/>
          <w:kern w:val="0"/>
          <w:sz w:val="24"/>
          <w:highlight w:val="none"/>
          <w:lang w:val="en-US" w:eastAsia="zh-CN"/>
        </w:rPr>
        <w:t>5、</w:t>
      </w:r>
      <w:r>
        <w:rPr>
          <w:rFonts w:hint="eastAsia" w:ascii="宋体" w:hAnsi="宋体" w:cs="宋体"/>
          <w:color w:val="auto"/>
          <w:kern w:val="0"/>
          <w:sz w:val="24"/>
          <w:highlight w:val="none"/>
          <w:lang w:val="zh-CN"/>
        </w:rPr>
        <w:t>本协议书自签署之日起生效，若未中标，自本次投标有效期结束后自行失效；若中标，自合同书规定的期限之后自行失效。</w:t>
      </w:r>
    </w:p>
    <w:p w14:paraId="60300F66">
      <w:pPr>
        <w:snapToGrid w:val="0"/>
        <w:spacing w:line="360" w:lineRule="auto"/>
        <w:ind w:firstLine="576"/>
        <w:rPr>
          <w:rFonts w:hint="eastAsia" w:ascii="宋体" w:hAnsi="宋体" w:cs="宋体"/>
          <w:color w:val="auto"/>
          <w:kern w:val="0"/>
          <w:sz w:val="24"/>
          <w:highlight w:val="none"/>
          <w:lang w:val="zh-CN"/>
        </w:rPr>
      </w:pPr>
      <w:r>
        <w:rPr>
          <w:rFonts w:hint="eastAsia" w:cs="宋体"/>
          <w:color w:val="auto"/>
          <w:kern w:val="0"/>
          <w:sz w:val="24"/>
          <w:highlight w:val="none"/>
          <w:lang w:val="en-US" w:eastAsia="zh-CN"/>
        </w:rPr>
        <w:t>6、</w:t>
      </w:r>
      <w:r>
        <w:rPr>
          <w:rFonts w:hint="eastAsia" w:ascii="宋体" w:hAnsi="宋体" w:cs="宋体"/>
          <w:color w:val="auto"/>
          <w:kern w:val="0"/>
          <w:sz w:val="24"/>
          <w:highlight w:val="none"/>
          <w:lang w:val="zh-CN"/>
        </w:rPr>
        <w:t>本协议书正本一式</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份，联合体成员各执</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份；副本一式</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份，联合体成员各执</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份。</w:t>
      </w:r>
    </w:p>
    <w:p w14:paraId="5E2894C9">
      <w:pPr>
        <w:pStyle w:val="3"/>
        <w:rPr>
          <w:color w:val="auto"/>
          <w:highlight w:val="none"/>
          <w:lang w:val="zh-CN"/>
        </w:rPr>
      </w:pPr>
    </w:p>
    <w:p w14:paraId="1F33073D">
      <w:pPr>
        <w:snapToGrid w:val="0"/>
        <w:spacing w:line="360" w:lineRule="auto"/>
        <w:ind w:firstLine="3840" w:firstLineChars="16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w:t>
      </w:r>
      <w:r>
        <w:rPr>
          <w:rFonts w:hint="eastAsia" w:ascii="宋体" w:hAnsi="宋体" w:cs="宋体"/>
          <w:color w:val="auto"/>
          <w:kern w:val="0"/>
          <w:sz w:val="24"/>
          <w:highlight w:val="none"/>
          <w:lang w:val="en-US" w:eastAsia="zh-CN"/>
        </w:rPr>
        <w:t>1</w:t>
      </w:r>
      <w:r>
        <w:rPr>
          <w:rFonts w:hint="eastAsia" w:ascii="宋体" w:hAnsi="宋体" w:cs="宋体"/>
          <w:color w:val="auto"/>
          <w:kern w:val="0"/>
          <w:sz w:val="24"/>
          <w:highlight w:val="none"/>
          <w:lang w:val="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5D3ABCAD">
      <w:pPr>
        <w:snapToGrid w:val="0"/>
        <w:spacing w:line="360" w:lineRule="auto"/>
        <w:ind w:firstLine="3840" w:firstLineChars="16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lang w:val="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6ECCF952">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3A253382">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087DA486">
      <w:pPr>
        <w:spacing w:line="360" w:lineRule="auto"/>
        <w:ind w:right="420"/>
        <w:rPr>
          <w:rFonts w:ascii="宋体" w:hAnsi="宋体" w:cs="宋体"/>
          <w:color w:val="auto"/>
          <w:sz w:val="21"/>
          <w:szCs w:val="21"/>
          <w:highlight w:val="none"/>
        </w:rPr>
      </w:pPr>
      <w:r>
        <w:rPr>
          <w:rFonts w:hint="eastAsia" w:ascii="宋体" w:hAnsi="宋体" w:cs="宋体"/>
          <w:color w:val="auto"/>
          <w:sz w:val="21"/>
          <w:szCs w:val="21"/>
          <w:highlight w:val="none"/>
        </w:rPr>
        <w:t>注：按本格式和要求提供。</w:t>
      </w:r>
    </w:p>
    <w:p w14:paraId="78997548">
      <w:pPr>
        <w:keepNext w:val="0"/>
        <w:keepLines w:val="0"/>
        <w:pageBreakBefore w:val="0"/>
        <w:kinsoku/>
        <w:overflowPunct/>
        <w:topLinePunct w:val="0"/>
        <w:autoSpaceDE/>
        <w:autoSpaceDN/>
        <w:bidi w:val="0"/>
        <w:spacing w:before="157" w:beforeLines="50" w:after="157" w:afterLines="50"/>
        <w:ind w:left="2520" w:leftChars="1050"/>
        <w:textAlignment w:val="auto"/>
        <w:rPr>
          <w:rFonts w:cs="Tahoma"/>
          <w:color w:val="auto"/>
          <w:highlight w:val="none"/>
          <w:u w:val="single"/>
        </w:rPr>
      </w:pPr>
      <w:r>
        <w:rPr>
          <w:rFonts w:cs="Tahoma"/>
          <w:color w:val="auto"/>
          <w:highlight w:val="none"/>
          <w:u w:val="single"/>
        </w:rPr>
        <w:br w:type="page"/>
      </w:r>
    </w:p>
    <w:p w14:paraId="00BA2445">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zh-CN" w:eastAsia="zh-CN" w:bidi="ar-SA"/>
        </w:rPr>
      </w:pPr>
      <w:bookmarkStart w:id="338" w:name="_Toc163492925"/>
      <w:bookmarkStart w:id="339" w:name="_Toc4768"/>
      <w:bookmarkStart w:id="340" w:name="_Toc162299566"/>
      <w:bookmarkStart w:id="341" w:name="_Toc156490356"/>
      <w:r>
        <w:rPr>
          <w:rFonts w:hint="eastAsia" w:cstheme="majorBidi"/>
          <w:b/>
          <w:bCs/>
          <w:color w:val="auto"/>
          <w:kern w:val="2"/>
          <w:sz w:val="28"/>
          <w:szCs w:val="28"/>
          <w:highlight w:val="none"/>
          <w:lang w:val="en-US" w:eastAsia="zh-CN" w:bidi="ar-SA"/>
        </w:rPr>
        <w:t>三</w:t>
      </w:r>
      <w:r>
        <w:rPr>
          <w:rFonts w:hint="eastAsia" w:eastAsia="宋体" w:asciiTheme="majorHAnsi" w:hAnsiTheme="majorHAnsi" w:cstheme="majorBidi"/>
          <w:b/>
          <w:bCs/>
          <w:color w:val="auto"/>
          <w:kern w:val="2"/>
          <w:sz w:val="28"/>
          <w:szCs w:val="28"/>
          <w:highlight w:val="none"/>
          <w:lang w:val="en-US" w:eastAsia="zh-CN" w:bidi="ar-SA"/>
        </w:rPr>
        <w:t>、</w:t>
      </w:r>
      <w:r>
        <w:rPr>
          <w:rFonts w:hint="eastAsia" w:eastAsia="宋体" w:asciiTheme="majorHAnsi" w:hAnsiTheme="majorHAnsi" w:cstheme="majorBidi"/>
          <w:b/>
          <w:bCs/>
          <w:color w:val="auto"/>
          <w:kern w:val="2"/>
          <w:sz w:val="28"/>
          <w:szCs w:val="28"/>
          <w:highlight w:val="none"/>
          <w:lang w:val="zh-CN" w:eastAsia="zh-CN" w:bidi="ar-SA"/>
        </w:rPr>
        <w:t>分包意向协议书</w:t>
      </w:r>
      <w:r>
        <w:rPr>
          <w:rFonts w:hint="eastAsia" w:ascii="宋体" w:hAnsi="宋体" w:eastAsia="宋体" w:cstheme="minorBidi"/>
          <w:b w:val="0"/>
          <w:bCs w:val="0"/>
          <w:color w:val="auto"/>
          <w:kern w:val="2"/>
          <w:sz w:val="28"/>
          <w:szCs w:val="28"/>
          <w:highlight w:val="none"/>
          <w:lang w:val="zh-CN" w:eastAsia="zh-CN" w:bidi="ar-SA"/>
        </w:rPr>
        <w:t>【如适用】</w:t>
      </w:r>
      <w:bookmarkEnd w:id="338"/>
      <w:bookmarkEnd w:id="339"/>
      <w:bookmarkEnd w:id="340"/>
      <w:bookmarkEnd w:id="341"/>
    </w:p>
    <w:p w14:paraId="51833081">
      <w:pPr>
        <w:snapToGrid w:val="0"/>
        <w:spacing w:line="360" w:lineRule="auto"/>
        <w:jc w:val="center"/>
        <w:outlineLvl w:val="0"/>
        <w:rPr>
          <w:rFonts w:hint="eastAsia" w:ascii="宋体" w:hAnsi="宋体" w:cs="宋体"/>
          <w:b/>
          <w:color w:val="auto"/>
          <w:kern w:val="0"/>
          <w:sz w:val="32"/>
          <w:szCs w:val="32"/>
          <w:highlight w:val="none"/>
        </w:rPr>
      </w:pPr>
      <w:bookmarkStart w:id="342" w:name="_Hlk101169080"/>
    </w:p>
    <w:p w14:paraId="39C41474">
      <w:pPr>
        <w:snapToGrid w:val="0"/>
        <w:spacing w:line="360" w:lineRule="auto"/>
        <w:jc w:val="center"/>
        <w:outlineLvl w:val="0"/>
        <w:rPr>
          <w:rFonts w:hint="eastAsia" w:ascii="宋体" w:hAnsi="宋体" w:eastAsia="宋体" w:cs="宋体"/>
          <w:b/>
          <w:color w:val="auto"/>
          <w:kern w:val="0"/>
          <w:sz w:val="32"/>
          <w:szCs w:val="32"/>
          <w:highlight w:val="none"/>
          <w:lang w:val="en-US" w:eastAsia="zh-CN"/>
        </w:rPr>
      </w:pPr>
      <w:bookmarkStart w:id="343" w:name="_Toc1771"/>
      <w:r>
        <w:rPr>
          <w:rFonts w:hint="eastAsia" w:ascii="宋体" w:hAnsi="宋体" w:cs="宋体"/>
          <w:b/>
          <w:color w:val="auto"/>
          <w:kern w:val="0"/>
          <w:sz w:val="32"/>
          <w:szCs w:val="32"/>
          <w:highlight w:val="none"/>
        </w:rPr>
        <w:t>分包意向协议</w:t>
      </w:r>
      <w:r>
        <w:rPr>
          <w:rFonts w:hint="eastAsia" w:ascii="宋体" w:hAnsi="宋体" w:cs="宋体"/>
          <w:b/>
          <w:color w:val="auto"/>
          <w:kern w:val="0"/>
          <w:sz w:val="32"/>
          <w:szCs w:val="32"/>
          <w:highlight w:val="none"/>
          <w:lang w:val="en-US" w:eastAsia="zh-CN"/>
        </w:rPr>
        <w:t>书</w:t>
      </w:r>
      <w:bookmarkEnd w:id="343"/>
    </w:p>
    <w:p w14:paraId="192FDD0F">
      <w:pPr>
        <w:widowControl/>
        <w:spacing w:line="360" w:lineRule="auto"/>
        <w:ind w:firstLine="120" w:firstLineChars="50"/>
        <w:jc w:val="left"/>
        <w:rPr>
          <w:rFonts w:hint="eastAsia" w:ascii="宋体" w:hAnsi="宋体" w:eastAsia="宋体" w:cs="宋体"/>
          <w:color w:val="auto"/>
          <w:sz w:val="24"/>
          <w:highlight w:val="none"/>
          <w:lang w:eastAsia="zh-CN"/>
        </w:rPr>
      </w:pPr>
      <w:r>
        <w:rPr>
          <w:rFonts w:hint="eastAsia" w:cs="宋体"/>
          <w:color w:val="auto"/>
          <w:sz w:val="24"/>
          <w:highlight w:val="none"/>
          <w:lang w:eastAsia="zh-CN"/>
        </w:rPr>
        <w:t>【</w:t>
      </w:r>
      <w:r>
        <w:rPr>
          <w:rFonts w:hint="eastAsia" w:ascii="宋体" w:hAnsi="宋体" w:cs="宋体"/>
          <w:b/>
          <w:color w:val="auto"/>
          <w:sz w:val="24"/>
          <w:highlight w:val="none"/>
        </w:rPr>
        <w:t>中标后以分包方式履行合同的，提供分包意向协议</w:t>
      </w:r>
      <w:r>
        <w:rPr>
          <w:rFonts w:hint="eastAsia" w:cs="宋体"/>
          <w:b/>
          <w:color w:val="auto"/>
          <w:sz w:val="24"/>
          <w:highlight w:val="none"/>
          <w:lang w:val="en-US" w:eastAsia="zh-CN"/>
        </w:rPr>
        <w:t>书</w:t>
      </w:r>
      <w:r>
        <w:rPr>
          <w:rFonts w:hint="eastAsia" w:ascii="宋体" w:hAnsi="宋体" w:cs="宋体"/>
          <w:b/>
          <w:color w:val="auto"/>
          <w:sz w:val="24"/>
          <w:highlight w:val="none"/>
        </w:rPr>
        <w:t>；采购人不同意分包或者投标人中标后不以分包方式履行合同的，则不需要提供。</w:t>
      </w:r>
      <w:r>
        <w:rPr>
          <w:rFonts w:hint="eastAsia" w:cs="宋体"/>
          <w:color w:val="auto"/>
          <w:sz w:val="24"/>
          <w:highlight w:val="none"/>
          <w:lang w:eastAsia="zh-CN"/>
        </w:rPr>
        <w:t>】</w:t>
      </w:r>
    </w:p>
    <w:p w14:paraId="6001E22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rPr>
        <w:t>（项目名称</w:t>
      </w:r>
      <w:r>
        <w:rPr>
          <w:rFonts w:hint="eastAsia" w:cs="宋体"/>
          <w:color w:val="auto"/>
          <w:sz w:val="24"/>
          <w:highlight w:val="none"/>
          <w:lang w:val="en-US" w:eastAsia="zh-CN"/>
        </w:rPr>
        <w:t>/标项号</w:t>
      </w:r>
      <w:r>
        <w:rPr>
          <w:rFonts w:hint="eastAsia" w:ascii="宋体" w:hAnsi="宋体" w:cs="宋体"/>
          <w:color w:val="auto"/>
          <w:sz w:val="24"/>
          <w:highlight w:val="none"/>
        </w:rPr>
        <w:t>）【</w:t>
      </w:r>
      <w:r>
        <w:rPr>
          <w:rFonts w:hint="eastAsia" w:cs="宋体"/>
          <w:color w:val="auto"/>
          <w:sz w:val="24"/>
          <w:highlight w:val="none"/>
          <w:lang w:val="en-US" w:eastAsia="zh-CN"/>
        </w:rPr>
        <w:t>项目</w:t>
      </w:r>
      <w:r>
        <w:rPr>
          <w:rFonts w:hint="eastAsia" w:ascii="宋体" w:hAnsi="宋体" w:cs="宋体"/>
          <w:color w:val="auto"/>
          <w:sz w:val="24"/>
          <w:highlight w:val="none"/>
        </w:rPr>
        <w:t>编号：</w:t>
      </w:r>
      <w:r>
        <w:rPr>
          <w:rFonts w:hint="eastAsia" w:cs="宋体"/>
          <w:color w:val="auto"/>
          <w:sz w:val="24"/>
          <w:highlight w:val="none"/>
          <w:lang w:val="en-US" w:eastAsia="zh-CN"/>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cs="宋体"/>
          <w:color w:val="auto"/>
          <w:kern w:val="0"/>
          <w:sz w:val="24"/>
          <w:highlight w:val="none"/>
          <w:lang w:val="en-US" w:eastAsia="zh-CN"/>
        </w:rPr>
        <w:t>书</w:t>
      </w:r>
      <w:r>
        <w:rPr>
          <w:rFonts w:hint="eastAsia" w:ascii="宋体" w:hAnsi="宋体" w:cs="宋体"/>
          <w:color w:val="auto"/>
          <w:kern w:val="0"/>
          <w:sz w:val="24"/>
          <w:highlight w:val="none"/>
          <w:lang w:val="zh-CN"/>
        </w:rPr>
        <w:t xml:space="preserve">。 </w:t>
      </w:r>
    </w:p>
    <w:p w14:paraId="31DFFFD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42C35BC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0B4DD14E">
      <w:pPr>
        <w:pStyle w:val="3"/>
        <w:tabs>
          <w:tab w:val="left" w:pos="432"/>
        </w:tabs>
        <w:ind w:left="758" w:leftChars="316" w:firstLine="229" w:firstLineChars="95"/>
        <w:rPr>
          <w:rFonts w:ascii="宋体" w:hAnsi="宋体" w:eastAsia="宋体" w:cs="宋体"/>
          <w:color w:val="auto"/>
          <w:kern w:val="0"/>
          <w:sz w:val="24"/>
          <w:szCs w:val="24"/>
          <w:highlight w:val="none"/>
        </w:rPr>
      </w:pPr>
      <w:bookmarkStart w:id="344" w:name="_Toc22084"/>
      <w:r>
        <w:rPr>
          <w:rFonts w:hint="eastAsia" w:ascii="宋体" w:hAnsi="宋体" w:eastAsia="宋体" w:cs="宋体"/>
          <w:color w:val="auto"/>
          <w:kern w:val="0"/>
          <w:sz w:val="24"/>
          <w:szCs w:val="24"/>
          <w:highlight w:val="none"/>
        </w:rPr>
        <w:t>……</w:t>
      </w:r>
      <w:bookmarkEnd w:id="344"/>
    </w:p>
    <w:p w14:paraId="73CD256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14:paraId="557DBECA">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w:t>
      </w:r>
      <w:r>
        <w:rPr>
          <w:rFonts w:hint="eastAsia" w:cs="宋体"/>
          <w:b/>
          <w:color w:val="auto"/>
          <w:kern w:val="0"/>
          <w:sz w:val="24"/>
          <w:highlight w:val="none"/>
          <w:lang w:val="en-US" w:eastAsia="zh-CN"/>
        </w:rPr>
        <w:t>书</w:t>
      </w:r>
      <w:r>
        <w:rPr>
          <w:rFonts w:hint="eastAsia" w:ascii="宋体" w:hAnsi="宋体" w:cs="宋体"/>
          <w:b/>
          <w:color w:val="auto"/>
          <w:kern w:val="0"/>
          <w:sz w:val="24"/>
          <w:highlight w:val="none"/>
          <w:lang w:val="zh-CN"/>
        </w:rPr>
        <w:t>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5B20FF92">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345"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cs="宋体"/>
          <w:b/>
          <w:color w:val="auto"/>
          <w:kern w:val="0"/>
          <w:sz w:val="24"/>
          <w:highlight w:val="none"/>
          <w:lang w:val="en-US" w:eastAsia="zh-CN"/>
        </w:rPr>
        <w:t>书</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345"/>
    </w:p>
    <w:p w14:paraId="01E5F57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6F4ADE81">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2AF1FD2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18AE2B0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5950249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7D6E930C">
      <w:pPr>
        <w:snapToGrid w:val="0"/>
        <w:spacing w:line="360" w:lineRule="auto"/>
        <w:ind w:left="655"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176ED259">
      <w:pPr>
        <w:snapToGrid w:val="0"/>
        <w:spacing w:line="360" w:lineRule="auto"/>
        <w:ind w:left="655"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07CB057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49AB507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15412912">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79D903D">
      <w:pPr>
        <w:snapToGrid w:val="0"/>
        <w:spacing w:line="360" w:lineRule="auto"/>
        <w:ind w:left="5861"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7C54EFAD">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1E19B9F9">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525E1AD0">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1A455845">
      <w:pPr>
        <w:spacing w:line="360" w:lineRule="auto"/>
        <w:ind w:right="420"/>
        <w:rPr>
          <w:rFonts w:ascii="宋体" w:hAnsi="宋体" w:cs="宋体"/>
          <w:color w:val="auto"/>
          <w:sz w:val="21"/>
          <w:szCs w:val="21"/>
          <w:highlight w:val="none"/>
        </w:rPr>
      </w:pPr>
      <w:r>
        <w:rPr>
          <w:rFonts w:hint="eastAsia" w:ascii="宋体" w:hAnsi="宋体" w:cs="宋体"/>
          <w:color w:val="auto"/>
          <w:sz w:val="21"/>
          <w:szCs w:val="21"/>
          <w:highlight w:val="none"/>
        </w:rPr>
        <w:t>注：按本格式和要求提供。</w:t>
      </w:r>
    </w:p>
    <w:p w14:paraId="630BCDFE">
      <w:pPr>
        <w:topLinePunct/>
        <w:ind w:firstLine="480" w:firstLineChars="200"/>
        <w:rPr>
          <w:rFonts w:hint="eastAsia"/>
          <w:color w:val="auto"/>
          <w:szCs w:val="32"/>
          <w:highlight w:val="none"/>
        </w:rPr>
      </w:pPr>
    </w:p>
    <w:p w14:paraId="10B9C2A5">
      <w:pPr>
        <w:topLinePunct/>
        <w:ind w:firstLine="480" w:firstLineChars="200"/>
        <w:rPr>
          <w:rFonts w:hint="eastAsia"/>
          <w:color w:val="auto"/>
          <w:szCs w:val="32"/>
          <w:highlight w:val="none"/>
        </w:rPr>
      </w:pPr>
    </w:p>
    <w:p w14:paraId="33CB7532">
      <w:pPr>
        <w:topLinePunct/>
        <w:ind w:firstLine="480" w:firstLineChars="200"/>
        <w:rPr>
          <w:rFonts w:hint="eastAsia"/>
          <w:color w:val="auto"/>
          <w:szCs w:val="32"/>
          <w:highlight w:val="none"/>
        </w:rPr>
      </w:pPr>
    </w:p>
    <w:p w14:paraId="108FBAF1">
      <w:pPr>
        <w:topLinePunct/>
        <w:ind w:firstLine="480" w:firstLineChars="200"/>
        <w:rPr>
          <w:rFonts w:hint="eastAsia"/>
          <w:color w:val="auto"/>
          <w:szCs w:val="32"/>
          <w:highlight w:val="none"/>
        </w:rPr>
      </w:pPr>
    </w:p>
    <w:bookmarkEnd w:id="342"/>
    <w:p w14:paraId="1C80D25E">
      <w:pPr>
        <w:ind w:left="2520" w:leftChars="1050"/>
        <w:rPr>
          <w:color w:val="auto"/>
          <w:highlight w:val="none"/>
        </w:rPr>
      </w:pPr>
      <w:r>
        <w:rPr>
          <w:rFonts w:cs="Courier New"/>
          <w:color w:val="auto"/>
          <w:szCs w:val="24"/>
          <w:highlight w:val="none"/>
        </w:rPr>
        <w:br w:type="page"/>
      </w:r>
    </w:p>
    <w:p w14:paraId="5FD774EC">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346" w:name="_Toc155185932"/>
      <w:bookmarkStart w:id="347" w:name="_Toc163492926"/>
      <w:bookmarkStart w:id="348" w:name="_Toc11321"/>
      <w:r>
        <w:rPr>
          <w:rFonts w:hint="eastAsia" w:cstheme="majorBidi"/>
          <w:b/>
          <w:bCs/>
          <w:color w:val="auto"/>
          <w:kern w:val="2"/>
          <w:sz w:val="28"/>
          <w:szCs w:val="28"/>
          <w:highlight w:val="none"/>
          <w:lang w:val="en-US" w:eastAsia="zh-CN" w:bidi="ar-SA"/>
        </w:rPr>
        <w:t>四</w:t>
      </w:r>
      <w:r>
        <w:rPr>
          <w:rFonts w:hint="eastAsia" w:eastAsia="宋体" w:asciiTheme="majorHAnsi" w:hAnsiTheme="majorHAnsi" w:cstheme="majorBidi"/>
          <w:b/>
          <w:bCs/>
          <w:color w:val="auto"/>
          <w:kern w:val="2"/>
          <w:sz w:val="28"/>
          <w:szCs w:val="28"/>
          <w:highlight w:val="none"/>
          <w:lang w:val="en-US" w:eastAsia="zh-CN" w:bidi="ar-SA"/>
        </w:rPr>
        <w:t>、</w:t>
      </w:r>
      <w:bookmarkEnd w:id="346"/>
      <w:bookmarkEnd w:id="347"/>
      <w:r>
        <w:rPr>
          <w:rFonts w:hint="eastAsia" w:eastAsia="宋体" w:asciiTheme="majorHAnsi" w:hAnsiTheme="majorHAnsi" w:cstheme="majorBidi"/>
          <w:b/>
          <w:bCs/>
          <w:color w:val="auto"/>
          <w:kern w:val="2"/>
          <w:sz w:val="28"/>
          <w:szCs w:val="28"/>
          <w:highlight w:val="none"/>
          <w:lang w:val="en-US" w:eastAsia="zh-CN" w:bidi="ar-SA"/>
        </w:rPr>
        <w:t>落实政府采购政策相关证明文件</w:t>
      </w:r>
      <w:bookmarkEnd w:id="320"/>
      <w:bookmarkEnd w:id="348"/>
    </w:p>
    <w:p w14:paraId="3441EA20">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49" w:name="_Toc163492938"/>
      <w:r>
        <w:rPr>
          <w:rFonts w:hint="eastAsia" w:ascii="宋体" w:hAnsi="宋体" w:eastAsia="宋体" w:cs="宋体"/>
          <w:b/>
          <w:bCs/>
          <w:color w:val="auto"/>
          <w:kern w:val="2"/>
          <w:sz w:val="24"/>
          <w:szCs w:val="24"/>
          <w:highlight w:val="none"/>
          <w:lang w:val="en-US" w:eastAsia="zh-CN" w:bidi="ar-SA"/>
        </w:rPr>
        <w:t>（一）节能环保产品清单及证明材料</w:t>
      </w:r>
      <w:r>
        <w:rPr>
          <w:rFonts w:hint="eastAsia" w:ascii="宋体" w:hAnsi="宋体" w:eastAsia="宋体" w:cs="宋体"/>
          <w:b w:val="0"/>
          <w:bCs w:val="0"/>
          <w:color w:val="auto"/>
          <w:kern w:val="2"/>
          <w:sz w:val="24"/>
          <w:szCs w:val="24"/>
          <w:highlight w:val="none"/>
          <w:lang w:val="en-US" w:eastAsia="zh-CN" w:bidi="ar-SA"/>
        </w:rPr>
        <w:t>【如适用】</w:t>
      </w:r>
      <w:bookmarkEnd w:id="349"/>
    </w:p>
    <w:p w14:paraId="4E11A2AB">
      <w:pPr>
        <w:spacing w:line="300" w:lineRule="auto"/>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lang w:val="en-US" w:eastAsia="zh-CN"/>
        </w:rPr>
        <w:t>/标项号</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项目编号：</w:t>
      </w:r>
    </w:p>
    <w:p w14:paraId="11DF0B44">
      <w:pPr>
        <w:spacing w:line="30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节能产品</w:t>
      </w:r>
    </w:p>
    <w:tbl>
      <w:tblPr>
        <w:tblStyle w:val="30"/>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57"/>
        <w:gridCol w:w="1147"/>
        <w:gridCol w:w="972"/>
        <w:gridCol w:w="792"/>
        <w:gridCol w:w="696"/>
        <w:gridCol w:w="648"/>
        <w:gridCol w:w="1128"/>
        <w:gridCol w:w="1224"/>
        <w:gridCol w:w="1582"/>
      </w:tblGrid>
      <w:tr w14:paraId="6A0BF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03F4E3F5">
            <w:pPr>
              <w:pStyle w:val="51"/>
              <w:jc w:val="center"/>
              <w:rPr>
                <w:color w:val="auto"/>
                <w:sz w:val="21"/>
                <w:szCs w:val="21"/>
                <w:highlight w:val="none"/>
              </w:rPr>
            </w:pPr>
            <w:r>
              <w:rPr>
                <w:rFonts w:hint="eastAsia"/>
                <w:color w:val="auto"/>
                <w:sz w:val="21"/>
                <w:szCs w:val="21"/>
                <w:highlight w:val="none"/>
              </w:rPr>
              <w:t>序号</w:t>
            </w:r>
          </w:p>
        </w:tc>
        <w:tc>
          <w:tcPr>
            <w:tcW w:w="1147" w:type="dxa"/>
            <w:tcBorders>
              <w:top w:val="single" w:color="auto" w:sz="4" w:space="0"/>
              <w:left w:val="single" w:color="auto" w:sz="4" w:space="0"/>
              <w:bottom w:val="single" w:color="auto" w:sz="4" w:space="0"/>
              <w:right w:val="single" w:color="auto" w:sz="4" w:space="0"/>
            </w:tcBorders>
            <w:vAlign w:val="center"/>
          </w:tcPr>
          <w:p w14:paraId="46DAEE65">
            <w:pPr>
              <w:pStyle w:val="51"/>
              <w:jc w:val="center"/>
              <w:rPr>
                <w:color w:val="auto"/>
                <w:sz w:val="21"/>
                <w:szCs w:val="21"/>
                <w:highlight w:val="none"/>
              </w:rPr>
            </w:pPr>
            <w:r>
              <w:rPr>
                <w:rFonts w:hint="eastAsia"/>
                <w:color w:val="auto"/>
                <w:sz w:val="21"/>
                <w:szCs w:val="21"/>
                <w:highlight w:val="none"/>
              </w:rPr>
              <w:t>设备名称</w:t>
            </w:r>
          </w:p>
        </w:tc>
        <w:tc>
          <w:tcPr>
            <w:tcW w:w="972" w:type="dxa"/>
            <w:tcBorders>
              <w:top w:val="single" w:color="auto" w:sz="4" w:space="0"/>
              <w:left w:val="single" w:color="auto" w:sz="4" w:space="0"/>
              <w:bottom w:val="single" w:color="auto" w:sz="4" w:space="0"/>
              <w:right w:val="single" w:color="auto" w:sz="4" w:space="0"/>
            </w:tcBorders>
            <w:vAlign w:val="center"/>
          </w:tcPr>
          <w:p w14:paraId="1861E64A">
            <w:pPr>
              <w:pStyle w:val="51"/>
              <w:jc w:val="center"/>
              <w:rPr>
                <w:color w:val="auto"/>
                <w:sz w:val="21"/>
                <w:szCs w:val="21"/>
                <w:highlight w:val="none"/>
              </w:rPr>
            </w:pPr>
            <w:r>
              <w:rPr>
                <w:rFonts w:hint="eastAsia"/>
                <w:color w:val="auto"/>
                <w:sz w:val="21"/>
                <w:szCs w:val="21"/>
                <w:highlight w:val="none"/>
              </w:rPr>
              <w:t>制造商名称</w:t>
            </w:r>
          </w:p>
        </w:tc>
        <w:tc>
          <w:tcPr>
            <w:tcW w:w="792" w:type="dxa"/>
            <w:tcBorders>
              <w:top w:val="single" w:color="auto" w:sz="4" w:space="0"/>
              <w:left w:val="single" w:color="auto" w:sz="4" w:space="0"/>
              <w:bottom w:val="single" w:color="auto" w:sz="4" w:space="0"/>
              <w:right w:val="single" w:color="auto" w:sz="4" w:space="0"/>
            </w:tcBorders>
            <w:vAlign w:val="center"/>
          </w:tcPr>
          <w:p w14:paraId="2E7E0ED3">
            <w:pPr>
              <w:pStyle w:val="51"/>
              <w:jc w:val="center"/>
              <w:rPr>
                <w:color w:val="auto"/>
                <w:sz w:val="21"/>
                <w:szCs w:val="21"/>
                <w:highlight w:val="none"/>
              </w:rPr>
            </w:pPr>
            <w:r>
              <w:rPr>
                <w:rFonts w:hint="eastAsia"/>
                <w:color w:val="auto"/>
                <w:sz w:val="21"/>
                <w:szCs w:val="21"/>
                <w:highlight w:val="none"/>
              </w:rPr>
              <w:t>品牌</w:t>
            </w:r>
          </w:p>
        </w:tc>
        <w:tc>
          <w:tcPr>
            <w:tcW w:w="696" w:type="dxa"/>
            <w:tcBorders>
              <w:top w:val="single" w:color="auto" w:sz="4" w:space="0"/>
              <w:left w:val="single" w:color="auto" w:sz="4" w:space="0"/>
              <w:bottom w:val="single" w:color="auto" w:sz="4" w:space="0"/>
              <w:right w:val="single" w:color="auto" w:sz="4" w:space="0"/>
            </w:tcBorders>
            <w:vAlign w:val="center"/>
          </w:tcPr>
          <w:p w14:paraId="77E20DE2">
            <w:pPr>
              <w:pStyle w:val="51"/>
              <w:jc w:val="center"/>
              <w:rPr>
                <w:color w:val="auto"/>
                <w:sz w:val="21"/>
                <w:szCs w:val="21"/>
                <w:highlight w:val="none"/>
              </w:rPr>
            </w:pPr>
            <w:r>
              <w:rPr>
                <w:rFonts w:hint="eastAsia"/>
                <w:color w:val="auto"/>
                <w:sz w:val="21"/>
                <w:szCs w:val="21"/>
                <w:highlight w:val="none"/>
              </w:rPr>
              <w:t>型号</w:t>
            </w:r>
          </w:p>
        </w:tc>
        <w:tc>
          <w:tcPr>
            <w:tcW w:w="648" w:type="dxa"/>
            <w:tcBorders>
              <w:top w:val="single" w:color="auto" w:sz="4" w:space="0"/>
              <w:left w:val="single" w:color="auto" w:sz="4" w:space="0"/>
              <w:bottom w:val="single" w:color="auto" w:sz="4" w:space="0"/>
              <w:right w:val="single" w:color="auto" w:sz="4" w:space="0"/>
            </w:tcBorders>
            <w:vAlign w:val="center"/>
          </w:tcPr>
          <w:p w14:paraId="669AA18C">
            <w:pPr>
              <w:pStyle w:val="51"/>
              <w:jc w:val="center"/>
              <w:rPr>
                <w:color w:val="auto"/>
                <w:sz w:val="21"/>
                <w:szCs w:val="21"/>
                <w:highlight w:val="none"/>
              </w:rPr>
            </w:pPr>
            <w:r>
              <w:rPr>
                <w:rFonts w:hint="eastAsia"/>
                <w:color w:val="auto"/>
                <w:sz w:val="21"/>
                <w:szCs w:val="21"/>
                <w:highlight w:val="none"/>
              </w:rPr>
              <w:t>数量</w:t>
            </w:r>
          </w:p>
        </w:tc>
        <w:tc>
          <w:tcPr>
            <w:tcW w:w="1128" w:type="dxa"/>
            <w:tcBorders>
              <w:top w:val="single" w:color="auto" w:sz="4" w:space="0"/>
              <w:left w:val="single" w:color="auto" w:sz="4" w:space="0"/>
              <w:bottom w:val="single" w:color="auto" w:sz="4" w:space="0"/>
              <w:right w:val="single" w:color="auto" w:sz="4" w:space="0"/>
            </w:tcBorders>
            <w:vAlign w:val="center"/>
          </w:tcPr>
          <w:p w14:paraId="13C5AED1">
            <w:pPr>
              <w:pStyle w:val="51"/>
              <w:jc w:val="center"/>
              <w:rPr>
                <w:color w:val="auto"/>
                <w:sz w:val="21"/>
                <w:szCs w:val="21"/>
                <w:highlight w:val="none"/>
              </w:rPr>
            </w:pPr>
            <w:r>
              <w:rPr>
                <w:rFonts w:hint="eastAsia"/>
                <w:color w:val="auto"/>
                <w:sz w:val="21"/>
                <w:szCs w:val="21"/>
                <w:highlight w:val="none"/>
              </w:rPr>
              <w:t>单价</w:t>
            </w:r>
          </w:p>
          <w:p w14:paraId="7F773943">
            <w:pPr>
              <w:pStyle w:val="51"/>
              <w:jc w:val="center"/>
              <w:rPr>
                <w:color w:val="auto"/>
                <w:sz w:val="21"/>
                <w:szCs w:val="21"/>
                <w:highlight w:val="none"/>
              </w:rPr>
            </w:pPr>
            <w:r>
              <w:rPr>
                <w:rFonts w:hint="eastAsia"/>
                <w:color w:val="auto"/>
                <w:sz w:val="21"/>
                <w:szCs w:val="21"/>
                <w:highlight w:val="none"/>
              </w:rPr>
              <w:t>（万元）</w:t>
            </w:r>
          </w:p>
        </w:tc>
        <w:tc>
          <w:tcPr>
            <w:tcW w:w="1224" w:type="dxa"/>
            <w:tcBorders>
              <w:top w:val="single" w:color="auto" w:sz="4" w:space="0"/>
              <w:left w:val="single" w:color="auto" w:sz="4" w:space="0"/>
              <w:bottom w:val="single" w:color="auto" w:sz="4" w:space="0"/>
              <w:right w:val="single" w:color="auto" w:sz="4" w:space="0"/>
            </w:tcBorders>
            <w:vAlign w:val="center"/>
          </w:tcPr>
          <w:p w14:paraId="2F40B99D">
            <w:pPr>
              <w:pStyle w:val="51"/>
              <w:jc w:val="center"/>
              <w:rPr>
                <w:color w:val="auto"/>
                <w:sz w:val="21"/>
                <w:szCs w:val="21"/>
                <w:highlight w:val="none"/>
              </w:rPr>
            </w:pPr>
            <w:r>
              <w:rPr>
                <w:rFonts w:hint="eastAsia"/>
                <w:color w:val="auto"/>
                <w:sz w:val="21"/>
                <w:szCs w:val="21"/>
                <w:highlight w:val="none"/>
              </w:rPr>
              <w:t>总价</w:t>
            </w:r>
          </w:p>
          <w:p w14:paraId="551F50AE">
            <w:pPr>
              <w:pStyle w:val="51"/>
              <w:jc w:val="center"/>
              <w:rPr>
                <w:color w:val="auto"/>
                <w:sz w:val="21"/>
                <w:szCs w:val="21"/>
                <w:highlight w:val="none"/>
              </w:rPr>
            </w:pPr>
            <w:r>
              <w:rPr>
                <w:rFonts w:hint="eastAsia"/>
                <w:color w:val="auto"/>
                <w:sz w:val="21"/>
                <w:szCs w:val="21"/>
                <w:highlight w:val="none"/>
              </w:rPr>
              <w:t>（万元）</w:t>
            </w:r>
          </w:p>
        </w:tc>
        <w:tc>
          <w:tcPr>
            <w:tcW w:w="1582" w:type="dxa"/>
            <w:tcBorders>
              <w:top w:val="single" w:color="auto" w:sz="4" w:space="0"/>
              <w:left w:val="single" w:color="auto" w:sz="4" w:space="0"/>
              <w:bottom w:val="single" w:color="auto" w:sz="4" w:space="0"/>
              <w:right w:val="single" w:color="auto" w:sz="4" w:space="0"/>
            </w:tcBorders>
            <w:vAlign w:val="center"/>
          </w:tcPr>
          <w:p w14:paraId="6BBC54A2">
            <w:pPr>
              <w:pStyle w:val="51"/>
              <w:jc w:val="center"/>
              <w:rPr>
                <w:color w:val="auto"/>
                <w:sz w:val="21"/>
                <w:szCs w:val="21"/>
                <w:highlight w:val="none"/>
              </w:rPr>
            </w:pPr>
            <w:r>
              <w:rPr>
                <w:rFonts w:hint="eastAsia"/>
                <w:color w:val="auto"/>
                <w:sz w:val="21"/>
                <w:szCs w:val="21"/>
                <w:highlight w:val="none"/>
              </w:rPr>
              <w:t>属强制采购或优先采购</w:t>
            </w:r>
          </w:p>
        </w:tc>
      </w:tr>
      <w:tr w14:paraId="00A19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62746D06">
            <w:pPr>
              <w:pStyle w:val="51"/>
              <w:numPr>
                <w:ilvl w:val="0"/>
                <w:numId w:val="17"/>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1B7B568E">
            <w:pPr>
              <w:pStyle w:val="51"/>
              <w:jc w:val="center"/>
              <w:rPr>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54B66B86">
            <w:pPr>
              <w:pStyle w:val="51"/>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659D69F2">
            <w:pPr>
              <w:pStyle w:val="51"/>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5BD00C76">
            <w:pPr>
              <w:pStyle w:val="51"/>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30D743D6">
            <w:pPr>
              <w:pStyle w:val="51"/>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46559CE9">
            <w:pPr>
              <w:pStyle w:val="51"/>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732A027B">
            <w:pPr>
              <w:pStyle w:val="51"/>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4F74E7DA">
            <w:pPr>
              <w:pStyle w:val="51"/>
              <w:jc w:val="center"/>
              <w:rPr>
                <w:color w:val="auto"/>
                <w:sz w:val="21"/>
                <w:szCs w:val="21"/>
                <w:highlight w:val="none"/>
              </w:rPr>
            </w:pPr>
          </w:p>
        </w:tc>
      </w:tr>
      <w:tr w14:paraId="0ABCB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449699D2">
            <w:pPr>
              <w:pStyle w:val="51"/>
              <w:numPr>
                <w:ilvl w:val="0"/>
                <w:numId w:val="17"/>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746B859E">
            <w:pPr>
              <w:pStyle w:val="51"/>
              <w:jc w:val="center"/>
              <w:rPr>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4AEB2D41">
            <w:pPr>
              <w:pStyle w:val="51"/>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6E2B3F07">
            <w:pPr>
              <w:pStyle w:val="51"/>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6DBCB4A0">
            <w:pPr>
              <w:pStyle w:val="51"/>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412093D0">
            <w:pPr>
              <w:pStyle w:val="51"/>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5D8301CA">
            <w:pPr>
              <w:pStyle w:val="51"/>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6999E303">
            <w:pPr>
              <w:pStyle w:val="51"/>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38C62F49">
            <w:pPr>
              <w:pStyle w:val="51"/>
              <w:jc w:val="center"/>
              <w:rPr>
                <w:color w:val="auto"/>
                <w:sz w:val="21"/>
                <w:szCs w:val="21"/>
                <w:highlight w:val="none"/>
              </w:rPr>
            </w:pPr>
          </w:p>
        </w:tc>
      </w:tr>
      <w:tr w14:paraId="7C685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4D339DA1">
            <w:pPr>
              <w:pStyle w:val="51"/>
              <w:numPr>
                <w:ilvl w:val="0"/>
                <w:numId w:val="17"/>
              </w:numPr>
              <w:jc w:val="center"/>
              <w:rPr>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2E629676">
            <w:pPr>
              <w:pStyle w:val="51"/>
              <w:jc w:val="center"/>
              <w:rPr>
                <w:color w:val="auto"/>
                <w:sz w:val="21"/>
                <w:szCs w:val="21"/>
                <w:highlight w:val="none"/>
              </w:rPr>
            </w:pPr>
            <w:r>
              <w:rPr>
                <w:color w:val="auto"/>
                <w:sz w:val="21"/>
                <w:szCs w:val="21"/>
                <w:highlight w:val="none"/>
              </w:rPr>
              <w:t>……</w:t>
            </w:r>
          </w:p>
        </w:tc>
        <w:tc>
          <w:tcPr>
            <w:tcW w:w="972" w:type="dxa"/>
            <w:tcBorders>
              <w:top w:val="single" w:color="auto" w:sz="4" w:space="0"/>
              <w:left w:val="single" w:color="auto" w:sz="4" w:space="0"/>
              <w:bottom w:val="single" w:color="auto" w:sz="4" w:space="0"/>
              <w:right w:val="single" w:color="auto" w:sz="4" w:space="0"/>
            </w:tcBorders>
            <w:vAlign w:val="center"/>
          </w:tcPr>
          <w:p w14:paraId="2858FD6D">
            <w:pPr>
              <w:pStyle w:val="51"/>
              <w:jc w:val="center"/>
              <w:rPr>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6C167761">
            <w:pPr>
              <w:pStyle w:val="51"/>
              <w:jc w:val="center"/>
              <w:rPr>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1C36818F">
            <w:pPr>
              <w:pStyle w:val="51"/>
              <w:jc w:val="center"/>
              <w:rPr>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6E847F76">
            <w:pPr>
              <w:pStyle w:val="51"/>
              <w:jc w:val="center"/>
              <w:rPr>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5A7A8D95">
            <w:pPr>
              <w:pStyle w:val="51"/>
              <w:jc w:val="center"/>
              <w:rPr>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68F774B3">
            <w:pPr>
              <w:pStyle w:val="51"/>
              <w:jc w:val="center"/>
              <w:rPr>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071BEC51">
            <w:pPr>
              <w:pStyle w:val="51"/>
              <w:jc w:val="center"/>
              <w:rPr>
                <w:color w:val="auto"/>
                <w:sz w:val="21"/>
                <w:szCs w:val="21"/>
                <w:highlight w:val="none"/>
              </w:rPr>
            </w:pPr>
          </w:p>
        </w:tc>
      </w:tr>
    </w:tbl>
    <w:p w14:paraId="4C16F6F6">
      <w:pPr>
        <w:spacing w:line="300" w:lineRule="auto"/>
        <w:rPr>
          <w:rFonts w:ascii="Arial" w:hAnsi="Arial" w:cs="Arial"/>
          <w:color w:val="auto"/>
          <w:szCs w:val="21"/>
          <w:highlight w:val="none"/>
        </w:rPr>
      </w:pPr>
    </w:p>
    <w:p w14:paraId="07D84EEB">
      <w:pPr>
        <w:spacing w:line="30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环保产品</w:t>
      </w:r>
    </w:p>
    <w:tbl>
      <w:tblPr>
        <w:tblStyle w:val="30"/>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76"/>
        <w:gridCol w:w="1140"/>
        <w:gridCol w:w="1272"/>
        <w:gridCol w:w="816"/>
        <w:gridCol w:w="816"/>
        <w:gridCol w:w="1032"/>
        <w:gridCol w:w="1380"/>
        <w:gridCol w:w="1714"/>
      </w:tblGrid>
      <w:tr w14:paraId="27C89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5C55500C">
            <w:pPr>
              <w:pStyle w:val="51"/>
              <w:jc w:val="center"/>
              <w:rPr>
                <w:color w:val="auto"/>
                <w:sz w:val="21"/>
                <w:szCs w:val="21"/>
                <w:highlight w:val="none"/>
              </w:rPr>
            </w:pPr>
            <w:r>
              <w:rPr>
                <w:rFonts w:hint="eastAsia"/>
                <w:color w:val="auto"/>
                <w:sz w:val="21"/>
                <w:szCs w:val="21"/>
                <w:highlight w:val="none"/>
              </w:rPr>
              <w:t>序号</w:t>
            </w:r>
          </w:p>
        </w:tc>
        <w:tc>
          <w:tcPr>
            <w:tcW w:w="1140" w:type="dxa"/>
            <w:tcBorders>
              <w:top w:val="single" w:color="auto" w:sz="4" w:space="0"/>
              <w:left w:val="single" w:color="auto" w:sz="4" w:space="0"/>
              <w:bottom w:val="single" w:color="auto" w:sz="4" w:space="0"/>
              <w:right w:val="single" w:color="auto" w:sz="4" w:space="0"/>
            </w:tcBorders>
            <w:vAlign w:val="center"/>
          </w:tcPr>
          <w:p w14:paraId="38B653A6">
            <w:pPr>
              <w:pStyle w:val="51"/>
              <w:jc w:val="center"/>
              <w:rPr>
                <w:color w:val="auto"/>
                <w:sz w:val="21"/>
                <w:szCs w:val="21"/>
                <w:highlight w:val="none"/>
              </w:rPr>
            </w:pPr>
            <w:r>
              <w:rPr>
                <w:rFonts w:hint="eastAsia"/>
                <w:color w:val="auto"/>
                <w:sz w:val="21"/>
                <w:szCs w:val="21"/>
                <w:highlight w:val="none"/>
              </w:rPr>
              <w:t>设备名称</w:t>
            </w:r>
          </w:p>
        </w:tc>
        <w:tc>
          <w:tcPr>
            <w:tcW w:w="1272" w:type="dxa"/>
            <w:tcBorders>
              <w:top w:val="single" w:color="auto" w:sz="4" w:space="0"/>
              <w:left w:val="single" w:color="auto" w:sz="4" w:space="0"/>
              <w:bottom w:val="single" w:color="auto" w:sz="4" w:space="0"/>
              <w:right w:val="single" w:color="auto" w:sz="4" w:space="0"/>
            </w:tcBorders>
            <w:vAlign w:val="center"/>
          </w:tcPr>
          <w:p w14:paraId="613D1C98">
            <w:pPr>
              <w:pStyle w:val="51"/>
              <w:jc w:val="center"/>
              <w:rPr>
                <w:color w:val="auto"/>
                <w:sz w:val="21"/>
                <w:szCs w:val="21"/>
                <w:highlight w:val="none"/>
              </w:rPr>
            </w:pPr>
            <w:r>
              <w:rPr>
                <w:rFonts w:hint="eastAsia"/>
                <w:color w:val="auto"/>
                <w:sz w:val="21"/>
                <w:szCs w:val="21"/>
                <w:highlight w:val="none"/>
              </w:rPr>
              <w:t>制造商</w:t>
            </w:r>
          </w:p>
          <w:p w14:paraId="0160237E">
            <w:pPr>
              <w:pStyle w:val="51"/>
              <w:jc w:val="center"/>
              <w:rPr>
                <w:color w:val="auto"/>
                <w:sz w:val="21"/>
                <w:szCs w:val="21"/>
                <w:highlight w:val="none"/>
              </w:rPr>
            </w:pPr>
            <w:r>
              <w:rPr>
                <w:rFonts w:hint="eastAsia"/>
                <w:color w:val="auto"/>
                <w:sz w:val="21"/>
                <w:szCs w:val="21"/>
                <w:highlight w:val="none"/>
              </w:rPr>
              <w:t>名称</w:t>
            </w:r>
          </w:p>
        </w:tc>
        <w:tc>
          <w:tcPr>
            <w:tcW w:w="816" w:type="dxa"/>
            <w:tcBorders>
              <w:top w:val="single" w:color="auto" w:sz="4" w:space="0"/>
              <w:left w:val="single" w:color="auto" w:sz="4" w:space="0"/>
              <w:bottom w:val="single" w:color="auto" w:sz="4" w:space="0"/>
              <w:right w:val="single" w:color="auto" w:sz="4" w:space="0"/>
            </w:tcBorders>
            <w:vAlign w:val="center"/>
          </w:tcPr>
          <w:p w14:paraId="3D085B73">
            <w:pPr>
              <w:pStyle w:val="51"/>
              <w:jc w:val="center"/>
              <w:rPr>
                <w:color w:val="auto"/>
                <w:sz w:val="21"/>
                <w:szCs w:val="21"/>
                <w:highlight w:val="none"/>
              </w:rPr>
            </w:pPr>
            <w:r>
              <w:rPr>
                <w:rFonts w:hint="eastAsia"/>
                <w:color w:val="auto"/>
                <w:sz w:val="21"/>
                <w:szCs w:val="21"/>
                <w:highlight w:val="none"/>
              </w:rPr>
              <w:t>品牌</w:t>
            </w:r>
          </w:p>
        </w:tc>
        <w:tc>
          <w:tcPr>
            <w:tcW w:w="816" w:type="dxa"/>
            <w:tcBorders>
              <w:top w:val="single" w:color="auto" w:sz="4" w:space="0"/>
              <w:left w:val="single" w:color="auto" w:sz="4" w:space="0"/>
              <w:bottom w:val="single" w:color="auto" w:sz="4" w:space="0"/>
              <w:right w:val="single" w:color="auto" w:sz="4" w:space="0"/>
            </w:tcBorders>
            <w:vAlign w:val="center"/>
          </w:tcPr>
          <w:p w14:paraId="159CC35E">
            <w:pPr>
              <w:pStyle w:val="51"/>
              <w:jc w:val="center"/>
              <w:rPr>
                <w:color w:val="auto"/>
                <w:sz w:val="21"/>
                <w:szCs w:val="21"/>
                <w:highlight w:val="none"/>
              </w:rPr>
            </w:pPr>
            <w:r>
              <w:rPr>
                <w:rFonts w:hint="eastAsia"/>
                <w:color w:val="auto"/>
                <w:sz w:val="21"/>
                <w:szCs w:val="21"/>
                <w:highlight w:val="none"/>
              </w:rPr>
              <w:t>型号</w:t>
            </w:r>
          </w:p>
        </w:tc>
        <w:tc>
          <w:tcPr>
            <w:tcW w:w="1032" w:type="dxa"/>
            <w:tcBorders>
              <w:top w:val="single" w:color="auto" w:sz="4" w:space="0"/>
              <w:left w:val="single" w:color="auto" w:sz="4" w:space="0"/>
              <w:bottom w:val="single" w:color="auto" w:sz="4" w:space="0"/>
              <w:right w:val="single" w:color="auto" w:sz="4" w:space="0"/>
            </w:tcBorders>
            <w:vAlign w:val="center"/>
          </w:tcPr>
          <w:p w14:paraId="3BF27AC7">
            <w:pPr>
              <w:pStyle w:val="51"/>
              <w:jc w:val="center"/>
              <w:rPr>
                <w:color w:val="auto"/>
                <w:sz w:val="21"/>
                <w:szCs w:val="21"/>
                <w:highlight w:val="none"/>
              </w:rPr>
            </w:pPr>
            <w:r>
              <w:rPr>
                <w:rFonts w:hint="eastAsia"/>
                <w:color w:val="auto"/>
                <w:sz w:val="21"/>
                <w:szCs w:val="21"/>
                <w:highlight w:val="none"/>
              </w:rPr>
              <w:t>数量</w:t>
            </w:r>
          </w:p>
        </w:tc>
        <w:tc>
          <w:tcPr>
            <w:tcW w:w="1380" w:type="dxa"/>
            <w:tcBorders>
              <w:top w:val="single" w:color="auto" w:sz="4" w:space="0"/>
              <w:left w:val="single" w:color="auto" w:sz="4" w:space="0"/>
              <w:bottom w:val="single" w:color="auto" w:sz="4" w:space="0"/>
              <w:right w:val="single" w:color="auto" w:sz="4" w:space="0"/>
            </w:tcBorders>
            <w:vAlign w:val="center"/>
          </w:tcPr>
          <w:p w14:paraId="055A1AC8">
            <w:pPr>
              <w:pStyle w:val="51"/>
              <w:jc w:val="center"/>
              <w:rPr>
                <w:color w:val="auto"/>
                <w:sz w:val="21"/>
                <w:szCs w:val="21"/>
                <w:highlight w:val="none"/>
              </w:rPr>
            </w:pPr>
            <w:r>
              <w:rPr>
                <w:rFonts w:hint="eastAsia"/>
                <w:color w:val="auto"/>
                <w:sz w:val="21"/>
                <w:szCs w:val="21"/>
                <w:highlight w:val="none"/>
              </w:rPr>
              <w:t>单价</w:t>
            </w:r>
          </w:p>
          <w:p w14:paraId="3FB69549">
            <w:pPr>
              <w:pStyle w:val="51"/>
              <w:jc w:val="center"/>
              <w:rPr>
                <w:color w:val="auto"/>
                <w:sz w:val="21"/>
                <w:szCs w:val="21"/>
                <w:highlight w:val="none"/>
              </w:rPr>
            </w:pPr>
            <w:r>
              <w:rPr>
                <w:rFonts w:hint="eastAsia"/>
                <w:color w:val="auto"/>
                <w:sz w:val="21"/>
                <w:szCs w:val="21"/>
                <w:highlight w:val="none"/>
              </w:rPr>
              <w:t>（万元）</w:t>
            </w:r>
          </w:p>
        </w:tc>
        <w:tc>
          <w:tcPr>
            <w:tcW w:w="1714" w:type="dxa"/>
            <w:tcBorders>
              <w:top w:val="single" w:color="auto" w:sz="4" w:space="0"/>
              <w:left w:val="single" w:color="auto" w:sz="4" w:space="0"/>
              <w:bottom w:val="single" w:color="auto" w:sz="4" w:space="0"/>
              <w:right w:val="single" w:color="auto" w:sz="4" w:space="0"/>
            </w:tcBorders>
            <w:vAlign w:val="center"/>
          </w:tcPr>
          <w:p w14:paraId="2DDB1A1E">
            <w:pPr>
              <w:pStyle w:val="51"/>
              <w:jc w:val="center"/>
              <w:rPr>
                <w:color w:val="auto"/>
                <w:sz w:val="21"/>
                <w:szCs w:val="21"/>
                <w:highlight w:val="none"/>
              </w:rPr>
            </w:pPr>
            <w:r>
              <w:rPr>
                <w:rFonts w:hint="eastAsia"/>
                <w:color w:val="auto"/>
                <w:sz w:val="21"/>
                <w:szCs w:val="21"/>
                <w:highlight w:val="none"/>
              </w:rPr>
              <w:t>总价</w:t>
            </w:r>
          </w:p>
          <w:p w14:paraId="4DC1A464">
            <w:pPr>
              <w:pStyle w:val="51"/>
              <w:jc w:val="center"/>
              <w:rPr>
                <w:color w:val="auto"/>
                <w:sz w:val="21"/>
                <w:szCs w:val="21"/>
                <w:highlight w:val="none"/>
              </w:rPr>
            </w:pPr>
            <w:r>
              <w:rPr>
                <w:rFonts w:hint="eastAsia"/>
                <w:color w:val="auto"/>
                <w:sz w:val="21"/>
                <w:szCs w:val="21"/>
                <w:highlight w:val="none"/>
              </w:rPr>
              <w:t>（万元）</w:t>
            </w:r>
          </w:p>
        </w:tc>
      </w:tr>
      <w:tr w14:paraId="26C37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3DB07A3E">
            <w:pPr>
              <w:pStyle w:val="51"/>
              <w:numPr>
                <w:ilvl w:val="0"/>
                <w:numId w:val="18"/>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7E2F205E">
            <w:pPr>
              <w:pStyle w:val="51"/>
              <w:jc w:val="center"/>
              <w:rPr>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39F852D1">
            <w:pPr>
              <w:pStyle w:val="51"/>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7E58F251">
            <w:pPr>
              <w:pStyle w:val="51"/>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00EBDB3C">
            <w:pPr>
              <w:pStyle w:val="51"/>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35D57804">
            <w:pPr>
              <w:pStyle w:val="51"/>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461F7910">
            <w:pPr>
              <w:pStyle w:val="51"/>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7A21C066">
            <w:pPr>
              <w:pStyle w:val="51"/>
              <w:jc w:val="center"/>
              <w:rPr>
                <w:color w:val="auto"/>
                <w:sz w:val="21"/>
                <w:szCs w:val="21"/>
                <w:highlight w:val="none"/>
              </w:rPr>
            </w:pPr>
          </w:p>
        </w:tc>
      </w:tr>
      <w:tr w14:paraId="085E9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6932A568">
            <w:pPr>
              <w:pStyle w:val="51"/>
              <w:numPr>
                <w:ilvl w:val="0"/>
                <w:numId w:val="18"/>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174D52F3">
            <w:pPr>
              <w:pStyle w:val="51"/>
              <w:jc w:val="center"/>
              <w:rPr>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5ED9CC49">
            <w:pPr>
              <w:pStyle w:val="51"/>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49A21DE9">
            <w:pPr>
              <w:pStyle w:val="51"/>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6F298BEC">
            <w:pPr>
              <w:pStyle w:val="51"/>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05D05354">
            <w:pPr>
              <w:pStyle w:val="51"/>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753BD933">
            <w:pPr>
              <w:pStyle w:val="51"/>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21A15237">
            <w:pPr>
              <w:pStyle w:val="51"/>
              <w:jc w:val="center"/>
              <w:rPr>
                <w:color w:val="auto"/>
                <w:sz w:val="21"/>
                <w:szCs w:val="21"/>
                <w:highlight w:val="none"/>
              </w:rPr>
            </w:pPr>
          </w:p>
        </w:tc>
      </w:tr>
      <w:tr w14:paraId="2883C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623C04F5">
            <w:pPr>
              <w:pStyle w:val="51"/>
              <w:numPr>
                <w:ilvl w:val="0"/>
                <w:numId w:val="18"/>
              </w:numPr>
              <w:jc w:val="center"/>
              <w:rPr>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669A315F">
            <w:pPr>
              <w:pStyle w:val="51"/>
              <w:jc w:val="center"/>
              <w:rPr>
                <w:color w:val="auto"/>
                <w:sz w:val="21"/>
                <w:szCs w:val="21"/>
                <w:highlight w:val="none"/>
              </w:rPr>
            </w:pPr>
            <w:r>
              <w:rPr>
                <w:color w:val="auto"/>
                <w:sz w:val="21"/>
                <w:szCs w:val="21"/>
                <w:highlight w:val="none"/>
              </w:rPr>
              <w:t>……</w:t>
            </w:r>
          </w:p>
        </w:tc>
        <w:tc>
          <w:tcPr>
            <w:tcW w:w="1272" w:type="dxa"/>
            <w:tcBorders>
              <w:top w:val="single" w:color="auto" w:sz="4" w:space="0"/>
              <w:left w:val="single" w:color="auto" w:sz="4" w:space="0"/>
              <w:bottom w:val="single" w:color="auto" w:sz="4" w:space="0"/>
              <w:right w:val="single" w:color="auto" w:sz="4" w:space="0"/>
            </w:tcBorders>
            <w:vAlign w:val="center"/>
          </w:tcPr>
          <w:p w14:paraId="4EB12AE2">
            <w:pPr>
              <w:pStyle w:val="51"/>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34A281FF">
            <w:pPr>
              <w:pStyle w:val="51"/>
              <w:jc w:val="center"/>
              <w:rPr>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00132A24">
            <w:pPr>
              <w:pStyle w:val="51"/>
              <w:jc w:val="center"/>
              <w:rPr>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253E1FE0">
            <w:pPr>
              <w:pStyle w:val="51"/>
              <w:jc w:val="center"/>
              <w:rPr>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5E98F35F">
            <w:pPr>
              <w:pStyle w:val="51"/>
              <w:jc w:val="center"/>
              <w:rPr>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41B4CE1B">
            <w:pPr>
              <w:pStyle w:val="51"/>
              <w:jc w:val="center"/>
              <w:rPr>
                <w:color w:val="auto"/>
                <w:sz w:val="21"/>
                <w:szCs w:val="21"/>
                <w:highlight w:val="none"/>
              </w:rPr>
            </w:pPr>
          </w:p>
        </w:tc>
      </w:tr>
    </w:tbl>
    <w:p w14:paraId="3A257B60">
      <w:pPr>
        <w:spacing w:line="300" w:lineRule="auto"/>
        <w:rPr>
          <w:rFonts w:ascii="Arial" w:hAnsi="Arial" w:cs="Arial"/>
          <w:color w:val="auto"/>
          <w:szCs w:val="21"/>
          <w:highlight w:val="none"/>
        </w:rPr>
      </w:pPr>
    </w:p>
    <w:p w14:paraId="2346B8DF">
      <w:pPr>
        <w:rPr>
          <w:rFonts w:ascii="Arial" w:hAnsi="Arial" w:cs="Arial"/>
          <w:b/>
          <w:color w:val="auto"/>
          <w:sz w:val="21"/>
          <w:szCs w:val="21"/>
          <w:highlight w:val="none"/>
        </w:rPr>
      </w:pPr>
      <w:r>
        <w:rPr>
          <w:rFonts w:hint="eastAsia" w:ascii="Arial" w:hAnsi="Arial" w:cs="Arial"/>
          <w:b/>
          <w:color w:val="auto"/>
          <w:sz w:val="21"/>
          <w:szCs w:val="21"/>
          <w:highlight w:val="none"/>
        </w:rPr>
        <w:t>特别说明：投标人应将所投产品中节能、环保产品分别列入上表中，并按本招标文件</w:t>
      </w:r>
      <w:r>
        <w:rPr>
          <w:rFonts w:hint="eastAsia" w:ascii="Arial" w:hAnsi="Arial" w:cs="Arial"/>
          <w:b/>
          <w:color w:val="auto"/>
          <w:sz w:val="21"/>
          <w:szCs w:val="21"/>
          <w:highlight w:val="none"/>
          <w:lang w:val="en-US" w:eastAsia="zh-CN"/>
        </w:rPr>
        <w:t>“</w:t>
      </w:r>
      <w:r>
        <w:rPr>
          <w:rFonts w:hint="eastAsia" w:ascii="Arial" w:hAnsi="Arial" w:cs="Arial"/>
          <w:b/>
          <w:color w:val="auto"/>
          <w:sz w:val="21"/>
          <w:szCs w:val="21"/>
          <w:highlight w:val="none"/>
        </w:rPr>
        <w:t>第二章</w:t>
      </w:r>
      <w:r>
        <w:rPr>
          <w:rFonts w:hint="eastAsia" w:ascii="Arial" w:hAnsi="Arial" w:cs="Arial"/>
          <w:b/>
          <w:color w:val="auto"/>
          <w:sz w:val="21"/>
          <w:szCs w:val="21"/>
          <w:highlight w:val="none"/>
          <w:lang w:val="en-US" w:eastAsia="zh-CN"/>
        </w:rPr>
        <w:t>投标人须知”</w:t>
      </w:r>
      <w:r>
        <w:rPr>
          <w:rFonts w:hint="eastAsia" w:ascii="Arial" w:hAnsi="Arial" w:cs="Arial"/>
          <w:b/>
          <w:color w:val="auto"/>
          <w:sz w:val="21"/>
          <w:szCs w:val="21"/>
          <w:highlight w:val="none"/>
        </w:rPr>
        <w:t>提供相关证明材料，未填写本表或未提供有效认证证书</w:t>
      </w:r>
      <w:r>
        <w:rPr>
          <w:rFonts w:ascii="Arial" w:hAnsi="Arial" w:cs="Arial"/>
          <w:b/>
          <w:color w:val="auto"/>
          <w:sz w:val="21"/>
          <w:szCs w:val="21"/>
          <w:highlight w:val="none"/>
        </w:rPr>
        <w:t>的</w:t>
      </w:r>
      <w:r>
        <w:rPr>
          <w:rFonts w:hint="eastAsia" w:ascii="Arial" w:hAnsi="Arial" w:cs="Arial"/>
          <w:b/>
          <w:color w:val="auto"/>
          <w:sz w:val="21"/>
          <w:szCs w:val="21"/>
          <w:highlight w:val="none"/>
        </w:rPr>
        <w:t>不给予</w:t>
      </w:r>
      <w:r>
        <w:rPr>
          <w:rFonts w:hint="eastAsia" w:ascii="Arial" w:hAnsi="Arial" w:cs="Arial"/>
          <w:b/>
          <w:color w:val="auto"/>
          <w:sz w:val="21"/>
          <w:szCs w:val="21"/>
          <w:highlight w:val="none"/>
          <w:lang w:val="en-US" w:eastAsia="zh-CN"/>
        </w:rPr>
        <w:t>评审优惠</w:t>
      </w:r>
      <w:r>
        <w:rPr>
          <w:rFonts w:hint="eastAsia" w:ascii="Arial" w:hAnsi="Arial" w:cs="Arial"/>
          <w:b/>
          <w:color w:val="auto"/>
          <w:sz w:val="21"/>
          <w:szCs w:val="21"/>
          <w:highlight w:val="none"/>
        </w:rPr>
        <w:t>。</w:t>
      </w:r>
    </w:p>
    <w:p w14:paraId="713A672F">
      <w:pPr>
        <w:spacing w:line="300" w:lineRule="auto"/>
        <w:rPr>
          <w:rFonts w:ascii="Arial" w:hAnsi="Arial" w:cs="Arial"/>
          <w:color w:val="auto"/>
          <w:szCs w:val="21"/>
          <w:highlight w:val="none"/>
        </w:rPr>
      </w:pPr>
    </w:p>
    <w:p w14:paraId="0EEC7776">
      <w:pPr>
        <w:spacing w:line="300" w:lineRule="auto"/>
        <w:rPr>
          <w:rFonts w:ascii="Arial" w:hAnsi="Arial" w:cs="Arial"/>
          <w:color w:val="auto"/>
          <w:szCs w:val="21"/>
          <w:highlight w:val="none"/>
        </w:rPr>
      </w:pPr>
      <w:r>
        <w:rPr>
          <w:rFonts w:ascii="Arial" w:hAnsi="Arial" w:cs="Arial"/>
          <w:color w:val="auto"/>
          <w:szCs w:val="21"/>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ascii="Arial" w:hAnsi="Arial" w:cs="Arial"/>
          <w:color w:val="auto"/>
          <w:szCs w:val="21"/>
          <w:highlight w:val="none"/>
        </w:rPr>
        <w:t>：</w:t>
      </w:r>
    </w:p>
    <w:p w14:paraId="3548CB96">
      <w:pPr>
        <w:rPr>
          <w:rFonts w:ascii="Arial" w:hAnsi="Arial" w:cs="Arial"/>
          <w:color w:val="auto"/>
          <w:szCs w:val="21"/>
          <w:highlight w:val="none"/>
        </w:rPr>
      </w:pPr>
      <w:r>
        <w:rPr>
          <w:rFonts w:ascii="Arial" w:hAnsi="Arial" w:cs="Arial"/>
          <w:color w:val="auto"/>
          <w:szCs w:val="21"/>
          <w:highlight w:val="none"/>
        </w:rPr>
        <w:t>日期：</w:t>
      </w:r>
    </w:p>
    <w:p w14:paraId="1ADA43DB">
      <w:pPr>
        <w:rPr>
          <w:rFonts w:ascii="Arial" w:hAnsi="Arial" w:cs="Arial"/>
          <w:color w:val="auto"/>
          <w:szCs w:val="21"/>
          <w:highlight w:val="none"/>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E1F2E5D">
      <w:pPr>
        <w:keepNext w:val="0"/>
        <w:keepLines w:val="0"/>
        <w:widowControl/>
        <w:suppressLineNumbers w:val="0"/>
        <w:jc w:val="left"/>
        <w:rPr>
          <w:rFonts w:hint="eastAsia" w:ascii="宋体" w:hAnsi="宋体" w:eastAsia="宋体" w:cs="宋体"/>
          <w:b/>
          <w:bCs/>
          <w:color w:val="000000"/>
          <w:kern w:val="0"/>
          <w:sz w:val="31"/>
          <w:szCs w:val="31"/>
          <w:lang w:val="en-US" w:eastAsia="zh-CN" w:bidi="ar"/>
        </w:rPr>
      </w:pPr>
      <w:r>
        <w:rPr>
          <w:rFonts w:hint="eastAsia" w:ascii="宋体" w:hAnsi="宋体" w:eastAsia="宋体" w:cstheme="minorBidi"/>
          <w:b/>
          <w:bCs/>
          <w:color w:val="auto"/>
          <w:kern w:val="2"/>
          <w:sz w:val="24"/>
          <w:szCs w:val="24"/>
          <w:highlight w:val="none"/>
          <w:lang w:val="en-US" w:eastAsia="zh-CN" w:bidi="ar-SA"/>
        </w:rPr>
        <w:t>（二）关于符合本国产品标准的声明函</w:t>
      </w:r>
    </w:p>
    <w:p w14:paraId="7B9A80E4">
      <w:pPr>
        <w:pStyle w:val="41"/>
        <w:numPr>
          <w:ilvl w:val="0"/>
          <w:numId w:val="0"/>
        </w:numPr>
        <w:ind w:left="420" w:leftChars="0" w:hanging="420" w:firstLineChars="0"/>
        <w:jc w:val="center"/>
        <w:rPr>
          <w:rFonts w:hint="eastAsia"/>
          <w:b/>
          <w:bCs/>
          <w:color w:val="auto"/>
          <w:sz w:val="32"/>
          <w:szCs w:val="32"/>
          <w:highlight w:val="none"/>
          <w:lang w:val="en-US" w:eastAsia="zh-CN"/>
        </w:rPr>
      </w:pPr>
    </w:p>
    <w:p w14:paraId="52B20C7A">
      <w:pPr>
        <w:pStyle w:val="41"/>
        <w:numPr>
          <w:ilvl w:val="0"/>
          <w:numId w:val="0"/>
        </w:numPr>
        <w:ind w:left="420" w:leftChars="0" w:hanging="420" w:firstLineChars="0"/>
        <w:jc w:val="center"/>
        <w:rPr>
          <w:rFonts w:hint="eastAsia"/>
          <w:b/>
          <w:bCs/>
          <w:color w:val="auto"/>
          <w:sz w:val="32"/>
          <w:szCs w:val="32"/>
          <w:highlight w:val="none"/>
        </w:rPr>
      </w:pPr>
      <w:r>
        <w:rPr>
          <w:rFonts w:hint="eastAsia"/>
          <w:b/>
          <w:bCs/>
          <w:color w:val="auto"/>
          <w:sz w:val="32"/>
          <w:szCs w:val="32"/>
          <w:highlight w:val="none"/>
          <w:lang w:val="en-US" w:eastAsia="zh-CN"/>
        </w:rPr>
        <w:t xml:space="preserve">关于符合本国产品标准的声明函 </w:t>
      </w:r>
    </w:p>
    <w:p w14:paraId="108AAE06">
      <w:pPr>
        <w:ind w:firstLine="504" w:firstLineChars="200"/>
        <w:rPr>
          <w:rFonts w:hint="eastAsia" w:cs="宋体"/>
          <w:color w:val="auto"/>
          <w:spacing w:val="6"/>
          <w:szCs w:val="24"/>
          <w:highlight w:val="none"/>
        </w:rPr>
      </w:pPr>
      <w:r>
        <w:rPr>
          <w:rFonts w:hint="eastAsia" w:cs="宋体"/>
          <w:color w:val="auto"/>
          <w:spacing w:val="6"/>
          <w:szCs w:val="24"/>
          <w:highlight w:val="none"/>
          <w:lang w:val="en-US" w:eastAsia="zh-CN"/>
        </w:rPr>
        <w:t xml:space="preserve">本公司（单位）郑重声明，根据《国务院办公厅关于在政府采购中实施本国产品标准及相关政策的通知》（国办发〔2025〕34号）的规定，本公司（单位）提供的以下产品属于本国产品。具体情况如下： </w:t>
      </w:r>
    </w:p>
    <w:p w14:paraId="4C9EA635">
      <w:pPr>
        <w:keepNext w:val="0"/>
        <w:keepLines w:val="0"/>
        <w:widowControl/>
        <w:suppressLineNumbers w:val="0"/>
        <w:jc w:val="left"/>
        <w:rPr>
          <w:rFonts w:hint="eastAsia" w:cs="宋体"/>
          <w:color w:val="auto"/>
          <w:spacing w:val="6"/>
          <w:szCs w:val="24"/>
          <w:highlight w:val="none"/>
        </w:rPr>
      </w:pPr>
      <w:r>
        <w:rPr>
          <w:rFonts w:hint="eastAsia" w:cs="宋体"/>
          <w:color w:val="auto"/>
          <w:spacing w:val="6"/>
          <w:szCs w:val="24"/>
          <w:highlight w:val="none"/>
          <w:lang w:val="en-US" w:eastAsia="zh-CN"/>
        </w:rPr>
        <w:t>1.</w:t>
      </w:r>
      <w:r>
        <w:rPr>
          <w:rFonts w:hint="eastAsia" w:cs="宋体"/>
          <w:color w:val="auto"/>
          <w:spacing w:val="6"/>
          <w:szCs w:val="24"/>
          <w:highlight w:val="none"/>
          <w:u w:val="single"/>
          <w:lang w:val="en-US" w:eastAsia="zh-CN"/>
        </w:rPr>
        <w:t>（产品名称1）</w:t>
      </w:r>
      <w:r>
        <w:rPr>
          <w:rFonts w:ascii="宋体" w:hAnsi="宋体" w:eastAsia="宋体" w:cs="宋体"/>
          <w:sz w:val="24"/>
          <w:szCs w:val="24"/>
        </w:rPr>
        <w:t>¹</w:t>
      </w:r>
      <w:r>
        <w:rPr>
          <w:rFonts w:hint="eastAsia" w:cs="宋体"/>
          <w:color w:val="auto"/>
          <w:spacing w:val="6"/>
          <w:szCs w:val="24"/>
          <w:highlight w:val="none"/>
          <w:lang w:val="en-US" w:eastAsia="zh-CN"/>
        </w:rPr>
        <w:t>，生产厂为</w:t>
      </w:r>
      <w:r>
        <w:rPr>
          <w:rFonts w:hint="eastAsia" w:cs="宋体"/>
          <w:color w:val="auto"/>
          <w:spacing w:val="6"/>
          <w:szCs w:val="24"/>
          <w:highlight w:val="none"/>
          <w:u w:val="single"/>
          <w:lang w:val="en-US" w:eastAsia="zh-CN"/>
        </w:rPr>
        <w:t>（厂名）</w:t>
      </w:r>
      <w:r>
        <w:rPr>
          <w:rFonts w:ascii="宋体" w:hAnsi="宋体" w:eastAsia="宋体" w:cs="宋体"/>
          <w:sz w:val="24"/>
          <w:szCs w:val="24"/>
        </w:rPr>
        <w:t>²</w:t>
      </w:r>
      <w:r>
        <w:rPr>
          <w:rFonts w:hint="eastAsia" w:cs="宋体"/>
          <w:color w:val="auto"/>
          <w:spacing w:val="6"/>
          <w:szCs w:val="24"/>
          <w:highlight w:val="none"/>
          <w:lang w:val="en-US" w:eastAsia="zh-CN"/>
        </w:rPr>
        <w:t>，厂址为</w:t>
      </w:r>
      <w:r>
        <w:rPr>
          <w:rFonts w:hint="eastAsia" w:cs="宋体"/>
          <w:color w:val="auto"/>
          <w:spacing w:val="6"/>
          <w:szCs w:val="24"/>
          <w:highlight w:val="none"/>
          <w:u w:val="single"/>
          <w:lang w:val="en-US" w:eastAsia="zh-CN"/>
        </w:rPr>
        <w:t>（生产厂址）</w:t>
      </w:r>
      <w:r>
        <w:rPr>
          <w:rFonts w:hint="eastAsia" w:cs="宋体"/>
          <w:color w:val="auto"/>
          <w:spacing w:val="6"/>
          <w:szCs w:val="24"/>
          <w:highlight w:val="none"/>
          <w:lang w:val="en-US" w:eastAsia="zh-CN"/>
        </w:rPr>
        <w:t>。</w:t>
      </w:r>
      <w:r>
        <w:rPr>
          <w:rFonts w:hint="eastAsia" w:cs="宋体"/>
          <w:color w:val="auto"/>
          <w:spacing w:val="6"/>
          <w:szCs w:val="24"/>
          <w:highlight w:val="none"/>
          <w:u w:val="single"/>
          <w:lang w:val="en-US" w:eastAsia="zh-CN"/>
        </w:rPr>
        <w:t>（产品名称1）</w:t>
      </w:r>
      <w:r>
        <w:rPr>
          <w:rFonts w:hint="eastAsia" w:cs="宋体"/>
          <w:color w:val="auto"/>
          <w:spacing w:val="6"/>
          <w:szCs w:val="24"/>
          <w:highlight w:val="none"/>
          <w:lang w:val="en-US" w:eastAsia="zh-CN"/>
        </w:rPr>
        <w:t>的中国境内生产的组件成本占比≥</w:t>
      </w:r>
      <w:r>
        <w:rPr>
          <w:rFonts w:hint="eastAsia" w:cs="宋体"/>
          <w:color w:val="auto"/>
          <w:spacing w:val="6"/>
          <w:szCs w:val="24"/>
          <w:highlight w:val="none"/>
          <w:u w:val="single"/>
          <w:lang w:val="en-US" w:eastAsia="zh-CN"/>
        </w:rPr>
        <w:t>（规定比例）</w:t>
      </w:r>
      <w:r>
        <w:rPr>
          <w:rFonts w:ascii="宋体" w:hAnsi="宋体" w:eastAsia="宋体" w:cs="宋体"/>
          <w:sz w:val="24"/>
          <w:szCs w:val="24"/>
        </w:rPr>
        <w:t>³</w:t>
      </w:r>
      <w:r>
        <w:rPr>
          <w:rFonts w:hint="eastAsia" w:cs="宋体"/>
          <w:color w:val="auto"/>
          <w:spacing w:val="6"/>
          <w:szCs w:val="24"/>
          <w:highlight w:val="none"/>
          <w:lang w:val="en-US" w:eastAsia="zh-CN"/>
        </w:rPr>
        <w:t>。</w:t>
      </w:r>
      <w:r>
        <w:rPr>
          <w:rFonts w:hint="eastAsia" w:cs="宋体"/>
          <w:color w:val="auto"/>
          <w:spacing w:val="6"/>
          <w:szCs w:val="24"/>
          <w:highlight w:val="none"/>
          <w:u w:val="single"/>
          <w:lang w:val="en-US" w:eastAsia="zh-CN"/>
        </w:rPr>
        <w:t>（产品名称1）</w:t>
      </w:r>
      <w:r>
        <w:rPr>
          <w:rFonts w:hint="eastAsia" w:cs="宋体"/>
          <w:color w:val="auto"/>
          <w:spacing w:val="6"/>
          <w:szCs w:val="24"/>
          <w:highlight w:val="none"/>
          <w:lang w:val="en-US" w:eastAsia="zh-CN"/>
        </w:rPr>
        <w:t>的</w:t>
      </w:r>
      <w:r>
        <w:rPr>
          <w:rFonts w:hint="eastAsia" w:cs="宋体"/>
          <w:color w:val="auto"/>
          <w:spacing w:val="6"/>
          <w:szCs w:val="24"/>
          <w:highlight w:val="none"/>
          <w:u w:val="single"/>
          <w:lang w:val="en-US" w:eastAsia="zh-CN"/>
        </w:rPr>
        <w:t>（关键组件）</w:t>
      </w:r>
      <w:r>
        <w:rPr>
          <w:rFonts w:hint="eastAsia" w:cs="宋体"/>
          <w:color w:val="auto"/>
          <w:spacing w:val="6"/>
          <w:szCs w:val="24"/>
          <w:highlight w:val="none"/>
          <w:u w:val="none"/>
          <w:lang w:val="en-US" w:eastAsia="zh-CN"/>
        </w:rPr>
        <w:t>⁴</w:t>
      </w:r>
      <w:r>
        <w:rPr>
          <w:rFonts w:hint="eastAsia" w:cs="宋体"/>
          <w:color w:val="auto"/>
          <w:spacing w:val="6"/>
          <w:szCs w:val="24"/>
          <w:highlight w:val="none"/>
          <w:lang w:val="en-US" w:eastAsia="zh-CN"/>
        </w:rPr>
        <w:t>在中国境内生产。</w:t>
      </w:r>
      <w:r>
        <w:rPr>
          <w:rFonts w:hint="eastAsia" w:cs="宋体"/>
          <w:color w:val="auto"/>
          <w:spacing w:val="6"/>
          <w:szCs w:val="24"/>
          <w:highlight w:val="none"/>
          <w:u w:val="single"/>
          <w:lang w:val="en-US" w:eastAsia="zh-CN"/>
        </w:rPr>
        <w:t>（产品名称1）</w:t>
      </w:r>
      <w:r>
        <w:rPr>
          <w:rFonts w:hint="eastAsia" w:cs="宋体"/>
          <w:color w:val="auto"/>
          <w:spacing w:val="6"/>
          <w:szCs w:val="24"/>
          <w:highlight w:val="none"/>
          <w:lang w:val="en-US" w:eastAsia="zh-CN"/>
        </w:rPr>
        <w:t>的</w:t>
      </w:r>
      <w:r>
        <w:rPr>
          <w:rFonts w:hint="eastAsia" w:cs="宋体"/>
          <w:color w:val="auto"/>
          <w:spacing w:val="6"/>
          <w:szCs w:val="24"/>
          <w:highlight w:val="none"/>
          <w:u w:val="single"/>
          <w:lang w:val="en-US" w:eastAsia="zh-CN"/>
        </w:rPr>
        <w:t>（关键工序）</w:t>
      </w:r>
      <w:r>
        <w:rPr>
          <w:rFonts w:ascii="宋体" w:hAnsi="宋体" w:eastAsia="宋体" w:cs="宋体"/>
          <w:sz w:val="24"/>
          <w:szCs w:val="24"/>
        </w:rPr>
        <w:t>⁵</w:t>
      </w:r>
      <w:r>
        <w:rPr>
          <w:rFonts w:hint="eastAsia" w:cs="宋体"/>
          <w:color w:val="auto"/>
          <w:spacing w:val="6"/>
          <w:szCs w:val="24"/>
          <w:highlight w:val="none"/>
          <w:lang w:val="en-US" w:eastAsia="zh-CN"/>
        </w:rPr>
        <w:t xml:space="preserve">在中国境内完成。 </w:t>
      </w:r>
    </w:p>
    <w:p w14:paraId="4227FDEB">
      <w:pPr>
        <w:ind w:firstLine="504" w:firstLineChars="200"/>
        <w:rPr>
          <w:rFonts w:hint="eastAsia" w:cs="宋体"/>
          <w:color w:val="auto"/>
          <w:spacing w:val="6"/>
          <w:szCs w:val="24"/>
          <w:highlight w:val="none"/>
          <w:lang w:val="en-US" w:eastAsia="zh-CN"/>
        </w:rPr>
      </w:pPr>
      <w:r>
        <w:rPr>
          <w:rFonts w:hint="eastAsia" w:cs="宋体"/>
          <w:color w:val="auto"/>
          <w:spacing w:val="6"/>
          <w:szCs w:val="24"/>
          <w:highlight w:val="none"/>
          <w:lang w:val="en-US" w:eastAsia="zh-CN"/>
        </w:rPr>
        <w:t>2.</w:t>
      </w:r>
      <w:r>
        <w:rPr>
          <w:rFonts w:hint="eastAsia" w:cs="宋体"/>
          <w:color w:val="auto"/>
          <w:spacing w:val="6"/>
          <w:szCs w:val="24"/>
          <w:highlight w:val="none"/>
          <w:u w:val="single"/>
          <w:lang w:val="en-US" w:eastAsia="zh-CN"/>
        </w:rPr>
        <w:t>（产品名称2）</w:t>
      </w:r>
      <w:r>
        <w:rPr>
          <w:rFonts w:hint="eastAsia" w:cs="宋体"/>
          <w:color w:val="auto"/>
          <w:spacing w:val="6"/>
          <w:szCs w:val="24"/>
          <w:highlight w:val="none"/>
          <w:lang w:val="en-US" w:eastAsia="zh-CN"/>
        </w:rPr>
        <w:t>，生产厂为</w:t>
      </w:r>
      <w:r>
        <w:rPr>
          <w:rFonts w:hint="eastAsia" w:cs="宋体"/>
          <w:color w:val="auto"/>
          <w:spacing w:val="6"/>
          <w:szCs w:val="24"/>
          <w:highlight w:val="none"/>
          <w:u w:val="single"/>
          <w:lang w:val="en-US" w:eastAsia="zh-CN"/>
        </w:rPr>
        <w:t>（厂名）</w:t>
      </w:r>
      <w:r>
        <w:rPr>
          <w:rFonts w:hint="eastAsia" w:cs="宋体"/>
          <w:color w:val="auto"/>
          <w:spacing w:val="6"/>
          <w:szCs w:val="24"/>
          <w:highlight w:val="none"/>
          <w:lang w:val="en-US" w:eastAsia="zh-CN"/>
        </w:rPr>
        <w:t>，厂址为</w:t>
      </w:r>
      <w:r>
        <w:rPr>
          <w:rFonts w:hint="eastAsia" w:cs="宋体"/>
          <w:color w:val="auto"/>
          <w:spacing w:val="6"/>
          <w:szCs w:val="24"/>
          <w:highlight w:val="none"/>
          <w:u w:val="single"/>
          <w:lang w:val="en-US" w:eastAsia="zh-CN"/>
        </w:rPr>
        <w:t>（生产厂址）</w:t>
      </w:r>
      <w:r>
        <w:rPr>
          <w:rFonts w:hint="eastAsia" w:cs="宋体"/>
          <w:color w:val="auto"/>
          <w:spacing w:val="6"/>
          <w:szCs w:val="24"/>
          <w:highlight w:val="none"/>
          <w:lang w:val="en-US" w:eastAsia="zh-CN"/>
        </w:rPr>
        <w:t>。</w:t>
      </w:r>
      <w:r>
        <w:rPr>
          <w:rFonts w:hint="eastAsia" w:cs="宋体"/>
          <w:color w:val="auto"/>
          <w:spacing w:val="6"/>
          <w:szCs w:val="24"/>
          <w:highlight w:val="none"/>
          <w:u w:val="single"/>
          <w:lang w:val="en-US" w:eastAsia="zh-CN"/>
        </w:rPr>
        <w:t>（产品名称2）</w:t>
      </w:r>
      <w:r>
        <w:rPr>
          <w:rFonts w:hint="eastAsia" w:cs="宋体"/>
          <w:color w:val="auto"/>
          <w:spacing w:val="6"/>
          <w:szCs w:val="24"/>
          <w:highlight w:val="none"/>
          <w:lang w:val="en-US" w:eastAsia="zh-CN"/>
        </w:rPr>
        <w:t>的中国境内生产的组件成本占比≥</w:t>
      </w:r>
      <w:r>
        <w:rPr>
          <w:rFonts w:hint="eastAsia" w:cs="宋体"/>
          <w:color w:val="auto"/>
          <w:spacing w:val="6"/>
          <w:szCs w:val="24"/>
          <w:highlight w:val="none"/>
          <w:u w:val="single"/>
          <w:lang w:val="en-US" w:eastAsia="zh-CN"/>
        </w:rPr>
        <w:t>（规定比例）</w:t>
      </w:r>
      <w:r>
        <w:rPr>
          <w:rFonts w:hint="eastAsia" w:cs="宋体"/>
          <w:color w:val="auto"/>
          <w:spacing w:val="6"/>
          <w:szCs w:val="24"/>
          <w:highlight w:val="none"/>
          <w:lang w:val="en-US" w:eastAsia="zh-CN"/>
        </w:rPr>
        <w:t>。</w:t>
      </w:r>
      <w:r>
        <w:rPr>
          <w:rFonts w:hint="eastAsia" w:cs="宋体"/>
          <w:color w:val="auto"/>
          <w:spacing w:val="6"/>
          <w:szCs w:val="24"/>
          <w:highlight w:val="none"/>
          <w:u w:val="single"/>
          <w:lang w:val="en-US" w:eastAsia="zh-CN"/>
        </w:rPr>
        <w:t>（产品名称2）</w:t>
      </w:r>
      <w:r>
        <w:rPr>
          <w:rFonts w:hint="eastAsia" w:cs="宋体"/>
          <w:color w:val="auto"/>
          <w:spacing w:val="6"/>
          <w:szCs w:val="24"/>
          <w:highlight w:val="none"/>
          <w:lang w:val="en-US" w:eastAsia="zh-CN"/>
        </w:rPr>
        <w:t>的</w:t>
      </w:r>
      <w:r>
        <w:rPr>
          <w:rFonts w:hint="eastAsia" w:cs="宋体"/>
          <w:color w:val="auto"/>
          <w:spacing w:val="6"/>
          <w:szCs w:val="24"/>
          <w:highlight w:val="none"/>
          <w:u w:val="single"/>
          <w:lang w:val="en-US" w:eastAsia="zh-CN"/>
        </w:rPr>
        <w:t>（关键组件）</w:t>
      </w:r>
      <w:r>
        <w:rPr>
          <w:rFonts w:hint="eastAsia" w:cs="宋体"/>
          <w:color w:val="auto"/>
          <w:spacing w:val="6"/>
          <w:szCs w:val="24"/>
          <w:highlight w:val="none"/>
          <w:lang w:val="en-US" w:eastAsia="zh-CN"/>
        </w:rPr>
        <w:t>在中国境内生产。</w:t>
      </w:r>
      <w:r>
        <w:rPr>
          <w:rFonts w:hint="eastAsia" w:cs="宋体"/>
          <w:color w:val="auto"/>
          <w:spacing w:val="6"/>
          <w:szCs w:val="24"/>
          <w:highlight w:val="none"/>
          <w:u w:val="single"/>
          <w:lang w:val="en-US" w:eastAsia="zh-CN"/>
        </w:rPr>
        <w:t>（产品名称2）</w:t>
      </w:r>
      <w:r>
        <w:rPr>
          <w:rFonts w:hint="eastAsia" w:cs="宋体"/>
          <w:color w:val="auto"/>
          <w:spacing w:val="6"/>
          <w:szCs w:val="24"/>
          <w:highlight w:val="none"/>
          <w:lang w:val="en-US" w:eastAsia="zh-CN"/>
        </w:rPr>
        <w:t>的</w:t>
      </w:r>
      <w:r>
        <w:rPr>
          <w:rFonts w:hint="eastAsia" w:cs="宋体"/>
          <w:color w:val="auto"/>
          <w:spacing w:val="6"/>
          <w:szCs w:val="24"/>
          <w:highlight w:val="none"/>
          <w:u w:val="single"/>
          <w:lang w:val="en-US" w:eastAsia="zh-CN"/>
        </w:rPr>
        <w:t>（关键工序）</w:t>
      </w:r>
      <w:r>
        <w:rPr>
          <w:rFonts w:hint="eastAsia" w:cs="宋体"/>
          <w:color w:val="auto"/>
          <w:spacing w:val="6"/>
          <w:szCs w:val="24"/>
          <w:highlight w:val="none"/>
          <w:lang w:val="en-US" w:eastAsia="zh-CN"/>
        </w:rPr>
        <w:t xml:space="preserve">在中国境内完成。 </w:t>
      </w:r>
    </w:p>
    <w:p w14:paraId="020E588D">
      <w:pPr>
        <w:ind w:firstLine="504" w:firstLineChars="200"/>
        <w:rPr>
          <w:rFonts w:hint="eastAsia" w:cs="宋体"/>
          <w:color w:val="auto"/>
          <w:spacing w:val="6"/>
          <w:szCs w:val="24"/>
          <w:highlight w:val="none"/>
        </w:rPr>
      </w:pPr>
      <w:r>
        <w:rPr>
          <w:rFonts w:hint="eastAsia" w:cs="宋体"/>
          <w:color w:val="auto"/>
          <w:spacing w:val="6"/>
          <w:szCs w:val="24"/>
          <w:highlight w:val="none"/>
          <w:lang w:val="en-US" w:eastAsia="zh-CN"/>
        </w:rPr>
        <w:t xml:space="preserve">…… </w:t>
      </w:r>
    </w:p>
    <w:p w14:paraId="4EC1CACE">
      <w:pPr>
        <w:ind w:firstLine="504" w:firstLineChars="200"/>
        <w:rPr>
          <w:rFonts w:hint="eastAsia" w:ascii="宋体" w:hAnsi="宋体" w:eastAsia="宋体" w:cs="宋体"/>
          <w:color w:val="333333"/>
          <w:kern w:val="0"/>
          <w:sz w:val="24"/>
          <w:szCs w:val="24"/>
          <w:lang w:val="en-US" w:eastAsia="zh-CN" w:bidi="ar"/>
        </w:rPr>
      </w:pPr>
      <w:r>
        <w:rPr>
          <w:rFonts w:hint="eastAsia" w:cs="宋体"/>
          <w:color w:val="auto"/>
          <w:spacing w:val="6"/>
          <w:szCs w:val="24"/>
          <w:highlight w:val="none"/>
          <w:lang w:val="en-US" w:eastAsia="zh-CN"/>
        </w:rPr>
        <w:t>本公司（单位）对上述声明内容的真实性负责。如有虚假，愿承担相应法律责任。</w:t>
      </w:r>
      <w:r>
        <w:rPr>
          <w:rFonts w:hint="eastAsia" w:ascii="宋体" w:hAnsi="宋体" w:eastAsia="宋体" w:cs="宋体"/>
          <w:color w:val="333333"/>
          <w:kern w:val="0"/>
          <w:sz w:val="24"/>
          <w:szCs w:val="24"/>
          <w:lang w:val="en-US" w:eastAsia="zh-CN" w:bidi="ar"/>
        </w:rPr>
        <w:t xml:space="preserve"> </w:t>
      </w:r>
    </w:p>
    <w:p w14:paraId="17903F47">
      <w:pPr>
        <w:ind w:firstLine="480" w:firstLineChars="200"/>
        <w:rPr>
          <w:rFonts w:hint="eastAsia" w:ascii="宋体" w:hAnsi="宋体" w:eastAsia="宋体" w:cs="宋体"/>
          <w:color w:val="333333"/>
          <w:kern w:val="0"/>
          <w:sz w:val="24"/>
          <w:szCs w:val="24"/>
          <w:lang w:val="en-US" w:eastAsia="zh-CN" w:bidi="ar"/>
        </w:rPr>
      </w:pPr>
    </w:p>
    <w:p w14:paraId="72BE81E4">
      <w:pPr>
        <w:ind w:firstLine="504" w:firstLineChars="200"/>
        <w:jc w:val="right"/>
        <w:rPr>
          <w:rFonts w:hint="eastAsia" w:cs="宋体"/>
          <w:color w:val="auto"/>
          <w:spacing w:val="6"/>
          <w:szCs w:val="24"/>
          <w:highlight w:val="none"/>
          <w:lang w:val="en-US" w:eastAsia="zh-CN"/>
        </w:rPr>
      </w:pPr>
      <w:r>
        <w:rPr>
          <w:rFonts w:hint="eastAsia" w:cs="宋体"/>
          <w:color w:val="auto"/>
          <w:spacing w:val="6"/>
          <w:szCs w:val="24"/>
          <w:highlight w:val="none"/>
          <w:lang w:val="en-US" w:eastAsia="zh-CN"/>
        </w:rPr>
        <w:t xml:space="preserve">公司（单位）名称（盖章）： </w:t>
      </w:r>
    </w:p>
    <w:p w14:paraId="53954C26">
      <w:pPr>
        <w:ind w:firstLine="504" w:firstLineChars="200"/>
        <w:jc w:val="right"/>
        <w:rPr>
          <w:rFonts w:hint="eastAsia" w:cs="宋体"/>
          <w:color w:val="auto"/>
          <w:spacing w:val="6"/>
          <w:szCs w:val="24"/>
          <w:highlight w:val="none"/>
          <w:lang w:val="en-US" w:eastAsia="zh-CN"/>
        </w:rPr>
      </w:pPr>
      <w:r>
        <w:rPr>
          <w:rFonts w:hint="eastAsia" w:cs="宋体"/>
          <w:color w:val="auto"/>
          <w:spacing w:val="6"/>
          <w:szCs w:val="24"/>
          <w:highlight w:val="none"/>
          <w:lang w:val="en-US" w:eastAsia="zh-CN"/>
        </w:rPr>
        <w:t>日期： 年 月 日</w:t>
      </w:r>
    </w:p>
    <w:p w14:paraId="085E2D32">
      <w:pPr>
        <w:rPr>
          <w:rFonts w:ascii="Arial" w:hAnsi="Arial" w:cs="Arial"/>
          <w:color w:val="auto"/>
          <w:szCs w:val="21"/>
          <w:highlight w:val="none"/>
        </w:rPr>
      </w:pPr>
    </w:p>
    <w:p w14:paraId="22C8F782">
      <w:pPr>
        <w:ind w:firstLine="504" w:firstLineChars="200"/>
        <w:rPr>
          <w:rFonts w:hint="eastAsia" w:cs="宋体"/>
          <w:color w:val="auto"/>
          <w:spacing w:val="6"/>
          <w:szCs w:val="24"/>
          <w:highlight w:val="none"/>
          <w:lang w:val="en-US" w:eastAsia="zh-CN"/>
        </w:rPr>
      </w:pPr>
      <w:r>
        <w:rPr>
          <w:rFonts w:hint="eastAsia" w:cs="宋体"/>
          <w:color w:val="auto"/>
          <w:spacing w:val="6"/>
          <w:szCs w:val="24"/>
          <w:highlight w:val="none"/>
          <w:lang w:val="en-US" w:eastAsia="zh-CN"/>
        </w:rPr>
        <w:t xml:space="preserve">1.产品如有型号，请在“产品名称”栏一并填写。 </w:t>
      </w:r>
    </w:p>
    <w:p w14:paraId="1FBA0724">
      <w:pPr>
        <w:ind w:firstLine="504" w:firstLineChars="200"/>
        <w:rPr>
          <w:rFonts w:hint="eastAsia" w:cs="宋体"/>
          <w:color w:val="auto"/>
          <w:spacing w:val="6"/>
          <w:szCs w:val="24"/>
          <w:highlight w:val="none"/>
          <w:lang w:val="en-US" w:eastAsia="zh-CN"/>
        </w:rPr>
      </w:pPr>
      <w:r>
        <w:rPr>
          <w:rFonts w:hint="eastAsia" w:cs="宋体"/>
          <w:color w:val="auto"/>
          <w:spacing w:val="6"/>
          <w:szCs w:val="24"/>
          <w:highlight w:val="none"/>
          <w:lang w:val="en-US" w:eastAsia="zh-CN"/>
        </w:rPr>
        <w:t xml:space="preserve">2.生产厂名与厂址应与生产厂营业执照载明的相关信息保持一致。 </w:t>
      </w:r>
    </w:p>
    <w:p w14:paraId="63B46548">
      <w:pPr>
        <w:ind w:firstLine="504" w:firstLineChars="200"/>
        <w:rPr>
          <w:rFonts w:hint="eastAsia" w:cs="宋体"/>
          <w:color w:val="auto"/>
          <w:spacing w:val="6"/>
          <w:szCs w:val="24"/>
          <w:highlight w:val="none"/>
          <w:lang w:val="en-US" w:eastAsia="zh-CN"/>
        </w:rPr>
      </w:pPr>
      <w:r>
        <w:rPr>
          <w:rFonts w:hint="eastAsia" w:cs="宋体"/>
          <w:color w:val="auto"/>
          <w:spacing w:val="6"/>
          <w:szCs w:val="24"/>
          <w:highlight w:val="none"/>
          <w:lang w:val="en-US" w:eastAsia="zh-CN"/>
        </w:rPr>
        <w:t xml:space="preserve">3.该产品的中国境内生产的组件成本占比相关要求实施前，“规定比例”栏可不填，下同。 </w:t>
      </w:r>
    </w:p>
    <w:p w14:paraId="3FC2F7C5">
      <w:pPr>
        <w:ind w:firstLine="504" w:firstLineChars="200"/>
        <w:rPr>
          <w:rFonts w:hint="eastAsia" w:cs="宋体"/>
          <w:color w:val="auto"/>
          <w:spacing w:val="6"/>
          <w:szCs w:val="24"/>
          <w:highlight w:val="none"/>
          <w:lang w:val="en-US" w:eastAsia="zh-CN"/>
        </w:rPr>
      </w:pPr>
      <w:r>
        <w:rPr>
          <w:rFonts w:hint="eastAsia" w:cs="宋体"/>
          <w:color w:val="auto"/>
          <w:spacing w:val="6"/>
          <w:szCs w:val="24"/>
          <w:highlight w:val="none"/>
          <w:lang w:val="en-US" w:eastAsia="zh-CN"/>
        </w:rPr>
        <w:t xml:space="preserve">4.该产品的关键组件要求实施前，“关键组件”栏可不填，下同。 </w:t>
      </w:r>
    </w:p>
    <w:p w14:paraId="3B5C2F7A">
      <w:pPr>
        <w:ind w:firstLine="504" w:firstLineChars="200"/>
        <w:rPr>
          <w:rFonts w:hint="eastAsia" w:cs="宋体"/>
          <w:color w:val="auto"/>
          <w:spacing w:val="6"/>
          <w:szCs w:val="24"/>
          <w:highlight w:val="none"/>
          <w:lang w:val="en-US" w:eastAsia="zh-CN"/>
        </w:rPr>
      </w:pPr>
      <w:r>
        <w:rPr>
          <w:rFonts w:hint="eastAsia" w:cs="宋体"/>
          <w:color w:val="auto"/>
          <w:spacing w:val="6"/>
          <w:szCs w:val="24"/>
          <w:highlight w:val="none"/>
          <w:lang w:val="en-US" w:eastAsia="zh-CN"/>
        </w:rPr>
        <w:t>5.该产品的关键工序要求实施前，“关键工序”栏可不填，下同。</w:t>
      </w:r>
    </w:p>
    <w:p w14:paraId="2B364626">
      <w:pPr>
        <w:rPr>
          <w:rFonts w:ascii="Arial" w:hAnsi="Arial" w:cs="Arial"/>
          <w:color w:val="auto"/>
          <w:szCs w:val="21"/>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BA8F397">
      <w:pPr>
        <w:pStyle w:val="4"/>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宋体" w:hAnsi="宋体" w:eastAsia="宋体" w:cstheme="minorBidi"/>
          <w:b/>
          <w:bCs/>
          <w:color w:val="auto"/>
          <w:kern w:val="2"/>
          <w:sz w:val="24"/>
          <w:szCs w:val="24"/>
          <w:highlight w:val="none"/>
          <w:lang w:val="en-US" w:eastAsia="zh-CN" w:bidi="ar-SA"/>
        </w:rPr>
      </w:pPr>
      <w:bookmarkStart w:id="350" w:name="_Toc163492939"/>
      <w:r>
        <w:rPr>
          <w:rFonts w:hint="eastAsia" w:ascii="宋体" w:hAnsi="宋体" w:eastAsia="宋体" w:cstheme="minorBidi"/>
          <w:b/>
          <w:bCs/>
          <w:color w:val="auto"/>
          <w:kern w:val="2"/>
          <w:sz w:val="24"/>
          <w:szCs w:val="24"/>
          <w:highlight w:val="none"/>
          <w:lang w:val="en-US" w:eastAsia="zh-CN" w:bidi="ar-SA"/>
        </w:rPr>
        <w:t>（</w:t>
      </w:r>
      <w:r>
        <w:rPr>
          <w:rFonts w:hint="eastAsia" w:cstheme="minorBidi"/>
          <w:b/>
          <w:bCs/>
          <w:color w:val="auto"/>
          <w:kern w:val="2"/>
          <w:sz w:val="24"/>
          <w:szCs w:val="24"/>
          <w:highlight w:val="none"/>
          <w:lang w:val="en-US" w:eastAsia="zh-CN" w:bidi="ar-SA"/>
        </w:rPr>
        <w:t>三</w:t>
      </w:r>
      <w:r>
        <w:rPr>
          <w:rFonts w:hint="eastAsia" w:ascii="宋体" w:hAnsi="宋体" w:eastAsia="宋体" w:cstheme="minorBidi"/>
          <w:b/>
          <w:bCs/>
          <w:color w:val="auto"/>
          <w:kern w:val="2"/>
          <w:sz w:val="24"/>
          <w:szCs w:val="24"/>
          <w:highlight w:val="none"/>
          <w:lang w:val="en-US" w:eastAsia="zh-CN" w:bidi="ar-SA"/>
        </w:rPr>
        <w:t>）中小企业声明函</w:t>
      </w:r>
      <w:r>
        <w:rPr>
          <w:rFonts w:hint="eastAsia" w:ascii="宋体" w:hAnsi="宋体" w:eastAsia="宋体" w:cstheme="minorBidi"/>
          <w:b w:val="0"/>
          <w:bCs w:val="0"/>
          <w:color w:val="auto"/>
          <w:kern w:val="2"/>
          <w:sz w:val="24"/>
          <w:szCs w:val="24"/>
          <w:highlight w:val="none"/>
          <w:lang w:val="en-US" w:eastAsia="zh-CN" w:bidi="ar-SA"/>
        </w:rPr>
        <w:t>【</w:t>
      </w:r>
      <w:r>
        <w:rPr>
          <w:rFonts w:hint="eastAsia" w:cstheme="minorBidi"/>
          <w:b w:val="0"/>
          <w:bCs w:val="0"/>
          <w:i w:val="0"/>
          <w:iCs w:val="0"/>
          <w:color w:val="auto"/>
          <w:kern w:val="2"/>
          <w:sz w:val="24"/>
          <w:szCs w:val="24"/>
          <w:highlight w:val="none"/>
          <w:lang w:val="en-US" w:eastAsia="zh-CN" w:bidi="ar-SA"/>
        </w:rPr>
        <w:t>如专门面向中小企业采购的项目，此函可放于此处，否则，应后置于“其他资格证明文件”</w:t>
      </w:r>
      <w:r>
        <w:rPr>
          <w:rFonts w:hint="eastAsia" w:ascii="宋体" w:hAnsi="宋体" w:eastAsia="宋体" w:cstheme="minorBidi"/>
          <w:b w:val="0"/>
          <w:bCs w:val="0"/>
          <w:color w:val="auto"/>
          <w:kern w:val="2"/>
          <w:sz w:val="24"/>
          <w:szCs w:val="24"/>
          <w:highlight w:val="none"/>
          <w:lang w:val="en-US" w:eastAsia="zh-CN" w:bidi="ar-SA"/>
        </w:rPr>
        <w:t>】</w:t>
      </w:r>
      <w:bookmarkEnd w:id="350"/>
    </w:p>
    <w:p w14:paraId="7F2FFC2E">
      <w:pPr>
        <w:pStyle w:val="41"/>
        <w:keepNext w:val="0"/>
        <w:keepLines w:val="0"/>
        <w:pageBreakBefore w:val="0"/>
        <w:widowControl w:val="0"/>
        <w:numPr>
          <w:ilvl w:val="0"/>
          <w:numId w:val="0"/>
        </w:numPr>
        <w:kinsoku/>
        <w:wordWrap/>
        <w:overflowPunct/>
        <w:topLinePunct w:val="0"/>
        <w:autoSpaceDE/>
        <w:autoSpaceDN/>
        <w:bidi w:val="0"/>
        <w:adjustRightInd/>
        <w:snapToGrid/>
        <w:spacing w:line="300" w:lineRule="exact"/>
        <w:ind w:left="420" w:leftChars="0" w:hanging="420" w:firstLineChars="0"/>
        <w:jc w:val="center"/>
        <w:textAlignment w:val="auto"/>
        <w:rPr>
          <w:rFonts w:hint="eastAsia"/>
          <w:b/>
          <w:bCs/>
          <w:color w:val="auto"/>
          <w:sz w:val="32"/>
          <w:szCs w:val="32"/>
          <w:highlight w:val="none"/>
        </w:rPr>
      </w:pPr>
    </w:p>
    <w:p w14:paraId="5D6C9389">
      <w:pPr>
        <w:pStyle w:val="41"/>
        <w:numPr>
          <w:ilvl w:val="0"/>
          <w:numId w:val="0"/>
        </w:numPr>
        <w:ind w:left="420" w:leftChars="0" w:hanging="420" w:firstLineChars="0"/>
        <w:jc w:val="center"/>
        <w:rPr>
          <w:b/>
          <w:bCs/>
          <w:color w:val="auto"/>
          <w:sz w:val="32"/>
          <w:szCs w:val="32"/>
          <w:highlight w:val="none"/>
        </w:rPr>
      </w:pPr>
      <w:r>
        <w:rPr>
          <w:rFonts w:hint="eastAsia"/>
          <w:b/>
          <w:bCs/>
          <w:color w:val="auto"/>
          <w:sz w:val="32"/>
          <w:szCs w:val="32"/>
          <w:highlight w:val="none"/>
        </w:rPr>
        <w:t>中小企业声明函</w:t>
      </w:r>
    </w:p>
    <w:p w14:paraId="24029645">
      <w:pPr>
        <w:ind w:firstLine="504" w:firstLineChars="200"/>
        <w:rPr>
          <w:rFonts w:cs="宋体"/>
          <w:color w:val="auto"/>
          <w:spacing w:val="6"/>
          <w:szCs w:val="24"/>
          <w:highlight w:val="none"/>
        </w:rPr>
      </w:pPr>
      <w:r>
        <w:rPr>
          <w:rFonts w:hint="eastAsia" w:cs="宋体"/>
          <w:color w:val="auto"/>
          <w:spacing w:val="6"/>
          <w:szCs w:val="24"/>
          <w:highlight w:val="none"/>
        </w:rPr>
        <w:t>本公司（联合体）郑重声明，根据《政府采购促进中小企业发展管理办法》（财库﹝2020﹞46 号）的规定，本公司（联合体）参加</w:t>
      </w:r>
      <w:r>
        <w:rPr>
          <w:rFonts w:hint="eastAsia" w:cs="宋体"/>
          <w:color w:val="auto"/>
          <w:spacing w:val="6"/>
          <w:szCs w:val="24"/>
          <w:highlight w:val="none"/>
          <w:u w:val="single"/>
        </w:rPr>
        <w:t xml:space="preserve"> （单位名称）</w:t>
      </w:r>
      <w:r>
        <w:rPr>
          <w:rFonts w:hint="eastAsia" w:cs="宋体"/>
          <w:color w:val="auto"/>
          <w:spacing w:val="6"/>
          <w:szCs w:val="24"/>
          <w:highlight w:val="none"/>
        </w:rPr>
        <w:t xml:space="preserve"> 的</w:t>
      </w:r>
      <w:r>
        <w:rPr>
          <w:rFonts w:hint="eastAsia" w:cs="宋体"/>
          <w:color w:val="auto"/>
          <w:spacing w:val="6"/>
          <w:szCs w:val="24"/>
          <w:highlight w:val="none"/>
          <w:u w:val="single"/>
        </w:rPr>
        <w:t xml:space="preserve"> （项目名称） </w:t>
      </w:r>
      <w:r>
        <w:rPr>
          <w:rFonts w:hint="eastAsia" w:cs="宋体"/>
          <w:color w:val="auto"/>
          <w:spacing w:val="6"/>
          <w:szCs w:val="24"/>
          <w:highlight w:val="none"/>
        </w:rPr>
        <w:t>采购活动，提供的货物全部由符合政策要求的中小企业制造。相关企业（含联合体中的中小企业、签订分包意向协议的中小企业）的具体情况如下：</w:t>
      </w:r>
    </w:p>
    <w:p w14:paraId="1D967E05">
      <w:pPr>
        <w:ind w:firstLine="504" w:firstLineChars="200"/>
        <w:rPr>
          <w:rFonts w:cs="宋体"/>
          <w:color w:val="auto"/>
          <w:spacing w:val="6"/>
          <w:szCs w:val="24"/>
          <w:highlight w:val="none"/>
        </w:rPr>
      </w:pPr>
      <w:r>
        <w:rPr>
          <w:rFonts w:hint="eastAsia" w:cs="宋体"/>
          <w:color w:val="auto"/>
          <w:spacing w:val="6"/>
          <w:szCs w:val="24"/>
          <w:highlight w:val="none"/>
        </w:rPr>
        <w:t>1.</w:t>
      </w:r>
      <w:r>
        <w:rPr>
          <w:rFonts w:hint="eastAsia" w:cs="宋体"/>
          <w:color w:val="auto"/>
          <w:spacing w:val="6"/>
          <w:szCs w:val="24"/>
          <w:highlight w:val="none"/>
          <w:u w:val="single"/>
        </w:rPr>
        <w:t xml:space="preserve"> （标的名称） </w:t>
      </w:r>
      <w:r>
        <w:rPr>
          <w:rFonts w:hint="eastAsia" w:cs="宋体"/>
          <w:color w:val="auto"/>
          <w:spacing w:val="6"/>
          <w:szCs w:val="24"/>
          <w:highlight w:val="none"/>
        </w:rPr>
        <w:t>，属于</w:t>
      </w:r>
      <w:r>
        <w:rPr>
          <w:rFonts w:hint="eastAsia" w:cs="宋体"/>
          <w:color w:val="auto"/>
          <w:spacing w:val="6"/>
          <w:szCs w:val="24"/>
          <w:highlight w:val="none"/>
          <w:u w:val="single"/>
        </w:rPr>
        <w:t xml:space="preserve"> （采购文件中明确的所属行业）</w:t>
      </w:r>
      <w:r>
        <w:rPr>
          <w:rFonts w:hint="eastAsia" w:cs="宋体"/>
          <w:color w:val="auto"/>
          <w:spacing w:val="6"/>
          <w:szCs w:val="24"/>
          <w:highlight w:val="none"/>
        </w:rPr>
        <w:t>行业 ；制造商为</w:t>
      </w:r>
      <w:r>
        <w:rPr>
          <w:rFonts w:hint="eastAsia" w:cs="宋体"/>
          <w:color w:val="auto"/>
          <w:spacing w:val="6"/>
          <w:szCs w:val="24"/>
          <w:highlight w:val="none"/>
          <w:u w:val="single"/>
        </w:rPr>
        <w:t xml:space="preserve"> （企业名称） </w:t>
      </w:r>
      <w:r>
        <w:rPr>
          <w:rFonts w:hint="eastAsia" w:cs="宋体"/>
          <w:color w:val="auto"/>
          <w:spacing w:val="6"/>
          <w:szCs w:val="24"/>
          <w:highlight w:val="none"/>
        </w:rPr>
        <w:t>，从业人员</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人，营业收入为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万元，资产总额为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万元，属于</w:t>
      </w:r>
      <w:r>
        <w:rPr>
          <w:rFonts w:hint="eastAsia" w:cs="宋体"/>
          <w:color w:val="auto"/>
          <w:spacing w:val="6"/>
          <w:szCs w:val="24"/>
          <w:highlight w:val="none"/>
          <w:u w:val="single"/>
        </w:rPr>
        <w:t xml:space="preserve"> （中型企业、小型企业、微型企业）</w:t>
      </w:r>
      <w:r>
        <w:rPr>
          <w:rFonts w:hint="eastAsia" w:cs="宋体"/>
          <w:color w:val="auto"/>
          <w:spacing w:val="6"/>
          <w:szCs w:val="24"/>
          <w:highlight w:val="none"/>
        </w:rPr>
        <w:t>；</w:t>
      </w:r>
    </w:p>
    <w:p w14:paraId="38FC2FC4">
      <w:pPr>
        <w:ind w:firstLine="504" w:firstLineChars="200"/>
        <w:rPr>
          <w:rFonts w:cs="宋体"/>
          <w:color w:val="auto"/>
          <w:spacing w:val="6"/>
          <w:szCs w:val="24"/>
          <w:highlight w:val="none"/>
        </w:rPr>
      </w:pPr>
      <w:r>
        <w:rPr>
          <w:rFonts w:hint="eastAsia" w:cs="宋体"/>
          <w:color w:val="auto"/>
          <w:spacing w:val="6"/>
          <w:szCs w:val="24"/>
          <w:highlight w:val="none"/>
        </w:rPr>
        <w:t>2.</w:t>
      </w:r>
      <w:r>
        <w:rPr>
          <w:rFonts w:hint="eastAsia" w:cs="宋体"/>
          <w:color w:val="auto"/>
          <w:spacing w:val="6"/>
          <w:szCs w:val="24"/>
          <w:highlight w:val="none"/>
          <w:u w:val="single"/>
        </w:rPr>
        <w:t xml:space="preserve"> （标的名称） </w:t>
      </w:r>
      <w:r>
        <w:rPr>
          <w:rFonts w:hint="eastAsia" w:cs="宋体"/>
          <w:color w:val="auto"/>
          <w:spacing w:val="6"/>
          <w:szCs w:val="24"/>
          <w:highlight w:val="none"/>
        </w:rPr>
        <w:t>，属于</w:t>
      </w:r>
      <w:r>
        <w:rPr>
          <w:rFonts w:hint="eastAsia" w:cs="宋体"/>
          <w:color w:val="auto"/>
          <w:spacing w:val="6"/>
          <w:szCs w:val="24"/>
          <w:highlight w:val="none"/>
          <w:u w:val="single"/>
        </w:rPr>
        <w:t xml:space="preserve"> （采购文件中明确的所属行业）</w:t>
      </w:r>
      <w:r>
        <w:rPr>
          <w:rFonts w:hint="eastAsia" w:cs="宋体"/>
          <w:color w:val="auto"/>
          <w:spacing w:val="6"/>
          <w:szCs w:val="24"/>
          <w:highlight w:val="none"/>
        </w:rPr>
        <w:t>行业 ；制造商为</w:t>
      </w:r>
      <w:r>
        <w:rPr>
          <w:rFonts w:hint="eastAsia" w:cs="宋体"/>
          <w:color w:val="auto"/>
          <w:spacing w:val="6"/>
          <w:szCs w:val="24"/>
          <w:highlight w:val="none"/>
          <w:u w:val="single"/>
        </w:rPr>
        <w:t xml:space="preserve"> （企业名称） </w:t>
      </w:r>
      <w:r>
        <w:rPr>
          <w:rFonts w:hint="eastAsia" w:cs="宋体"/>
          <w:color w:val="auto"/>
          <w:spacing w:val="6"/>
          <w:szCs w:val="24"/>
          <w:highlight w:val="none"/>
        </w:rPr>
        <w:t>，从业人员</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人，营业收入为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万元，资产总额为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万元，属于</w:t>
      </w:r>
      <w:r>
        <w:rPr>
          <w:rFonts w:hint="eastAsia" w:cs="宋体"/>
          <w:color w:val="auto"/>
          <w:spacing w:val="6"/>
          <w:szCs w:val="24"/>
          <w:highlight w:val="none"/>
          <w:u w:val="single"/>
        </w:rPr>
        <w:t xml:space="preserve"> （中型企业、小型企业、微型企业）</w:t>
      </w:r>
      <w:r>
        <w:rPr>
          <w:rFonts w:hint="eastAsia" w:cs="宋体"/>
          <w:color w:val="auto"/>
          <w:spacing w:val="6"/>
          <w:szCs w:val="24"/>
          <w:highlight w:val="none"/>
        </w:rPr>
        <w:t>；</w:t>
      </w:r>
    </w:p>
    <w:p w14:paraId="5545967B">
      <w:pPr>
        <w:ind w:firstLine="504" w:firstLineChars="200"/>
        <w:rPr>
          <w:rFonts w:cs="宋体"/>
          <w:color w:val="auto"/>
          <w:spacing w:val="6"/>
          <w:szCs w:val="24"/>
          <w:highlight w:val="none"/>
        </w:rPr>
      </w:pPr>
      <w:r>
        <w:rPr>
          <w:rFonts w:hint="eastAsia" w:cs="宋体"/>
          <w:color w:val="auto"/>
          <w:spacing w:val="6"/>
          <w:szCs w:val="24"/>
          <w:highlight w:val="none"/>
        </w:rPr>
        <w:t>……</w:t>
      </w:r>
    </w:p>
    <w:p w14:paraId="0ED48597">
      <w:pPr>
        <w:ind w:firstLine="504" w:firstLineChars="200"/>
        <w:rPr>
          <w:rFonts w:cs="宋体"/>
          <w:color w:val="auto"/>
          <w:spacing w:val="6"/>
          <w:szCs w:val="24"/>
          <w:highlight w:val="none"/>
        </w:rPr>
      </w:pPr>
      <w:r>
        <w:rPr>
          <w:rFonts w:hint="eastAsia" w:cs="宋体"/>
          <w:color w:val="auto"/>
          <w:spacing w:val="6"/>
          <w:szCs w:val="24"/>
          <w:highlight w:val="none"/>
        </w:rPr>
        <w:t>以上企业，不属于大企业的分支机构，不存在控股股东为大企业的情形，也不存在与大企业的负责人为同一人的情形。</w:t>
      </w:r>
    </w:p>
    <w:p w14:paraId="6C2E0DAB">
      <w:pPr>
        <w:ind w:firstLine="504" w:firstLineChars="200"/>
        <w:rPr>
          <w:rFonts w:cs="宋体"/>
          <w:color w:val="auto"/>
          <w:spacing w:val="6"/>
          <w:szCs w:val="24"/>
          <w:highlight w:val="none"/>
        </w:rPr>
      </w:pPr>
      <w:r>
        <w:rPr>
          <w:rFonts w:hint="eastAsia" w:cs="宋体"/>
          <w:color w:val="auto"/>
          <w:spacing w:val="6"/>
          <w:szCs w:val="24"/>
          <w:highlight w:val="none"/>
        </w:rPr>
        <w:t>本企业对上述声明内容的真实性负责。如有虚假，将依法承担相应责任。</w:t>
      </w:r>
    </w:p>
    <w:p w14:paraId="2EA43E3B">
      <w:pPr>
        <w:ind w:right="1008" w:firstLine="4788" w:firstLineChars="1900"/>
        <w:rPr>
          <w:rFonts w:cs="宋体"/>
          <w:color w:val="auto"/>
          <w:spacing w:val="6"/>
          <w:szCs w:val="24"/>
          <w:highlight w:val="none"/>
        </w:rPr>
      </w:pPr>
    </w:p>
    <w:p w14:paraId="39EE64F4">
      <w:pPr>
        <w:ind w:right="1008" w:firstLine="4284" w:firstLineChars="1700"/>
        <w:rPr>
          <w:rFonts w:cs="宋体"/>
          <w:color w:val="auto"/>
          <w:spacing w:val="6"/>
          <w:szCs w:val="24"/>
          <w:highlight w:val="none"/>
        </w:rPr>
      </w:pPr>
      <w:r>
        <w:rPr>
          <w:rFonts w:hint="eastAsia" w:cs="宋体"/>
          <w:color w:val="auto"/>
          <w:spacing w:val="6"/>
          <w:szCs w:val="24"/>
          <w:highlight w:val="none"/>
          <w:lang w:val="en-US" w:eastAsia="zh-CN"/>
        </w:rPr>
        <w:t>投标人</w:t>
      </w:r>
      <w:r>
        <w:rPr>
          <w:rFonts w:hint="eastAsia" w:cs="宋体"/>
          <w:color w:val="auto"/>
          <w:spacing w:val="6"/>
          <w:szCs w:val="24"/>
          <w:highlight w:val="none"/>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宋体"/>
          <w:color w:val="auto"/>
          <w:spacing w:val="6"/>
          <w:szCs w:val="24"/>
          <w:highlight w:val="none"/>
        </w:rPr>
        <w:t>：</w:t>
      </w:r>
    </w:p>
    <w:p w14:paraId="7856878B">
      <w:pPr>
        <w:ind w:right="1008" w:firstLine="4284" w:firstLineChars="1700"/>
        <w:rPr>
          <w:rFonts w:hint="default" w:eastAsia="宋体" w:cs="宋体"/>
          <w:color w:val="auto"/>
          <w:spacing w:val="6"/>
          <w:szCs w:val="24"/>
          <w:highlight w:val="none"/>
          <w:lang w:val="en-US" w:eastAsia="zh-CN"/>
        </w:rPr>
      </w:pPr>
      <w:r>
        <w:rPr>
          <w:rFonts w:hint="eastAsia" w:cs="宋体"/>
          <w:color w:val="auto"/>
          <w:spacing w:val="6"/>
          <w:szCs w:val="24"/>
          <w:highlight w:val="none"/>
        </w:rPr>
        <w:t>日期：</w:t>
      </w:r>
      <w:r>
        <w:rPr>
          <w:rFonts w:hint="eastAsia" w:cs="宋体"/>
          <w:color w:val="auto"/>
          <w:spacing w:val="6"/>
          <w:szCs w:val="24"/>
          <w:highlight w:val="none"/>
          <w:lang w:val="en-US" w:eastAsia="zh-CN"/>
        </w:rPr>
        <w:t xml:space="preserve">   年  月  日</w:t>
      </w:r>
    </w:p>
    <w:p w14:paraId="5BA3A07C">
      <w:pPr>
        <w:ind w:firstLine="504" w:firstLineChars="200"/>
        <w:rPr>
          <w:rFonts w:cs="宋体"/>
          <w:color w:val="auto"/>
          <w:spacing w:val="6"/>
          <w:szCs w:val="24"/>
          <w:highlight w:val="none"/>
        </w:rPr>
      </w:pPr>
    </w:p>
    <w:p w14:paraId="32B6D85F">
      <w:pPr>
        <w:rPr>
          <w:rFonts w:hint="default" w:cs="宋体"/>
          <w:b/>
          <w:bCs/>
          <w:color w:val="auto"/>
          <w:spacing w:val="6"/>
          <w:sz w:val="21"/>
          <w:szCs w:val="21"/>
          <w:highlight w:val="none"/>
          <w:lang w:val="en-US" w:eastAsia="zh-CN"/>
        </w:rPr>
      </w:pPr>
      <w:r>
        <w:rPr>
          <w:rFonts w:hint="eastAsia" w:cs="宋体"/>
          <w:b/>
          <w:bCs/>
          <w:color w:val="auto"/>
          <w:spacing w:val="6"/>
          <w:sz w:val="21"/>
          <w:szCs w:val="21"/>
          <w:highlight w:val="none"/>
        </w:rPr>
        <w:t>说明：</w:t>
      </w:r>
      <w:r>
        <w:rPr>
          <w:rFonts w:hint="eastAsia" w:cs="宋体"/>
          <w:b/>
          <w:bCs/>
          <w:color w:val="auto"/>
          <w:spacing w:val="6"/>
          <w:sz w:val="21"/>
          <w:szCs w:val="21"/>
          <w:highlight w:val="none"/>
          <w:lang w:val="en-US" w:eastAsia="zh-CN"/>
        </w:rPr>
        <w:t>1.重要提示：供应商应仔细阅读本函附件1关于</w:t>
      </w:r>
      <w:r>
        <w:rPr>
          <w:rFonts w:hint="eastAsia" w:cs="宋体"/>
          <w:color w:val="auto"/>
          <w:spacing w:val="-6"/>
          <w:kern w:val="0"/>
          <w:sz w:val="21"/>
          <w:szCs w:val="21"/>
          <w:highlight w:val="none"/>
          <w:lang w:val="en-US" w:eastAsia="zh-CN" w:bidi="ar"/>
        </w:rPr>
        <w:t>“</w:t>
      </w:r>
      <w:r>
        <w:rPr>
          <w:rFonts w:hint="eastAsia" w:cs="宋体"/>
          <w:b/>
          <w:bCs/>
          <w:color w:val="auto"/>
          <w:spacing w:val="6"/>
          <w:sz w:val="21"/>
          <w:szCs w:val="21"/>
          <w:highlight w:val="none"/>
          <w:lang w:val="en-US" w:eastAsia="zh-CN"/>
        </w:rPr>
        <w:t>中小企业声明函”的填写要求及提交要求，否则，因填写或提交等产生的一切不利后果，须自行承担。</w:t>
      </w:r>
    </w:p>
    <w:p w14:paraId="3C16EA81">
      <w:pPr>
        <w:ind w:firstLine="668" w:firstLineChars="300"/>
        <w:rPr>
          <w:rFonts w:cs="宋体"/>
          <w:color w:val="auto"/>
          <w:spacing w:val="6"/>
          <w:sz w:val="21"/>
          <w:szCs w:val="21"/>
          <w:highlight w:val="none"/>
        </w:rPr>
      </w:pPr>
      <w:r>
        <w:rPr>
          <w:rFonts w:hint="eastAsia" w:cs="宋体"/>
          <w:b/>
          <w:bCs/>
          <w:color w:val="auto"/>
          <w:spacing w:val="6"/>
          <w:sz w:val="21"/>
          <w:szCs w:val="21"/>
          <w:highlight w:val="none"/>
          <w:lang w:val="en-US" w:eastAsia="zh-CN"/>
        </w:rPr>
        <w:t>2.</w:t>
      </w:r>
      <w:r>
        <w:rPr>
          <w:rFonts w:hint="eastAsia" w:cs="宋体"/>
          <w:color w:val="auto"/>
          <w:spacing w:val="6"/>
          <w:sz w:val="21"/>
          <w:szCs w:val="21"/>
          <w:highlight w:val="none"/>
        </w:rPr>
        <w:t>从业人员、营业收入、资产总额填报上一年度数据，无上一年度数据的新成立企业可不填报。</w:t>
      </w:r>
    </w:p>
    <w:p w14:paraId="3A3A0E1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0D24877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436541F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21D2116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27073938">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color w:val="auto"/>
          <w:highlight w:val="none"/>
          <w:lang w:val="en-US" w:eastAsia="zh-CN"/>
        </w:rPr>
      </w:pPr>
      <w:r>
        <w:rPr>
          <w:rFonts w:hint="eastAsia"/>
          <w:b/>
          <w:bCs/>
          <w:color w:val="auto"/>
          <w:highlight w:val="none"/>
          <w:lang w:val="en-US" w:eastAsia="zh-CN"/>
        </w:rPr>
        <w:t xml:space="preserve">附件1 </w:t>
      </w:r>
    </w:p>
    <w:p w14:paraId="1F4DA077">
      <w:pPr>
        <w:keepNext w:val="0"/>
        <w:keepLines w:val="0"/>
        <w:widowControl/>
        <w:suppressLineNumbers w:val="0"/>
        <w:ind w:firstLine="562" w:firstLineChars="200"/>
        <w:jc w:val="left"/>
        <w:rPr>
          <w:rStyle w:val="33"/>
          <w:rFonts w:hint="eastAsia" w:ascii="宋体" w:hAnsi="宋体" w:eastAsia="宋体" w:cs="宋体"/>
          <w:color w:val="auto"/>
          <w:kern w:val="0"/>
          <w:sz w:val="28"/>
          <w:szCs w:val="28"/>
          <w:highlight w:val="none"/>
          <w:lang w:val="en-US" w:eastAsia="zh-CN" w:bidi="ar"/>
        </w:rPr>
      </w:pPr>
    </w:p>
    <w:p w14:paraId="1DF1E79C">
      <w:pPr>
        <w:keepNext w:val="0"/>
        <w:keepLines w:val="0"/>
        <w:widowControl/>
        <w:suppressLineNumbers w:val="0"/>
        <w:ind w:firstLine="482" w:firstLineChars="200"/>
        <w:jc w:val="left"/>
        <w:rPr>
          <w:rStyle w:val="33"/>
          <w:rFonts w:hint="eastAsia" w:ascii="宋体" w:hAnsi="宋体" w:eastAsia="宋体" w:cs="宋体"/>
          <w:color w:val="auto"/>
          <w:kern w:val="0"/>
          <w:sz w:val="24"/>
          <w:szCs w:val="24"/>
          <w:highlight w:val="none"/>
          <w:lang w:val="en-US" w:eastAsia="zh-CN" w:bidi="ar"/>
        </w:rPr>
      </w:pPr>
      <w:r>
        <w:rPr>
          <w:rStyle w:val="33"/>
          <w:rFonts w:hint="eastAsia" w:ascii="宋体" w:hAnsi="宋体" w:eastAsia="宋体" w:cs="宋体"/>
          <w:color w:val="auto"/>
          <w:kern w:val="0"/>
          <w:sz w:val="24"/>
          <w:szCs w:val="24"/>
          <w:highlight w:val="none"/>
          <w:lang w:val="en-US" w:eastAsia="zh-CN" w:bidi="ar"/>
        </w:rPr>
        <w:t>（一）关于</w:t>
      </w:r>
      <w:r>
        <w:rPr>
          <w:rStyle w:val="33"/>
          <w:rFonts w:hint="eastAsia" w:cs="宋体"/>
          <w:color w:val="auto"/>
          <w:kern w:val="0"/>
          <w:sz w:val="24"/>
          <w:szCs w:val="24"/>
          <w:highlight w:val="none"/>
          <w:lang w:val="en-US" w:eastAsia="zh-CN" w:bidi="ar"/>
        </w:rPr>
        <w:t>“</w:t>
      </w:r>
      <w:r>
        <w:rPr>
          <w:rStyle w:val="33"/>
          <w:rFonts w:hint="eastAsia" w:ascii="宋体" w:hAnsi="宋体" w:eastAsia="宋体" w:cs="宋体"/>
          <w:color w:val="auto"/>
          <w:kern w:val="0"/>
          <w:sz w:val="24"/>
          <w:szCs w:val="24"/>
          <w:highlight w:val="none"/>
          <w:lang w:val="en-US" w:eastAsia="zh-CN" w:bidi="ar"/>
        </w:rPr>
        <w:t>中小企业声明函</w:t>
      </w:r>
      <w:r>
        <w:rPr>
          <w:rStyle w:val="33"/>
          <w:rFonts w:hint="eastAsia" w:cs="宋体"/>
          <w:color w:val="auto"/>
          <w:kern w:val="0"/>
          <w:sz w:val="24"/>
          <w:szCs w:val="24"/>
          <w:highlight w:val="none"/>
          <w:lang w:val="en-US" w:eastAsia="zh-CN" w:bidi="ar"/>
        </w:rPr>
        <w:t>”</w:t>
      </w:r>
      <w:r>
        <w:rPr>
          <w:rStyle w:val="33"/>
          <w:rFonts w:hint="eastAsia" w:ascii="宋体" w:hAnsi="宋体" w:eastAsia="宋体" w:cs="宋体"/>
          <w:color w:val="auto"/>
          <w:kern w:val="0"/>
          <w:sz w:val="24"/>
          <w:szCs w:val="24"/>
          <w:highlight w:val="none"/>
          <w:lang w:val="en-US" w:eastAsia="zh-CN" w:bidi="ar"/>
        </w:rPr>
        <w:t>的填写要求</w:t>
      </w:r>
    </w:p>
    <w:p w14:paraId="1BD561C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具体填写要求如下：</w:t>
      </w:r>
    </w:p>
    <w:p w14:paraId="06450E0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1.“单位名称”应填写采购人名称。</w:t>
      </w:r>
    </w:p>
    <w:p w14:paraId="49D42F2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项目名称”应按照采购文件中确定的项目名称填写。对于分包方式面向中小企业采购的项目，应标明中小企业的具体分包内容；对于以联合体方式面向中小企业采购的项目，应标明联合体中中小企业所承担的具体内容。</w:t>
      </w:r>
    </w:p>
    <w:p w14:paraId="5EEBAB8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标的名称”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67FA2B2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4.“采购文件中明确的所属行业”应填写采购文件中明确的采购标的所属行业，并应确保与采购标的涉及的货物制造商/服务承接商/工程承建商（根据项目属性确定）本身的所属行业保持一致。</w:t>
      </w:r>
    </w:p>
    <w:p w14:paraId="7C0DD98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分包方式面向中小企业采购的项目，“采购文件中明确的所属行业”应按照采购文件中注明的分包给中小企业的采购标的所属行业填写，并应确保与该分包部分采购标的涉及的货物制造商/服务承接商/工程承建商（根据项目属性确定）本身的所属行业保持一致。</w:t>
      </w:r>
    </w:p>
    <w:p w14:paraId="44C27F9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以联合体方式面向中小企业采购的项目，“采购文件中明确的所属行业”应按照采购文件中注明的联合体中中小企业承担的采购标的所属行业填写，并应确保与该承担部分采购标的涉及的货物制造商/服务承接商/工程承建商（根据项目属性确定）本身的所属行业保持一致。</w:t>
      </w:r>
    </w:p>
    <w:p w14:paraId="4BB9283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5.“企业名称”应填写投标（响应）的货物制造商/服务承接商/工程承建商（根据项目属性确定）。</w:t>
      </w:r>
    </w:p>
    <w:p w14:paraId="33ABC2B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对于分包方式面向中小企业采购的项目，“企业名称”应填写分包部分采购标的对应的货物制造商/服务承接商/工程承建商（根据项目属性确定）。</w:t>
      </w:r>
    </w:p>
    <w:p w14:paraId="76EFD52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对于以联合体方式面向中小企业采购的项目，“企业名称”应填写联合体中中小企业承担采购标的对应的货物制造商/服务承接商/工程承建商（根据项目属性确定）。</w:t>
      </w:r>
    </w:p>
    <w:p w14:paraId="7B485B1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6.从业人员、资产总额指标以上年度末数据为依据，营业收入指标以上年度累计数据为依据。无上年度数据的新成立企业可不填报。</w:t>
      </w:r>
    </w:p>
    <w:p w14:paraId="0C8210F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7.“中型企业/小型企业/微型企业”部分，供应商应依据企业上年度从业人员、营业收入、资产总额等指标，按照《中小企业划型标准规定》（工信部联企业〔2011〕300号）、《金融业企业划型标准规定》（银发〔2015〕309号），判断</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载明的货物制造商/服务承接商/工程承建商（根据项目属性确定）是否属于采购文件所属行业的中型企业/小型企业/微型企业。</w:t>
      </w:r>
    </w:p>
    <w:p w14:paraId="258906A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8.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268FAEE3">
      <w:pPr>
        <w:keepNext w:val="0"/>
        <w:keepLines w:val="0"/>
        <w:widowControl/>
        <w:suppressLineNumbers w:val="0"/>
        <w:ind w:firstLine="482" w:firstLineChars="200"/>
        <w:jc w:val="left"/>
        <w:rPr>
          <w:rStyle w:val="33"/>
          <w:rFonts w:hint="eastAsia" w:ascii="宋体" w:hAnsi="宋体" w:eastAsia="宋体" w:cs="宋体"/>
          <w:color w:val="auto"/>
          <w:kern w:val="0"/>
          <w:sz w:val="24"/>
          <w:szCs w:val="24"/>
          <w:highlight w:val="none"/>
          <w:lang w:val="en-US" w:eastAsia="zh-CN" w:bidi="ar"/>
        </w:rPr>
      </w:pPr>
      <w:r>
        <w:rPr>
          <w:rStyle w:val="33"/>
          <w:rFonts w:hint="eastAsia" w:ascii="宋体" w:hAnsi="宋体" w:eastAsia="宋体" w:cs="宋体"/>
          <w:color w:val="auto"/>
          <w:kern w:val="0"/>
          <w:sz w:val="24"/>
          <w:szCs w:val="24"/>
          <w:highlight w:val="none"/>
          <w:lang w:val="en-US" w:eastAsia="zh-CN" w:bidi="ar"/>
        </w:rPr>
        <w:t>（二）关于</w:t>
      </w:r>
      <w:r>
        <w:rPr>
          <w:rStyle w:val="33"/>
          <w:rFonts w:hint="eastAsia" w:cs="宋体"/>
          <w:color w:val="auto"/>
          <w:kern w:val="0"/>
          <w:sz w:val="24"/>
          <w:szCs w:val="24"/>
          <w:highlight w:val="none"/>
          <w:lang w:val="en-US" w:eastAsia="zh-CN" w:bidi="ar"/>
        </w:rPr>
        <w:t>“</w:t>
      </w:r>
      <w:r>
        <w:rPr>
          <w:rStyle w:val="33"/>
          <w:rFonts w:hint="eastAsia" w:ascii="宋体" w:hAnsi="宋体" w:eastAsia="宋体" w:cs="宋体"/>
          <w:color w:val="auto"/>
          <w:kern w:val="0"/>
          <w:sz w:val="24"/>
          <w:szCs w:val="24"/>
          <w:highlight w:val="none"/>
          <w:lang w:val="en-US" w:eastAsia="zh-CN" w:bidi="ar"/>
        </w:rPr>
        <w:t>中小企业声明函</w:t>
      </w:r>
      <w:r>
        <w:rPr>
          <w:rStyle w:val="33"/>
          <w:rFonts w:hint="eastAsia" w:cs="宋体"/>
          <w:color w:val="auto"/>
          <w:kern w:val="0"/>
          <w:sz w:val="24"/>
          <w:szCs w:val="24"/>
          <w:highlight w:val="none"/>
          <w:lang w:val="en-US" w:eastAsia="zh-CN" w:bidi="ar"/>
        </w:rPr>
        <w:t>”</w:t>
      </w:r>
      <w:r>
        <w:rPr>
          <w:rStyle w:val="33"/>
          <w:rFonts w:hint="eastAsia" w:ascii="宋体" w:hAnsi="宋体" w:eastAsia="宋体" w:cs="宋体"/>
          <w:color w:val="auto"/>
          <w:kern w:val="0"/>
          <w:sz w:val="24"/>
          <w:szCs w:val="24"/>
          <w:highlight w:val="none"/>
          <w:lang w:val="en-US" w:eastAsia="zh-CN" w:bidi="ar"/>
        </w:rPr>
        <w:t>的提交要求</w:t>
      </w:r>
    </w:p>
    <w:p w14:paraId="6A2BECD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1.投标（响应）供应商对</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的真实性负责。投标（响应）供应商应当核实投标（响应）的货物制造商/服务承接商/工程承建商（根据项目属性确定）的相关信息，如对相关信息了解不充分，或者不能确定相关信息真实、准确的，不建议出具</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w:t>
      </w:r>
    </w:p>
    <w:p w14:paraId="0757EB4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2.鼓励供应商在投标（响应）时一并提供对货物制造商、服务承接商、工程承建商相关信息的核实核验情况以及其他佐证材料。</w:t>
      </w:r>
    </w:p>
    <w:p w14:paraId="737B4BA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3.如供应商提供的</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中小企业声明函</w:t>
      </w:r>
      <w:r>
        <w:rPr>
          <w:rFonts w:hint="eastAsia"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存在按采购文件所属行业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1CE88647">
      <w:pPr>
        <w:rPr>
          <w:rFonts w:cs="宋体"/>
          <w:color w:val="auto"/>
          <w:spacing w:val="6"/>
          <w:sz w:val="21"/>
          <w:szCs w:val="21"/>
          <w:highlight w:val="none"/>
        </w:rPr>
      </w:pPr>
    </w:p>
    <w:p w14:paraId="5E75022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b/>
          <w:bCs/>
          <w:color w:val="auto"/>
          <w:highlight w:val="none"/>
          <w:lang w:val="en-US" w:eastAsia="zh-CN"/>
        </w:rPr>
      </w:pPr>
      <w:r>
        <w:rPr>
          <w:rFonts w:hint="eastAsia"/>
          <w:b/>
          <w:bCs/>
          <w:color w:val="auto"/>
          <w:highlight w:val="none"/>
          <w:lang w:val="en-US" w:eastAsia="zh-CN"/>
        </w:rPr>
        <w:t>附件2：</w:t>
      </w:r>
    </w:p>
    <w:p w14:paraId="123A9263">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关于印发中小企业划型标准规定的通知</w:t>
      </w:r>
    </w:p>
    <w:p w14:paraId="0041C7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33"/>
          <w:rFonts w:hint="eastAsia" w:ascii="宋体" w:hAnsi="宋体" w:eastAsia="宋体" w:cs="宋体"/>
          <w:b w:val="0"/>
          <w:color w:val="auto"/>
          <w:sz w:val="24"/>
          <w:szCs w:val="24"/>
          <w:highlight w:val="none"/>
        </w:rPr>
      </w:pPr>
      <w:r>
        <w:rPr>
          <w:rStyle w:val="33"/>
          <w:rFonts w:hint="eastAsia" w:ascii="宋体" w:hAnsi="宋体" w:eastAsia="宋体" w:cs="宋体"/>
          <w:b w:val="0"/>
          <w:color w:val="auto"/>
          <w:sz w:val="24"/>
          <w:szCs w:val="24"/>
          <w:highlight w:val="none"/>
        </w:rPr>
        <w:t>工信部联企业〔2011〕300号</w:t>
      </w:r>
    </w:p>
    <w:p w14:paraId="160A68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33"/>
          <w:rFonts w:hint="eastAsia" w:ascii="宋体" w:hAnsi="宋体" w:eastAsia="宋体" w:cs="宋体"/>
          <w:b w:val="0"/>
          <w:color w:val="auto"/>
          <w:sz w:val="24"/>
          <w:szCs w:val="24"/>
          <w:highlight w:val="none"/>
        </w:rPr>
      </w:pPr>
    </w:p>
    <w:p w14:paraId="76522F43">
      <w:pPr>
        <w:keepNext w:val="0"/>
        <w:keepLines w:val="0"/>
        <w:pageBreakBefore w:val="0"/>
        <w:widowControl w:val="0"/>
        <w:kinsoku/>
        <w:wordWrap/>
        <w:overflowPunct/>
        <w:topLinePunct w:val="0"/>
        <w:autoSpaceDE/>
        <w:autoSpaceDN/>
        <w:bidi w:val="0"/>
        <w:adjustRightInd/>
        <w:snapToGrid/>
        <w:spacing w:line="360" w:lineRule="exact"/>
        <w:textAlignment w:val="auto"/>
        <w:rPr>
          <w:rStyle w:val="33"/>
          <w:rFonts w:hint="eastAsia" w:ascii="宋体" w:hAnsi="宋体" w:eastAsia="宋体" w:cs="宋体"/>
          <w:b w:val="0"/>
          <w:color w:val="auto"/>
          <w:sz w:val="24"/>
          <w:szCs w:val="24"/>
          <w:highlight w:val="none"/>
        </w:rPr>
      </w:pPr>
      <w:r>
        <w:rPr>
          <w:rStyle w:val="33"/>
          <w:rFonts w:hint="eastAsia" w:ascii="宋体" w:hAnsi="宋体" w:eastAsia="宋体" w:cs="宋体"/>
          <w:b w:val="0"/>
          <w:color w:val="auto"/>
          <w:sz w:val="24"/>
          <w:szCs w:val="24"/>
          <w:highlight w:val="none"/>
        </w:rPr>
        <w:t>各省、自治区、直辖市人民政府，国务院各部委、各直属机构及有关单位：</w:t>
      </w:r>
    </w:p>
    <w:p w14:paraId="7879146F">
      <w:pPr>
        <w:keepNext w:val="0"/>
        <w:keepLines w:val="0"/>
        <w:pageBreakBefore w:val="0"/>
        <w:widowControl w:val="0"/>
        <w:kinsoku/>
        <w:wordWrap/>
        <w:overflowPunct/>
        <w:topLinePunct w:val="0"/>
        <w:autoSpaceDE/>
        <w:autoSpaceDN/>
        <w:bidi w:val="0"/>
        <w:adjustRightInd/>
        <w:snapToGrid/>
        <w:spacing w:line="36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26393495">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工业和信息化部　国家统计局</w:t>
      </w:r>
    </w:p>
    <w:p w14:paraId="55BD3FA9">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国家发展和改革委员会　财政部</w:t>
      </w:r>
    </w:p>
    <w:p w14:paraId="29DCC8D1">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二○一一年六月十八日</w:t>
      </w:r>
    </w:p>
    <w:p w14:paraId="41DDE425">
      <w:pPr>
        <w:keepNext w:val="0"/>
        <w:keepLines w:val="0"/>
        <w:pageBreakBefore w:val="0"/>
        <w:widowControl w:val="0"/>
        <w:kinsoku/>
        <w:wordWrap/>
        <w:overflowPunct/>
        <w:topLinePunct w:val="0"/>
        <w:autoSpaceDE/>
        <w:autoSpaceDN/>
        <w:bidi w:val="0"/>
        <w:adjustRightInd/>
        <w:snapToGrid/>
        <w:spacing w:line="36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xml:space="preserve"> </w:t>
      </w:r>
    </w:p>
    <w:p w14:paraId="569B0B6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33"/>
          <w:rFonts w:hint="eastAsia" w:ascii="宋体" w:hAnsi="宋体" w:eastAsia="宋体" w:cs="宋体"/>
          <w:b/>
          <w:bCs w:val="0"/>
          <w:color w:val="auto"/>
          <w:sz w:val="28"/>
          <w:szCs w:val="28"/>
          <w:highlight w:val="none"/>
        </w:rPr>
      </w:pPr>
      <w:r>
        <w:rPr>
          <w:rStyle w:val="33"/>
          <w:rFonts w:hint="eastAsia" w:ascii="宋体" w:hAnsi="宋体" w:eastAsia="宋体" w:cs="宋体"/>
          <w:b/>
          <w:bCs w:val="0"/>
          <w:color w:val="auto"/>
          <w:sz w:val="28"/>
          <w:szCs w:val="28"/>
          <w:highlight w:val="none"/>
        </w:rPr>
        <w:t>中小企业划型标准规定</w:t>
      </w:r>
    </w:p>
    <w:p w14:paraId="2A36E768">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一、根据《中华人民共和国中小企业促进法》和《国务院关于进一步促进中小企业发展的若干意见》(国发〔2009〕36号)，制定本规定。</w:t>
      </w:r>
    </w:p>
    <w:p w14:paraId="67AAEAFF">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二、中小企业划分为中型、小型、微型三种类型，具体标准根据企业从业人员、营业收入、资产总额等指标，结合行业特点制定。</w:t>
      </w:r>
    </w:p>
    <w:p w14:paraId="5E9380BD">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2115B21">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四、各行业划型标准为：</w:t>
      </w:r>
    </w:p>
    <w:p w14:paraId="1E9C933C">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（一）农、林、牧、渔业。营业收入20000万元以下的为中小微型企业。其中，营业收入500万元及以上的为中型企业，营业收入50万元及以上的为小型企业，营业收入50万元以下的为微型企业。</w:t>
      </w:r>
    </w:p>
    <w:p w14:paraId="6A7037AE">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7B4F0F9C">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108159A7">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5636A7DD">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6E404B21">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194297B8">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42B67448">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3D820102">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6C10156">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85DA4D9">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1F289635">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5D64C280">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FB6CB17">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51D2040">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C048F91">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（十六）其他未列明行业。从业人员300人以下的为中小微型企业。其中，从业人员100人及以上的为中型企业；从业人员10人及以上的为小型企业；从业人员10人以下的为微型企业。　　</w:t>
      </w:r>
    </w:p>
    <w:p w14:paraId="42A0226D">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五、企业类型的划分以统计部门的统计数据为依据。</w:t>
      </w:r>
    </w:p>
    <w:p w14:paraId="11127CB8">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六、本规定适用于在中华人民共和国境内依法设立的各类所有制和各种组织形式的企业。个体工商户和本规定以外的行业，参照本规定进行划型。</w:t>
      </w:r>
    </w:p>
    <w:p w14:paraId="5FD2CE8F">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4F35DEAD">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八、本规定由工业和信息化部、国家统计局会同有关部门根据《国民经济行业分类》修订情况和企业发展变化情况适时修订。</w:t>
      </w:r>
    </w:p>
    <w:p w14:paraId="2E1B7F3D">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九、本规定由工业和信息化部、国家统计局会同有关部门负责解释。</w:t>
      </w:r>
    </w:p>
    <w:p w14:paraId="47AF02CC">
      <w:pPr>
        <w:keepNext w:val="0"/>
        <w:keepLines w:val="0"/>
        <w:pageBreakBefore w:val="0"/>
        <w:widowControl w:val="0"/>
        <w:kinsoku/>
        <w:wordWrap/>
        <w:overflowPunct/>
        <w:topLinePunct w:val="0"/>
        <w:autoSpaceDE/>
        <w:autoSpaceDN/>
        <w:bidi w:val="0"/>
        <w:adjustRightInd/>
        <w:snapToGrid/>
        <w:spacing w:line="400" w:lineRule="exact"/>
        <w:textAlignment w:val="auto"/>
        <w:rPr>
          <w:rFonts w:cs="宋体"/>
          <w:color w:val="auto"/>
          <w:spacing w:val="6"/>
          <w:sz w:val="21"/>
          <w:szCs w:val="21"/>
          <w:highlight w:val="none"/>
        </w:rPr>
      </w:pPr>
      <w:r>
        <w:rPr>
          <w:rStyle w:val="33"/>
          <w:rFonts w:hint="eastAsia" w:ascii="宋体" w:hAnsi="宋体" w:eastAsia="宋体" w:cs="宋体"/>
          <w:b w:val="0"/>
          <w:bCs w:val="0"/>
          <w:color w:val="auto"/>
          <w:sz w:val="24"/>
          <w:szCs w:val="24"/>
          <w:highlight w:val="none"/>
        </w:rPr>
        <w:t>十、本规定自发布之日起执行，原国家经贸委、原国家计委、财政部和国家统计局2003年颁布的《中小企业标准暂行规定》同时废止。</w:t>
      </w:r>
    </w:p>
    <w:p w14:paraId="5325250E">
      <w:pPr>
        <w:rPr>
          <w:rFonts w:cs="宋体"/>
          <w:color w:val="auto"/>
          <w:spacing w:val="6"/>
          <w:sz w:val="21"/>
          <w:szCs w:val="21"/>
          <w:highlight w:val="none"/>
        </w:rPr>
      </w:pPr>
    </w:p>
    <w:p w14:paraId="613F9037">
      <w:pPr>
        <w:rPr>
          <w:rFonts w:cs="宋体"/>
          <w:color w:val="auto"/>
          <w:spacing w:val="6"/>
          <w:sz w:val="21"/>
          <w:szCs w:val="21"/>
          <w:highlight w:val="none"/>
        </w:rPr>
      </w:pPr>
    </w:p>
    <w:p w14:paraId="51846FF9">
      <w:pPr>
        <w:rPr>
          <w:rFonts w:cs="宋体"/>
          <w:color w:val="auto"/>
          <w:spacing w:val="6"/>
          <w:sz w:val="21"/>
          <w:szCs w:val="21"/>
          <w:highlight w:val="none"/>
        </w:rPr>
      </w:pPr>
    </w:p>
    <w:p w14:paraId="4E9FEDC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b/>
          <w:bCs/>
          <w:color w:val="auto"/>
          <w:highlight w:val="none"/>
          <w:lang w:val="en-US" w:eastAsia="zh-CN"/>
        </w:rPr>
      </w:pPr>
      <w:r>
        <w:rPr>
          <w:rFonts w:hint="eastAsia"/>
          <w:b/>
          <w:bCs/>
          <w:color w:val="auto"/>
          <w:highlight w:val="none"/>
          <w:lang w:val="en-US" w:eastAsia="zh-CN"/>
        </w:rPr>
        <w:t>附件3：</w:t>
      </w:r>
    </w:p>
    <w:p w14:paraId="1036BD1E">
      <w:pPr>
        <w:rPr>
          <w:rFonts w:hint="eastAsia" w:cs="宋体"/>
          <w:color w:val="auto"/>
          <w:spacing w:val="6"/>
          <w:sz w:val="21"/>
          <w:szCs w:val="21"/>
          <w:highlight w:val="none"/>
        </w:rPr>
      </w:pPr>
    </w:p>
    <w:p w14:paraId="5E66B23F">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关于印发《金融业企业划型标准规定》的通知</w:t>
      </w:r>
    </w:p>
    <w:p w14:paraId="02F00B57">
      <w:pPr>
        <w:jc w:val="center"/>
        <w:rPr>
          <w:rStyle w:val="33"/>
          <w:rFonts w:hint="eastAsia" w:ascii="宋体" w:hAnsi="宋体" w:eastAsia="宋体" w:cs="宋体"/>
          <w:b w:val="0"/>
          <w:color w:val="auto"/>
          <w:sz w:val="24"/>
          <w:szCs w:val="24"/>
          <w:highlight w:val="none"/>
        </w:rPr>
      </w:pPr>
      <w:r>
        <w:rPr>
          <w:rStyle w:val="33"/>
          <w:rFonts w:hint="eastAsia" w:ascii="宋体" w:hAnsi="宋体" w:eastAsia="宋体" w:cs="宋体"/>
          <w:b w:val="0"/>
          <w:color w:val="auto"/>
          <w:sz w:val="24"/>
          <w:szCs w:val="24"/>
          <w:highlight w:val="none"/>
        </w:rPr>
        <w:t>银发〔2015〕309号</w:t>
      </w:r>
    </w:p>
    <w:p w14:paraId="6D0DCB9A">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5342EFEB">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请人民银行上海总部，各分行、营业管理部、省会（首府）城市中心支行、副省级城市中心支行会同所在省（区、市）银监局、证监局、保监局、统计局将本通知联合转发至辖内相关机构。</w:t>
      </w:r>
    </w:p>
    <w:p w14:paraId="6EDB514E">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3"/>
          <w:rFonts w:hint="eastAsia" w:ascii="宋体" w:hAnsi="宋体" w:eastAsia="宋体" w:cs="宋体"/>
          <w:b w:val="0"/>
          <w:bCs w:val="0"/>
          <w:color w:val="auto"/>
          <w:sz w:val="24"/>
          <w:szCs w:val="24"/>
          <w:highlight w:val="none"/>
        </w:rPr>
      </w:pPr>
    </w:p>
    <w:p w14:paraId="25CD4F43">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附件：金融业企业划型标准规定</w:t>
      </w:r>
    </w:p>
    <w:p w14:paraId="2B4256CE">
      <w:pPr>
        <w:keepNext w:val="0"/>
        <w:keepLines w:val="0"/>
        <w:pageBreakBefore w:val="0"/>
        <w:widowControl w:val="0"/>
        <w:kinsoku/>
        <w:wordWrap/>
        <w:overflowPunct/>
        <w:topLinePunct w:val="0"/>
        <w:autoSpaceDE/>
        <w:autoSpaceDN/>
        <w:bidi w:val="0"/>
        <w:adjustRightInd/>
        <w:snapToGrid/>
        <w:spacing w:line="460" w:lineRule="exact"/>
        <w:textAlignment w:val="auto"/>
        <w:rPr>
          <w:rStyle w:val="33"/>
          <w:rFonts w:hint="eastAsia" w:ascii="宋体" w:hAnsi="宋体" w:eastAsia="宋体" w:cs="宋体"/>
          <w:b w:val="0"/>
          <w:bCs w:val="0"/>
          <w:color w:val="auto"/>
          <w:sz w:val="24"/>
          <w:szCs w:val="24"/>
          <w:highlight w:val="none"/>
        </w:rPr>
      </w:pPr>
      <w:r>
        <w:rPr>
          <w:rFonts w:hint="eastAsia" w:cs="宋体"/>
          <w:color w:val="auto"/>
          <w:spacing w:val="6"/>
          <w:sz w:val="24"/>
          <w:szCs w:val="24"/>
          <w:highlight w:val="none"/>
        </w:rPr>
        <w:t>                                      </w:t>
      </w:r>
      <w:r>
        <w:rPr>
          <w:rStyle w:val="33"/>
          <w:rFonts w:hint="eastAsia" w:ascii="宋体" w:hAnsi="宋体" w:eastAsia="宋体" w:cs="宋体"/>
          <w:b w:val="0"/>
          <w:bCs w:val="0"/>
          <w:color w:val="auto"/>
          <w:sz w:val="24"/>
          <w:szCs w:val="24"/>
          <w:highlight w:val="none"/>
        </w:rPr>
        <w:t>       </w:t>
      </w:r>
      <w:r>
        <w:rPr>
          <w:rStyle w:val="33"/>
          <w:rFonts w:hint="eastAsia" w:cs="宋体"/>
          <w:b w:val="0"/>
          <w:bCs w:val="0"/>
          <w:color w:val="auto"/>
          <w:sz w:val="24"/>
          <w:szCs w:val="24"/>
          <w:highlight w:val="none"/>
          <w:lang w:val="en-US" w:eastAsia="zh-CN"/>
        </w:rPr>
        <w:t xml:space="preserve">                            </w:t>
      </w:r>
      <w:r>
        <w:rPr>
          <w:rStyle w:val="33"/>
          <w:rFonts w:hint="eastAsia" w:ascii="宋体" w:hAnsi="宋体" w:eastAsia="宋体" w:cs="宋体"/>
          <w:b w:val="0"/>
          <w:bCs w:val="0"/>
          <w:color w:val="auto"/>
          <w:sz w:val="24"/>
          <w:szCs w:val="24"/>
          <w:highlight w:val="none"/>
        </w:rPr>
        <w:t>中国人民银行</w:t>
      </w:r>
    </w:p>
    <w:p w14:paraId="7F0182D9">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中国银行业监督管理委员会</w:t>
      </w:r>
    </w:p>
    <w:p w14:paraId="7A3A8546">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中国证券监督管理委员会</w:t>
      </w:r>
    </w:p>
    <w:p w14:paraId="142E20EA">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中国保险监督管理委员会</w:t>
      </w:r>
    </w:p>
    <w:p w14:paraId="05911F11">
      <w:pPr>
        <w:keepNext w:val="0"/>
        <w:keepLines w:val="0"/>
        <w:pageBreakBefore w:val="0"/>
        <w:widowControl w:val="0"/>
        <w:kinsoku/>
        <w:wordWrap/>
        <w:overflowPunct/>
        <w:topLinePunct w:val="0"/>
        <w:autoSpaceDE/>
        <w:autoSpaceDN/>
        <w:bidi w:val="0"/>
        <w:adjustRightInd/>
        <w:snapToGrid/>
        <w:spacing w:line="460" w:lineRule="exact"/>
        <w:ind w:firstLine="2160" w:firstLineChars="900"/>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中华人民共和国国家统计局</w:t>
      </w:r>
    </w:p>
    <w:p w14:paraId="2AFA5B3D">
      <w:pPr>
        <w:keepNext w:val="0"/>
        <w:keepLines w:val="0"/>
        <w:pageBreakBefore w:val="0"/>
        <w:widowControl w:val="0"/>
        <w:kinsoku/>
        <w:wordWrap/>
        <w:overflowPunct/>
        <w:topLinePunct w:val="0"/>
        <w:autoSpaceDE/>
        <w:autoSpaceDN/>
        <w:bidi w:val="0"/>
        <w:adjustRightInd/>
        <w:snapToGrid/>
        <w:spacing w:line="460" w:lineRule="exact"/>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                                                     </w:t>
      </w:r>
      <w:r>
        <w:rPr>
          <w:rStyle w:val="33"/>
          <w:rFonts w:hint="eastAsia" w:cs="宋体"/>
          <w:b w:val="0"/>
          <w:bCs w:val="0"/>
          <w:color w:val="auto"/>
          <w:sz w:val="24"/>
          <w:szCs w:val="24"/>
          <w:highlight w:val="none"/>
          <w:lang w:val="en-US" w:eastAsia="zh-CN"/>
        </w:rPr>
        <w:t xml:space="preserve">     </w:t>
      </w:r>
      <w:r>
        <w:rPr>
          <w:rStyle w:val="33"/>
          <w:rFonts w:hint="eastAsia" w:ascii="宋体" w:hAnsi="宋体" w:eastAsia="宋体" w:cs="宋体"/>
          <w:b w:val="0"/>
          <w:bCs w:val="0"/>
          <w:color w:val="auto"/>
          <w:sz w:val="24"/>
          <w:szCs w:val="24"/>
          <w:highlight w:val="none"/>
        </w:rPr>
        <w:t> 2015年9月28日</w:t>
      </w:r>
    </w:p>
    <w:p w14:paraId="461AEFEC">
      <w:pPr>
        <w:rPr>
          <w:rFonts w:hint="eastAsia" w:cs="宋体"/>
          <w:color w:val="auto"/>
          <w:spacing w:val="6"/>
          <w:sz w:val="21"/>
          <w:szCs w:val="21"/>
          <w:highlight w:val="none"/>
        </w:rPr>
      </w:pPr>
    </w:p>
    <w:p w14:paraId="3DB441A3">
      <w:pPr>
        <w:rPr>
          <w:rFonts w:hint="eastAsia" w:cs="宋体"/>
          <w:color w:val="auto"/>
          <w:spacing w:val="6"/>
          <w:sz w:val="21"/>
          <w:szCs w:val="21"/>
          <w:highlight w:val="none"/>
          <w:lang w:val="en-US" w:eastAsia="zh-CN"/>
        </w:rPr>
      </w:pPr>
    </w:p>
    <w:p w14:paraId="2A35AC8F">
      <w:pPr>
        <w:rPr>
          <w:rFonts w:hint="eastAsia" w:cs="宋体"/>
          <w:color w:val="auto"/>
          <w:spacing w:val="6"/>
          <w:sz w:val="21"/>
          <w:szCs w:val="21"/>
          <w:highlight w:val="none"/>
          <w:lang w:val="en-US" w:eastAsia="zh-CN"/>
        </w:rPr>
      </w:pPr>
    </w:p>
    <w:p w14:paraId="76CB7FD7">
      <w:pPr>
        <w:rPr>
          <w:rFonts w:hint="eastAsia" w:cs="宋体"/>
          <w:color w:val="auto"/>
          <w:spacing w:val="6"/>
          <w:sz w:val="21"/>
          <w:szCs w:val="21"/>
          <w:highlight w:val="none"/>
          <w:lang w:val="en-US" w:eastAsia="zh-CN"/>
        </w:rPr>
      </w:pPr>
    </w:p>
    <w:p w14:paraId="1AE2A7F3">
      <w:pPr>
        <w:rPr>
          <w:rFonts w:hint="eastAsia" w:cs="宋体"/>
          <w:color w:val="auto"/>
          <w:spacing w:val="6"/>
          <w:sz w:val="21"/>
          <w:szCs w:val="21"/>
          <w:highlight w:val="none"/>
          <w:lang w:val="en-US" w:eastAsia="zh-CN"/>
        </w:rPr>
      </w:pPr>
    </w:p>
    <w:p w14:paraId="7FC49DF9">
      <w:pPr>
        <w:rPr>
          <w:rFonts w:hint="eastAsia" w:cs="宋体"/>
          <w:color w:val="auto"/>
          <w:spacing w:val="6"/>
          <w:sz w:val="21"/>
          <w:szCs w:val="21"/>
          <w:highlight w:val="none"/>
          <w:lang w:val="en-US" w:eastAsia="zh-CN"/>
        </w:rPr>
      </w:pPr>
    </w:p>
    <w:p w14:paraId="4EDA2DCF">
      <w:pPr>
        <w:rPr>
          <w:rFonts w:hint="eastAsia" w:cs="宋体"/>
          <w:color w:val="auto"/>
          <w:spacing w:val="6"/>
          <w:sz w:val="21"/>
          <w:szCs w:val="21"/>
          <w:highlight w:val="none"/>
        </w:rPr>
      </w:pPr>
      <w:r>
        <w:rPr>
          <w:rFonts w:hint="eastAsia" w:cs="宋体"/>
          <w:color w:val="auto"/>
          <w:spacing w:val="6"/>
          <w:sz w:val="21"/>
          <w:szCs w:val="21"/>
          <w:highlight w:val="none"/>
          <w:lang w:val="en-US" w:eastAsia="zh-CN"/>
        </w:rPr>
        <w:t>附件</w:t>
      </w:r>
      <w:r>
        <w:rPr>
          <w:rFonts w:hint="eastAsia" w:cs="宋体"/>
          <w:color w:val="auto"/>
          <w:spacing w:val="6"/>
          <w:sz w:val="21"/>
          <w:szCs w:val="21"/>
          <w:highlight w:val="none"/>
        </w:rPr>
        <w:t>              </w:t>
      </w:r>
    </w:p>
    <w:p w14:paraId="4B4FCD30">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金融业企业划型标准规定</w:t>
      </w:r>
    </w:p>
    <w:p w14:paraId="111D566C">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一、根据《中华人民共和国中小企业促进法》、《国务院关于进一步促进中小企业发展的若干意见》（国发〔2009〕36号）和《国务院办公厅关于金融支持小微企业发展的实施意见》（国办发〔2013〕87号），制定本规定。</w:t>
      </w:r>
    </w:p>
    <w:p w14:paraId="664D8071">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二、适用范围。本规定适用于从事《国民经济行业分类》（GB/T4754-2011）中J门类（金融业）活动的企业。</w:t>
      </w:r>
    </w:p>
    <w:p w14:paraId="3617054A">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31EB267E">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四、划型标准指标。采用一个完整会计年度中四个季度末法人并表口径的资产总额（信托公司为信托资产）平均值作为划型指标，该指标以监管部门数据为准。</w:t>
      </w:r>
    </w:p>
    <w:p w14:paraId="3B52B752">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五、指标标准值。依据指标标准值，将各类金融业企业划分为大、中、小、微四个规模类型，中型企业标准上限及以上的为大型企业。</w:t>
      </w:r>
    </w:p>
    <w:p w14:paraId="287B1BE6">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（一）银行业存款类金融机构。资产总额40000亿元以下的为中小微型企业。其中，资产总额5000亿元及以上的为中型企业，资产总额50亿元及以上的为小型企业，资产总额50亿元以下的为微型企业。</w:t>
      </w:r>
    </w:p>
    <w:p w14:paraId="3C4DAFED">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（二）银行业非存款类金融机构。资产总额1000亿元以下的为中小微企业。其中，资产总额200亿元及以上的为中型企业，资产总额50亿元及以上的为小型企业，资产总额50亿元以下的为微型企业。</w:t>
      </w:r>
    </w:p>
    <w:p w14:paraId="440A3C7F">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（三）贷款公司、小额贷款公司及典当行。资产总额1000亿元以下的为中小微型企业。其中，资产总额200亿元及以上的为中型企业，资产总额50亿元及以上的为小型企业，资产总额50亿元以下的为微型企业。</w:t>
      </w:r>
    </w:p>
    <w:p w14:paraId="2C4B2635">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（四）证券业金融机构。资产总额1000亿元以下的为中小微型企业。其中，资产总额100亿元及以上的为中型企业，资产总额10亿元及以上的为小型企业，资产总额10亿元以下的为微型企业。</w:t>
      </w:r>
    </w:p>
    <w:p w14:paraId="2955FDB2">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（五）保险业金融机构。资产总额5000亿元以下的为中小微型企业。其中，资产总额400亿元及以上的为中型企业，资产总额20亿元及以上的为小型企业，资产总额20亿元以下的为微型企业。</w:t>
      </w:r>
    </w:p>
    <w:p w14:paraId="0F3A2CF9">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（六）信托公司。信托资产1000亿元以下的为中小微型企业。其中，信托资产400亿元及以上的为中型企业，信托资产20亿元及以上的为小型企业，信托资产20亿元以下的为微型企业。</w:t>
      </w:r>
    </w:p>
    <w:p w14:paraId="5888C466">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（七）金融控股公司。资产总额40000亿元以下的为中小微企业。其中，资产总额5000亿元及以上的为中型企业，资产总额50亿元及以上的为小型企业，资产总额50亿元以下的为微型企业。、</w:t>
      </w:r>
    </w:p>
    <w:p w14:paraId="03B525A7">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lang w:eastAsia="zh-CN"/>
        </w:rPr>
      </w:pPr>
      <w:r>
        <w:rPr>
          <w:rStyle w:val="33"/>
          <w:rFonts w:hint="eastAsia" w:ascii="宋体" w:hAnsi="宋体" w:eastAsia="宋体" w:cs="宋体"/>
          <w:b w:val="0"/>
          <w:bCs w:val="0"/>
          <w:color w:val="auto"/>
          <w:sz w:val="24"/>
          <w:szCs w:val="24"/>
          <w:highlight w:val="none"/>
        </w:rPr>
        <w:t>(八)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Style w:val="33"/>
          <w:rFonts w:hint="eastAsia" w:cs="宋体"/>
          <w:b w:val="0"/>
          <w:bCs w:val="0"/>
          <w:color w:val="auto"/>
          <w:sz w:val="24"/>
          <w:szCs w:val="24"/>
          <w:highlight w:val="none"/>
          <w:lang w:eastAsia="zh-CN"/>
        </w:rPr>
        <w:t>。</w:t>
      </w:r>
    </w:p>
    <w:p w14:paraId="768B7EBA">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加相应的字段模块。经过认定的金融业企业在系统中进行规模登记</w:t>
      </w:r>
      <w:r>
        <w:rPr>
          <w:rStyle w:val="33"/>
          <w:rFonts w:hint="eastAsia" w:cs="宋体"/>
          <w:b w:val="0"/>
          <w:bCs w:val="0"/>
          <w:color w:val="auto"/>
          <w:sz w:val="24"/>
          <w:szCs w:val="24"/>
          <w:highlight w:val="none"/>
          <w:lang w:eastAsia="zh-CN"/>
        </w:rPr>
        <w:t>，</w:t>
      </w:r>
      <w:r>
        <w:rPr>
          <w:rStyle w:val="33"/>
          <w:rFonts w:hint="eastAsia" w:ascii="宋体" w:hAnsi="宋体" w:eastAsia="宋体" w:cs="宋体"/>
          <w:b w:val="0"/>
          <w:bCs w:val="0"/>
          <w:color w:val="auto"/>
          <w:sz w:val="24"/>
          <w:szCs w:val="24"/>
          <w:highlight w:val="none"/>
        </w:rPr>
        <w:t>方便政府部门和社会各界查询使用。</w:t>
      </w:r>
    </w:p>
    <w:p w14:paraId="274387BC">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七、标准值的评估和调整。金融业企业划型标准工作组每五年对划型标准值受经济发展与通货膨胀等因素的影响程度进行评估和调整。</w:t>
      </w:r>
    </w:p>
    <w:p w14:paraId="3F4E33DD">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lang w:eastAsia="zh-CN"/>
        </w:rPr>
      </w:pPr>
      <w:r>
        <w:rPr>
          <w:rStyle w:val="33"/>
          <w:rFonts w:hint="eastAsia" w:ascii="宋体" w:hAnsi="宋体" w:eastAsia="宋体" w:cs="宋体"/>
          <w:b w:val="0"/>
          <w:bCs w:val="0"/>
          <w:color w:val="auto"/>
          <w:sz w:val="24"/>
          <w:szCs w:val="24"/>
          <w:highlight w:val="none"/>
        </w:rPr>
        <w:t>八、本规定的中型金融业企业标准上限即为大型金融业企业下限。国务院有关部门据此进行相关数据的统计分析，不得制定与本规定不一致的金融业企业划型标准</w:t>
      </w:r>
      <w:r>
        <w:rPr>
          <w:rStyle w:val="33"/>
          <w:rFonts w:hint="eastAsia" w:cs="宋体"/>
          <w:b w:val="0"/>
          <w:bCs w:val="0"/>
          <w:color w:val="auto"/>
          <w:sz w:val="24"/>
          <w:szCs w:val="24"/>
          <w:highlight w:val="none"/>
          <w:lang w:eastAsia="zh-CN"/>
        </w:rPr>
        <w:t>。</w:t>
      </w:r>
    </w:p>
    <w:p w14:paraId="3D1E0E0F">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lang w:eastAsia="zh-CN"/>
        </w:rPr>
      </w:pPr>
      <w:r>
        <w:rPr>
          <w:rStyle w:val="33"/>
          <w:rFonts w:hint="eastAsia" w:ascii="宋体" w:hAnsi="宋体" w:eastAsia="宋体" w:cs="宋体"/>
          <w:b w:val="0"/>
          <w:bCs w:val="0"/>
          <w:color w:val="auto"/>
          <w:sz w:val="24"/>
          <w:szCs w:val="24"/>
          <w:highlight w:val="none"/>
        </w:rPr>
        <w:t>九、融资担保公司参照本规定中“除贷款公司、小额贷款公司、典当行以外的其他金融机构”标准划型</w:t>
      </w:r>
      <w:r>
        <w:rPr>
          <w:rStyle w:val="33"/>
          <w:rFonts w:hint="eastAsia" w:cs="宋体"/>
          <w:b w:val="0"/>
          <w:bCs w:val="0"/>
          <w:color w:val="auto"/>
          <w:sz w:val="24"/>
          <w:szCs w:val="24"/>
          <w:highlight w:val="none"/>
          <w:lang w:eastAsia="zh-CN"/>
        </w:rPr>
        <w:t>。</w:t>
      </w:r>
    </w:p>
    <w:p w14:paraId="2E977B53">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十、本规定由人民银行会同银监会、证监会、保监会和统计局负责解释。</w:t>
      </w:r>
    </w:p>
    <w:p w14:paraId="78E4E87D">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lang w:eastAsia="zh-CN"/>
        </w:rPr>
      </w:pPr>
      <w:r>
        <w:rPr>
          <w:rStyle w:val="33"/>
          <w:rFonts w:hint="eastAsia" w:ascii="宋体" w:hAnsi="宋体" w:eastAsia="宋体" w:cs="宋体"/>
          <w:b w:val="0"/>
          <w:bCs w:val="0"/>
          <w:color w:val="auto"/>
          <w:sz w:val="24"/>
          <w:szCs w:val="24"/>
          <w:highlight w:val="none"/>
        </w:rPr>
        <w:t>十一、本规定自发布之日起实施</w:t>
      </w:r>
      <w:r>
        <w:rPr>
          <w:rStyle w:val="33"/>
          <w:rFonts w:hint="eastAsia" w:cs="宋体"/>
          <w:b w:val="0"/>
          <w:bCs w:val="0"/>
          <w:color w:val="auto"/>
          <w:sz w:val="24"/>
          <w:szCs w:val="24"/>
          <w:highlight w:val="none"/>
          <w:lang w:eastAsia="zh-CN"/>
        </w:rPr>
        <w:t>。</w:t>
      </w:r>
    </w:p>
    <w:p w14:paraId="4CEA07BF">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p>
    <w:p w14:paraId="5F2D6A1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color w:val="auto"/>
          <w:sz w:val="24"/>
          <w:szCs w:val="24"/>
          <w:highlight w:val="none"/>
        </w:rPr>
      </w:pPr>
      <w:r>
        <w:rPr>
          <w:rStyle w:val="33"/>
          <w:rFonts w:hint="eastAsia" w:ascii="宋体" w:hAnsi="宋体" w:eastAsia="宋体" w:cs="宋体"/>
          <w:b w:val="0"/>
          <w:bCs w:val="0"/>
          <w:color w:val="auto"/>
          <w:sz w:val="24"/>
          <w:szCs w:val="24"/>
          <w:highlight w:val="none"/>
        </w:rPr>
        <w:t>附:金融业企业划型标准</w:t>
      </w:r>
    </w:p>
    <w:p w14:paraId="46FE00DE">
      <w:pPr>
        <w:rPr>
          <w:rFonts w:cs="宋体"/>
          <w:color w:val="auto"/>
          <w:spacing w:val="6"/>
          <w:sz w:val="21"/>
          <w:szCs w:val="21"/>
          <w:highlight w:val="none"/>
        </w:rPr>
      </w:pPr>
    </w:p>
    <w:p w14:paraId="340E7374">
      <w:pPr>
        <w:rPr>
          <w:rFonts w:hint="eastAsia" w:cs="宋体"/>
          <w:color w:val="auto"/>
          <w:spacing w:val="6"/>
          <w:sz w:val="24"/>
          <w:szCs w:val="24"/>
          <w:highlight w:val="none"/>
          <w:lang w:val="en-US" w:eastAsia="zh-CN"/>
        </w:rPr>
      </w:pPr>
      <w:r>
        <w:rPr>
          <w:rFonts w:hint="eastAsia" w:cs="宋体"/>
          <w:color w:val="auto"/>
          <w:spacing w:val="6"/>
          <w:sz w:val="24"/>
          <w:szCs w:val="24"/>
          <w:highlight w:val="none"/>
          <w:lang w:val="en-US" w:eastAsia="zh-CN"/>
        </w:rPr>
        <w:t>附</w:t>
      </w:r>
    </w:p>
    <w:p w14:paraId="46FE45E8">
      <w:pPr>
        <w:pStyle w:val="18"/>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28"/>
          <w:szCs w:val="28"/>
          <w:highlight w:val="none"/>
        </w:rPr>
      </w:pPr>
      <w:r>
        <w:rPr>
          <w:rFonts w:hint="eastAsia" w:ascii="宋体" w:hAnsi="宋体" w:eastAsia="宋体" w:cs="宋体"/>
          <w:b/>
          <w:bCs w:val="0"/>
          <w:color w:val="auto"/>
          <w:sz w:val="28"/>
          <w:szCs w:val="28"/>
          <w:highlight w:val="none"/>
        </w:rPr>
        <w:t>金融业企业划型标准</w:t>
      </w:r>
    </w:p>
    <w:tbl>
      <w:tblPr>
        <w:tblStyle w:val="31"/>
        <w:tblW w:w="8498"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168"/>
        <w:gridCol w:w="1817"/>
        <w:gridCol w:w="1143"/>
        <w:gridCol w:w="3251"/>
      </w:tblGrid>
      <w:tr w14:paraId="3F618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2287" w:type="dxa"/>
            <w:gridSpan w:val="2"/>
            <w:vAlign w:val="center"/>
          </w:tcPr>
          <w:p w14:paraId="7F2E687F">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行业</w:t>
            </w:r>
          </w:p>
        </w:tc>
        <w:tc>
          <w:tcPr>
            <w:tcW w:w="1817" w:type="dxa"/>
            <w:vAlign w:val="center"/>
          </w:tcPr>
          <w:p w14:paraId="0CDC00A4">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类别</w:t>
            </w:r>
          </w:p>
        </w:tc>
        <w:tc>
          <w:tcPr>
            <w:tcW w:w="1143" w:type="dxa"/>
            <w:vAlign w:val="center"/>
          </w:tcPr>
          <w:p w14:paraId="59771259">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类型</w:t>
            </w:r>
          </w:p>
        </w:tc>
        <w:tc>
          <w:tcPr>
            <w:tcW w:w="3251" w:type="dxa"/>
            <w:vAlign w:val="center"/>
          </w:tcPr>
          <w:p w14:paraId="1C3BB106">
            <w:pPr>
              <w:spacing w:line="240" w:lineRule="auto"/>
              <w:jc w:val="center"/>
              <w:rPr>
                <w:rFonts w:hint="eastAsia" w:ascii="宋体" w:hAnsi="宋体" w:eastAsia="宋体" w:cs="宋体"/>
                <w:b/>
                <w:color w:val="auto"/>
                <w:spacing w:val="6"/>
                <w:sz w:val="21"/>
                <w:szCs w:val="21"/>
                <w:highlight w:val="none"/>
                <w:vertAlign w:val="baseline"/>
                <w:lang w:val="en-US" w:eastAsia="zh-CN"/>
              </w:rPr>
            </w:pPr>
            <w:r>
              <w:rPr>
                <w:rFonts w:hint="eastAsia" w:ascii="宋体" w:hAnsi="宋体" w:eastAsia="宋体" w:cs="宋体"/>
                <w:b/>
                <w:color w:val="auto"/>
                <w:spacing w:val="6"/>
                <w:sz w:val="21"/>
                <w:szCs w:val="21"/>
                <w:highlight w:val="none"/>
                <w:vertAlign w:val="baseline"/>
                <w:lang w:val="en-US" w:eastAsia="zh-CN"/>
              </w:rPr>
              <w:t>资产总额</w:t>
            </w:r>
          </w:p>
        </w:tc>
      </w:tr>
      <w:tr w14:paraId="44BE1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31357BF7">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货币金融服务</w:t>
            </w:r>
          </w:p>
        </w:tc>
        <w:tc>
          <w:tcPr>
            <w:tcW w:w="1168" w:type="dxa"/>
            <w:vMerge w:val="restart"/>
            <w:vAlign w:val="center"/>
          </w:tcPr>
          <w:p w14:paraId="475405CC">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货币银行服务</w:t>
            </w:r>
          </w:p>
        </w:tc>
        <w:tc>
          <w:tcPr>
            <w:tcW w:w="1817" w:type="dxa"/>
            <w:vMerge w:val="restart"/>
            <w:vAlign w:val="center"/>
          </w:tcPr>
          <w:p w14:paraId="381F6E72">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银行业存款类金融机构</w:t>
            </w:r>
          </w:p>
        </w:tc>
        <w:tc>
          <w:tcPr>
            <w:tcW w:w="1143" w:type="dxa"/>
            <w:vAlign w:val="center"/>
          </w:tcPr>
          <w:p w14:paraId="628BA547">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中型</w:t>
            </w:r>
          </w:p>
        </w:tc>
        <w:tc>
          <w:tcPr>
            <w:tcW w:w="3251" w:type="dxa"/>
            <w:vAlign w:val="center"/>
          </w:tcPr>
          <w:p w14:paraId="589F60DB">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5000亿元（含）至40000亿元</w:t>
            </w:r>
          </w:p>
        </w:tc>
      </w:tr>
      <w:tr w14:paraId="4903F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0A1E590E">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2A4B58A5">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53A298A8">
            <w:pPr>
              <w:spacing w:line="240" w:lineRule="auto"/>
              <w:jc w:val="both"/>
              <w:rPr>
                <w:rFonts w:hint="eastAsia" w:ascii="宋体" w:hAnsi="宋体" w:eastAsia="宋体" w:cs="宋体"/>
                <w:color w:val="auto"/>
                <w:spacing w:val="6"/>
                <w:sz w:val="21"/>
                <w:szCs w:val="21"/>
                <w:highlight w:val="none"/>
                <w:vertAlign w:val="baseline"/>
              </w:rPr>
            </w:pPr>
          </w:p>
        </w:tc>
        <w:tc>
          <w:tcPr>
            <w:tcW w:w="1143" w:type="dxa"/>
            <w:vAlign w:val="center"/>
          </w:tcPr>
          <w:p w14:paraId="7C85371A">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471DF4D6">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50亿元（含）至5000亿元</w:t>
            </w:r>
          </w:p>
        </w:tc>
      </w:tr>
      <w:tr w14:paraId="0CE09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08808AB9">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5E067207">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6CDF36B3">
            <w:pPr>
              <w:spacing w:line="240" w:lineRule="auto"/>
              <w:jc w:val="both"/>
              <w:rPr>
                <w:rFonts w:hint="eastAsia" w:ascii="宋体" w:hAnsi="宋体" w:eastAsia="宋体" w:cs="宋体"/>
                <w:color w:val="auto"/>
                <w:spacing w:val="6"/>
                <w:sz w:val="21"/>
                <w:szCs w:val="21"/>
                <w:highlight w:val="none"/>
                <w:vertAlign w:val="baseline"/>
              </w:rPr>
            </w:pPr>
          </w:p>
        </w:tc>
        <w:tc>
          <w:tcPr>
            <w:tcW w:w="1143" w:type="dxa"/>
            <w:vAlign w:val="center"/>
          </w:tcPr>
          <w:p w14:paraId="4E76F188">
            <w:pPr>
              <w:spacing w:line="240" w:lineRule="auto"/>
              <w:jc w:val="center"/>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微型</w:t>
            </w:r>
          </w:p>
        </w:tc>
        <w:tc>
          <w:tcPr>
            <w:tcW w:w="3251" w:type="dxa"/>
            <w:vAlign w:val="center"/>
          </w:tcPr>
          <w:p w14:paraId="2271E739">
            <w:pPr>
              <w:spacing w:line="240" w:lineRule="auto"/>
              <w:jc w:val="center"/>
              <w:rPr>
                <w:rFonts w:hint="eastAsia" w:ascii="宋体" w:hAnsi="宋体" w:eastAsia="宋体" w:cs="宋体"/>
                <w:color w:val="auto"/>
                <w:spacing w:val="6"/>
                <w:sz w:val="21"/>
                <w:szCs w:val="21"/>
                <w:highlight w:val="none"/>
                <w:vertAlign w:val="baseline"/>
                <w:lang w:val="en-US"/>
              </w:rPr>
            </w:pPr>
            <w:r>
              <w:rPr>
                <w:rFonts w:hint="eastAsia" w:ascii="宋体" w:hAnsi="宋体" w:eastAsia="宋体" w:cs="宋体"/>
                <w:color w:val="auto"/>
                <w:spacing w:val="6"/>
                <w:sz w:val="21"/>
                <w:szCs w:val="21"/>
                <w:highlight w:val="none"/>
                <w:vertAlign w:val="baseline"/>
                <w:lang w:val="en-US" w:eastAsia="zh-CN"/>
              </w:rPr>
              <w:t>50亿元以下</w:t>
            </w:r>
          </w:p>
        </w:tc>
      </w:tr>
      <w:tr w14:paraId="10B50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5FC55353">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vAlign w:val="center"/>
          </w:tcPr>
          <w:p w14:paraId="3934228E">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非货币银行服务</w:t>
            </w:r>
          </w:p>
        </w:tc>
        <w:tc>
          <w:tcPr>
            <w:tcW w:w="1817" w:type="dxa"/>
            <w:vMerge w:val="restart"/>
            <w:vAlign w:val="center"/>
          </w:tcPr>
          <w:p w14:paraId="10699F20">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银行业非存款类金融机构</w:t>
            </w:r>
          </w:p>
        </w:tc>
        <w:tc>
          <w:tcPr>
            <w:tcW w:w="1143" w:type="dxa"/>
            <w:shd w:val="clear" w:color="auto" w:fill="auto"/>
            <w:vAlign w:val="center"/>
          </w:tcPr>
          <w:p w14:paraId="218E0933">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0BB9D739">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63110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57DCB60E">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51F80410">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13D131A2">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5F1D4A01">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292B9C63">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053F0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3C757D97">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136F1E65">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709A76E7">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6BC3DCC1">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vAlign w:val="center"/>
          </w:tcPr>
          <w:p w14:paraId="2387A3CD">
            <w:pPr>
              <w:spacing w:line="240" w:lineRule="auto"/>
              <w:jc w:val="center"/>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50亿元以下</w:t>
            </w:r>
          </w:p>
        </w:tc>
      </w:tr>
      <w:tr w14:paraId="7123D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1BCB72E7">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1766BF83">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restart"/>
            <w:vAlign w:val="center"/>
          </w:tcPr>
          <w:p w14:paraId="6CF4D267">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贷款公司、小额贷款公司及典当行</w:t>
            </w:r>
          </w:p>
        </w:tc>
        <w:tc>
          <w:tcPr>
            <w:tcW w:w="1143" w:type="dxa"/>
            <w:shd w:val="clear" w:color="auto" w:fill="auto"/>
            <w:vAlign w:val="center"/>
          </w:tcPr>
          <w:p w14:paraId="7D1E7132">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4E4E173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41E4A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79F328FE">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55BC4410">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39DE667F">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00FFF397">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1CE61E6F">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1751C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39326E3">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0BCBDC94">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59BE6D40">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3FF45433">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4A1E5255">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r w14:paraId="02D18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3E0200EF">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资本市场服务</w:t>
            </w:r>
          </w:p>
        </w:tc>
        <w:tc>
          <w:tcPr>
            <w:tcW w:w="1817" w:type="dxa"/>
            <w:vMerge w:val="restart"/>
            <w:vAlign w:val="center"/>
          </w:tcPr>
          <w:p w14:paraId="7BB4C522">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证券业金融机构</w:t>
            </w:r>
          </w:p>
        </w:tc>
        <w:tc>
          <w:tcPr>
            <w:tcW w:w="1143" w:type="dxa"/>
            <w:shd w:val="clear" w:color="auto" w:fill="auto"/>
            <w:vAlign w:val="center"/>
          </w:tcPr>
          <w:p w14:paraId="0A7422B1">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4B210404">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100亿元（含）至1000亿元</w:t>
            </w:r>
          </w:p>
        </w:tc>
      </w:tr>
      <w:tr w14:paraId="5EEF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304DE380">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4F15D1B9">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51C889D1">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65DD2D4A">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10亿元（含）至100亿元</w:t>
            </w:r>
          </w:p>
        </w:tc>
      </w:tr>
      <w:tr w14:paraId="3D112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23A0E684">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6C5982EE">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745DF9A9">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144B2B0A">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10亿元以下</w:t>
            </w:r>
          </w:p>
        </w:tc>
      </w:tr>
      <w:tr w14:paraId="253F5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5573B06F">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保险业</w:t>
            </w:r>
          </w:p>
        </w:tc>
        <w:tc>
          <w:tcPr>
            <w:tcW w:w="1817" w:type="dxa"/>
            <w:vMerge w:val="restart"/>
            <w:vAlign w:val="center"/>
          </w:tcPr>
          <w:p w14:paraId="5562D51E">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lang w:val="en-US" w:eastAsia="zh-CN"/>
              </w:rPr>
              <w:t>保险业金融机构</w:t>
            </w:r>
          </w:p>
        </w:tc>
        <w:tc>
          <w:tcPr>
            <w:tcW w:w="1143" w:type="dxa"/>
            <w:shd w:val="clear" w:color="auto" w:fill="auto"/>
            <w:vAlign w:val="center"/>
          </w:tcPr>
          <w:p w14:paraId="498CA286">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47F31C80">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400亿元（含）至5000亿元</w:t>
            </w:r>
          </w:p>
        </w:tc>
      </w:tr>
      <w:tr w14:paraId="7639D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78ECB4E7">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3602838A">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4A677A5C">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0FFCFC50">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20亿元（含）至400亿元</w:t>
            </w:r>
          </w:p>
        </w:tc>
      </w:tr>
      <w:tr w14:paraId="6EF2F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B65578C">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12980D4B">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62BCA1CC">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23E302DC">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20亿元以下</w:t>
            </w:r>
          </w:p>
        </w:tc>
      </w:tr>
      <w:tr w14:paraId="3F695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6E1A8C85">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其他金融业</w:t>
            </w:r>
          </w:p>
        </w:tc>
        <w:tc>
          <w:tcPr>
            <w:tcW w:w="1168" w:type="dxa"/>
            <w:vMerge w:val="restart"/>
            <w:vAlign w:val="center"/>
          </w:tcPr>
          <w:p w14:paraId="226B1C36">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金融信托与管理服务</w:t>
            </w:r>
          </w:p>
        </w:tc>
        <w:tc>
          <w:tcPr>
            <w:tcW w:w="1817" w:type="dxa"/>
            <w:vMerge w:val="restart"/>
            <w:vAlign w:val="center"/>
          </w:tcPr>
          <w:p w14:paraId="356E6E71">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信托公司</w:t>
            </w:r>
          </w:p>
        </w:tc>
        <w:tc>
          <w:tcPr>
            <w:tcW w:w="1143" w:type="dxa"/>
            <w:shd w:val="clear" w:color="auto" w:fill="auto"/>
            <w:vAlign w:val="center"/>
          </w:tcPr>
          <w:p w14:paraId="2212612D">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75B7C1FB">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400亿元（含）至1000亿元</w:t>
            </w:r>
          </w:p>
        </w:tc>
      </w:tr>
      <w:tr w14:paraId="19306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5EB8745A">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1785533E">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25A44E87">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1AB091C5">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4C97DCFF">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20亿元（含）至400亿元</w:t>
            </w:r>
          </w:p>
        </w:tc>
      </w:tr>
      <w:tr w14:paraId="3B560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687C8657">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0EA81206">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30BAF668">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2522B684">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66340626">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20亿元以下</w:t>
            </w:r>
          </w:p>
        </w:tc>
      </w:tr>
      <w:tr w14:paraId="2E1CD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7E00BDF3">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vAlign w:val="center"/>
          </w:tcPr>
          <w:p w14:paraId="6E1EF37C">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控股公司服务</w:t>
            </w:r>
          </w:p>
        </w:tc>
        <w:tc>
          <w:tcPr>
            <w:tcW w:w="1817" w:type="dxa"/>
            <w:vMerge w:val="restart"/>
            <w:vAlign w:val="center"/>
          </w:tcPr>
          <w:p w14:paraId="77CB6D99">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金融控股公司</w:t>
            </w:r>
          </w:p>
        </w:tc>
        <w:tc>
          <w:tcPr>
            <w:tcW w:w="1143" w:type="dxa"/>
            <w:shd w:val="clear" w:color="auto" w:fill="auto"/>
            <w:vAlign w:val="center"/>
          </w:tcPr>
          <w:p w14:paraId="30C0DF35">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1FA9D6F4">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5000亿元（含）至40000亿元</w:t>
            </w:r>
          </w:p>
        </w:tc>
      </w:tr>
      <w:tr w14:paraId="236F5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3CA2C7C3">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3422CEA2">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1F1C5108">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4EC798D1">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2F6857C4">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50亿元（含）至5000亿元</w:t>
            </w:r>
          </w:p>
        </w:tc>
      </w:tr>
      <w:tr w14:paraId="54C8E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166DBBFC">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continue"/>
            <w:vAlign w:val="center"/>
          </w:tcPr>
          <w:p w14:paraId="12DED569">
            <w:pPr>
              <w:spacing w:line="240" w:lineRule="auto"/>
              <w:jc w:val="both"/>
              <w:rPr>
                <w:rFonts w:hint="eastAsia" w:ascii="宋体" w:hAnsi="宋体" w:eastAsia="宋体" w:cs="宋体"/>
                <w:color w:val="auto"/>
                <w:spacing w:val="6"/>
                <w:sz w:val="21"/>
                <w:szCs w:val="21"/>
                <w:highlight w:val="none"/>
                <w:vertAlign w:val="baseline"/>
              </w:rPr>
            </w:pPr>
          </w:p>
        </w:tc>
        <w:tc>
          <w:tcPr>
            <w:tcW w:w="1817" w:type="dxa"/>
            <w:vMerge w:val="continue"/>
            <w:vAlign w:val="center"/>
          </w:tcPr>
          <w:p w14:paraId="1F0EB272">
            <w:pPr>
              <w:spacing w:line="240" w:lineRule="auto"/>
              <w:jc w:val="both"/>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05CB53EC">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7AE0FC47">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r w14:paraId="5CEDE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119" w:type="dxa"/>
            <w:vMerge w:val="continue"/>
            <w:vAlign w:val="center"/>
          </w:tcPr>
          <w:p w14:paraId="4485C600">
            <w:pPr>
              <w:spacing w:line="240" w:lineRule="auto"/>
              <w:jc w:val="both"/>
              <w:rPr>
                <w:rFonts w:hint="eastAsia" w:ascii="宋体" w:hAnsi="宋体" w:eastAsia="宋体" w:cs="宋体"/>
                <w:color w:val="auto"/>
                <w:spacing w:val="6"/>
                <w:sz w:val="21"/>
                <w:szCs w:val="21"/>
                <w:highlight w:val="none"/>
                <w:vertAlign w:val="baseline"/>
              </w:rPr>
            </w:pPr>
          </w:p>
        </w:tc>
        <w:tc>
          <w:tcPr>
            <w:tcW w:w="1168" w:type="dxa"/>
            <w:vMerge w:val="restart"/>
            <w:vAlign w:val="center"/>
          </w:tcPr>
          <w:p w14:paraId="5F3FBF10">
            <w:pPr>
              <w:spacing w:line="240" w:lineRule="auto"/>
              <w:jc w:val="both"/>
              <w:rPr>
                <w:rFonts w:hint="eastAsia" w:ascii="宋体" w:hAnsi="宋体" w:eastAsia="宋体" w:cs="宋体"/>
                <w:color w:val="auto"/>
                <w:spacing w:val="6"/>
                <w:sz w:val="21"/>
                <w:szCs w:val="21"/>
                <w:highlight w:val="none"/>
                <w:vertAlign w:val="baseline"/>
                <w:lang w:val="en-US" w:eastAsia="zh-CN"/>
              </w:rPr>
            </w:pPr>
            <w:r>
              <w:rPr>
                <w:rFonts w:hint="eastAsia" w:ascii="宋体" w:hAnsi="宋体" w:eastAsia="宋体" w:cs="宋体"/>
                <w:color w:val="auto"/>
                <w:spacing w:val="6"/>
                <w:sz w:val="21"/>
                <w:szCs w:val="21"/>
                <w:highlight w:val="none"/>
                <w:vertAlign w:val="baseline"/>
                <w:lang w:val="en-US" w:eastAsia="zh-CN"/>
              </w:rPr>
              <w:t>其他未包括的金融业</w:t>
            </w:r>
          </w:p>
        </w:tc>
        <w:tc>
          <w:tcPr>
            <w:tcW w:w="1817" w:type="dxa"/>
            <w:vMerge w:val="restart"/>
            <w:vAlign w:val="center"/>
          </w:tcPr>
          <w:p w14:paraId="0F4C37F1">
            <w:pPr>
              <w:spacing w:line="240" w:lineRule="auto"/>
              <w:jc w:val="both"/>
              <w:rPr>
                <w:rFonts w:hint="eastAsia" w:ascii="宋体" w:hAnsi="宋体" w:eastAsia="宋体" w:cs="宋体"/>
                <w:color w:val="auto"/>
                <w:spacing w:val="6"/>
                <w:sz w:val="21"/>
                <w:szCs w:val="21"/>
                <w:highlight w:val="none"/>
                <w:vertAlign w:val="baseline"/>
              </w:rPr>
            </w:pPr>
            <w:r>
              <w:rPr>
                <w:rFonts w:hint="eastAsia" w:ascii="宋体" w:hAnsi="宋体" w:eastAsia="宋体" w:cs="宋体"/>
                <w:color w:val="auto"/>
                <w:spacing w:val="6"/>
                <w:sz w:val="21"/>
                <w:szCs w:val="21"/>
                <w:highlight w:val="none"/>
                <w:vertAlign w:val="baseline"/>
              </w:rPr>
              <w:t>除贷款公司、小额贷款公司、典当行以外的其他金融机构</w:t>
            </w:r>
          </w:p>
        </w:tc>
        <w:tc>
          <w:tcPr>
            <w:tcW w:w="1143" w:type="dxa"/>
            <w:shd w:val="clear" w:color="auto" w:fill="auto"/>
            <w:vAlign w:val="center"/>
          </w:tcPr>
          <w:p w14:paraId="2C5634CD">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中型</w:t>
            </w:r>
          </w:p>
        </w:tc>
        <w:tc>
          <w:tcPr>
            <w:tcW w:w="3251" w:type="dxa"/>
            <w:shd w:val="clear" w:color="auto" w:fill="auto"/>
            <w:vAlign w:val="center"/>
          </w:tcPr>
          <w:p w14:paraId="05D44C69">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200亿元（含）至1000亿元</w:t>
            </w:r>
          </w:p>
        </w:tc>
      </w:tr>
      <w:tr w14:paraId="265AA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119" w:type="dxa"/>
            <w:vMerge w:val="continue"/>
          </w:tcPr>
          <w:p w14:paraId="19481C4F">
            <w:pPr>
              <w:spacing w:line="240" w:lineRule="auto"/>
              <w:rPr>
                <w:rFonts w:hint="eastAsia" w:ascii="宋体" w:hAnsi="宋体" w:eastAsia="宋体" w:cs="宋体"/>
                <w:color w:val="auto"/>
                <w:spacing w:val="6"/>
                <w:sz w:val="21"/>
                <w:szCs w:val="21"/>
                <w:highlight w:val="none"/>
                <w:vertAlign w:val="baseline"/>
              </w:rPr>
            </w:pPr>
          </w:p>
        </w:tc>
        <w:tc>
          <w:tcPr>
            <w:tcW w:w="1168" w:type="dxa"/>
            <w:vMerge w:val="continue"/>
          </w:tcPr>
          <w:p w14:paraId="00A05E1F">
            <w:pPr>
              <w:spacing w:line="240" w:lineRule="auto"/>
              <w:rPr>
                <w:rFonts w:hint="eastAsia" w:ascii="宋体" w:hAnsi="宋体" w:eastAsia="宋体" w:cs="宋体"/>
                <w:color w:val="auto"/>
                <w:spacing w:val="6"/>
                <w:sz w:val="21"/>
                <w:szCs w:val="21"/>
                <w:highlight w:val="none"/>
                <w:vertAlign w:val="baseline"/>
              </w:rPr>
            </w:pPr>
          </w:p>
        </w:tc>
        <w:tc>
          <w:tcPr>
            <w:tcW w:w="1817" w:type="dxa"/>
            <w:vMerge w:val="continue"/>
          </w:tcPr>
          <w:p w14:paraId="4D96E4CF">
            <w:pPr>
              <w:spacing w:line="240" w:lineRule="auto"/>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2A325752">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小型</w:t>
            </w:r>
          </w:p>
        </w:tc>
        <w:tc>
          <w:tcPr>
            <w:tcW w:w="3251" w:type="dxa"/>
            <w:shd w:val="clear" w:color="auto" w:fill="auto"/>
            <w:vAlign w:val="center"/>
          </w:tcPr>
          <w:p w14:paraId="5C151242">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50亿元（含）至200亿元</w:t>
            </w:r>
          </w:p>
        </w:tc>
      </w:tr>
      <w:tr w14:paraId="50F11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19" w:type="dxa"/>
            <w:vMerge w:val="continue"/>
          </w:tcPr>
          <w:p w14:paraId="2144A8BD">
            <w:pPr>
              <w:spacing w:line="240" w:lineRule="auto"/>
              <w:rPr>
                <w:rFonts w:hint="eastAsia" w:ascii="宋体" w:hAnsi="宋体" w:eastAsia="宋体" w:cs="宋体"/>
                <w:color w:val="auto"/>
                <w:spacing w:val="6"/>
                <w:sz w:val="21"/>
                <w:szCs w:val="21"/>
                <w:highlight w:val="none"/>
                <w:vertAlign w:val="baseline"/>
              </w:rPr>
            </w:pPr>
          </w:p>
        </w:tc>
        <w:tc>
          <w:tcPr>
            <w:tcW w:w="1168" w:type="dxa"/>
            <w:vMerge w:val="continue"/>
          </w:tcPr>
          <w:p w14:paraId="355EB19D">
            <w:pPr>
              <w:spacing w:line="240" w:lineRule="auto"/>
              <w:rPr>
                <w:rFonts w:hint="eastAsia" w:ascii="宋体" w:hAnsi="宋体" w:eastAsia="宋体" w:cs="宋体"/>
                <w:color w:val="auto"/>
                <w:spacing w:val="6"/>
                <w:sz w:val="21"/>
                <w:szCs w:val="21"/>
                <w:highlight w:val="none"/>
                <w:vertAlign w:val="baseline"/>
              </w:rPr>
            </w:pPr>
          </w:p>
        </w:tc>
        <w:tc>
          <w:tcPr>
            <w:tcW w:w="1817" w:type="dxa"/>
            <w:vMerge w:val="continue"/>
          </w:tcPr>
          <w:p w14:paraId="1587DD1F">
            <w:pPr>
              <w:spacing w:line="240" w:lineRule="auto"/>
              <w:rPr>
                <w:rFonts w:hint="eastAsia" w:ascii="宋体" w:hAnsi="宋体" w:eastAsia="宋体" w:cs="宋体"/>
                <w:color w:val="auto"/>
                <w:spacing w:val="6"/>
                <w:sz w:val="21"/>
                <w:szCs w:val="21"/>
                <w:highlight w:val="none"/>
                <w:vertAlign w:val="baseline"/>
              </w:rPr>
            </w:pPr>
          </w:p>
        </w:tc>
        <w:tc>
          <w:tcPr>
            <w:tcW w:w="1143" w:type="dxa"/>
            <w:shd w:val="clear" w:color="auto" w:fill="auto"/>
            <w:vAlign w:val="center"/>
          </w:tcPr>
          <w:p w14:paraId="46AE6469">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微型</w:t>
            </w:r>
          </w:p>
        </w:tc>
        <w:tc>
          <w:tcPr>
            <w:tcW w:w="3251" w:type="dxa"/>
            <w:shd w:val="clear" w:color="auto" w:fill="auto"/>
            <w:vAlign w:val="center"/>
          </w:tcPr>
          <w:p w14:paraId="2C8BD918">
            <w:pPr>
              <w:spacing w:line="240" w:lineRule="auto"/>
              <w:jc w:val="center"/>
              <w:rPr>
                <w:rFonts w:hint="eastAsia" w:ascii="宋体" w:hAnsi="宋体" w:eastAsia="宋体" w:cs="宋体"/>
                <w:color w:val="auto"/>
                <w:spacing w:val="6"/>
                <w:kern w:val="2"/>
                <w:sz w:val="21"/>
                <w:szCs w:val="21"/>
                <w:highlight w:val="none"/>
                <w:vertAlign w:val="baseline"/>
                <w:lang w:val="en-US" w:eastAsia="zh-CN" w:bidi="ar-SA"/>
              </w:rPr>
            </w:pPr>
            <w:r>
              <w:rPr>
                <w:rFonts w:hint="eastAsia" w:ascii="宋体" w:hAnsi="宋体" w:eastAsia="宋体" w:cs="宋体"/>
                <w:color w:val="auto"/>
                <w:spacing w:val="6"/>
                <w:sz w:val="21"/>
                <w:szCs w:val="21"/>
                <w:highlight w:val="none"/>
                <w:vertAlign w:val="baseline"/>
                <w:lang w:val="en-US" w:eastAsia="zh-CN"/>
              </w:rPr>
              <w:t>50亿元以下</w:t>
            </w:r>
          </w:p>
        </w:tc>
      </w:tr>
    </w:tbl>
    <w:p w14:paraId="280667F9">
      <w:pPr>
        <w:rPr>
          <w:rFonts w:cs="宋体"/>
          <w:color w:val="auto"/>
          <w:spacing w:val="6"/>
          <w:sz w:val="21"/>
          <w:szCs w:val="21"/>
          <w:highlight w:val="none"/>
        </w:rPr>
      </w:pPr>
      <w:r>
        <w:rPr>
          <w:rFonts w:cs="宋体"/>
          <w:color w:val="auto"/>
          <w:spacing w:val="6"/>
          <w:sz w:val="21"/>
          <w:szCs w:val="21"/>
          <w:highlight w:val="none"/>
        </w:rPr>
        <w:br w:type="page"/>
      </w:r>
    </w:p>
    <w:p w14:paraId="6E3C2AA1">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bookmarkStart w:id="351" w:name="_Toc163492940"/>
      <w:r>
        <w:rPr>
          <w:rFonts w:hint="eastAsia" w:ascii="宋体" w:hAnsi="宋体" w:eastAsia="宋体" w:cstheme="minorBidi"/>
          <w:b/>
          <w:bCs/>
          <w:color w:val="auto"/>
          <w:kern w:val="2"/>
          <w:sz w:val="24"/>
          <w:szCs w:val="24"/>
          <w:highlight w:val="none"/>
          <w:lang w:val="en-US" w:eastAsia="zh-CN" w:bidi="ar-SA"/>
        </w:rPr>
        <w:t>（</w:t>
      </w:r>
      <w:r>
        <w:rPr>
          <w:rFonts w:hint="eastAsia" w:cstheme="minorBidi"/>
          <w:b/>
          <w:bCs/>
          <w:color w:val="auto"/>
          <w:kern w:val="2"/>
          <w:sz w:val="24"/>
          <w:szCs w:val="24"/>
          <w:highlight w:val="none"/>
          <w:lang w:val="en-US" w:eastAsia="zh-CN" w:bidi="ar-SA"/>
        </w:rPr>
        <w:t>四</w:t>
      </w:r>
      <w:r>
        <w:rPr>
          <w:rFonts w:hint="eastAsia" w:ascii="宋体" w:hAnsi="宋体" w:eastAsia="宋体" w:cstheme="minorBidi"/>
          <w:b/>
          <w:bCs/>
          <w:color w:val="auto"/>
          <w:kern w:val="2"/>
          <w:sz w:val="24"/>
          <w:szCs w:val="24"/>
          <w:highlight w:val="none"/>
          <w:lang w:val="en-US" w:eastAsia="zh-CN" w:bidi="ar-SA"/>
        </w:rPr>
        <w:t>）监狱企业证明文件</w:t>
      </w:r>
      <w:r>
        <w:rPr>
          <w:rFonts w:hint="eastAsia" w:ascii="宋体" w:hAnsi="宋体" w:eastAsia="宋体" w:cstheme="minorBidi"/>
          <w:b w:val="0"/>
          <w:bCs w:val="0"/>
          <w:color w:val="auto"/>
          <w:kern w:val="2"/>
          <w:sz w:val="24"/>
          <w:szCs w:val="24"/>
          <w:highlight w:val="none"/>
          <w:lang w:val="en-US" w:eastAsia="zh-CN" w:bidi="ar-SA"/>
        </w:rPr>
        <w:t>【如适用】</w:t>
      </w:r>
      <w:bookmarkEnd w:id="351"/>
    </w:p>
    <w:p w14:paraId="06111390">
      <w:pPr>
        <w:rPr>
          <w:rFonts w:cs="仿宋_GB2312"/>
          <w:b/>
          <w:color w:val="auto"/>
          <w:sz w:val="28"/>
          <w:szCs w:val="28"/>
          <w:highlight w:val="none"/>
        </w:rPr>
      </w:pPr>
    </w:p>
    <w:p w14:paraId="2B40F040">
      <w:pPr>
        <w:adjustRightInd w:val="0"/>
        <w:snapToGrid w:val="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【监狱企业应当提供由省级及以上监狱管理局、戒毒管理局（含新疆生产建设兵团）出具的监狱企业的证明文件，格式</w:t>
      </w:r>
      <w:r>
        <w:rPr>
          <w:rFonts w:hint="eastAsia" w:ascii="宋体" w:hAnsi="宋体" w:eastAsia="宋体" w:cs="宋体"/>
          <w:color w:val="auto"/>
          <w:sz w:val="24"/>
          <w:szCs w:val="24"/>
          <w:highlight w:val="none"/>
          <w:lang w:val="en-US" w:eastAsia="zh-CN"/>
        </w:rPr>
        <w:t>如下</w:t>
      </w:r>
      <w:r>
        <w:rPr>
          <w:rFonts w:hint="eastAsia" w:ascii="宋体" w:hAnsi="宋体" w:eastAsia="宋体" w:cs="宋体"/>
          <w:color w:val="auto"/>
          <w:sz w:val="24"/>
          <w:szCs w:val="24"/>
          <w:highlight w:val="none"/>
        </w:rPr>
        <w:t>】。</w:t>
      </w:r>
    </w:p>
    <w:p w14:paraId="746F235E">
      <w:pPr>
        <w:pStyle w:val="18"/>
        <w:spacing w:line="360" w:lineRule="auto"/>
        <w:jc w:val="center"/>
        <w:rPr>
          <w:rFonts w:hint="eastAsia" w:ascii="宋体" w:hAnsi="宋体" w:eastAsia="宋体" w:cs="宋体"/>
          <w:b/>
          <w:bCs w:val="0"/>
          <w:color w:val="auto"/>
          <w:sz w:val="32"/>
          <w:szCs w:val="32"/>
          <w:highlight w:val="none"/>
        </w:rPr>
      </w:pPr>
    </w:p>
    <w:p w14:paraId="62625259">
      <w:pPr>
        <w:pStyle w:val="18"/>
        <w:spacing w:line="360" w:lineRule="auto"/>
        <w:jc w:val="center"/>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监狱企业证明函</w:t>
      </w:r>
    </w:p>
    <w:p w14:paraId="45D9F479">
      <w:pPr>
        <w:spacing w:line="360" w:lineRule="auto"/>
        <w:rPr>
          <w:rFonts w:hint="eastAsia" w:ascii="仿宋_GB2312" w:hAnsi="仿宋_GB2312" w:eastAsia="仿宋_GB2312" w:cs="仿宋_GB2312"/>
          <w:color w:val="auto"/>
          <w:sz w:val="32"/>
          <w:szCs w:val="32"/>
          <w:highlight w:val="none"/>
        </w:rPr>
      </w:pPr>
    </w:p>
    <w:p w14:paraId="6648F315">
      <w:pPr>
        <w:ind w:firstLine="504" w:firstLineChars="200"/>
        <w:rPr>
          <w:rFonts w:hint="eastAsia" w:ascii="宋体" w:hAnsi="宋体" w:eastAsia="宋体" w:cs="宋体"/>
          <w:color w:val="auto"/>
          <w:spacing w:val="6"/>
          <w:szCs w:val="24"/>
          <w:highlight w:val="none"/>
        </w:rPr>
      </w:pPr>
      <w:r>
        <w:rPr>
          <w:rFonts w:hint="eastAsia" w:ascii="宋体" w:hAnsi="宋体" w:eastAsia="宋体" w:cs="宋体"/>
          <w:color w:val="auto"/>
          <w:spacing w:val="6"/>
          <w:szCs w:val="24"/>
          <w:highlight w:val="none"/>
        </w:rPr>
        <w:t>本公司郑重声明，根据财政部、司法部《关于政府采购支持监狱企业发展有关问题的通知》（财库</w:t>
      </w:r>
      <w:r>
        <w:rPr>
          <w:rFonts w:hint="eastAsia" w:ascii="宋体" w:hAnsi="宋体" w:eastAsia="宋体" w:cs="宋体"/>
          <w:color w:val="auto"/>
          <w:spacing w:val="6"/>
          <w:szCs w:val="24"/>
          <w:highlight w:val="none"/>
          <w:lang w:eastAsia="zh-CN"/>
        </w:rPr>
        <w:t>〔</w:t>
      </w:r>
      <w:r>
        <w:rPr>
          <w:rFonts w:hint="eastAsia" w:ascii="宋体" w:hAnsi="宋体" w:eastAsia="宋体" w:cs="宋体"/>
          <w:color w:val="auto"/>
          <w:spacing w:val="6"/>
          <w:szCs w:val="24"/>
          <w:highlight w:val="none"/>
        </w:rPr>
        <w:t>2014</w:t>
      </w:r>
      <w:r>
        <w:rPr>
          <w:rFonts w:hint="eastAsia" w:ascii="宋体" w:hAnsi="宋体" w:eastAsia="宋体" w:cs="宋体"/>
          <w:color w:val="auto"/>
          <w:spacing w:val="6"/>
          <w:szCs w:val="24"/>
          <w:highlight w:val="none"/>
          <w:lang w:eastAsia="zh-CN"/>
        </w:rPr>
        <w:t>〕</w:t>
      </w:r>
      <w:r>
        <w:rPr>
          <w:rFonts w:hint="eastAsia" w:ascii="宋体" w:hAnsi="宋体" w:eastAsia="宋体" w:cs="宋体"/>
          <w:color w:val="auto"/>
          <w:spacing w:val="6"/>
          <w:szCs w:val="24"/>
          <w:highlight w:val="none"/>
        </w:rPr>
        <w:t>68号）的规定，本公司为监狱企业。</w:t>
      </w:r>
    </w:p>
    <w:p w14:paraId="02E40321">
      <w:pPr>
        <w:spacing w:line="360" w:lineRule="auto"/>
        <w:rPr>
          <w:rFonts w:hint="eastAsia" w:ascii="宋体" w:hAnsi="宋体" w:eastAsia="宋体" w:cs="宋体"/>
          <w:color w:val="auto"/>
          <w:sz w:val="24"/>
          <w:szCs w:val="24"/>
          <w:highlight w:val="none"/>
        </w:rPr>
      </w:pPr>
    </w:p>
    <w:p w14:paraId="6706C5BF">
      <w:pPr>
        <w:ind w:firstLine="4440" w:firstLineChars="1850"/>
        <w:rPr>
          <w:rFonts w:hint="eastAsia" w:ascii="宋体" w:hAnsi="宋体" w:eastAsia="宋体" w:cs="宋体"/>
          <w:color w:val="auto"/>
          <w:sz w:val="24"/>
          <w:szCs w:val="24"/>
          <w:highlight w:val="none"/>
        </w:rPr>
      </w:pPr>
    </w:p>
    <w:p w14:paraId="7E234854">
      <w:pPr>
        <w:ind w:firstLine="4440" w:firstLineChars="1850"/>
        <w:rPr>
          <w:rFonts w:hint="eastAsia" w:ascii="宋体" w:hAnsi="宋体" w:eastAsia="宋体" w:cs="宋体"/>
          <w:color w:val="auto"/>
          <w:sz w:val="24"/>
          <w:szCs w:val="24"/>
          <w:highlight w:val="none"/>
        </w:rPr>
      </w:pPr>
    </w:p>
    <w:p w14:paraId="2B0401D1">
      <w:pPr>
        <w:ind w:right="1008" w:firstLine="4284" w:firstLineChars="17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lang w:val="en-US" w:eastAsia="zh-CN"/>
        </w:rPr>
        <w:t>投标人</w:t>
      </w:r>
      <w:r>
        <w:rPr>
          <w:rFonts w:hint="eastAsia" w:ascii="宋体" w:hAnsi="宋体" w:eastAsia="宋体" w:cs="宋体"/>
          <w:color w:val="auto"/>
          <w:spacing w:val="6"/>
          <w:sz w:val="24"/>
          <w:szCs w:val="24"/>
          <w:highlight w:val="none"/>
        </w:rPr>
        <w:t>名称</w:t>
      </w:r>
      <w:r>
        <w:rPr>
          <w:rFonts w:hint="eastAsia" w:ascii="宋体" w:hAnsi="宋体" w:eastAsia="宋体" w:cs="宋体"/>
          <w:color w:val="auto"/>
          <w:szCs w:val="24"/>
          <w:highlight w:val="none"/>
          <w:lang w:eastAsia="zh-CN"/>
        </w:rPr>
        <w:t>（</w:t>
      </w:r>
      <w:r>
        <w:rPr>
          <w:rFonts w:hint="eastAsia" w:ascii="宋体" w:hAnsi="宋体" w:eastAsia="宋体"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highlight w:val="none"/>
          <w:lang w:val="zh-CN"/>
        </w:rPr>
        <w:t>)</w:t>
      </w:r>
      <w:r>
        <w:rPr>
          <w:rFonts w:hint="eastAsia" w:ascii="宋体" w:hAnsi="宋体" w:eastAsia="宋体" w:cs="宋体"/>
          <w:color w:val="auto"/>
          <w:spacing w:val="6"/>
          <w:sz w:val="24"/>
          <w:szCs w:val="24"/>
          <w:highlight w:val="none"/>
        </w:rPr>
        <w:t>：</w:t>
      </w:r>
    </w:p>
    <w:p w14:paraId="5C068057">
      <w:pPr>
        <w:ind w:right="1008" w:firstLine="4284" w:firstLineChars="1700"/>
        <w:rPr>
          <w:rFonts w:hint="eastAsia" w:ascii="宋体" w:hAnsi="宋体" w:eastAsia="宋体" w:cs="宋体"/>
          <w:color w:val="auto"/>
          <w:spacing w:val="6"/>
          <w:sz w:val="24"/>
          <w:szCs w:val="24"/>
          <w:highlight w:val="none"/>
          <w:lang w:val="en-US" w:eastAsia="zh-CN"/>
        </w:rPr>
      </w:pPr>
      <w:r>
        <w:rPr>
          <w:rFonts w:hint="eastAsia" w:ascii="宋体" w:hAnsi="宋体" w:eastAsia="宋体" w:cs="宋体"/>
          <w:color w:val="auto"/>
          <w:spacing w:val="6"/>
          <w:sz w:val="24"/>
          <w:szCs w:val="24"/>
          <w:highlight w:val="none"/>
        </w:rPr>
        <w:t>日期：</w:t>
      </w:r>
      <w:r>
        <w:rPr>
          <w:rFonts w:hint="eastAsia" w:ascii="宋体" w:hAnsi="宋体" w:eastAsia="宋体" w:cs="宋体"/>
          <w:color w:val="auto"/>
          <w:spacing w:val="6"/>
          <w:sz w:val="24"/>
          <w:szCs w:val="24"/>
          <w:highlight w:val="none"/>
          <w:lang w:val="en-US" w:eastAsia="zh-CN"/>
        </w:rPr>
        <w:t xml:space="preserve">   年  月  日</w:t>
      </w:r>
    </w:p>
    <w:p w14:paraId="25A59B6A">
      <w:pPr>
        <w:spacing w:line="360" w:lineRule="auto"/>
        <w:ind w:firstLine="240" w:firstLineChars="100"/>
        <w:rPr>
          <w:rFonts w:hint="eastAsia" w:ascii="宋体" w:hAnsi="宋体" w:eastAsia="宋体" w:cs="宋体"/>
          <w:color w:val="auto"/>
          <w:sz w:val="24"/>
          <w:szCs w:val="24"/>
          <w:highlight w:val="none"/>
        </w:rPr>
      </w:pPr>
    </w:p>
    <w:p w14:paraId="1159514D">
      <w:pPr>
        <w:spacing w:line="360" w:lineRule="auto"/>
        <w:ind w:firstLine="240" w:firstLineChars="100"/>
        <w:rPr>
          <w:rFonts w:hint="eastAsia" w:ascii="宋体" w:hAnsi="宋体" w:eastAsia="宋体" w:cs="宋体"/>
          <w:color w:val="auto"/>
          <w:sz w:val="24"/>
          <w:szCs w:val="24"/>
          <w:highlight w:val="none"/>
        </w:rPr>
      </w:pPr>
    </w:p>
    <w:p w14:paraId="6BB831EC">
      <w:pPr>
        <w:spacing w:line="360" w:lineRule="auto"/>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省级以上监狱管理局、戒毒管理局</w:t>
      </w:r>
    </w:p>
    <w:p w14:paraId="51126604">
      <w:pPr>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（含新疆生产建设兵团）</w:t>
      </w:r>
      <w:r>
        <w:rPr>
          <w:rFonts w:hint="eastAsia" w:ascii="宋体" w:hAnsi="宋体" w:eastAsia="宋体" w:cs="宋体"/>
          <w:color w:val="auto"/>
          <w:kern w:val="0"/>
          <w:sz w:val="24"/>
          <w:highlight w:val="none"/>
          <w:lang w:val="zh-CN"/>
        </w:rPr>
        <w:t>(</w:t>
      </w:r>
      <w:r>
        <w:rPr>
          <w:rFonts w:hint="eastAsia" w:ascii="宋体" w:hAnsi="宋体" w:eastAsia="宋体" w:cs="宋体"/>
          <w:color w:val="auto"/>
          <w:kern w:val="0"/>
          <w:sz w:val="24"/>
          <w:szCs w:val="24"/>
          <w:highlight w:val="none"/>
          <w:lang w:eastAsia="zh-CN"/>
        </w:rPr>
        <w:t>盖章</w:t>
      </w:r>
      <w:r>
        <w:rPr>
          <w:rFonts w:hint="eastAsia" w:ascii="宋体" w:hAnsi="宋体" w:eastAsia="宋体" w:cs="宋体"/>
          <w:color w:val="auto"/>
          <w:kern w:val="0"/>
          <w:sz w:val="24"/>
          <w:highlight w:val="none"/>
          <w:lang w:val="zh-CN"/>
        </w:rPr>
        <w:t>)</w:t>
      </w:r>
      <w:r>
        <w:rPr>
          <w:rFonts w:hint="eastAsia" w:ascii="宋体" w:hAnsi="宋体" w:eastAsia="宋体" w:cs="宋体"/>
          <w:color w:val="auto"/>
          <w:sz w:val="24"/>
          <w:szCs w:val="24"/>
          <w:highlight w:val="none"/>
        </w:rPr>
        <w:t xml:space="preserve">：  </w:t>
      </w:r>
    </w:p>
    <w:p w14:paraId="234043EB">
      <w:pPr>
        <w:ind w:firstLine="4320" w:firstLineChars="18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pacing w:val="6"/>
          <w:sz w:val="24"/>
          <w:szCs w:val="24"/>
          <w:highlight w:val="none"/>
          <w:lang w:val="en-US" w:eastAsia="zh-CN"/>
        </w:rPr>
        <w:t xml:space="preserve">   年  月  日</w:t>
      </w:r>
    </w:p>
    <w:p w14:paraId="7254B813">
      <w:pPr>
        <w:spacing w:line="360" w:lineRule="auto"/>
        <w:ind w:firstLine="240" w:firstLineChars="100"/>
        <w:rPr>
          <w:rFonts w:hint="eastAsia" w:ascii="宋体" w:hAnsi="宋体" w:eastAsia="宋体" w:cs="宋体"/>
          <w:color w:val="auto"/>
          <w:sz w:val="24"/>
          <w:szCs w:val="24"/>
          <w:highlight w:val="none"/>
        </w:rPr>
      </w:pPr>
    </w:p>
    <w:p w14:paraId="237BAD4C">
      <w:pPr>
        <w:spacing w:line="360" w:lineRule="auto"/>
        <w:ind w:firstLine="4000" w:firstLineChars="1250"/>
        <w:rPr>
          <w:rFonts w:hint="eastAsia" w:ascii="仿宋_GB2312" w:hAnsi="仿宋_GB2312" w:eastAsia="仿宋_GB2312" w:cs="仿宋_GB2312"/>
          <w:color w:val="auto"/>
          <w:sz w:val="32"/>
          <w:szCs w:val="32"/>
          <w:highlight w:val="none"/>
        </w:rPr>
      </w:pPr>
    </w:p>
    <w:p w14:paraId="753DF9AF">
      <w:pPr>
        <w:spacing w:line="360" w:lineRule="auto"/>
        <w:rPr>
          <w:rFonts w:hint="eastAsia" w:ascii="仿宋_GB2312" w:hAnsi="仿宋_GB2312" w:eastAsia="仿宋_GB2312" w:cs="仿宋_GB2312"/>
          <w:color w:val="auto"/>
          <w:sz w:val="32"/>
          <w:szCs w:val="32"/>
          <w:highlight w:val="none"/>
        </w:rPr>
      </w:pPr>
    </w:p>
    <w:p w14:paraId="1B4E471B">
      <w:pPr>
        <w:widowControl/>
        <w:spacing w:before="100" w:beforeAutospacing="1" w:after="100" w:afterAutospacing="1"/>
        <w:rPr>
          <w:rFonts w:ascii="Arial" w:hAnsi="Arial" w:cs="Arial"/>
          <w:color w:val="auto"/>
          <w:sz w:val="21"/>
          <w:szCs w:val="21"/>
          <w:highlight w:val="none"/>
        </w:rPr>
      </w:pPr>
    </w:p>
    <w:p w14:paraId="3C4266F3">
      <w:pPr>
        <w:widowControl/>
        <w:spacing w:before="100" w:beforeAutospacing="1" w:after="100" w:afterAutospacing="1"/>
        <w:rPr>
          <w:rFonts w:ascii="Arial" w:hAnsi="Arial" w:cs="Arial"/>
          <w:color w:val="auto"/>
          <w:sz w:val="21"/>
          <w:szCs w:val="21"/>
          <w:highlight w:val="none"/>
        </w:rPr>
      </w:pPr>
    </w:p>
    <w:p w14:paraId="2D848149">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bookmarkStart w:id="352" w:name="_Toc163492941"/>
    </w:p>
    <w:p w14:paraId="08306967">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r>
        <w:rPr>
          <w:rFonts w:hint="eastAsia" w:ascii="宋体" w:hAnsi="宋体" w:eastAsia="宋体" w:cstheme="minorBidi"/>
          <w:b/>
          <w:bCs/>
          <w:color w:val="auto"/>
          <w:kern w:val="2"/>
          <w:sz w:val="24"/>
          <w:szCs w:val="24"/>
          <w:highlight w:val="none"/>
          <w:lang w:val="en-US" w:eastAsia="zh-CN" w:bidi="ar-SA"/>
        </w:rPr>
        <w:t>（</w:t>
      </w:r>
      <w:r>
        <w:rPr>
          <w:rFonts w:hint="eastAsia" w:cstheme="minorBidi"/>
          <w:b/>
          <w:bCs/>
          <w:color w:val="auto"/>
          <w:kern w:val="2"/>
          <w:sz w:val="24"/>
          <w:szCs w:val="24"/>
          <w:highlight w:val="none"/>
          <w:lang w:val="en-US" w:eastAsia="zh-CN" w:bidi="ar-SA"/>
        </w:rPr>
        <w:t>五</w:t>
      </w:r>
      <w:r>
        <w:rPr>
          <w:rFonts w:hint="eastAsia" w:ascii="宋体" w:hAnsi="宋体" w:eastAsia="宋体" w:cstheme="minorBidi"/>
          <w:b/>
          <w:bCs/>
          <w:color w:val="auto"/>
          <w:kern w:val="2"/>
          <w:sz w:val="24"/>
          <w:szCs w:val="24"/>
          <w:highlight w:val="none"/>
          <w:lang w:val="en-US" w:eastAsia="zh-CN" w:bidi="ar-SA"/>
        </w:rPr>
        <w:t>）残疾人福利性单位声明函</w:t>
      </w:r>
      <w:r>
        <w:rPr>
          <w:rFonts w:hint="eastAsia" w:ascii="宋体" w:hAnsi="宋体" w:eastAsia="宋体" w:cstheme="minorBidi"/>
          <w:b w:val="0"/>
          <w:bCs w:val="0"/>
          <w:color w:val="auto"/>
          <w:kern w:val="2"/>
          <w:sz w:val="24"/>
          <w:szCs w:val="24"/>
          <w:highlight w:val="none"/>
          <w:lang w:val="en-US" w:eastAsia="zh-CN" w:bidi="ar-SA"/>
        </w:rPr>
        <w:t>【如适用】</w:t>
      </w:r>
      <w:bookmarkEnd w:id="352"/>
    </w:p>
    <w:p w14:paraId="56DE9882">
      <w:pPr>
        <w:pStyle w:val="41"/>
        <w:numPr>
          <w:ilvl w:val="0"/>
          <w:numId w:val="0"/>
        </w:numPr>
        <w:ind w:left="420" w:leftChars="0" w:hanging="420" w:firstLineChars="0"/>
        <w:jc w:val="center"/>
        <w:rPr>
          <w:rFonts w:hint="eastAsia"/>
          <w:b/>
          <w:bCs/>
          <w:color w:val="auto"/>
          <w:sz w:val="32"/>
          <w:szCs w:val="32"/>
          <w:highlight w:val="none"/>
        </w:rPr>
      </w:pPr>
    </w:p>
    <w:p w14:paraId="61959F84">
      <w:pPr>
        <w:pStyle w:val="41"/>
        <w:numPr>
          <w:ilvl w:val="0"/>
          <w:numId w:val="0"/>
        </w:numPr>
        <w:ind w:left="420" w:leftChars="0" w:hanging="420" w:firstLineChars="0"/>
        <w:jc w:val="center"/>
        <w:rPr>
          <w:b/>
          <w:bCs/>
          <w:color w:val="auto"/>
          <w:sz w:val="32"/>
          <w:szCs w:val="32"/>
          <w:highlight w:val="none"/>
        </w:rPr>
      </w:pPr>
      <w:r>
        <w:rPr>
          <w:rFonts w:hint="eastAsia"/>
          <w:b/>
          <w:bCs/>
          <w:color w:val="auto"/>
          <w:sz w:val="32"/>
          <w:szCs w:val="32"/>
          <w:highlight w:val="none"/>
        </w:rPr>
        <w:t>残疾人福利性单位声明函</w:t>
      </w:r>
    </w:p>
    <w:p w14:paraId="5E3FD095">
      <w:pPr>
        <w:wordWrap w:val="0"/>
        <w:ind w:firstLine="480" w:firstLineChars="200"/>
        <w:rPr>
          <w:rFonts w:hint="eastAsia"/>
          <w:color w:val="auto"/>
          <w:szCs w:val="24"/>
          <w:highlight w:val="none"/>
        </w:rPr>
      </w:pPr>
    </w:p>
    <w:p w14:paraId="255075E4">
      <w:pPr>
        <w:wordWrap w:val="0"/>
        <w:ind w:firstLine="480" w:firstLineChars="200"/>
        <w:rPr>
          <w:i w:val="0"/>
          <w:iCs w:val="0"/>
          <w:color w:val="auto"/>
          <w:szCs w:val="24"/>
          <w:highlight w:val="none"/>
        </w:rPr>
      </w:pPr>
      <w:r>
        <w:rPr>
          <w:rFonts w:hint="eastAsia"/>
          <w:i w:val="0"/>
          <w:iCs w:val="0"/>
          <w:color w:val="auto"/>
          <w:szCs w:val="24"/>
          <w:highlight w:val="none"/>
        </w:rPr>
        <w:t>本公司（联合体）郑重声明，根据《财政部 民政部 中国残疾人联合会关于促进残疾人就业政府采购政策的通知》（财库〔2017〕141号）的规定，本公司（联合体）参加</w:t>
      </w:r>
      <w:r>
        <w:rPr>
          <w:rFonts w:hint="eastAsia"/>
          <w:i w:val="0"/>
          <w:iCs w:val="0"/>
          <w:color w:val="auto"/>
          <w:szCs w:val="24"/>
          <w:highlight w:val="none"/>
          <w:u w:val="single"/>
        </w:rPr>
        <w:t xml:space="preserve"> （单位名称） </w:t>
      </w:r>
      <w:r>
        <w:rPr>
          <w:rFonts w:hint="eastAsia"/>
          <w:i w:val="0"/>
          <w:iCs w:val="0"/>
          <w:color w:val="auto"/>
          <w:szCs w:val="24"/>
          <w:highlight w:val="none"/>
        </w:rPr>
        <w:t>的</w:t>
      </w:r>
      <w:r>
        <w:rPr>
          <w:rFonts w:hint="eastAsia"/>
          <w:i w:val="0"/>
          <w:iCs w:val="0"/>
          <w:color w:val="auto"/>
          <w:szCs w:val="24"/>
          <w:highlight w:val="none"/>
          <w:u w:val="single"/>
        </w:rPr>
        <w:t xml:space="preserve"> （项目名称） </w:t>
      </w:r>
      <w:r>
        <w:rPr>
          <w:rFonts w:hint="eastAsia"/>
          <w:i w:val="0"/>
          <w:iCs w:val="0"/>
          <w:color w:val="auto"/>
          <w:szCs w:val="24"/>
          <w:highlight w:val="none"/>
        </w:rPr>
        <w:t>采购活动，提供的货物</w:t>
      </w:r>
      <w:r>
        <w:rPr>
          <w:rFonts w:hint="eastAsia"/>
          <w:b/>
          <w:i w:val="0"/>
          <w:iCs w:val="0"/>
          <w:color w:val="auto"/>
          <w:szCs w:val="24"/>
          <w:highlight w:val="none"/>
        </w:rPr>
        <w:t>全部由</w:t>
      </w:r>
      <w:r>
        <w:rPr>
          <w:rFonts w:hint="eastAsia"/>
          <w:i w:val="0"/>
          <w:iCs w:val="0"/>
          <w:color w:val="auto"/>
          <w:szCs w:val="24"/>
          <w:highlight w:val="none"/>
        </w:rPr>
        <w:t>符合政策要求的</w:t>
      </w:r>
      <w:r>
        <w:rPr>
          <w:rFonts w:hint="eastAsia"/>
          <w:b/>
          <w:i w:val="0"/>
          <w:iCs w:val="0"/>
          <w:color w:val="auto"/>
          <w:szCs w:val="24"/>
          <w:highlight w:val="none"/>
        </w:rPr>
        <w:t>残疾人福利性单位制造</w:t>
      </w:r>
      <w:r>
        <w:rPr>
          <w:rFonts w:hint="eastAsia"/>
          <w:i w:val="0"/>
          <w:iCs w:val="0"/>
          <w:color w:val="auto"/>
          <w:szCs w:val="24"/>
          <w:highlight w:val="none"/>
        </w:rPr>
        <w:t>。相关企业（含联合体中的残疾人福利性单位、签订分包意向协议</w:t>
      </w:r>
      <w:r>
        <w:rPr>
          <w:rFonts w:hint="eastAsia"/>
          <w:i w:val="0"/>
          <w:iCs w:val="0"/>
          <w:color w:val="auto"/>
          <w:szCs w:val="24"/>
          <w:highlight w:val="none"/>
          <w:lang w:val="en-US" w:eastAsia="zh-CN"/>
        </w:rPr>
        <w:t>书</w:t>
      </w:r>
      <w:r>
        <w:rPr>
          <w:rFonts w:hint="eastAsia"/>
          <w:i w:val="0"/>
          <w:iCs w:val="0"/>
          <w:color w:val="auto"/>
          <w:szCs w:val="24"/>
          <w:highlight w:val="none"/>
        </w:rPr>
        <w:t>的残疾人福利性单位）的具体情况如下：</w:t>
      </w:r>
    </w:p>
    <w:p w14:paraId="43A23413">
      <w:pPr>
        <w:wordWrap w:val="0"/>
        <w:ind w:firstLine="480" w:firstLineChars="200"/>
        <w:rPr>
          <w:i w:val="0"/>
          <w:iCs w:val="0"/>
          <w:color w:val="auto"/>
          <w:szCs w:val="24"/>
          <w:highlight w:val="none"/>
        </w:rPr>
      </w:pPr>
      <w:r>
        <w:rPr>
          <w:rFonts w:hint="eastAsia"/>
          <w:i w:val="0"/>
          <w:iCs w:val="0"/>
          <w:color w:val="auto"/>
          <w:szCs w:val="24"/>
          <w:highlight w:val="none"/>
        </w:rPr>
        <w:t>1.</w:t>
      </w:r>
      <w:r>
        <w:rPr>
          <w:rFonts w:hint="eastAsia"/>
          <w:i w:val="0"/>
          <w:iCs w:val="0"/>
          <w:color w:val="auto"/>
          <w:szCs w:val="24"/>
          <w:highlight w:val="none"/>
          <w:u w:val="single"/>
        </w:rPr>
        <w:t xml:space="preserve"> （标的名称） </w:t>
      </w:r>
      <w:r>
        <w:rPr>
          <w:rFonts w:hint="eastAsia"/>
          <w:i w:val="0"/>
          <w:iCs w:val="0"/>
          <w:color w:val="auto"/>
          <w:szCs w:val="24"/>
          <w:highlight w:val="none"/>
        </w:rPr>
        <w:t xml:space="preserve">，制造商为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222A8008">
      <w:pPr>
        <w:wordWrap w:val="0"/>
        <w:ind w:firstLine="480" w:firstLineChars="200"/>
        <w:rPr>
          <w:i w:val="0"/>
          <w:iCs w:val="0"/>
          <w:color w:val="auto"/>
          <w:szCs w:val="24"/>
          <w:highlight w:val="none"/>
        </w:rPr>
      </w:pPr>
      <w:r>
        <w:rPr>
          <w:rFonts w:hint="eastAsia"/>
          <w:i w:val="0"/>
          <w:iCs w:val="0"/>
          <w:color w:val="auto"/>
          <w:szCs w:val="24"/>
          <w:highlight w:val="none"/>
        </w:rPr>
        <w:t xml:space="preserve">2. </w:t>
      </w:r>
      <w:r>
        <w:rPr>
          <w:rFonts w:hint="eastAsia"/>
          <w:i w:val="0"/>
          <w:iCs w:val="0"/>
          <w:color w:val="auto"/>
          <w:szCs w:val="24"/>
          <w:highlight w:val="none"/>
          <w:u w:val="single"/>
        </w:rPr>
        <w:t xml:space="preserve">（标的名称） </w:t>
      </w:r>
      <w:r>
        <w:rPr>
          <w:rFonts w:hint="eastAsia"/>
          <w:i w:val="0"/>
          <w:iCs w:val="0"/>
          <w:color w:val="auto"/>
          <w:szCs w:val="24"/>
          <w:highlight w:val="none"/>
        </w:rPr>
        <w:t xml:space="preserve">，制造商为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7FAC8B32">
      <w:pPr>
        <w:wordWrap w:val="0"/>
        <w:ind w:firstLine="480" w:firstLineChars="200"/>
        <w:rPr>
          <w:i w:val="0"/>
          <w:iCs w:val="0"/>
          <w:color w:val="auto"/>
          <w:szCs w:val="24"/>
          <w:highlight w:val="none"/>
        </w:rPr>
      </w:pPr>
      <w:r>
        <w:rPr>
          <w:rFonts w:hint="eastAsia"/>
          <w:i w:val="0"/>
          <w:iCs w:val="0"/>
          <w:color w:val="auto"/>
          <w:szCs w:val="24"/>
          <w:highlight w:val="none"/>
        </w:rPr>
        <w:t>……</w:t>
      </w:r>
    </w:p>
    <w:p w14:paraId="2079C5B9">
      <w:pPr>
        <w:wordWrap w:val="0"/>
        <w:ind w:firstLine="480" w:firstLineChars="200"/>
        <w:rPr>
          <w:i w:val="0"/>
          <w:iCs w:val="0"/>
          <w:color w:val="auto"/>
          <w:szCs w:val="24"/>
          <w:highlight w:val="none"/>
        </w:rPr>
      </w:pPr>
      <w:r>
        <w:rPr>
          <w:rFonts w:hint="eastAsia"/>
          <w:i w:val="0"/>
          <w:iCs w:val="0"/>
          <w:color w:val="auto"/>
          <w:szCs w:val="24"/>
          <w:highlight w:val="none"/>
        </w:rPr>
        <w:t>以上企业，不属于大企业的分支机构，不存在控股股东为大企业的情形，也不存在与大企业的负责人为同一人的情形。</w:t>
      </w:r>
    </w:p>
    <w:p w14:paraId="52D73075">
      <w:pPr>
        <w:wordWrap w:val="0"/>
        <w:ind w:left="1087" w:leftChars="200" w:hanging="607" w:hangingChars="253"/>
        <w:rPr>
          <w:i w:val="0"/>
          <w:iCs w:val="0"/>
          <w:color w:val="auto"/>
          <w:szCs w:val="24"/>
          <w:highlight w:val="none"/>
        </w:rPr>
      </w:pPr>
      <w:r>
        <w:rPr>
          <w:rFonts w:hint="eastAsia"/>
          <w:i w:val="0"/>
          <w:iCs w:val="0"/>
          <w:color w:val="auto"/>
          <w:szCs w:val="24"/>
          <w:highlight w:val="none"/>
        </w:rPr>
        <w:t>本企业对上述声明内容的真实性负责。如有虚假，将依法承担相应责任。</w:t>
      </w:r>
    </w:p>
    <w:p w14:paraId="42D41714">
      <w:pPr>
        <w:wordWrap w:val="0"/>
        <w:ind w:left="1091" w:hanging="1091" w:hangingChars="453"/>
        <w:rPr>
          <w:b/>
          <w:bCs/>
          <w:i w:val="0"/>
          <w:iCs w:val="0"/>
          <w:color w:val="auto"/>
          <w:szCs w:val="24"/>
          <w:highlight w:val="none"/>
        </w:rPr>
      </w:pPr>
    </w:p>
    <w:p w14:paraId="473C19A8">
      <w:pPr>
        <w:wordWrap w:val="0"/>
        <w:ind w:left="1091" w:hanging="1091" w:hangingChars="453"/>
        <w:rPr>
          <w:bCs/>
          <w:i w:val="0"/>
          <w:iCs w:val="0"/>
          <w:color w:val="auto"/>
          <w:szCs w:val="24"/>
          <w:highlight w:val="none"/>
        </w:rPr>
      </w:pPr>
      <w:r>
        <w:rPr>
          <w:rFonts w:hint="eastAsia"/>
          <w:b/>
          <w:bCs/>
          <w:i w:val="0"/>
          <w:iCs w:val="0"/>
          <w:color w:val="auto"/>
          <w:szCs w:val="24"/>
          <w:highlight w:val="none"/>
        </w:rPr>
        <w:t>说明：</w:t>
      </w:r>
      <w:r>
        <w:rPr>
          <w:rFonts w:hint="eastAsia"/>
          <w:bCs/>
          <w:i w:val="0"/>
          <w:iCs w:val="0"/>
          <w:color w:val="auto"/>
          <w:szCs w:val="24"/>
          <w:highlight w:val="none"/>
        </w:rPr>
        <w:t>1、</w:t>
      </w:r>
      <w:r>
        <w:rPr>
          <w:rFonts w:hint="eastAsia"/>
          <w:bCs/>
          <w:i w:val="0"/>
          <w:iCs w:val="0"/>
          <w:color w:val="auto"/>
          <w:szCs w:val="21"/>
          <w:highlight w:val="none"/>
          <w:lang w:val="zh-CN"/>
        </w:rPr>
        <w:t>货物应当全部由符合政策要求的残疾人福利性单位生产且使用该残疾人福利性单位商号或注册商标（与代理商或投标人无关）；应当严格按上述格式及内容进行填写（应当明确每个标的的生产企业类型及相关数据），否则导致的后果由投标人自行承担；</w:t>
      </w:r>
    </w:p>
    <w:p w14:paraId="133EBBE5">
      <w:pPr>
        <w:wordWrap w:val="0"/>
        <w:ind w:left="1087" w:hanging="1087" w:hangingChars="453"/>
        <w:rPr>
          <w:rFonts w:cs="Courier New"/>
          <w:color w:val="auto"/>
          <w:szCs w:val="21"/>
          <w:highlight w:val="none"/>
        </w:rPr>
      </w:pPr>
      <w:r>
        <w:rPr>
          <w:rFonts w:hint="eastAsia"/>
          <w:bCs/>
          <w:i w:val="0"/>
          <w:iCs w:val="0"/>
          <w:color w:val="auto"/>
          <w:szCs w:val="21"/>
          <w:highlight w:val="none"/>
          <w:lang w:val="zh-CN"/>
        </w:rPr>
        <w:t xml:space="preserve">      2、</w:t>
      </w:r>
      <w:r>
        <w:rPr>
          <w:rFonts w:hint="eastAsia" w:cs="Courier New"/>
          <w:i w:val="0"/>
          <w:iCs w:val="0"/>
          <w:color w:val="auto"/>
          <w:szCs w:val="21"/>
          <w:highlight w:val="none"/>
        </w:rPr>
        <w:t>以联合体形式参加的，应</w:t>
      </w:r>
      <w:r>
        <w:rPr>
          <w:rFonts w:hint="eastAsia"/>
          <w:bCs/>
          <w:i w:val="0"/>
          <w:iCs w:val="0"/>
          <w:color w:val="auto"/>
          <w:szCs w:val="21"/>
          <w:highlight w:val="none"/>
          <w:lang w:val="zh-CN"/>
        </w:rPr>
        <w:t>当</w:t>
      </w:r>
      <w:r>
        <w:rPr>
          <w:rFonts w:hint="eastAsia" w:cs="Courier New"/>
          <w:i w:val="0"/>
          <w:iCs w:val="0"/>
          <w:color w:val="auto"/>
          <w:szCs w:val="21"/>
          <w:highlight w:val="none"/>
        </w:rPr>
        <w:t>由联合体各方盖章。</w:t>
      </w:r>
    </w:p>
    <w:p w14:paraId="0564E260">
      <w:pPr>
        <w:wordWrap w:val="0"/>
        <w:spacing w:before="100" w:beforeAutospacing="1" w:after="100" w:afterAutospacing="1"/>
        <w:ind w:firstLine="3316" w:firstLineChars="1382"/>
        <w:rPr>
          <w:bCs/>
          <w:color w:val="auto"/>
          <w:szCs w:val="21"/>
          <w:highlight w:val="none"/>
          <w:lang w:val="zh-CN"/>
        </w:rPr>
      </w:pPr>
      <w:r>
        <w:rPr>
          <w:rFonts w:hint="eastAsia"/>
          <w:bCs/>
          <w:color w:val="auto"/>
          <w:szCs w:val="21"/>
          <w:highlight w:val="none"/>
          <w:lang w:val="zh-CN"/>
        </w:rPr>
        <w:t>投标人</w:t>
      </w:r>
      <w:r>
        <w:rPr>
          <w:rFonts w:hint="eastAsia"/>
          <w:bCs/>
          <w:color w:val="auto"/>
          <w:szCs w:val="21"/>
          <w:highlight w:val="none"/>
          <w:lang w:val="en-US" w:eastAsia="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bCs/>
          <w:color w:val="auto"/>
          <w:szCs w:val="21"/>
          <w:highlight w:val="none"/>
          <w:lang w:val="zh-CN"/>
        </w:rPr>
        <w:t>：</w:t>
      </w:r>
      <w:r>
        <w:rPr>
          <w:rFonts w:hint="eastAsia"/>
          <w:bCs/>
          <w:color w:val="auto"/>
          <w:szCs w:val="21"/>
          <w:highlight w:val="none"/>
          <w:u w:val="single"/>
          <w:lang w:val="zh-CN"/>
        </w:rPr>
        <w:t xml:space="preserve">              </w:t>
      </w:r>
    </w:p>
    <w:p w14:paraId="151B43AB">
      <w:pPr>
        <w:wordWrap w:val="0"/>
        <w:spacing w:before="100" w:beforeAutospacing="1" w:after="100" w:afterAutospacing="1"/>
        <w:ind w:firstLine="3316" w:firstLineChars="1382"/>
        <w:rPr>
          <w:color w:val="auto"/>
          <w:highlight w:val="none"/>
        </w:rPr>
      </w:pPr>
      <w:r>
        <w:rPr>
          <w:rFonts w:hint="eastAsia"/>
          <w:color w:val="auto"/>
          <w:szCs w:val="24"/>
          <w:highlight w:val="none"/>
        </w:rPr>
        <w:t>日</w:t>
      </w:r>
      <w:r>
        <w:rPr>
          <w:color w:val="auto"/>
          <w:szCs w:val="24"/>
          <w:highlight w:val="none"/>
        </w:rPr>
        <w:t xml:space="preserve">  </w:t>
      </w:r>
      <w:r>
        <w:rPr>
          <w:rFonts w:hint="eastAsia"/>
          <w:color w:val="auto"/>
          <w:szCs w:val="24"/>
          <w:highlight w:val="none"/>
        </w:rPr>
        <w:t>期：</w:t>
      </w:r>
      <w:r>
        <w:rPr>
          <w:bCs/>
          <w:color w:val="auto"/>
          <w:szCs w:val="24"/>
          <w:highlight w:val="none"/>
          <w:u w:val="single"/>
        </w:rPr>
        <w:t xml:space="preserve">                         </w:t>
      </w:r>
    </w:p>
    <w:p w14:paraId="084C61D9">
      <w:pPr>
        <w:ind w:left="4620" w:firstLine="281" w:firstLineChars="100"/>
        <w:rPr>
          <w:rFonts w:cs="仿宋_GB2312"/>
          <w:b/>
          <w:color w:val="auto"/>
          <w:sz w:val="28"/>
          <w:szCs w:val="28"/>
          <w:highlight w:val="none"/>
        </w:rPr>
      </w:pPr>
    </w:p>
    <w:p w14:paraId="5CC78F7C">
      <w:pPr>
        <w:rPr>
          <w:color w:val="auto"/>
          <w:highlight w:val="none"/>
        </w:rPr>
      </w:pPr>
      <w:r>
        <w:rPr>
          <w:color w:val="auto"/>
          <w:highlight w:val="none"/>
        </w:rPr>
        <w:br w:type="page"/>
      </w:r>
    </w:p>
    <w:p w14:paraId="40DFFA10">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cstheme="majorBidi"/>
          <w:b/>
          <w:bCs/>
          <w:color w:val="auto"/>
          <w:kern w:val="2"/>
          <w:sz w:val="28"/>
          <w:szCs w:val="28"/>
          <w:highlight w:val="none"/>
          <w:lang w:val="en-US" w:eastAsia="zh-CN" w:bidi="ar-SA"/>
        </w:rPr>
      </w:pPr>
      <w:bookmarkStart w:id="353" w:name="_Toc17480"/>
      <w:bookmarkStart w:id="354" w:name="_Toc163492942"/>
      <w:r>
        <w:rPr>
          <w:rFonts w:hint="eastAsia" w:cstheme="majorBidi"/>
          <w:b/>
          <w:bCs/>
          <w:color w:val="auto"/>
          <w:kern w:val="2"/>
          <w:sz w:val="28"/>
          <w:szCs w:val="28"/>
          <w:highlight w:val="none"/>
          <w:lang w:val="en-US" w:eastAsia="zh-CN" w:bidi="ar-SA"/>
        </w:rPr>
        <w:t>五、不参与围标串标承诺书</w:t>
      </w:r>
      <w:bookmarkEnd w:id="353"/>
    </w:p>
    <w:p w14:paraId="325CBCD2">
      <w:pPr>
        <w:pStyle w:val="3"/>
        <w:keepNext/>
        <w:keepLines/>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eastAsia="宋体" w:asciiTheme="majorHAnsi" w:hAnsiTheme="majorHAnsi" w:cstheme="majorBidi"/>
          <w:b/>
          <w:bCs/>
          <w:color w:val="auto"/>
          <w:kern w:val="2"/>
          <w:sz w:val="32"/>
          <w:szCs w:val="32"/>
          <w:highlight w:val="none"/>
          <w:lang w:val="en-US" w:eastAsia="zh-CN" w:bidi="ar-SA"/>
        </w:rPr>
      </w:pPr>
    </w:p>
    <w:p w14:paraId="7ED2CB01">
      <w:pPr>
        <w:jc w:val="center"/>
        <w:rPr>
          <w:rFonts w:hint="eastAsia"/>
          <w:color w:val="auto"/>
          <w:highlight w:val="none"/>
          <w:lang w:val="en-US" w:eastAsia="zh-CN"/>
        </w:rPr>
      </w:pPr>
      <w:r>
        <w:rPr>
          <w:rFonts w:hint="eastAsia" w:cstheme="majorBidi"/>
          <w:b/>
          <w:bCs/>
          <w:color w:val="auto"/>
          <w:kern w:val="2"/>
          <w:sz w:val="32"/>
          <w:szCs w:val="32"/>
          <w:highlight w:val="none"/>
          <w:lang w:val="en-US" w:eastAsia="zh-CN" w:bidi="ar-SA"/>
        </w:rPr>
        <w:t>不参与围标串标承诺书</w:t>
      </w:r>
    </w:p>
    <w:p w14:paraId="150CE4F3">
      <w:pPr>
        <w:rPr>
          <w:rFonts w:hint="eastAsia"/>
          <w:color w:val="auto"/>
          <w:highlight w:val="none"/>
          <w:lang w:val="en-US" w:eastAsia="zh-CN"/>
        </w:rPr>
      </w:pPr>
      <w:r>
        <w:rPr>
          <w:rFonts w:hint="eastAsia"/>
          <w:color w:val="auto"/>
          <w:highlight w:val="none"/>
          <w:lang w:val="en-US" w:eastAsia="zh-CN"/>
        </w:rPr>
        <w:t>  </w:t>
      </w:r>
    </w:p>
    <w:p w14:paraId="4B62255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本人作为经授权的投标人代表,清楚知晓我单位本项目投标活动,对以下事项作出承诺：</w:t>
      </w:r>
    </w:p>
    <w:p w14:paraId="73121B6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p>
    <w:p w14:paraId="43E2C09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一、我单位和我本人遵循公开透明、公平竞争、公正和诚实信用的原则,依法依规参与本项目竞标。</w:t>
      </w:r>
    </w:p>
    <w:p w14:paraId="1BC8317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二、我单位和我本人在本项目政府采购投标活动中,未参与围标串标。</w:t>
      </w:r>
    </w:p>
    <w:p w14:paraId="6588D0D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三、我单位如被查实在本项目政府采购投标活动中存在围标串标的，递交投标文件行为作为实施串通投标违法行为的关键环节,由我单位及法定代表人承担相应的法律责任，接受相应行政处罚和失信惩戒。</w:t>
      </w:r>
    </w:p>
    <w:p w14:paraId="187F977C">
      <w:pPr>
        <w:pStyle w:val="14"/>
        <w:rPr>
          <w:rFonts w:hint="eastAsia"/>
          <w:color w:val="auto"/>
          <w:highlight w:val="none"/>
          <w:lang w:val="en-US" w:eastAsia="zh-CN"/>
        </w:rPr>
      </w:pPr>
    </w:p>
    <w:p w14:paraId="47519A88">
      <w:pPr>
        <w:spacing w:line="560" w:lineRule="exact"/>
        <w:rPr>
          <w:rFonts w:hint="eastAsia" w:ascii="宋体" w:hAnsi="宋体" w:eastAsia="宋体" w:cs="宋体"/>
          <w:color w:val="auto"/>
          <w:kern w:val="0"/>
          <w:sz w:val="24"/>
          <w:szCs w:val="24"/>
          <w:highlight w:val="none"/>
        </w:rPr>
      </w:pPr>
    </w:p>
    <w:p w14:paraId="2542D705">
      <w:pPr>
        <w:spacing w:line="560" w:lineRule="exact"/>
        <w:rPr>
          <w:rFonts w:hint="eastAsia" w:ascii="宋体" w:hAnsi="宋体" w:eastAsia="宋体" w:cs="宋体"/>
          <w:color w:val="auto"/>
          <w:kern w:val="0"/>
          <w:sz w:val="24"/>
          <w:szCs w:val="24"/>
          <w:highlight w:val="none"/>
        </w:rPr>
      </w:pPr>
      <w:r>
        <w:rPr>
          <w:rFonts w:hint="eastAsia" w:cs="宋体"/>
          <w:color w:val="auto"/>
          <w:kern w:val="0"/>
          <w:sz w:val="24"/>
          <w:szCs w:val="24"/>
          <w:highlight w:val="none"/>
          <w:lang w:val="en-US" w:eastAsia="zh-CN"/>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rPr>
        <w:t>：</w:t>
      </w:r>
    </w:p>
    <w:p w14:paraId="5DB2964D">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负责人</w:t>
      </w:r>
      <w:r>
        <w:rPr>
          <w:rFonts w:hint="eastAsia" w:ascii="宋体" w:hAnsi="宋体" w:eastAsia="宋体" w:cs="宋体"/>
          <w:color w:val="auto"/>
          <w:kern w:val="0"/>
          <w:sz w:val="24"/>
          <w:szCs w:val="24"/>
          <w:highlight w:val="none"/>
          <w:lang w:val="en-US" w:eastAsia="zh-CN"/>
        </w:rPr>
        <w:t>或</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或授权代表</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rPr>
        <w:t>：</w:t>
      </w:r>
    </w:p>
    <w:p w14:paraId="3DBBFC86">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14:paraId="76ACA5F5">
      <w:pPr>
        <w:widowControl/>
        <w:spacing w:line="560" w:lineRule="exact"/>
        <w:ind w:firstLine="630"/>
        <w:jc w:val="left"/>
        <w:rPr>
          <w:rFonts w:hint="eastAsia" w:ascii="宋体" w:hAnsi="宋体" w:eastAsia="宋体" w:cs="宋体"/>
          <w:color w:val="auto"/>
          <w:kern w:val="0"/>
          <w:sz w:val="24"/>
          <w:szCs w:val="24"/>
          <w:highlight w:val="none"/>
        </w:rPr>
      </w:pPr>
    </w:p>
    <w:p w14:paraId="71000AB5">
      <w:pPr>
        <w:pStyle w:val="14"/>
        <w:rPr>
          <w:rFonts w:hint="eastAsia"/>
          <w:color w:val="auto"/>
          <w:highlight w:val="none"/>
          <w:lang w:val="en-US" w:eastAsia="zh-CN"/>
        </w:rPr>
      </w:pPr>
    </w:p>
    <w:p w14:paraId="4E552F07">
      <w:pPr>
        <w:pStyle w:val="14"/>
        <w:rPr>
          <w:rFonts w:hint="eastAsia"/>
          <w:color w:val="auto"/>
          <w:highlight w:val="none"/>
          <w:lang w:val="en-US" w:eastAsia="zh-CN"/>
        </w:rPr>
      </w:pPr>
    </w:p>
    <w:p w14:paraId="00FF471B">
      <w:pPr>
        <w:pStyle w:val="14"/>
        <w:rPr>
          <w:rFonts w:hint="eastAsia"/>
          <w:color w:val="auto"/>
          <w:highlight w:val="none"/>
          <w:lang w:val="en-US" w:eastAsia="zh-CN"/>
        </w:rPr>
      </w:pPr>
    </w:p>
    <w:p w14:paraId="3FE7BEFD">
      <w:pPr>
        <w:pStyle w:val="14"/>
        <w:rPr>
          <w:rFonts w:hint="eastAsia"/>
          <w:color w:val="auto"/>
          <w:highlight w:val="none"/>
          <w:lang w:val="en-US" w:eastAsia="zh-CN"/>
        </w:rPr>
      </w:pPr>
    </w:p>
    <w:p w14:paraId="0A421FB9">
      <w:pPr>
        <w:pStyle w:val="14"/>
        <w:rPr>
          <w:rFonts w:hint="eastAsia"/>
          <w:color w:val="auto"/>
          <w:highlight w:val="none"/>
          <w:lang w:val="en-US" w:eastAsia="zh-CN"/>
        </w:rPr>
      </w:pPr>
    </w:p>
    <w:p w14:paraId="491F55BF">
      <w:pPr>
        <w:pStyle w:val="14"/>
        <w:rPr>
          <w:rFonts w:hint="eastAsia"/>
          <w:color w:val="auto"/>
          <w:highlight w:val="none"/>
          <w:lang w:val="en-US" w:eastAsia="zh-CN"/>
        </w:rPr>
      </w:pPr>
    </w:p>
    <w:p w14:paraId="1590F976">
      <w:pPr>
        <w:pStyle w:val="14"/>
        <w:rPr>
          <w:rFonts w:hint="eastAsia"/>
          <w:color w:val="auto"/>
          <w:highlight w:val="none"/>
          <w:lang w:val="en-US" w:eastAsia="zh-CN"/>
        </w:rPr>
      </w:pPr>
    </w:p>
    <w:p w14:paraId="22FECE94">
      <w:pPr>
        <w:pStyle w:val="14"/>
        <w:rPr>
          <w:rFonts w:hint="eastAsia"/>
          <w:color w:val="auto"/>
          <w:highlight w:val="none"/>
          <w:lang w:val="en-US" w:eastAsia="zh-CN"/>
        </w:rPr>
      </w:pPr>
    </w:p>
    <w:p w14:paraId="5D5B26BE">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zh-CN" w:eastAsia="zh-CN" w:bidi="ar-SA"/>
        </w:rPr>
      </w:pPr>
      <w:bookmarkStart w:id="355" w:name="_Toc15491"/>
      <w:r>
        <w:rPr>
          <w:rFonts w:hint="eastAsia" w:cstheme="majorBidi"/>
          <w:b/>
          <w:bCs/>
          <w:color w:val="auto"/>
          <w:kern w:val="2"/>
          <w:sz w:val="28"/>
          <w:szCs w:val="28"/>
          <w:highlight w:val="none"/>
          <w:lang w:val="en-US" w:eastAsia="zh-CN" w:bidi="ar-SA"/>
        </w:rPr>
        <w:t>六</w:t>
      </w:r>
      <w:r>
        <w:rPr>
          <w:rFonts w:hint="eastAsia" w:eastAsia="宋体" w:asciiTheme="majorHAnsi" w:hAnsiTheme="majorHAnsi" w:cstheme="majorBidi"/>
          <w:b/>
          <w:bCs/>
          <w:color w:val="auto"/>
          <w:kern w:val="2"/>
          <w:sz w:val="28"/>
          <w:szCs w:val="28"/>
          <w:highlight w:val="none"/>
          <w:lang w:val="en-US" w:eastAsia="zh-CN" w:bidi="ar-SA"/>
        </w:rPr>
        <w:t>、</w:t>
      </w:r>
      <w:bookmarkEnd w:id="354"/>
      <w:r>
        <w:rPr>
          <w:rFonts w:hint="eastAsia" w:eastAsia="宋体" w:asciiTheme="majorHAnsi" w:hAnsiTheme="majorHAnsi" w:cstheme="majorBidi"/>
          <w:b/>
          <w:bCs/>
          <w:color w:val="auto"/>
          <w:kern w:val="2"/>
          <w:sz w:val="28"/>
          <w:szCs w:val="28"/>
          <w:highlight w:val="none"/>
          <w:lang w:val="zh-CN" w:eastAsia="zh-CN" w:bidi="ar-SA"/>
        </w:rPr>
        <w:t>其他资格证明文件</w:t>
      </w:r>
      <w:bookmarkEnd w:id="355"/>
    </w:p>
    <w:p w14:paraId="08D5158F">
      <w:pPr>
        <w:pStyle w:val="39"/>
        <w:rPr>
          <w:rFonts w:hint="eastAsia"/>
          <w:color w:val="auto"/>
          <w:highlight w:val="none"/>
        </w:rPr>
      </w:pPr>
      <w:r>
        <w:rPr>
          <w:rFonts w:hint="eastAsia" w:cs="Courier New"/>
          <w:color w:val="auto"/>
          <w:szCs w:val="24"/>
          <w:highlight w:val="none"/>
        </w:rPr>
        <w:t>投标人认为需提供的其它相关资格证明材料</w:t>
      </w:r>
    </w:p>
    <w:p w14:paraId="25581F98">
      <w:pPr>
        <w:pStyle w:val="39"/>
        <w:rPr>
          <w:rFonts w:hint="eastAsia"/>
          <w:color w:val="auto"/>
          <w:highlight w:val="none"/>
        </w:rPr>
      </w:pPr>
    </w:p>
    <w:p w14:paraId="77F5203D">
      <w:pPr>
        <w:pStyle w:val="39"/>
        <w:rPr>
          <w:rFonts w:hint="eastAsia"/>
          <w:color w:val="auto"/>
          <w:highlight w:val="none"/>
        </w:rPr>
      </w:pPr>
    </w:p>
    <w:p w14:paraId="6759B9CA">
      <w:pPr>
        <w:pStyle w:val="39"/>
        <w:rPr>
          <w:rFonts w:hint="eastAsia"/>
          <w:color w:val="auto"/>
          <w:highlight w:val="none"/>
        </w:rPr>
      </w:pPr>
    </w:p>
    <w:p w14:paraId="44407448">
      <w:pPr>
        <w:pStyle w:val="39"/>
        <w:rPr>
          <w:rFonts w:hint="eastAsia"/>
          <w:color w:val="auto"/>
          <w:highlight w:val="none"/>
        </w:rPr>
      </w:pPr>
    </w:p>
    <w:p w14:paraId="62EDB80D">
      <w:pPr>
        <w:pStyle w:val="39"/>
        <w:rPr>
          <w:rFonts w:hint="eastAsia"/>
          <w:color w:val="auto"/>
          <w:highlight w:val="none"/>
        </w:rPr>
      </w:pPr>
    </w:p>
    <w:p w14:paraId="34A11361">
      <w:pPr>
        <w:pStyle w:val="39"/>
        <w:rPr>
          <w:rFonts w:hint="eastAsia"/>
          <w:color w:val="auto"/>
          <w:highlight w:val="none"/>
        </w:rPr>
      </w:pPr>
    </w:p>
    <w:p w14:paraId="3A1F8D79">
      <w:pPr>
        <w:pStyle w:val="39"/>
        <w:rPr>
          <w:rFonts w:hint="eastAsia"/>
          <w:color w:val="auto"/>
          <w:highlight w:val="none"/>
        </w:rPr>
      </w:pPr>
    </w:p>
    <w:p w14:paraId="6FFDD27C">
      <w:pPr>
        <w:pStyle w:val="39"/>
        <w:rPr>
          <w:rFonts w:hint="eastAsia"/>
          <w:color w:val="auto"/>
          <w:highlight w:val="none"/>
        </w:rPr>
      </w:pPr>
    </w:p>
    <w:p w14:paraId="4B6A026F">
      <w:pPr>
        <w:pStyle w:val="39"/>
        <w:rPr>
          <w:rFonts w:hint="eastAsia"/>
          <w:color w:val="auto"/>
          <w:highlight w:val="none"/>
        </w:rPr>
      </w:pPr>
    </w:p>
    <w:p w14:paraId="50A62EC6">
      <w:pPr>
        <w:pStyle w:val="39"/>
        <w:rPr>
          <w:rFonts w:hint="eastAsia"/>
          <w:color w:val="auto"/>
          <w:highlight w:val="none"/>
        </w:rPr>
      </w:pPr>
    </w:p>
    <w:p w14:paraId="03C66802">
      <w:pPr>
        <w:pStyle w:val="39"/>
        <w:rPr>
          <w:rFonts w:hint="eastAsia"/>
          <w:color w:val="auto"/>
          <w:highlight w:val="none"/>
        </w:rPr>
      </w:pPr>
    </w:p>
    <w:p w14:paraId="09874A64">
      <w:pPr>
        <w:pStyle w:val="39"/>
        <w:rPr>
          <w:rFonts w:hint="eastAsia"/>
          <w:color w:val="auto"/>
          <w:highlight w:val="none"/>
        </w:rPr>
      </w:pPr>
    </w:p>
    <w:p w14:paraId="06C38819">
      <w:pPr>
        <w:pStyle w:val="39"/>
        <w:rPr>
          <w:rFonts w:hint="eastAsia"/>
          <w:color w:val="auto"/>
          <w:highlight w:val="none"/>
        </w:rPr>
      </w:pPr>
    </w:p>
    <w:p w14:paraId="762B3202">
      <w:pPr>
        <w:pStyle w:val="39"/>
        <w:rPr>
          <w:rFonts w:hint="eastAsia"/>
          <w:color w:val="auto"/>
          <w:highlight w:val="none"/>
        </w:rPr>
      </w:pPr>
    </w:p>
    <w:p w14:paraId="17CED187">
      <w:pPr>
        <w:pStyle w:val="39"/>
        <w:rPr>
          <w:rFonts w:hint="eastAsia"/>
          <w:color w:val="auto"/>
          <w:highlight w:val="none"/>
        </w:rPr>
      </w:pPr>
    </w:p>
    <w:p w14:paraId="4241E9E7">
      <w:pPr>
        <w:pStyle w:val="39"/>
        <w:rPr>
          <w:rFonts w:hint="eastAsia"/>
          <w:color w:val="auto"/>
          <w:highlight w:val="none"/>
        </w:rPr>
      </w:pPr>
    </w:p>
    <w:p w14:paraId="329DF4AB">
      <w:pPr>
        <w:pStyle w:val="39"/>
        <w:rPr>
          <w:rFonts w:hint="eastAsia"/>
          <w:color w:val="auto"/>
          <w:highlight w:val="none"/>
        </w:rPr>
      </w:pPr>
    </w:p>
    <w:p w14:paraId="128A3D86">
      <w:pPr>
        <w:pStyle w:val="39"/>
        <w:rPr>
          <w:rFonts w:hint="eastAsia"/>
          <w:color w:val="auto"/>
          <w:highlight w:val="none"/>
        </w:rPr>
      </w:pPr>
    </w:p>
    <w:p w14:paraId="56D21DED">
      <w:pPr>
        <w:pStyle w:val="39"/>
        <w:rPr>
          <w:rFonts w:hint="eastAsia"/>
          <w:color w:val="auto"/>
          <w:highlight w:val="none"/>
        </w:rPr>
      </w:pPr>
    </w:p>
    <w:p w14:paraId="5058F500">
      <w:pPr>
        <w:pStyle w:val="39"/>
        <w:rPr>
          <w:rFonts w:hint="eastAsia"/>
          <w:color w:val="auto"/>
          <w:highlight w:val="none"/>
        </w:rPr>
      </w:pPr>
    </w:p>
    <w:p w14:paraId="681083A7">
      <w:pPr>
        <w:pStyle w:val="39"/>
        <w:rPr>
          <w:rFonts w:hint="eastAsia"/>
          <w:color w:val="auto"/>
          <w:highlight w:val="none"/>
        </w:rPr>
      </w:pPr>
    </w:p>
    <w:p w14:paraId="206D7522">
      <w:pPr>
        <w:pStyle w:val="39"/>
        <w:rPr>
          <w:rFonts w:hint="eastAsia"/>
          <w:color w:val="auto"/>
          <w:highlight w:val="none"/>
        </w:rPr>
      </w:pPr>
    </w:p>
    <w:p w14:paraId="6272A142">
      <w:pPr>
        <w:pStyle w:val="39"/>
        <w:rPr>
          <w:rFonts w:hint="eastAsia"/>
          <w:color w:val="auto"/>
          <w:highlight w:val="none"/>
        </w:rPr>
      </w:pPr>
    </w:p>
    <w:p w14:paraId="19A83564">
      <w:pPr>
        <w:pStyle w:val="39"/>
        <w:rPr>
          <w:rFonts w:hint="eastAsia"/>
          <w:color w:val="auto"/>
          <w:highlight w:val="none"/>
        </w:rPr>
      </w:pPr>
    </w:p>
    <w:p w14:paraId="28420598">
      <w:pPr>
        <w:pStyle w:val="39"/>
        <w:rPr>
          <w:rFonts w:hint="eastAsia"/>
          <w:color w:val="auto"/>
          <w:highlight w:val="none"/>
        </w:rPr>
      </w:pPr>
    </w:p>
    <w:p w14:paraId="3CB4D4EA">
      <w:pPr>
        <w:autoSpaceDE w:val="0"/>
        <w:autoSpaceDN w:val="0"/>
        <w:adjustRightInd w:val="0"/>
        <w:rPr>
          <w:color w:val="auto"/>
          <w:sz w:val="21"/>
          <w:szCs w:val="24"/>
          <w:highlight w:val="none"/>
        </w:rPr>
      </w:pPr>
    </w:p>
    <w:p w14:paraId="6BFAD6A2">
      <w:pPr>
        <w:autoSpaceDE w:val="0"/>
        <w:autoSpaceDN w:val="0"/>
        <w:adjustRightInd w:val="0"/>
        <w:rPr>
          <w:color w:val="auto"/>
          <w:sz w:val="21"/>
          <w:szCs w:val="24"/>
          <w:highlight w:val="none"/>
        </w:rPr>
      </w:pPr>
    </w:p>
    <w:p w14:paraId="1245991A">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pPr>
      <w:bookmarkStart w:id="356" w:name="_Toc10253"/>
      <w:r>
        <w:rPr>
          <w:rFonts w:hint="eastAsia" w:cstheme="majorBidi"/>
          <w:b/>
          <w:bCs/>
          <w:color w:val="auto"/>
          <w:kern w:val="2"/>
          <w:sz w:val="32"/>
          <w:szCs w:val="32"/>
          <w:highlight w:val="none"/>
          <w:lang w:val="en-US" w:eastAsia="zh-CN" w:bidi="ar-SA"/>
        </w:rPr>
        <w:t>七、开标一览表</w:t>
      </w:r>
      <w:bookmarkEnd w:id="356"/>
    </w:p>
    <w:p w14:paraId="636CF3C3">
      <w:pPr>
        <w:spacing w:line="300" w:lineRule="auto"/>
        <w:rPr>
          <w:rFonts w:cs="仿宋_GB2312"/>
          <w:color w:val="auto"/>
          <w:szCs w:val="24"/>
          <w:highlight w:val="none"/>
        </w:rPr>
      </w:pPr>
    </w:p>
    <w:p w14:paraId="19138CBC">
      <w:pPr>
        <w:rPr>
          <w:b w:val="0"/>
          <w:bCs/>
          <w:color w:val="auto"/>
          <w:szCs w:val="21"/>
          <w:highlight w:val="none"/>
          <w:lang w:val="zh-CN"/>
        </w:rPr>
      </w:pPr>
      <w:r>
        <w:rPr>
          <w:rFonts w:hint="eastAsia"/>
          <w:b w:val="0"/>
          <w:bCs/>
          <w:color w:val="auto"/>
          <w:szCs w:val="21"/>
          <w:highlight w:val="none"/>
          <w:lang w:val="zh-CN"/>
        </w:rPr>
        <w:t>项目名称</w:t>
      </w:r>
      <w:r>
        <w:rPr>
          <w:rFonts w:hint="eastAsia"/>
          <w:b w:val="0"/>
          <w:bCs/>
          <w:color w:val="auto"/>
          <w:szCs w:val="21"/>
          <w:highlight w:val="none"/>
          <w:lang w:val="en-US" w:eastAsia="zh-CN"/>
        </w:rPr>
        <w:t>/标项号</w:t>
      </w:r>
      <w:r>
        <w:rPr>
          <w:rFonts w:hint="eastAsia"/>
          <w:b w:val="0"/>
          <w:bCs/>
          <w:color w:val="auto"/>
          <w:szCs w:val="21"/>
          <w:highlight w:val="none"/>
          <w:lang w:val="zh-CN"/>
        </w:rPr>
        <w:t>：</w:t>
      </w:r>
      <w:r>
        <w:rPr>
          <w:rFonts w:hint="eastAsia"/>
          <w:b w:val="0"/>
          <w:bCs/>
          <w:color w:val="auto"/>
          <w:szCs w:val="21"/>
          <w:highlight w:val="none"/>
          <w:u w:val="single"/>
          <w:lang w:val="zh-CN"/>
        </w:rPr>
        <w:t xml:space="preserve">                     </w:t>
      </w:r>
    </w:p>
    <w:p w14:paraId="344767AD">
      <w:pPr>
        <w:rPr>
          <w:b w:val="0"/>
          <w:bCs/>
          <w:color w:val="auto"/>
          <w:szCs w:val="21"/>
          <w:highlight w:val="none"/>
          <w:u w:val="single"/>
          <w:lang w:val="zh-CN"/>
        </w:rPr>
      </w:pPr>
      <w:r>
        <w:rPr>
          <w:rFonts w:hint="eastAsia"/>
          <w:b w:val="0"/>
          <w:bCs/>
          <w:color w:val="auto"/>
          <w:szCs w:val="21"/>
          <w:highlight w:val="none"/>
          <w:lang w:val="zh-CN"/>
        </w:rPr>
        <w:t>项目编号：</w:t>
      </w:r>
      <w:r>
        <w:rPr>
          <w:rFonts w:hint="eastAsia"/>
          <w:b w:val="0"/>
          <w:bCs/>
          <w:color w:val="auto"/>
          <w:szCs w:val="21"/>
          <w:highlight w:val="none"/>
          <w:u w:val="single"/>
          <w:lang w:val="zh-CN"/>
        </w:rPr>
        <w:t xml:space="preserve">                </w:t>
      </w:r>
    </w:p>
    <w:tbl>
      <w:tblPr>
        <w:tblStyle w:val="30"/>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352"/>
        <w:gridCol w:w="2161"/>
        <w:gridCol w:w="2611"/>
      </w:tblGrid>
      <w:tr w14:paraId="54492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1403" w:type="dxa"/>
            <w:vAlign w:val="center"/>
          </w:tcPr>
          <w:p w14:paraId="16B0F040">
            <w:pPr>
              <w:widowControl/>
              <w:autoSpaceDE w:val="0"/>
              <w:autoSpaceDN w:val="0"/>
              <w:spacing w:line="240" w:lineRule="auto"/>
              <w:jc w:val="center"/>
              <w:textAlignment w:val="bottom"/>
              <w:rPr>
                <w:color w:val="auto"/>
                <w:sz w:val="24"/>
                <w:szCs w:val="24"/>
                <w:highlight w:val="none"/>
              </w:rPr>
            </w:pPr>
            <w:r>
              <w:rPr>
                <w:rFonts w:hint="eastAsia"/>
                <w:color w:val="auto"/>
                <w:sz w:val="24"/>
                <w:szCs w:val="24"/>
                <w:highlight w:val="none"/>
              </w:rPr>
              <w:t>序号</w:t>
            </w:r>
          </w:p>
        </w:tc>
        <w:tc>
          <w:tcPr>
            <w:tcW w:w="2352" w:type="dxa"/>
            <w:vAlign w:val="center"/>
          </w:tcPr>
          <w:p w14:paraId="255EFE2E">
            <w:pPr>
              <w:widowControl/>
              <w:autoSpaceDE w:val="0"/>
              <w:autoSpaceDN w:val="0"/>
              <w:spacing w:line="240" w:lineRule="auto"/>
              <w:ind w:left="851" w:hanging="851"/>
              <w:jc w:val="center"/>
              <w:textAlignment w:val="bottom"/>
              <w:rPr>
                <w:color w:val="auto"/>
                <w:sz w:val="24"/>
                <w:szCs w:val="24"/>
                <w:highlight w:val="none"/>
              </w:rPr>
            </w:pPr>
            <w:r>
              <w:rPr>
                <w:rFonts w:hint="eastAsia"/>
                <w:color w:val="auto"/>
                <w:sz w:val="24"/>
                <w:szCs w:val="24"/>
                <w:highlight w:val="none"/>
              </w:rPr>
              <w:t>投标报价</w:t>
            </w:r>
          </w:p>
        </w:tc>
        <w:tc>
          <w:tcPr>
            <w:tcW w:w="2161" w:type="dxa"/>
            <w:vAlign w:val="center"/>
          </w:tcPr>
          <w:p w14:paraId="0F763107">
            <w:pPr>
              <w:widowControl/>
              <w:autoSpaceDE w:val="0"/>
              <w:autoSpaceDN w:val="0"/>
              <w:spacing w:line="240" w:lineRule="auto"/>
              <w:ind w:left="851" w:hanging="851"/>
              <w:jc w:val="center"/>
              <w:textAlignment w:val="bottom"/>
              <w:rPr>
                <w:color w:val="auto"/>
                <w:sz w:val="24"/>
                <w:szCs w:val="24"/>
                <w:highlight w:val="none"/>
              </w:rPr>
            </w:pPr>
            <w:r>
              <w:rPr>
                <w:rFonts w:hint="eastAsia"/>
                <w:color w:val="auto"/>
                <w:sz w:val="24"/>
                <w:szCs w:val="24"/>
                <w:highlight w:val="none"/>
                <w:lang w:eastAsia="zh-CN"/>
              </w:rPr>
              <w:t>供货</w:t>
            </w:r>
            <w:r>
              <w:rPr>
                <w:rFonts w:hint="eastAsia"/>
                <w:color w:val="auto"/>
                <w:sz w:val="24"/>
                <w:szCs w:val="24"/>
                <w:highlight w:val="none"/>
              </w:rPr>
              <w:t>期限</w:t>
            </w:r>
          </w:p>
        </w:tc>
        <w:tc>
          <w:tcPr>
            <w:tcW w:w="2611" w:type="dxa"/>
            <w:vAlign w:val="center"/>
          </w:tcPr>
          <w:p w14:paraId="51844172">
            <w:pPr>
              <w:widowControl/>
              <w:autoSpaceDE w:val="0"/>
              <w:autoSpaceDN w:val="0"/>
              <w:spacing w:line="240" w:lineRule="auto"/>
              <w:jc w:val="center"/>
              <w:textAlignment w:val="bottom"/>
              <w:rPr>
                <w:color w:val="auto"/>
                <w:sz w:val="24"/>
                <w:szCs w:val="24"/>
                <w:highlight w:val="none"/>
              </w:rPr>
            </w:pPr>
            <w:r>
              <w:rPr>
                <w:rFonts w:hint="eastAsia"/>
                <w:color w:val="auto"/>
                <w:sz w:val="24"/>
                <w:szCs w:val="24"/>
                <w:highlight w:val="none"/>
              </w:rPr>
              <w:t>备注（如有）</w:t>
            </w:r>
          </w:p>
        </w:tc>
      </w:tr>
      <w:tr w14:paraId="50C24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1403" w:type="dxa"/>
            <w:vAlign w:val="center"/>
          </w:tcPr>
          <w:p w14:paraId="07F6FAEC">
            <w:pPr>
              <w:widowControl/>
              <w:autoSpaceDE w:val="0"/>
              <w:autoSpaceDN w:val="0"/>
              <w:spacing w:line="240" w:lineRule="auto"/>
              <w:ind w:left="851" w:hanging="851"/>
              <w:jc w:val="center"/>
              <w:textAlignment w:val="bottom"/>
              <w:rPr>
                <w:rFonts w:hint="eastAsia"/>
                <w:color w:val="auto"/>
                <w:sz w:val="24"/>
                <w:szCs w:val="24"/>
                <w:highlight w:val="none"/>
              </w:rPr>
            </w:pPr>
          </w:p>
        </w:tc>
        <w:tc>
          <w:tcPr>
            <w:tcW w:w="2352" w:type="dxa"/>
            <w:vAlign w:val="center"/>
          </w:tcPr>
          <w:p w14:paraId="23687CA6">
            <w:pPr>
              <w:widowControl/>
              <w:shd w:val="clear"/>
              <w:autoSpaceDE w:val="0"/>
              <w:autoSpaceDN w:val="0"/>
              <w:spacing w:line="240" w:lineRule="auto"/>
              <w:ind w:left="851" w:hanging="851"/>
              <w:jc w:val="both"/>
              <w:textAlignment w:val="bottom"/>
              <w:rPr>
                <w:rFonts w:hint="eastAsia"/>
                <w:color w:val="auto"/>
                <w:sz w:val="24"/>
                <w:szCs w:val="24"/>
                <w:highlight w:val="none"/>
                <w:lang w:val="en-US" w:eastAsia="zh-CN"/>
              </w:rPr>
            </w:pPr>
            <w:r>
              <w:rPr>
                <w:rFonts w:hint="eastAsia"/>
                <w:color w:val="auto"/>
                <w:sz w:val="24"/>
                <w:szCs w:val="24"/>
                <w:highlight w:val="none"/>
                <w:lang w:val="en-US" w:eastAsia="zh-CN"/>
              </w:rPr>
              <w:t>小写：</w:t>
            </w:r>
          </w:p>
          <w:p w14:paraId="6DBBE050">
            <w:pPr>
              <w:widowControl/>
              <w:shd w:val="clear"/>
              <w:autoSpaceDE w:val="0"/>
              <w:autoSpaceDN w:val="0"/>
              <w:spacing w:line="240" w:lineRule="auto"/>
              <w:ind w:left="851" w:hanging="851"/>
              <w:jc w:val="both"/>
              <w:textAlignment w:val="bottom"/>
              <w:rPr>
                <w:rFonts w:hint="default"/>
                <w:color w:val="auto"/>
                <w:sz w:val="24"/>
                <w:szCs w:val="24"/>
                <w:highlight w:val="none"/>
                <w:lang w:val="en-US" w:eastAsia="zh-CN"/>
              </w:rPr>
            </w:pPr>
            <w:r>
              <w:rPr>
                <w:rFonts w:hint="eastAsia"/>
                <w:color w:val="auto"/>
                <w:sz w:val="24"/>
                <w:szCs w:val="24"/>
                <w:highlight w:val="none"/>
                <w:lang w:val="en-US" w:eastAsia="zh-CN"/>
              </w:rPr>
              <w:t>大写：</w:t>
            </w:r>
          </w:p>
        </w:tc>
        <w:tc>
          <w:tcPr>
            <w:tcW w:w="2161" w:type="dxa"/>
            <w:vAlign w:val="center"/>
          </w:tcPr>
          <w:p w14:paraId="1C2024FA">
            <w:pPr>
              <w:widowControl/>
              <w:autoSpaceDE w:val="0"/>
              <w:autoSpaceDN w:val="0"/>
              <w:spacing w:line="240" w:lineRule="auto"/>
              <w:ind w:left="851" w:hanging="851"/>
              <w:jc w:val="center"/>
              <w:textAlignment w:val="bottom"/>
              <w:rPr>
                <w:rFonts w:hint="eastAsia"/>
                <w:color w:val="auto"/>
                <w:sz w:val="24"/>
                <w:szCs w:val="24"/>
                <w:highlight w:val="none"/>
              </w:rPr>
            </w:pPr>
          </w:p>
        </w:tc>
        <w:tc>
          <w:tcPr>
            <w:tcW w:w="2611" w:type="dxa"/>
            <w:vAlign w:val="center"/>
          </w:tcPr>
          <w:p w14:paraId="72A9923F">
            <w:pPr>
              <w:widowControl/>
              <w:autoSpaceDE w:val="0"/>
              <w:autoSpaceDN w:val="0"/>
              <w:spacing w:line="240" w:lineRule="auto"/>
              <w:ind w:left="851" w:hanging="851"/>
              <w:jc w:val="center"/>
              <w:textAlignment w:val="bottom"/>
              <w:rPr>
                <w:rFonts w:hint="eastAsia"/>
                <w:color w:val="auto"/>
                <w:sz w:val="24"/>
                <w:szCs w:val="24"/>
                <w:highlight w:val="none"/>
              </w:rPr>
            </w:pPr>
          </w:p>
        </w:tc>
      </w:tr>
    </w:tbl>
    <w:p w14:paraId="760F3625">
      <w:pPr>
        <w:spacing w:line="300" w:lineRule="auto"/>
        <w:rPr>
          <w:rFonts w:ascii="Arial" w:hAnsi="Arial" w:cs="Arial"/>
          <w:color w:val="auto"/>
          <w:szCs w:val="21"/>
          <w:highlight w:val="none"/>
          <w:u w:val="single"/>
        </w:rPr>
      </w:pPr>
    </w:p>
    <w:p w14:paraId="4F4C9646">
      <w:pPr>
        <w:spacing w:line="300" w:lineRule="auto"/>
        <w:rPr>
          <w:rFonts w:ascii="Arial" w:hAnsi="Arial" w:cs="Arial"/>
          <w:color w:val="auto"/>
          <w:szCs w:val="21"/>
          <w:highlight w:val="none"/>
        </w:rPr>
      </w:pPr>
      <w:r>
        <w:rPr>
          <w:rFonts w:ascii="Arial" w:hAnsi="Arial" w:cs="Arial"/>
          <w:color w:val="auto"/>
          <w:szCs w:val="21"/>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ascii="Arial" w:hAnsi="Arial" w:cs="Arial"/>
          <w:color w:val="auto"/>
          <w:szCs w:val="21"/>
          <w:highlight w:val="none"/>
        </w:rPr>
        <w:t>：</w:t>
      </w:r>
    </w:p>
    <w:p w14:paraId="312E2637">
      <w:pPr>
        <w:spacing w:line="300" w:lineRule="auto"/>
        <w:rPr>
          <w:rFonts w:ascii="Arial" w:hAnsi="Arial" w:cs="Arial"/>
          <w:color w:val="auto"/>
          <w:szCs w:val="21"/>
          <w:highlight w:val="none"/>
          <w:u w:val="single"/>
        </w:rPr>
      </w:pPr>
      <w:r>
        <w:rPr>
          <w:rFonts w:ascii="Arial" w:hAnsi="Arial" w:cs="Arial"/>
          <w:color w:val="auto"/>
          <w:szCs w:val="21"/>
          <w:highlight w:val="none"/>
        </w:rPr>
        <w:t>日期：</w:t>
      </w:r>
    </w:p>
    <w:p w14:paraId="15F7ACC3">
      <w:pPr>
        <w:rPr>
          <w:rFonts w:cs="Arial"/>
          <w:color w:val="auto"/>
          <w:szCs w:val="24"/>
          <w:highlight w:val="none"/>
        </w:rPr>
      </w:pPr>
    </w:p>
    <w:p w14:paraId="576324DB">
      <w:pPr>
        <w:pStyle w:val="14"/>
        <w:rPr>
          <w:rFonts w:cs="Arial"/>
          <w:color w:val="auto"/>
          <w:szCs w:val="24"/>
          <w:highlight w:val="none"/>
        </w:rPr>
      </w:pPr>
    </w:p>
    <w:p w14:paraId="047448FC">
      <w:pPr>
        <w:pStyle w:val="14"/>
        <w:rPr>
          <w:rFonts w:cs="Arial"/>
          <w:color w:val="auto"/>
          <w:szCs w:val="24"/>
          <w:highlight w:val="none"/>
        </w:rPr>
      </w:pPr>
    </w:p>
    <w:p w14:paraId="02F19579">
      <w:pPr>
        <w:pStyle w:val="14"/>
        <w:rPr>
          <w:rFonts w:cs="Arial"/>
          <w:color w:val="auto"/>
          <w:szCs w:val="24"/>
          <w:highlight w:val="none"/>
        </w:rPr>
      </w:pPr>
    </w:p>
    <w:p w14:paraId="42408D93">
      <w:pPr>
        <w:pStyle w:val="14"/>
        <w:rPr>
          <w:rFonts w:cs="Arial"/>
          <w:color w:val="auto"/>
          <w:szCs w:val="24"/>
          <w:highlight w:val="none"/>
        </w:rPr>
      </w:pPr>
    </w:p>
    <w:p w14:paraId="57E5C860">
      <w:pPr>
        <w:spacing w:line="360" w:lineRule="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注：</w:t>
      </w:r>
    </w:p>
    <w:p w14:paraId="5758A8FC">
      <w:pPr>
        <w:spacing w:line="360" w:lineRule="auto"/>
        <w:ind w:firstLine="43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1.此表用于开标唱标之用。</w:t>
      </w:r>
    </w:p>
    <w:p w14:paraId="12C5C264">
      <w:pPr>
        <w:spacing w:line="360" w:lineRule="auto"/>
        <w:ind w:firstLine="43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2.表中投标报价即为优惠后报价，并作为评审及定标依据。任何有选择或有条件的投标报价，或者表中某一包填写多个报价，均为无效报价。</w:t>
      </w:r>
    </w:p>
    <w:p w14:paraId="242E9171">
      <w:pPr>
        <w:pStyle w:val="14"/>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.表中大写与小写不一致的，以大写为准。</w:t>
      </w:r>
    </w:p>
    <w:p w14:paraId="7B696418">
      <w:pPr>
        <w:pStyle w:val="14"/>
        <w:ind w:firstLine="480" w:firstLineChars="200"/>
        <w:rPr>
          <w:rFonts w:hint="eastAsia" w:ascii="宋体" w:hAnsi="宋体" w:eastAsia="宋体" w:cs="宋体"/>
          <w:color w:val="auto"/>
          <w:sz w:val="24"/>
          <w:szCs w:val="24"/>
          <w:highlight w:val="none"/>
        </w:rPr>
      </w:pPr>
    </w:p>
    <w:p w14:paraId="7184BA0B">
      <w:pPr>
        <w:pStyle w:val="14"/>
        <w:ind w:firstLine="480" w:firstLineChars="200"/>
        <w:rPr>
          <w:rFonts w:hint="eastAsia" w:ascii="宋体" w:hAnsi="宋体" w:eastAsia="宋体" w:cs="宋体"/>
          <w:color w:val="auto"/>
          <w:sz w:val="24"/>
          <w:szCs w:val="24"/>
          <w:highlight w:val="none"/>
        </w:rPr>
      </w:pPr>
    </w:p>
    <w:p w14:paraId="5B0D55F4">
      <w:pPr>
        <w:pStyle w:val="14"/>
        <w:ind w:firstLine="480" w:firstLineChars="200"/>
        <w:rPr>
          <w:rFonts w:hint="eastAsia" w:ascii="宋体" w:hAnsi="宋体" w:eastAsia="宋体" w:cs="宋体"/>
          <w:color w:val="auto"/>
          <w:sz w:val="24"/>
          <w:szCs w:val="24"/>
          <w:highlight w:val="none"/>
        </w:rPr>
      </w:pPr>
    </w:p>
    <w:p w14:paraId="4A0608CC">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803B852">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pPr>
      <w:bookmarkStart w:id="357" w:name="_Toc26733"/>
      <w:r>
        <w:rPr>
          <w:rFonts w:hint="eastAsia" w:cstheme="majorBidi"/>
          <w:b/>
          <w:bCs/>
          <w:color w:val="auto"/>
          <w:kern w:val="2"/>
          <w:sz w:val="32"/>
          <w:szCs w:val="32"/>
          <w:highlight w:val="none"/>
          <w:lang w:val="en-US" w:eastAsia="zh-CN" w:bidi="ar-SA"/>
        </w:rPr>
        <w:t>八、分项报价表</w:t>
      </w:r>
      <w:bookmarkEnd w:id="357"/>
    </w:p>
    <w:p w14:paraId="06854F87">
      <w:pPr>
        <w:rPr>
          <w:b w:val="0"/>
          <w:bCs/>
          <w:color w:val="auto"/>
          <w:szCs w:val="21"/>
          <w:highlight w:val="none"/>
          <w:lang w:val="zh-CN"/>
        </w:rPr>
      </w:pPr>
      <w:r>
        <w:rPr>
          <w:rFonts w:hint="eastAsia"/>
          <w:b w:val="0"/>
          <w:bCs/>
          <w:color w:val="auto"/>
          <w:szCs w:val="21"/>
          <w:highlight w:val="none"/>
          <w:lang w:val="zh-CN"/>
        </w:rPr>
        <w:t>项目名称</w:t>
      </w:r>
      <w:r>
        <w:rPr>
          <w:rFonts w:hint="eastAsia"/>
          <w:b w:val="0"/>
          <w:bCs/>
          <w:color w:val="auto"/>
          <w:szCs w:val="21"/>
          <w:highlight w:val="none"/>
          <w:lang w:val="en-US" w:eastAsia="zh-CN"/>
        </w:rPr>
        <w:t>/标项号</w:t>
      </w:r>
      <w:r>
        <w:rPr>
          <w:rFonts w:hint="eastAsia"/>
          <w:b w:val="0"/>
          <w:bCs/>
          <w:color w:val="auto"/>
          <w:szCs w:val="21"/>
          <w:highlight w:val="none"/>
          <w:lang w:val="zh-CN"/>
        </w:rPr>
        <w:t>：</w:t>
      </w:r>
      <w:r>
        <w:rPr>
          <w:rFonts w:hint="eastAsia"/>
          <w:b w:val="0"/>
          <w:bCs/>
          <w:color w:val="auto"/>
          <w:szCs w:val="21"/>
          <w:highlight w:val="none"/>
          <w:u w:val="single"/>
          <w:lang w:val="zh-CN"/>
        </w:rPr>
        <w:t xml:space="preserve">                  </w:t>
      </w:r>
      <w:r>
        <w:rPr>
          <w:rFonts w:hint="eastAsia"/>
          <w:b w:val="0"/>
          <w:bCs/>
          <w:color w:val="auto"/>
          <w:szCs w:val="21"/>
          <w:highlight w:val="none"/>
          <w:u w:val="single"/>
          <w:lang w:val="en-US" w:eastAsia="zh-CN"/>
        </w:rPr>
        <w:t xml:space="preserve">     </w:t>
      </w:r>
      <w:r>
        <w:rPr>
          <w:rFonts w:hint="eastAsia"/>
          <w:b w:val="0"/>
          <w:bCs/>
          <w:color w:val="auto"/>
          <w:szCs w:val="21"/>
          <w:highlight w:val="none"/>
          <w:u w:val="single"/>
          <w:lang w:val="zh-CN"/>
        </w:rPr>
        <w:t xml:space="preserve">   </w:t>
      </w:r>
    </w:p>
    <w:p w14:paraId="44948C05">
      <w:pPr>
        <w:rPr>
          <w:rFonts w:hint="eastAsia"/>
          <w:b w:val="0"/>
          <w:bCs/>
          <w:color w:val="auto"/>
          <w:szCs w:val="21"/>
          <w:highlight w:val="none"/>
          <w:u w:val="single"/>
          <w:lang w:val="zh-CN"/>
        </w:rPr>
      </w:pPr>
      <w:r>
        <w:rPr>
          <w:rFonts w:hint="eastAsia"/>
          <w:b w:val="0"/>
          <w:bCs/>
          <w:color w:val="auto"/>
          <w:szCs w:val="21"/>
          <w:highlight w:val="none"/>
          <w:lang w:val="zh-CN"/>
        </w:rPr>
        <w:t>项目编号：</w:t>
      </w:r>
      <w:r>
        <w:rPr>
          <w:rFonts w:hint="eastAsia"/>
          <w:b w:val="0"/>
          <w:bCs/>
          <w:color w:val="auto"/>
          <w:szCs w:val="21"/>
          <w:highlight w:val="none"/>
          <w:u w:val="single"/>
          <w:lang w:val="zh-CN"/>
        </w:rPr>
        <w:t xml:space="preserve">                     </w:t>
      </w:r>
      <w:r>
        <w:rPr>
          <w:rFonts w:hint="eastAsia"/>
          <w:b w:val="0"/>
          <w:bCs/>
          <w:color w:val="auto"/>
          <w:szCs w:val="21"/>
          <w:highlight w:val="none"/>
          <w:lang w:val="zh-CN"/>
        </w:rPr>
        <w:t xml:space="preserve">      </w:t>
      </w:r>
    </w:p>
    <w:tbl>
      <w:tblPr>
        <w:tblStyle w:val="31"/>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1066"/>
        <w:gridCol w:w="1067"/>
        <w:gridCol w:w="1040"/>
        <w:gridCol w:w="1383"/>
        <w:gridCol w:w="1008"/>
        <w:gridCol w:w="1464"/>
        <w:gridCol w:w="1025"/>
        <w:gridCol w:w="863"/>
        <w:gridCol w:w="1324"/>
        <w:gridCol w:w="1026"/>
        <w:gridCol w:w="923"/>
        <w:gridCol w:w="1091"/>
      </w:tblGrid>
      <w:tr w14:paraId="648C1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04AD58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kern w:val="2"/>
                <w:sz w:val="21"/>
                <w:szCs w:val="21"/>
                <w:highlight w:val="none"/>
              </w:rPr>
              <w:t>序号</w:t>
            </w:r>
          </w:p>
        </w:tc>
        <w:tc>
          <w:tcPr>
            <w:tcW w:w="1066" w:type="dxa"/>
            <w:vAlign w:val="center"/>
          </w:tcPr>
          <w:p w14:paraId="2FF648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分项</w:t>
            </w:r>
            <w:r>
              <w:rPr>
                <w:rFonts w:hint="eastAsia" w:ascii="宋体" w:hAnsi="宋体" w:eastAsia="宋体" w:cs="宋体"/>
                <w:b w:val="0"/>
                <w:bCs/>
                <w:color w:val="auto"/>
                <w:sz w:val="21"/>
                <w:szCs w:val="21"/>
                <w:highlight w:val="none"/>
              </w:rPr>
              <w:t>名称</w:t>
            </w:r>
          </w:p>
        </w:tc>
        <w:tc>
          <w:tcPr>
            <w:tcW w:w="1067" w:type="dxa"/>
            <w:vAlign w:val="center"/>
          </w:tcPr>
          <w:p w14:paraId="3905A3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制造商</w:t>
            </w:r>
          </w:p>
        </w:tc>
        <w:tc>
          <w:tcPr>
            <w:tcW w:w="1040" w:type="dxa"/>
            <w:vAlign w:val="center"/>
          </w:tcPr>
          <w:p w14:paraId="143D61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产地/国别</w:t>
            </w:r>
          </w:p>
        </w:tc>
        <w:tc>
          <w:tcPr>
            <w:tcW w:w="1383" w:type="dxa"/>
            <w:vAlign w:val="center"/>
          </w:tcPr>
          <w:p w14:paraId="470AA4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制造商</w:t>
            </w:r>
          </w:p>
          <w:p w14:paraId="09AE09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统一社会信用代码</w:t>
            </w:r>
          </w:p>
        </w:tc>
        <w:tc>
          <w:tcPr>
            <w:tcW w:w="1008" w:type="dxa"/>
            <w:vAlign w:val="center"/>
          </w:tcPr>
          <w:p w14:paraId="14CB49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制造商规模</w:t>
            </w:r>
          </w:p>
        </w:tc>
        <w:tc>
          <w:tcPr>
            <w:tcW w:w="1464" w:type="dxa"/>
            <w:vAlign w:val="center"/>
          </w:tcPr>
          <w:p w14:paraId="5AA94D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en-US"/>
              </w:rPr>
            </w:pPr>
            <w:r>
              <w:rPr>
                <w:rFonts w:hint="eastAsia" w:ascii="宋体" w:hAnsi="宋体" w:eastAsia="宋体" w:cs="宋体"/>
                <w:b w:val="0"/>
                <w:bCs/>
                <w:color w:val="auto"/>
                <w:sz w:val="21"/>
                <w:szCs w:val="21"/>
                <w:highlight w:val="none"/>
                <w:lang w:val="en-US" w:eastAsia="zh-CN"/>
              </w:rPr>
              <w:t>制造商实际控制人性别</w:t>
            </w:r>
          </w:p>
        </w:tc>
        <w:tc>
          <w:tcPr>
            <w:tcW w:w="1025" w:type="dxa"/>
            <w:vAlign w:val="center"/>
          </w:tcPr>
          <w:p w14:paraId="7653ED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外商投资类型</w:t>
            </w:r>
          </w:p>
        </w:tc>
        <w:tc>
          <w:tcPr>
            <w:tcW w:w="863" w:type="dxa"/>
            <w:vAlign w:val="center"/>
          </w:tcPr>
          <w:p w14:paraId="27EDFA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rPr>
              <w:t>品牌</w:t>
            </w:r>
          </w:p>
        </w:tc>
        <w:tc>
          <w:tcPr>
            <w:tcW w:w="1324" w:type="dxa"/>
            <w:vAlign w:val="center"/>
          </w:tcPr>
          <w:p w14:paraId="5DB533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lang w:val="en-US" w:eastAsia="zh-CN"/>
              </w:rPr>
              <w:t>规格、</w:t>
            </w:r>
            <w:r>
              <w:rPr>
                <w:rFonts w:hint="eastAsia" w:ascii="宋体" w:hAnsi="宋体" w:eastAsia="宋体" w:cs="宋体"/>
                <w:b w:val="0"/>
                <w:bCs/>
                <w:color w:val="auto"/>
                <w:sz w:val="21"/>
                <w:szCs w:val="21"/>
                <w:highlight w:val="none"/>
              </w:rPr>
              <w:t>型号</w:t>
            </w:r>
          </w:p>
        </w:tc>
        <w:tc>
          <w:tcPr>
            <w:tcW w:w="1026" w:type="dxa"/>
            <w:vAlign w:val="center"/>
          </w:tcPr>
          <w:p w14:paraId="30211648">
            <w:pPr>
              <w:spacing w:line="240" w:lineRule="auto"/>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单价</w:t>
            </w:r>
          </w:p>
          <w:p w14:paraId="43416C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rPr>
              <w:t>（元）</w:t>
            </w:r>
          </w:p>
        </w:tc>
        <w:tc>
          <w:tcPr>
            <w:tcW w:w="923" w:type="dxa"/>
            <w:vAlign w:val="center"/>
          </w:tcPr>
          <w:p w14:paraId="6AC2D0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rPr>
              <w:t>数量</w:t>
            </w:r>
          </w:p>
        </w:tc>
        <w:tc>
          <w:tcPr>
            <w:tcW w:w="1091" w:type="dxa"/>
            <w:vAlign w:val="center"/>
          </w:tcPr>
          <w:p w14:paraId="024AFD90">
            <w:pPr>
              <w:spacing w:line="240" w:lineRule="auto"/>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合价</w:t>
            </w:r>
          </w:p>
          <w:p w14:paraId="0CC323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rPr>
              <w:t>（元）</w:t>
            </w:r>
          </w:p>
        </w:tc>
      </w:tr>
      <w:tr w14:paraId="12B45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7F5259B0">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1</w:t>
            </w:r>
          </w:p>
        </w:tc>
        <w:tc>
          <w:tcPr>
            <w:tcW w:w="1066" w:type="dxa"/>
            <w:vAlign w:val="center"/>
          </w:tcPr>
          <w:p w14:paraId="73768CBA">
            <w:pPr>
              <w:jc w:val="center"/>
              <w:rPr>
                <w:rFonts w:hint="eastAsia" w:ascii="宋体" w:hAnsi="宋体" w:eastAsia="宋体" w:cs="宋体"/>
                <w:b w:val="0"/>
                <w:bCs/>
                <w:color w:val="auto"/>
                <w:sz w:val="21"/>
                <w:szCs w:val="21"/>
                <w:highlight w:val="none"/>
                <w:u w:val="none"/>
                <w:vertAlign w:val="baseline"/>
                <w:lang w:val="zh-CN"/>
              </w:rPr>
            </w:pPr>
          </w:p>
        </w:tc>
        <w:tc>
          <w:tcPr>
            <w:tcW w:w="1067" w:type="dxa"/>
            <w:vAlign w:val="center"/>
          </w:tcPr>
          <w:p w14:paraId="7D210C83">
            <w:pPr>
              <w:jc w:val="center"/>
              <w:rPr>
                <w:rFonts w:hint="eastAsia" w:ascii="宋体" w:hAnsi="宋体" w:eastAsia="宋体" w:cs="宋体"/>
                <w:b w:val="0"/>
                <w:bCs/>
                <w:color w:val="auto"/>
                <w:sz w:val="21"/>
                <w:szCs w:val="21"/>
                <w:highlight w:val="none"/>
                <w:u w:val="none"/>
                <w:vertAlign w:val="baseline"/>
                <w:lang w:val="zh-CN"/>
              </w:rPr>
            </w:pPr>
          </w:p>
        </w:tc>
        <w:tc>
          <w:tcPr>
            <w:tcW w:w="1040" w:type="dxa"/>
            <w:vAlign w:val="center"/>
          </w:tcPr>
          <w:p w14:paraId="53877B09">
            <w:pPr>
              <w:jc w:val="center"/>
              <w:rPr>
                <w:rFonts w:hint="eastAsia" w:ascii="宋体" w:hAnsi="宋体" w:eastAsia="宋体" w:cs="宋体"/>
                <w:b w:val="0"/>
                <w:bCs/>
                <w:color w:val="auto"/>
                <w:sz w:val="21"/>
                <w:szCs w:val="21"/>
                <w:highlight w:val="none"/>
                <w:u w:val="none"/>
                <w:vertAlign w:val="baseline"/>
                <w:lang w:val="zh-CN"/>
              </w:rPr>
            </w:pPr>
          </w:p>
        </w:tc>
        <w:tc>
          <w:tcPr>
            <w:tcW w:w="1383" w:type="dxa"/>
            <w:vAlign w:val="center"/>
          </w:tcPr>
          <w:p w14:paraId="24A05A1D">
            <w:pPr>
              <w:jc w:val="center"/>
              <w:rPr>
                <w:rFonts w:hint="eastAsia" w:ascii="宋体" w:hAnsi="宋体" w:eastAsia="宋体" w:cs="宋体"/>
                <w:b w:val="0"/>
                <w:bCs/>
                <w:color w:val="auto"/>
                <w:sz w:val="21"/>
                <w:szCs w:val="21"/>
                <w:highlight w:val="none"/>
                <w:u w:val="none"/>
                <w:vertAlign w:val="baseline"/>
                <w:lang w:val="zh-CN"/>
              </w:rPr>
            </w:pPr>
          </w:p>
        </w:tc>
        <w:tc>
          <w:tcPr>
            <w:tcW w:w="1008" w:type="dxa"/>
            <w:vAlign w:val="center"/>
          </w:tcPr>
          <w:p w14:paraId="24A97314">
            <w:pPr>
              <w:jc w:val="center"/>
              <w:rPr>
                <w:rFonts w:hint="eastAsia" w:ascii="宋体" w:hAnsi="宋体" w:eastAsia="宋体" w:cs="宋体"/>
                <w:b w:val="0"/>
                <w:bCs/>
                <w:color w:val="auto"/>
                <w:sz w:val="21"/>
                <w:szCs w:val="21"/>
                <w:highlight w:val="none"/>
                <w:u w:val="none"/>
                <w:vertAlign w:val="baseline"/>
                <w:lang w:val="zh-CN"/>
              </w:rPr>
            </w:pPr>
          </w:p>
        </w:tc>
        <w:tc>
          <w:tcPr>
            <w:tcW w:w="1464" w:type="dxa"/>
            <w:vAlign w:val="center"/>
          </w:tcPr>
          <w:p w14:paraId="4603DA78">
            <w:pPr>
              <w:jc w:val="center"/>
              <w:rPr>
                <w:rFonts w:hint="eastAsia" w:ascii="宋体" w:hAnsi="宋体" w:eastAsia="宋体" w:cs="宋体"/>
                <w:b w:val="0"/>
                <w:bCs/>
                <w:color w:val="auto"/>
                <w:sz w:val="21"/>
                <w:szCs w:val="21"/>
                <w:highlight w:val="none"/>
                <w:u w:val="none"/>
                <w:vertAlign w:val="baseline"/>
                <w:lang w:val="zh-CN"/>
              </w:rPr>
            </w:pPr>
          </w:p>
        </w:tc>
        <w:tc>
          <w:tcPr>
            <w:tcW w:w="1025" w:type="dxa"/>
            <w:vAlign w:val="center"/>
          </w:tcPr>
          <w:p w14:paraId="1ED19264">
            <w:pPr>
              <w:jc w:val="center"/>
              <w:rPr>
                <w:rFonts w:hint="eastAsia" w:ascii="宋体" w:hAnsi="宋体" w:eastAsia="宋体" w:cs="宋体"/>
                <w:b w:val="0"/>
                <w:bCs/>
                <w:color w:val="auto"/>
                <w:sz w:val="21"/>
                <w:szCs w:val="21"/>
                <w:highlight w:val="none"/>
                <w:u w:val="none"/>
                <w:vertAlign w:val="baseline"/>
                <w:lang w:val="zh-CN"/>
              </w:rPr>
            </w:pPr>
          </w:p>
        </w:tc>
        <w:tc>
          <w:tcPr>
            <w:tcW w:w="863" w:type="dxa"/>
            <w:vAlign w:val="center"/>
          </w:tcPr>
          <w:p w14:paraId="7598F9DF">
            <w:pPr>
              <w:jc w:val="center"/>
              <w:rPr>
                <w:rFonts w:hint="eastAsia" w:ascii="宋体" w:hAnsi="宋体" w:eastAsia="宋体" w:cs="宋体"/>
                <w:b w:val="0"/>
                <w:bCs/>
                <w:color w:val="auto"/>
                <w:sz w:val="21"/>
                <w:szCs w:val="21"/>
                <w:highlight w:val="none"/>
                <w:u w:val="none"/>
                <w:vertAlign w:val="baseline"/>
                <w:lang w:val="zh-CN"/>
              </w:rPr>
            </w:pPr>
          </w:p>
        </w:tc>
        <w:tc>
          <w:tcPr>
            <w:tcW w:w="1324" w:type="dxa"/>
            <w:vAlign w:val="center"/>
          </w:tcPr>
          <w:p w14:paraId="77C20E73">
            <w:pPr>
              <w:jc w:val="center"/>
              <w:rPr>
                <w:rFonts w:hint="eastAsia" w:ascii="宋体" w:hAnsi="宋体" w:eastAsia="宋体" w:cs="宋体"/>
                <w:b w:val="0"/>
                <w:bCs/>
                <w:color w:val="auto"/>
                <w:sz w:val="21"/>
                <w:szCs w:val="21"/>
                <w:highlight w:val="none"/>
                <w:u w:val="none"/>
                <w:vertAlign w:val="baseline"/>
                <w:lang w:val="zh-CN"/>
              </w:rPr>
            </w:pPr>
          </w:p>
        </w:tc>
        <w:tc>
          <w:tcPr>
            <w:tcW w:w="1026" w:type="dxa"/>
            <w:vAlign w:val="center"/>
          </w:tcPr>
          <w:p w14:paraId="1623F662">
            <w:pPr>
              <w:jc w:val="center"/>
              <w:rPr>
                <w:rFonts w:hint="eastAsia" w:ascii="宋体" w:hAnsi="宋体" w:eastAsia="宋体" w:cs="宋体"/>
                <w:b w:val="0"/>
                <w:bCs/>
                <w:color w:val="auto"/>
                <w:sz w:val="21"/>
                <w:szCs w:val="21"/>
                <w:highlight w:val="none"/>
                <w:u w:val="none"/>
                <w:vertAlign w:val="baseline"/>
                <w:lang w:val="zh-CN"/>
              </w:rPr>
            </w:pPr>
          </w:p>
        </w:tc>
        <w:tc>
          <w:tcPr>
            <w:tcW w:w="923" w:type="dxa"/>
            <w:vAlign w:val="center"/>
          </w:tcPr>
          <w:p w14:paraId="3FA2386B">
            <w:pPr>
              <w:jc w:val="center"/>
              <w:rPr>
                <w:rFonts w:hint="eastAsia" w:ascii="宋体" w:hAnsi="宋体" w:eastAsia="宋体" w:cs="宋体"/>
                <w:b w:val="0"/>
                <w:bCs/>
                <w:color w:val="auto"/>
                <w:sz w:val="21"/>
                <w:szCs w:val="21"/>
                <w:highlight w:val="none"/>
                <w:u w:val="none"/>
                <w:vertAlign w:val="baseline"/>
                <w:lang w:val="zh-CN"/>
              </w:rPr>
            </w:pPr>
          </w:p>
        </w:tc>
        <w:tc>
          <w:tcPr>
            <w:tcW w:w="1091" w:type="dxa"/>
            <w:vAlign w:val="center"/>
          </w:tcPr>
          <w:p w14:paraId="212DB712">
            <w:pPr>
              <w:jc w:val="center"/>
              <w:rPr>
                <w:rFonts w:hint="eastAsia" w:ascii="宋体" w:hAnsi="宋体" w:eastAsia="宋体" w:cs="宋体"/>
                <w:b w:val="0"/>
                <w:bCs/>
                <w:color w:val="auto"/>
                <w:sz w:val="21"/>
                <w:szCs w:val="21"/>
                <w:highlight w:val="none"/>
                <w:u w:val="none"/>
                <w:vertAlign w:val="baseline"/>
                <w:lang w:val="zh-CN"/>
              </w:rPr>
            </w:pPr>
          </w:p>
        </w:tc>
      </w:tr>
      <w:tr w14:paraId="29DF7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44D40868">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2</w:t>
            </w:r>
          </w:p>
        </w:tc>
        <w:tc>
          <w:tcPr>
            <w:tcW w:w="1066" w:type="dxa"/>
            <w:vAlign w:val="center"/>
          </w:tcPr>
          <w:p w14:paraId="69AA6AB5">
            <w:pPr>
              <w:jc w:val="center"/>
              <w:rPr>
                <w:rFonts w:hint="eastAsia" w:ascii="宋体" w:hAnsi="宋体" w:eastAsia="宋体" w:cs="宋体"/>
                <w:b w:val="0"/>
                <w:bCs/>
                <w:color w:val="auto"/>
                <w:sz w:val="21"/>
                <w:szCs w:val="21"/>
                <w:highlight w:val="none"/>
                <w:u w:val="none"/>
                <w:vertAlign w:val="baseline"/>
                <w:lang w:val="zh-CN"/>
              </w:rPr>
            </w:pPr>
          </w:p>
        </w:tc>
        <w:tc>
          <w:tcPr>
            <w:tcW w:w="1067" w:type="dxa"/>
            <w:vAlign w:val="center"/>
          </w:tcPr>
          <w:p w14:paraId="3ED59428">
            <w:pPr>
              <w:jc w:val="center"/>
              <w:rPr>
                <w:rFonts w:hint="eastAsia" w:ascii="宋体" w:hAnsi="宋体" w:eastAsia="宋体" w:cs="宋体"/>
                <w:b w:val="0"/>
                <w:bCs/>
                <w:color w:val="auto"/>
                <w:sz w:val="21"/>
                <w:szCs w:val="21"/>
                <w:highlight w:val="none"/>
                <w:u w:val="none"/>
                <w:vertAlign w:val="baseline"/>
                <w:lang w:val="zh-CN"/>
              </w:rPr>
            </w:pPr>
          </w:p>
        </w:tc>
        <w:tc>
          <w:tcPr>
            <w:tcW w:w="1040" w:type="dxa"/>
            <w:vAlign w:val="center"/>
          </w:tcPr>
          <w:p w14:paraId="04BCE3D5">
            <w:pPr>
              <w:jc w:val="center"/>
              <w:rPr>
                <w:rFonts w:hint="eastAsia" w:ascii="宋体" w:hAnsi="宋体" w:eastAsia="宋体" w:cs="宋体"/>
                <w:b w:val="0"/>
                <w:bCs/>
                <w:color w:val="auto"/>
                <w:sz w:val="21"/>
                <w:szCs w:val="21"/>
                <w:highlight w:val="none"/>
                <w:u w:val="none"/>
                <w:vertAlign w:val="baseline"/>
                <w:lang w:val="zh-CN"/>
              </w:rPr>
            </w:pPr>
          </w:p>
        </w:tc>
        <w:tc>
          <w:tcPr>
            <w:tcW w:w="1383" w:type="dxa"/>
            <w:vAlign w:val="center"/>
          </w:tcPr>
          <w:p w14:paraId="156F744E">
            <w:pPr>
              <w:jc w:val="center"/>
              <w:rPr>
                <w:rFonts w:hint="eastAsia" w:ascii="宋体" w:hAnsi="宋体" w:eastAsia="宋体" w:cs="宋体"/>
                <w:b w:val="0"/>
                <w:bCs/>
                <w:color w:val="auto"/>
                <w:sz w:val="21"/>
                <w:szCs w:val="21"/>
                <w:highlight w:val="none"/>
                <w:u w:val="none"/>
                <w:vertAlign w:val="baseline"/>
                <w:lang w:val="zh-CN"/>
              </w:rPr>
            </w:pPr>
          </w:p>
        </w:tc>
        <w:tc>
          <w:tcPr>
            <w:tcW w:w="1008" w:type="dxa"/>
            <w:vAlign w:val="center"/>
          </w:tcPr>
          <w:p w14:paraId="4AC6699B">
            <w:pPr>
              <w:jc w:val="center"/>
              <w:rPr>
                <w:rFonts w:hint="eastAsia" w:ascii="宋体" w:hAnsi="宋体" w:eastAsia="宋体" w:cs="宋体"/>
                <w:b w:val="0"/>
                <w:bCs/>
                <w:color w:val="auto"/>
                <w:sz w:val="21"/>
                <w:szCs w:val="21"/>
                <w:highlight w:val="none"/>
                <w:u w:val="none"/>
                <w:vertAlign w:val="baseline"/>
                <w:lang w:val="zh-CN"/>
              </w:rPr>
            </w:pPr>
          </w:p>
        </w:tc>
        <w:tc>
          <w:tcPr>
            <w:tcW w:w="1464" w:type="dxa"/>
            <w:vAlign w:val="center"/>
          </w:tcPr>
          <w:p w14:paraId="78379176">
            <w:pPr>
              <w:jc w:val="center"/>
              <w:rPr>
                <w:rFonts w:hint="eastAsia" w:ascii="宋体" w:hAnsi="宋体" w:eastAsia="宋体" w:cs="宋体"/>
                <w:b w:val="0"/>
                <w:bCs/>
                <w:color w:val="auto"/>
                <w:sz w:val="21"/>
                <w:szCs w:val="21"/>
                <w:highlight w:val="none"/>
                <w:u w:val="none"/>
                <w:vertAlign w:val="baseline"/>
                <w:lang w:val="zh-CN"/>
              </w:rPr>
            </w:pPr>
          </w:p>
        </w:tc>
        <w:tc>
          <w:tcPr>
            <w:tcW w:w="1025" w:type="dxa"/>
            <w:vAlign w:val="center"/>
          </w:tcPr>
          <w:p w14:paraId="06A6C80F">
            <w:pPr>
              <w:jc w:val="center"/>
              <w:rPr>
                <w:rFonts w:hint="eastAsia" w:ascii="宋体" w:hAnsi="宋体" w:eastAsia="宋体" w:cs="宋体"/>
                <w:b w:val="0"/>
                <w:bCs/>
                <w:color w:val="auto"/>
                <w:sz w:val="21"/>
                <w:szCs w:val="21"/>
                <w:highlight w:val="none"/>
                <w:u w:val="none"/>
                <w:vertAlign w:val="baseline"/>
                <w:lang w:val="zh-CN"/>
              </w:rPr>
            </w:pPr>
          </w:p>
        </w:tc>
        <w:tc>
          <w:tcPr>
            <w:tcW w:w="863" w:type="dxa"/>
            <w:vAlign w:val="center"/>
          </w:tcPr>
          <w:p w14:paraId="36585C99">
            <w:pPr>
              <w:jc w:val="center"/>
              <w:rPr>
                <w:rFonts w:hint="eastAsia" w:ascii="宋体" w:hAnsi="宋体" w:eastAsia="宋体" w:cs="宋体"/>
                <w:b w:val="0"/>
                <w:bCs/>
                <w:color w:val="auto"/>
                <w:sz w:val="21"/>
                <w:szCs w:val="21"/>
                <w:highlight w:val="none"/>
                <w:u w:val="none"/>
                <w:vertAlign w:val="baseline"/>
                <w:lang w:val="zh-CN"/>
              </w:rPr>
            </w:pPr>
          </w:p>
        </w:tc>
        <w:tc>
          <w:tcPr>
            <w:tcW w:w="1324" w:type="dxa"/>
            <w:vAlign w:val="center"/>
          </w:tcPr>
          <w:p w14:paraId="5CA20A4C">
            <w:pPr>
              <w:jc w:val="center"/>
              <w:rPr>
                <w:rFonts w:hint="eastAsia" w:ascii="宋体" w:hAnsi="宋体" w:eastAsia="宋体" w:cs="宋体"/>
                <w:b w:val="0"/>
                <w:bCs/>
                <w:color w:val="auto"/>
                <w:sz w:val="21"/>
                <w:szCs w:val="21"/>
                <w:highlight w:val="none"/>
                <w:u w:val="none"/>
                <w:vertAlign w:val="baseline"/>
                <w:lang w:val="zh-CN"/>
              </w:rPr>
            </w:pPr>
          </w:p>
        </w:tc>
        <w:tc>
          <w:tcPr>
            <w:tcW w:w="1026" w:type="dxa"/>
            <w:vAlign w:val="center"/>
          </w:tcPr>
          <w:p w14:paraId="21625AC7">
            <w:pPr>
              <w:jc w:val="center"/>
              <w:rPr>
                <w:rFonts w:hint="eastAsia" w:ascii="宋体" w:hAnsi="宋体" w:eastAsia="宋体" w:cs="宋体"/>
                <w:b w:val="0"/>
                <w:bCs/>
                <w:color w:val="auto"/>
                <w:sz w:val="21"/>
                <w:szCs w:val="21"/>
                <w:highlight w:val="none"/>
                <w:u w:val="none"/>
                <w:vertAlign w:val="baseline"/>
                <w:lang w:val="zh-CN"/>
              </w:rPr>
            </w:pPr>
          </w:p>
        </w:tc>
        <w:tc>
          <w:tcPr>
            <w:tcW w:w="923" w:type="dxa"/>
            <w:vAlign w:val="center"/>
          </w:tcPr>
          <w:p w14:paraId="5B75566B">
            <w:pPr>
              <w:jc w:val="center"/>
              <w:rPr>
                <w:rFonts w:hint="eastAsia" w:ascii="宋体" w:hAnsi="宋体" w:eastAsia="宋体" w:cs="宋体"/>
                <w:b w:val="0"/>
                <w:bCs/>
                <w:color w:val="auto"/>
                <w:sz w:val="21"/>
                <w:szCs w:val="21"/>
                <w:highlight w:val="none"/>
                <w:u w:val="none"/>
                <w:vertAlign w:val="baseline"/>
                <w:lang w:val="zh-CN"/>
              </w:rPr>
            </w:pPr>
          </w:p>
        </w:tc>
        <w:tc>
          <w:tcPr>
            <w:tcW w:w="1091" w:type="dxa"/>
            <w:vAlign w:val="center"/>
          </w:tcPr>
          <w:p w14:paraId="23CC1F36">
            <w:pPr>
              <w:jc w:val="center"/>
              <w:rPr>
                <w:rFonts w:hint="eastAsia" w:ascii="宋体" w:hAnsi="宋体" w:eastAsia="宋体" w:cs="宋体"/>
                <w:b w:val="0"/>
                <w:bCs/>
                <w:color w:val="auto"/>
                <w:sz w:val="21"/>
                <w:szCs w:val="21"/>
                <w:highlight w:val="none"/>
                <w:u w:val="none"/>
                <w:vertAlign w:val="baseline"/>
                <w:lang w:val="zh-CN"/>
              </w:rPr>
            </w:pPr>
          </w:p>
        </w:tc>
      </w:tr>
      <w:tr w14:paraId="3139E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5C36BCF1">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3</w:t>
            </w:r>
          </w:p>
        </w:tc>
        <w:tc>
          <w:tcPr>
            <w:tcW w:w="1066" w:type="dxa"/>
            <w:vAlign w:val="center"/>
          </w:tcPr>
          <w:p w14:paraId="4BD6D92D">
            <w:pPr>
              <w:jc w:val="center"/>
              <w:rPr>
                <w:rFonts w:hint="eastAsia" w:ascii="宋体" w:hAnsi="宋体" w:eastAsia="宋体" w:cs="宋体"/>
                <w:b w:val="0"/>
                <w:bCs/>
                <w:color w:val="auto"/>
                <w:sz w:val="21"/>
                <w:szCs w:val="21"/>
                <w:highlight w:val="none"/>
                <w:u w:val="none"/>
                <w:vertAlign w:val="baseline"/>
                <w:lang w:val="zh-CN"/>
              </w:rPr>
            </w:pPr>
          </w:p>
        </w:tc>
        <w:tc>
          <w:tcPr>
            <w:tcW w:w="1067" w:type="dxa"/>
            <w:vAlign w:val="center"/>
          </w:tcPr>
          <w:p w14:paraId="0D157F36">
            <w:pPr>
              <w:jc w:val="center"/>
              <w:rPr>
                <w:rFonts w:hint="eastAsia" w:ascii="宋体" w:hAnsi="宋体" w:eastAsia="宋体" w:cs="宋体"/>
                <w:b w:val="0"/>
                <w:bCs/>
                <w:color w:val="auto"/>
                <w:sz w:val="21"/>
                <w:szCs w:val="21"/>
                <w:highlight w:val="none"/>
                <w:u w:val="none"/>
                <w:vertAlign w:val="baseline"/>
                <w:lang w:val="zh-CN"/>
              </w:rPr>
            </w:pPr>
          </w:p>
        </w:tc>
        <w:tc>
          <w:tcPr>
            <w:tcW w:w="1040" w:type="dxa"/>
            <w:vAlign w:val="center"/>
          </w:tcPr>
          <w:p w14:paraId="3D0954E0">
            <w:pPr>
              <w:jc w:val="center"/>
              <w:rPr>
                <w:rFonts w:hint="eastAsia" w:ascii="宋体" w:hAnsi="宋体" w:eastAsia="宋体" w:cs="宋体"/>
                <w:b w:val="0"/>
                <w:bCs/>
                <w:color w:val="auto"/>
                <w:sz w:val="21"/>
                <w:szCs w:val="21"/>
                <w:highlight w:val="none"/>
                <w:u w:val="none"/>
                <w:vertAlign w:val="baseline"/>
                <w:lang w:val="zh-CN"/>
              </w:rPr>
            </w:pPr>
          </w:p>
        </w:tc>
        <w:tc>
          <w:tcPr>
            <w:tcW w:w="1383" w:type="dxa"/>
            <w:vAlign w:val="center"/>
          </w:tcPr>
          <w:p w14:paraId="33C77C09">
            <w:pPr>
              <w:jc w:val="center"/>
              <w:rPr>
                <w:rFonts w:hint="eastAsia" w:ascii="宋体" w:hAnsi="宋体" w:eastAsia="宋体" w:cs="宋体"/>
                <w:b w:val="0"/>
                <w:bCs/>
                <w:color w:val="auto"/>
                <w:sz w:val="21"/>
                <w:szCs w:val="21"/>
                <w:highlight w:val="none"/>
                <w:u w:val="none"/>
                <w:vertAlign w:val="baseline"/>
                <w:lang w:val="zh-CN"/>
              </w:rPr>
            </w:pPr>
          </w:p>
        </w:tc>
        <w:tc>
          <w:tcPr>
            <w:tcW w:w="1008" w:type="dxa"/>
            <w:vAlign w:val="center"/>
          </w:tcPr>
          <w:p w14:paraId="5C54E09E">
            <w:pPr>
              <w:jc w:val="center"/>
              <w:rPr>
                <w:rFonts w:hint="eastAsia" w:ascii="宋体" w:hAnsi="宋体" w:eastAsia="宋体" w:cs="宋体"/>
                <w:b w:val="0"/>
                <w:bCs/>
                <w:color w:val="auto"/>
                <w:sz w:val="21"/>
                <w:szCs w:val="21"/>
                <w:highlight w:val="none"/>
                <w:u w:val="none"/>
                <w:vertAlign w:val="baseline"/>
                <w:lang w:val="zh-CN"/>
              </w:rPr>
            </w:pPr>
          </w:p>
        </w:tc>
        <w:tc>
          <w:tcPr>
            <w:tcW w:w="1464" w:type="dxa"/>
            <w:vAlign w:val="center"/>
          </w:tcPr>
          <w:p w14:paraId="4C1D1BDB">
            <w:pPr>
              <w:jc w:val="center"/>
              <w:rPr>
                <w:rFonts w:hint="eastAsia" w:ascii="宋体" w:hAnsi="宋体" w:eastAsia="宋体" w:cs="宋体"/>
                <w:b w:val="0"/>
                <w:bCs/>
                <w:color w:val="auto"/>
                <w:sz w:val="21"/>
                <w:szCs w:val="21"/>
                <w:highlight w:val="none"/>
                <w:u w:val="none"/>
                <w:vertAlign w:val="baseline"/>
                <w:lang w:val="zh-CN"/>
              </w:rPr>
            </w:pPr>
          </w:p>
        </w:tc>
        <w:tc>
          <w:tcPr>
            <w:tcW w:w="1025" w:type="dxa"/>
            <w:vAlign w:val="center"/>
          </w:tcPr>
          <w:p w14:paraId="12DDED4A">
            <w:pPr>
              <w:jc w:val="center"/>
              <w:rPr>
                <w:rFonts w:hint="eastAsia" w:ascii="宋体" w:hAnsi="宋体" w:eastAsia="宋体" w:cs="宋体"/>
                <w:b w:val="0"/>
                <w:bCs/>
                <w:color w:val="auto"/>
                <w:sz w:val="21"/>
                <w:szCs w:val="21"/>
                <w:highlight w:val="none"/>
                <w:u w:val="none"/>
                <w:vertAlign w:val="baseline"/>
                <w:lang w:val="zh-CN"/>
              </w:rPr>
            </w:pPr>
          </w:p>
        </w:tc>
        <w:tc>
          <w:tcPr>
            <w:tcW w:w="863" w:type="dxa"/>
            <w:vAlign w:val="center"/>
          </w:tcPr>
          <w:p w14:paraId="685B417A">
            <w:pPr>
              <w:jc w:val="center"/>
              <w:rPr>
                <w:rFonts w:hint="eastAsia" w:ascii="宋体" w:hAnsi="宋体" w:eastAsia="宋体" w:cs="宋体"/>
                <w:b w:val="0"/>
                <w:bCs/>
                <w:color w:val="auto"/>
                <w:sz w:val="21"/>
                <w:szCs w:val="21"/>
                <w:highlight w:val="none"/>
                <w:u w:val="none"/>
                <w:vertAlign w:val="baseline"/>
                <w:lang w:val="zh-CN"/>
              </w:rPr>
            </w:pPr>
          </w:p>
        </w:tc>
        <w:tc>
          <w:tcPr>
            <w:tcW w:w="1324" w:type="dxa"/>
            <w:vAlign w:val="center"/>
          </w:tcPr>
          <w:p w14:paraId="48EAADC8">
            <w:pPr>
              <w:jc w:val="center"/>
              <w:rPr>
                <w:rFonts w:hint="eastAsia" w:ascii="宋体" w:hAnsi="宋体" w:eastAsia="宋体" w:cs="宋体"/>
                <w:b w:val="0"/>
                <w:bCs/>
                <w:color w:val="auto"/>
                <w:sz w:val="21"/>
                <w:szCs w:val="21"/>
                <w:highlight w:val="none"/>
                <w:u w:val="none"/>
                <w:vertAlign w:val="baseline"/>
                <w:lang w:val="zh-CN"/>
              </w:rPr>
            </w:pPr>
          </w:p>
        </w:tc>
        <w:tc>
          <w:tcPr>
            <w:tcW w:w="1026" w:type="dxa"/>
            <w:vAlign w:val="center"/>
          </w:tcPr>
          <w:p w14:paraId="17871FB5">
            <w:pPr>
              <w:jc w:val="center"/>
              <w:rPr>
                <w:rFonts w:hint="eastAsia" w:ascii="宋体" w:hAnsi="宋体" w:eastAsia="宋体" w:cs="宋体"/>
                <w:b w:val="0"/>
                <w:bCs/>
                <w:color w:val="auto"/>
                <w:sz w:val="21"/>
                <w:szCs w:val="21"/>
                <w:highlight w:val="none"/>
                <w:u w:val="none"/>
                <w:vertAlign w:val="baseline"/>
                <w:lang w:val="zh-CN"/>
              </w:rPr>
            </w:pPr>
          </w:p>
        </w:tc>
        <w:tc>
          <w:tcPr>
            <w:tcW w:w="923" w:type="dxa"/>
            <w:vAlign w:val="center"/>
          </w:tcPr>
          <w:p w14:paraId="7715D514">
            <w:pPr>
              <w:jc w:val="center"/>
              <w:rPr>
                <w:rFonts w:hint="eastAsia" w:ascii="宋体" w:hAnsi="宋体" w:eastAsia="宋体" w:cs="宋体"/>
                <w:b w:val="0"/>
                <w:bCs/>
                <w:color w:val="auto"/>
                <w:sz w:val="21"/>
                <w:szCs w:val="21"/>
                <w:highlight w:val="none"/>
                <w:u w:val="none"/>
                <w:vertAlign w:val="baseline"/>
                <w:lang w:val="zh-CN"/>
              </w:rPr>
            </w:pPr>
          </w:p>
        </w:tc>
        <w:tc>
          <w:tcPr>
            <w:tcW w:w="1091" w:type="dxa"/>
            <w:vAlign w:val="center"/>
          </w:tcPr>
          <w:p w14:paraId="7F5F0DA0">
            <w:pPr>
              <w:jc w:val="center"/>
              <w:rPr>
                <w:rFonts w:hint="eastAsia" w:ascii="宋体" w:hAnsi="宋体" w:eastAsia="宋体" w:cs="宋体"/>
                <w:b w:val="0"/>
                <w:bCs/>
                <w:color w:val="auto"/>
                <w:sz w:val="21"/>
                <w:szCs w:val="21"/>
                <w:highlight w:val="none"/>
                <w:u w:val="none"/>
                <w:vertAlign w:val="baseline"/>
                <w:lang w:val="zh-CN"/>
              </w:rPr>
            </w:pPr>
          </w:p>
        </w:tc>
      </w:tr>
      <w:tr w14:paraId="3F1B8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34A204B2">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4</w:t>
            </w:r>
          </w:p>
        </w:tc>
        <w:tc>
          <w:tcPr>
            <w:tcW w:w="1066" w:type="dxa"/>
            <w:vAlign w:val="center"/>
          </w:tcPr>
          <w:p w14:paraId="72631C22">
            <w:pPr>
              <w:jc w:val="center"/>
              <w:rPr>
                <w:rFonts w:hint="eastAsia" w:ascii="宋体" w:hAnsi="宋体" w:eastAsia="宋体" w:cs="宋体"/>
                <w:b w:val="0"/>
                <w:bCs/>
                <w:color w:val="auto"/>
                <w:sz w:val="21"/>
                <w:szCs w:val="21"/>
                <w:highlight w:val="none"/>
                <w:u w:val="none"/>
                <w:vertAlign w:val="baseline"/>
                <w:lang w:val="zh-CN"/>
              </w:rPr>
            </w:pPr>
          </w:p>
        </w:tc>
        <w:tc>
          <w:tcPr>
            <w:tcW w:w="1067" w:type="dxa"/>
            <w:vAlign w:val="center"/>
          </w:tcPr>
          <w:p w14:paraId="05FDAEF8">
            <w:pPr>
              <w:jc w:val="center"/>
              <w:rPr>
                <w:rFonts w:hint="eastAsia" w:ascii="宋体" w:hAnsi="宋体" w:eastAsia="宋体" w:cs="宋体"/>
                <w:b w:val="0"/>
                <w:bCs/>
                <w:color w:val="auto"/>
                <w:sz w:val="21"/>
                <w:szCs w:val="21"/>
                <w:highlight w:val="none"/>
                <w:u w:val="none"/>
                <w:vertAlign w:val="baseline"/>
                <w:lang w:val="zh-CN"/>
              </w:rPr>
            </w:pPr>
          </w:p>
        </w:tc>
        <w:tc>
          <w:tcPr>
            <w:tcW w:w="1040" w:type="dxa"/>
            <w:vAlign w:val="center"/>
          </w:tcPr>
          <w:p w14:paraId="1B10882B">
            <w:pPr>
              <w:jc w:val="center"/>
              <w:rPr>
                <w:rFonts w:hint="eastAsia" w:ascii="宋体" w:hAnsi="宋体" w:eastAsia="宋体" w:cs="宋体"/>
                <w:b w:val="0"/>
                <w:bCs/>
                <w:color w:val="auto"/>
                <w:sz w:val="21"/>
                <w:szCs w:val="21"/>
                <w:highlight w:val="none"/>
                <w:u w:val="none"/>
                <w:vertAlign w:val="baseline"/>
                <w:lang w:val="zh-CN"/>
              </w:rPr>
            </w:pPr>
          </w:p>
        </w:tc>
        <w:tc>
          <w:tcPr>
            <w:tcW w:w="1383" w:type="dxa"/>
            <w:vAlign w:val="center"/>
          </w:tcPr>
          <w:p w14:paraId="39A4FA60">
            <w:pPr>
              <w:jc w:val="center"/>
              <w:rPr>
                <w:rFonts w:hint="eastAsia" w:ascii="宋体" w:hAnsi="宋体" w:eastAsia="宋体" w:cs="宋体"/>
                <w:b w:val="0"/>
                <w:bCs/>
                <w:color w:val="auto"/>
                <w:sz w:val="21"/>
                <w:szCs w:val="21"/>
                <w:highlight w:val="none"/>
                <w:u w:val="none"/>
                <w:vertAlign w:val="baseline"/>
                <w:lang w:val="zh-CN"/>
              </w:rPr>
            </w:pPr>
          </w:p>
        </w:tc>
        <w:tc>
          <w:tcPr>
            <w:tcW w:w="1008" w:type="dxa"/>
            <w:vAlign w:val="center"/>
          </w:tcPr>
          <w:p w14:paraId="4E468F79">
            <w:pPr>
              <w:jc w:val="center"/>
              <w:rPr>
                <w:rFonts w:hint="eastAsia" w:ascii="宋体" w:hAnsi="宋体" w:eastAsia="宋体" w:cs="宋体"/>
                <w:b w:val="0"/>
                <w:bCs/>
                <w:color w:val="auto"/>
                <w:sz w:val="21"/>
                <w:szCs w:val="21"/>
                <w:highlight w:val="none"/>
                <w:u w:val="none"/>
                <w:vertAlign w:val="baseline"/>
                <w:lang w:val="zh-CN"/>
              </w:rPr>
            </w:pPr>
          </w:p>
        </w:tc>
        <w:tc>
          <w:tcPr>
            <w:tcW w:w="1464" w:type="dxa"/>
            <w:vAlign w:val="center"/>
          </w:tcPr>
          <w:p w14:paraId="62AEEC6C">
            <w:pPr>
              <w:jc w:val="center"/>
              <w:rPr>
                <w:rFonts w:hint="eastAsia" w:ascii="宋体" w:hAnsi="宋体" w:eastAsia="宋体" w:cs="宋体"/>
                <w:b w:val="0"/>
                <w:bCs/>
                <w:color w:val="auto"/>
                <w:sz w:val="21"/>
                <w:szCs w:val="21"/>
                <w:highlight w:val="none"/>
                <w:u w:val="none"/>
                <w:vertAlign w:val="baseline"/>
                <w:lang w:val="zh-CN"/>
              </w:rPr>
            </w:pPr>
          </w:p>
        </w:tc>
        <w:tc>
          <w:tcPr>
            <w:tcW w:w="1025" w:type="dxa"/>
            <w:vAlign w:val="center"/>
          </w:tcPr>
          <w:p w14:paraId="10FD6406">
            <w:pPr>
              <w:jc w:val="center"/>
              <w:rPr>
                <w:rFonts w:hint="eastAsia" w:ascii="宋体" w:hAnsi="宋体" w:eastAsia="宋体" w:cs="宋体"/>
                <w:b w:val="0"/>
                <w:bCs/>
                <w:color w:val="auto"/>
                <w:sz w:val="21"/>
                <w:szCs w:val="21"/>
                <w:highlight w:val="none"/>
                <w:u w:val="none"/>
                <w:vertAlign w:val="baseline"/>
                <w:lang w:val="zh-CN"/>
              </w:rPr>
            </w:pPr>
          </w:p>
        </w:tc>
        <w:tc>
          <w:tcPr>
            <w:tcW w:w="863" w:type="dxa"/>
            <w:vAlign w:val="center"/>
          </w:tcPr>
          <w:p w14:paraId="2BF03BC3">
            <w:pPr>
              <w:jc w:val="center"/>
              <w:rPr>
                <w:rFonts w:hint="eastAsia" w:ascii="宋体" w:hAnsi="宋体" w:eastAsia="宋体" w:cs="宋体"/>
                <w:b w:val="0"/>
                <w:bCs/>
                <w:color w:val="auto"/>
                <w:sz w:val="21"/>
                <w:szCs w:val="21"/>
                <w:highlight w:val="none"/>
                <w:u w:val="none"/>
                <w:vertAlign w:val="baseline"/>
                <w:lang w:val="zh-CN"/>
              </w:rPr>
            </w:pPr>
          </w:p>
        </w:tc>
        <w:tc>
          <w:tcPr>
            <w:tcW w:w="1324" w:type="dxa"/>
            <w:vAlign w:val="center"/>
          </w:tcPr>
          <w:p w14:paraId="5D257865">
            <w:pPr>
              <w:jc w:val="center"/>
              <w:rPr>
                <w:rFonts w:hint="eastAsia" w:ascii="宋体" w:hAnsi="宋体" w:eastAsia="宋体" w:cs="宋体"/>
                <w:b w:val="0"/>
                <w:bCs/>
                <w:color w:val="auto"/>
                <w:sz w:val="21"/>
                <w:szCs w:val="21"/>
                <w:highlight w:val="none"/>
                <w:u w:val="none"/>
                <w:vertAlign w:val="baseline"/>
                <w:lang w:val="zh-CN"/>
              </w:rPr>
            </w:pPr>
          </w:p>
        </w:tc>
        <w:tc>
          <w:tcPr>
            <w:tcW w:w="1026" w:type="dxa"/>
            <w:vAlign w:val="center"/>
          </w:tcPr>
          <w:p w14:paraId="12778E80">
            <w:pPr>
              <w:jc w:val="center"/>
              <w:rPr>
                <w:rFonts w:hint="eastAsia" w:ascii="宋体" w:hAnsi="宋体" w:eastAsia="宋体" w:cs="宋体"/>
                <w:b w:val="0"/>
                <w:bCs/>
                <w:color w:val="auto"/>
                <w:sz w:val="21"/>
                <w:szCs w:val="21"/>
                <w:highlight w:val="none"/>
                <w:u w:val="none"/>
                <w:vertAlign w:val="baseline"/>
                <w:lang w:val="zh-CN"/>
              </w:rPr>
            </w:pPr>
          </w:p>
        </w:tc>
        <w:tc>
          <w:tcPr>
            <w:tcW w:w="923" w:type="dxa"/>
            <w:vAlign w:val="center"/>
          </w:tcPr>
          <w:p w14:paraId="3DF4EFFE">
            <w:pPr>
              <w:jc w:val="center"/>
              <w:rPr>
                <w:rFonts w:hint="eastAsia" w:ascii="宋体" w:hAnsi="宋体" w:eastAsia="宋体" w:cs="宋体"/>
                <w:b w:val="0"/>
                <w:bCs/>
                <w:color w:val="auto"/>
                <w:sz w:val="21"/>
                <w:szCs w:val="21"/>
                <w:highlight w:val="none"/>
                <w:u w:val="none"/>
                <w:vertAlign w:val="baseline"/>
                <w:lang w:val="zh-CN"/>
              </w:rPr>
            </w:pPr>
          </w:p>
        </w:tc>
        <w:tc>
          <w:tcPr>
            <w:tcW w:w="1091" w:type="dxa"/>
            <w:vAlign w:val="center"/>
          </w:tcPr>
          <w:p w14:paraId="1AFA6837">
            <w:pPr>
              <w:jc w:val="center"/>
              <w:rPr>
                <w:rFonts w:hint="eastAsia" w:ascii="宋体" w:hAnsi="宋体" w:eastAsia="宋体" w:cs="宋体"/>
                <w:b w:val="0"/>
                <w:bCs/>
                <w:color w:val="auto"/>
                <w:sz w:val="21"/>
                <w:szCs w:val="21"/>
                <w:highlight w:val="none"/>
                <w:u w:val="none"/>
                <w:vertAlign w:val="baseline"/>
                <w:lang w:val="zh-CN"/>
              </w:rPr>
            </w:pPr>
          </w:p>
        </w:tc>
      </w:tr>
      <w:tr w14:paraId="133D6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3C4A00A4">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5</w:t>
            </w:r>
          </w:p>
        </w:tc>
        <w:tc>
          <w:tcPr>
            <w:tcW w:w="1066" w:type="dxa"/>
            <w:vAlign w:val="center"/>
          </w:tcPr>
          <w:p w14:paraId="4F72EFB6">
            <w:pPr>
              <w:jc w:val="center"/>
              <w:rPr>
                <w:rFonts w:hint="eastAsia" w:ascii="宋体" w:hAnsi="宋体" w:eastAsia="宋体" w:cs="宋体"/>
                <w:b w:val="0"/>
                <w:bCs/>
                <w:color w:val="auto"/>
                <w:sz w:val="21"/>
                <w:szCs w:val="21"/>
                <w:highlight w:val="none"/>
                <w:u w:val="none"/>
                <w:vertAlign w:val="baseline"/>
                <w:lang w:val="zh-CN"/>
              </w:rPr>
            </w:pPr>
          </w:p>
        </w:tc>
        <w:tc>
          <w:tcPr>
            <w:tcW w:w="1067" w:type="dxa"/>
            <w:vAlign w:val="center"/>
          </w:tcPr>
          <w:p w14:paraId="4016ABC0">
            <w:pPr>
              <w:jc w:val="center"/>
              <w:rPr>
                <w:rFonts w:hint="eastAsia" w:ascii="宋体" w:hAnsi="宋体" w:eastAsia="宋体" w:cs="宋体"/>
                <w:b w:val="0"/>
                <w:bCs/>
                <w:color w:val="auto"/>
                <w:sz w:val="21"/>
                <w:szCs w:val="21"/>
                <w:highlight w:val="none"/>
                <w:u w:val="none"/>
                <w:vertAlign w:val="baseline"/>
                <w:lang w:val="zh-CN"/>
              </w:rPr>
            </w:pPr>
          </w:p>
        </w:tc>
        <w:tc>
          <w:tcPr>
            <w:tcW w:w="1040" w:type="dxa"/>
            <w:vAlign w:val="center"/>
          </w:tcPr>
          <w:p w14:paraId="3D81848A">
            <w:pPr>
              <w:jc w:val="center"/>
              <w:rPr>
                <w:rFonts w:hint="eastAsia" w:ascii="宋体" w:hAnsi="宋体" w:eastAsia="宋体" w:cs="宋体"/>
                <w:b w:val="0"/>
                <w:bCs/>
                <w:color w:val="auto"/>
                <w:sz w:val="21"/>
                <w:szCs w:val="21"/>
                <w:highlight w:val="none"/>
                <w:u w:val="none"/>
                <w:vertAlign w:val="baseline"/>
                <w:lang w:val="zh-CN"/>
              </w:rPr>
            </w:pPr>
          </w:p>
        </w:tc>
        <w:tc>
          <w:tcPr>
            <w:tcW w:w="1383" w:type="dxa"/>
            <w:vAlign w:val="center"/>
          </w:tcPr>
          <w:p w14:paraId="60AD4D19">
            <w:pPr>
              <w:jc w:val="center"/>
              <w:rPr>
                <w:rFonts w:hint="eastAsia" w:ascii="宋体" w:hAnsi="宋体" w:eastAsia="宋体" w:cs="宋体"/>
                <w:b w:val="0"/>
                <w:bCs/>
                <w:color w:val="auto"/>
                <w:sz w:val="21"/>
                <w:szCs w:val="21"/>
                <w:highlight w:val="none"/>
                <w:u w:val="none"/>
                <w:vertAlign w:val="baseline"/>
                <w:lang w:val="zh-CN"/>
              </w:rPr>
            </w:pPr>
          </w:p>
        </w:tc>
        <w:tc>
          <w:tcPr>
            <w:tcW w:w="1008" w:type="dxa"/>
            <w:vAlign w:val="center"/>
          </w:tcPr>
          <w:p w14:paraId="63877C72">
            <w:pPr>
              <w:jc w:val="center"/>
              <w:rPr>
                <w:rFonts w:hint="eastAsia" w:ascii="宋体" w:hAnsi="宋体" w:eastAsia="宋体" w:cs="宋体"/>
                <w:b w:val="0"/>
                <w:bCs/>
                <w:color w:val="auto"/>
                <w:sz w:val="21"/>
                <w:szCs w:val="21"/>
                <w:highlight w:val="none"/>
                <w:u w:val="none"/>
                <w:vertAlign w:val="baseline"/>
                <w:lang w:val="zh-CN"/>
              </w:rPr>
            </w:pPr>
          </w:p>
        </w:tc>
        <w:tc>
          <w:tcPr>
            <w:tcW w:w="1464" w:type="dxa"/>
            <w:vAlign w:val="center"/>
          </w:tcPr>
          <w:p w14:paraId="30DE6E5A">
            <w:pPr>
              <w:jc w:val="center"/>
              <w:rPr>
                <w:rFonts w:hint="eastAsia" w:ascii="宋体" w:hAnsi="宋体" w:eastAsia="宋体" w:cs="宋体"/>
                <w:b w:val="0"/>
                <w:bCs/>
                <w:color w:val="auto"/>
                <w:sz w:val="21"/>
                <w:szCs w:val="21"/>
                <w:highlight w:val="none"/>
                <w:u w:val="none"/>
                <w:vertAlign w:val="baseline"/>
                <w:lang w:val="zh-CN"/>
              </w:rPr>
            </w:pPr>
          </w:p>
        </w:tc>
        <w:tc>
          <w:tcPr>
            <w:tcW w:w="1025" w:type="dxa"/>
            <w:vAlign w:val="center"/>
          </w:tcPr>
          <w:p w14:paraId="6436A4CF">
            <w:pPr>
              <w:jc w:val="center"/>
              <w:rPr>
                <w:rFonts w:hint="eastAsia" w:ascii="宋体" w:hAnsi="宋体" w:eastAsia="宋体" w:cs="宋体"/>
                <w:b w:val="0"/>
                <w:bCs/>
                <w:color w:val="auto"/>
                <w:sz w:val="21"/>
                <w:szCs w:val="21"/>
                <w:highlight w:val="none"/>
                <w:u w:val="none"/>
                <w:vertAlign w:val="baseline"/>
                <w:lang w:val="zh-CN"/>
              </w:rPr>
            </w:pPr>
          </w:p>
        </w:tc>
        <w:tc>
          <w:tcPr>
            <w:tcW w:w="863" w:type="dxa"/>
            <w:vAlign w:val="center"/>
          </w:tcPr>
          <w:p w14:paraId="720B4F7F">
            <w:pPr>
              <w:jc w:val="center"/>
              <w:rPr>
                <w:rFonts w:hint="eastAsia" w:ascii="宋体" w:hAnsi="宋体" w:eastAsia="宋体" w:cs="宋体"/>
                <w:b w:val="0"/>
                <w:bCs/>
                <w:color w:val="auto"/>
                <w:sz w:val="21"/>
                <w:szCs w:val="21"/>
                <w:highlight w:val="none"/>
                <w:u w:val="none"/>
                <w:vertAlign w:val="baseline"/>
                <w:lang w:val="zh-CN"/>
              </w:rPr>
            </w:pPr>
          </w:p>
        </w:tc>
        <w:tc>
          <w:tcPr>
            <w:tcW w:w="1324" w:type="dxa"/>
            <w:vAlign w:val="center"/>
          </w:tcPr>
          <w:p w14:paraId="5031F114">
            <w:pPr>
              <w:jc w:val="center"/>
              <w:rPr>
                <w:rFonts w:hint="eastAsia" w:ascii="宋体" w:hAnsi="宋体" w:eastAsia="宋体" w:cs="宋体"/>
                <w:b w:val="0"/>
                <w:bCs/>
                <w:color w:val="auto"/>
                <w:sz w:val="21"/>
                <w:szCs w:val="21"/>
                <w:highlight w:val="none"/>
                <w:u w:val="none"/>
                <w:vertAlign w:val="baseline"/>
                <w:lang w:val="zh-CN"/>
              </w:rPr>
            </w:pPr>
          </w:p>
        </w:tc>
        <w:tc>
          <w:tcPr>
            <w:tcW w:w="1026" w:type="dxa"/>
            <w:vAlign w:val="center"/>
          </w:tcPr>
          <w:p w14:paraId="5FAA244F">
            <w:pPr>
              <w:jc w:val="center"/>
              <w:rPr>
                <w:rFonts w:hint="eastAsia" w:ascii="宋体" w:hAnsi="宋体" w:eastAsia="宋体" w:cs="宋体"/>
                <w:b w:val="0"/>
                <w:bCs/>
                <w:color w:val="auto"/>
                <w:sz w:val="21"/>
                <w:szCs w:val="21"/>
                <w:highlight w:val="none"/>
                <w:u w:val="none"/>
                <w:vertAlign w:val="baseline"/>
                <w:lang w:val="zh-CN"/>
              </w:rPr>
            </w:pPr>
          </w:p>
        </w:tc>
        <w:tc>
          <w:tcPr>
            <w:tcW w:w="923" w:type="dxa"/>
            <w:vAlign w:val="center"/>
          </w:tcPr>
          <w:p w14:paraId="01456BA1">
            <w:pPr>
              <w:jc w:val="center"/>
              <w:rPr>
                <w:rFonts w:hint="eastAsia" w:ascii="宋体" w:hAnsi="宋体" w:eastAsia="宋体" w:cs="宋体"/>
                <w:b w:val="0"/>
                <w:bCs/>
                <w:color w:val="auto"/>
                <w:sz w:val="21"/>
                <w:szCs w:val="21"/>
                <w:highlight w:val="none"/>
                <w:u w:val="none"/>
                <w:vertAlign w:val="baseline"/>
                <w:lang w:val="zh-CN"/>
              </w:rPr>
            </w:pPr>
          </w:p>
        </w:tc>
        <w:tc>
          <w:tcPr>
            <w:tcW w:w="1091" w:type="dxa"/>
            <w:vAlign w:val="center"/>
          </w:tcPr>
          <w:p w14:paraId="49B9FAE3">
            <w:pPr>
              <w:jc w:val="center"/>
              <w:rPr>
                <w:rFonts w:hint="eastAsia" w:ascii="宋体" w:hAnsi="宋体" w:eastAsia="宋体" w:cs="宋体"/>
                <w:b w:val="0"/>
                <w:bCs/>
                <w:color w:val="auto"/>
                <w:sz w:val="21"/>
                <w:szCs w:val="21"/>
                <w:highlight w:val="none"/>
                <w:u w:val="none"/>
                <w:vertAlign w:val="baseline"/>
                <w:lang w:val="zh-CN"/>
              </w:rPr>
            </w:pPr>
          </w:p>
        </w:tc>
      </w:tr>
      <w:tr w14:paraId="56A48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54A55585">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6</w:t>
            </w:r>
          </w:p>
        </w:tc>
        <w:tc>
          <w:tcPr>
            <w:tcW w:w="1066" w:type="dxa"/>
            <w:vAlign w:val="center"/>
          </w:tcPr>
          <w:p w14:paraId="1399C7F2">
            <w:pPr>
              <w:jc w:val="center"/>
              <w:rPr>
                <w:rFonts w:hint="eastAsia" w:ascii="宋体" w:hAnsi="宋体" w:eastAsia="宋体" w:cs="宋体"/>
                <w:b w:val="0"/>
                <w:bCs/>
                <w:color w:val="auto"/>
                <w:sz w:val="21"/>
                <w:szCs w:val="21"/>
                <w:highlight w:val="none"/>
                <w:u w:val="none"/>
                <w:vertAlign w:val="baseline"/>
                <w:lang w:val="zh-CN"/>
              </w:rPr>
            </w:pPr>
          </w:p>
        </w:tc>
        <w:tc>
          <w:tcPr>
            <w:tcW w:w="1067" w:type="dxa"/>
            <w:vAlign w:val="center"/>
          </w:tcPr>
          <w:p w14:paraId="2D51D950">
            <w:pPr>
              <w:jc w:val="center"/>
              <w:rPr>
                <w:rFonts w:hint="eastAsia" w:ascii="宋体" w:hAnsi="宋体" w:eastAsia="宋体" w:cs="宋体"/>
                <w:b w:val="0"/>
                <w:bCs/>
                <w:color w:val="auto"/>
                <w:sz w:val="21"/>
                <w:szCs w:val="21"/>
                <w:highlight w:val="none"/>
                <w:u w:val="none"/>
                <w:vertAlign w:val="baseline"/>
                <w:lang w:val="zh-CN"/>
              </w:rPr>
            </w:pPr>
          </w:p>
        </w:tc>
        <w:tc>
          <w:tcPr>
            <w:tcW w:w="1040" w:type="dxa"/>
            <w:vAlign w:val="center"/>
          </w:tcPr>
          <w:p w14:paraId="2C971950">
            <w:pPr>
              <w:jc w:val="center"/>
              <w:rPr>
                <w:rFonts w:hint="eastAsia" w:ascii="宋体" w:hAnsi="宋体" w:eastAsia="宋体" w:cs="宋体"/>
                <w:b w:val="0"/>
                <w:bCs/>
                <w:color w:val="auto"/>
                <w:sz w:val="21"/>
                <w:szCs w:val="21"/>
                <w:highlight w:val="none"/>
                <w:u w:val="none"/>
                <w:vertAlign w:val="baseline"/>
                <w:lang w:val="zh-CN"/>
              </w:rPr>
            </w:pPr>
          </w:p>
        </w:tc>
        <w:tc>
          <w:tcPr>
            <w:tcW w:w="1383" w:type="dxa"/>
            <w:vAlign w:val="center"/>
          </w:tcPr>
          <w:p w14:paraId="106319C8">
            <w:pPr>
              <w:jc w:val="center"/>
              <w:rPr>
                <w:rFonts w:hint="eastAsia" w:ascii="宋体" w:hAnsi="宋体" w:eastAsia="宋体" w:cs="宋体"/>
                <w:b w:val="0"/>
                <w:bCs/>
                <w:color w:val="auto"/>
                <w:sz w:val="21"/>
                <w:szCs w:val="21"/>
                <w:highlight w:val="none"/>
                <w:u w:val="none"/>
                <w:vertAlign w:val="baseline"/>
                <w:lang w:val="zh-CN"/>
              </w:rPr>
            </w:pPr>
          </w:p>
        </w:tc>
        <w:tc>
          <w:tcPr>
            <w:tcW w:w="1008" w:type="dxa"/>
            <w:vAlign w:val="center"/>
          </w:tcPr>
          <w:p w14:paraId="2D31E58D">
            <w:pPr>
              <w:jc w:val="center"/>
              <w:rPr>
                <w:rFonts w:hint="eastAsia" w:ascii="宋体" w:hAnsi="宋体" w:eastAsia="宋体" w:cs="宋体"/>
                <w:b w:val="0"/>
                <w:bCs/>
                <w:color w:val="auto"/>
                <w:sz w:val="21"/>
                <w:szCs w:val="21"/>
                <w:highlight w:val="none"/>
                <w:u w:val="none"/>
                <w:vertAlign w:val="baseline"/>
                <w:lang w:val="zh-CN"/>
              </w:rPr>
            </w:pPr>
          </w:p>
        </w:tc>
        <w:tc>
          <w:tcPr>
            <w:tcW w:w="1464" w:type="dxa"/>
            <w:vAlign w:val="center"/>
          </w:tcPr>
          <w:p w14:paraId="02CF90DE">
            <w:pPr>
              <w:jc w:val="center"/>
              <w:rPr>
                <w:rFonts w:hint="eastAsia" w:ascii="宋体" w:hAnsi="宋体" w:eastAsia="宋体" w:cs="宋体"/>
                <w:b w:val="0"/>
                <w:bCs/>
                <w:color w:val="auto"/>
                <w:sz w:val="21"/>
                <w:szCs w:val="21"/>
                <w:highlight w:val="none"/>
                <w:u w:val="none"/>
                <w:vertAlign w:val="baseline"/>
                <w:lang w:val="zh-CN"/>
              </w:rPr>
            </w:pPr>
          </w:p>
        </w:tc>
        <w:tc>
          <w:tcPr>
            <w:tcW w:w="1025" w:type="dxa"/>
            <w:vAlign w:val="center"/>
          </w:tcPr>
          <w:p w14:paraId="06718D1B">
            <w:pPr>
              <w:jc w:val="center"/>
              <w:rPr>
                <w:rFonts w:hint="eastAsia" w:ascii="宋体" w:hAnsi="宋体" w:eastAsia="宋体" w:cs="宋体"/>
                <w:b w:val="0"/>
                <w:bCs/>
                <w:color w:val="auto"/>
                <w:sz w:val="21"/>
                <w:szCs w:val="21"/>
                <w:highlight w:val="none"/>
                <w:u w:val="none"/>
                <w:vertAlign w:val="baseline"/>
                <w:lang w:val="zh-CN"/>
              </w:rPr>
            </w:pPr>
          </w:p>
        </w:tc>
        <w:tc>
          <w:tcPr>
            <w:tcW w:w="863" w:type="dxa"/>
            <w:vAlign w:val="center"/>
          </w:tcPr>
          <w:p w14:paraId="2AEBB829">
            <w:pPr>
              <w:jc w:val="center"/>
              <w:rPr>
                <w:rFonts w:hint="eastAsia" w:ascii="宋体" w:hAnsi="宋体" w:eastAsia="宋体" w:cs="宋体"/>
                <w:b w:val="0"/>
                <w:bCs/>
                <w:color w:val="auto"/>
                <w:sz w:val="21"/>
                <w:szCs w:val="21"/>
                <w:highlight w:val="none"/>
                <w:u w:val="none"/>
                <w:vertAlign w:val="baseline"/>
                <w:lang w:val="zh-CN"/>
              </w:rPr>
            </w:pPr>
          </w:p>
        </w:tc>
        <w:tc>
          <w:tcPr>
            <w:tcW w:w="1324" w:type="dxa"/>
            <w:vAlign w:val="center"/>
          </w:tcPr>
          <w:p w14:paraId="079458A7">
            <w:pPr>
              <w:jc w:val="center"/>
              <w:rPr>
                <w:rFonts w:hint="eastAsia" w:ascii="宋体" w:hAnsi="宋体" w:eastAsia="宋体" w:cs="宋体"/>
                <w:b w:val="0"/>
                <w:bCs/>
                <w:color w:val="auto"/>
                <w:sz w:val="21"/>
                <w:szCs w:val="21"/>
                <w:highlight w:val="none"/>
                <w:u w:val="none"/>
                <w:vertAlign w:val="baseline"/>
                <w:lang w:val="zh-CN"/>
              </w:rPr>
            </w:pPr>
          </w:p>
        </w:tc>
        <w:tc>
          <w:tcPr>
            <w:tcW w:w="1026" w:type="dxa"/>
            <w:vAlign w:val="center"/>
          </w:tcPr>
          <w:p w14:paraId="0797550B">
            <w:pPr>
              <w:jc w:val="center"/>
              <w:rPr>
                <w:rFonts w:hint="eastAsia" w:ascii="宋体" w:hAnsi="宋体" w:eastAsia="宋体" w:cs="宋体"/>
                <w:b w:val="0"/>
                <w:bCs/>
                <w:color w:val="auto"/>
                <w:sz w:val="21"/>
                <w:szCs w:val="21"/>
                <w:highlight w:val="none"/>
                <w:u w:val="none"/>
                <w:vertAlign w:val="baseline"/>
                <w:lang w:val="zh-CN"/>
              </w:rPr>
            </w:pPr>
          </w:p>
        </w:tc>
        <w:tc>
          <w:tcPr>
            <w:tcW w:w="923" w:type="dxa"/>
            <w:vAlign w:val="center"/>
          </w:tcPr>
          <w:p w14:paraId="2723CDA3">
            <w:pPr>
              <w:jc w:val="center"/>
              <w:rPr>
                <w:rFonts w:hint="eastAsia" w:ascii="宋体" w:hAnsi="宋体" w:eastAsia="宋体" w:cs="宋体"/>
                <w:b w:val="0"/>
                <w:bCs/>
                <w:color w:val="auto"/>
                <w:sz w:val="21"/>
                <w:szCs w:val="21"/>
                <w:highlight w:val="none"/>
                <w:u w:val="none"/>
                <w:vertAlign w:val="baseline"/>
                <w:lang w:val="zh-CN"/>
              </w:rPr>
            </w:pPr>
          </w:p>
        </w:tc>
        <w:tc>
          <w:tcPr>
            <w:tcW w:w="1091" w:type="dxa"/>
            <w:vAlign w:val="center"/>
          </w:tcPr>
          <w:p w14:paraId="2F8EA7C2">
            <w:pPr>
              <w:jc w:val="center"/>
              <w:rPr>
                <w:rFonts w:hint="eastAsia" w:ascii="宋体" w:hAnsi="宋体" w:eastAsia="宋体" w:cs="宋体"/>
                <w:b w:val="0"/>
                <w:bCs/>
                <w:color w:val="auto"/>
                <w:sz w:val="21"/>
                <w:szCs w:val="21"/>
                <w:highlight w:val="none"/>
                <w:u w:val="none"/>
                <w:vertAlign w:val="baseline"/>
                <w:lang w:val="zh-CN"/>
              </w:rPr>
            </w:pPr>
          </w:p>
        </w:tc>
      </w:tr>
      <w:tr w14:paraId="699F3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 w:type="dxa"/>
            <w:vAlign w:val="center"/>
          </w:tcPr>
          <w:p w14:paraId="32A9D805">
            <w:pPr>
              <w:jc w:val="center"/>
              <w:rPr>
                <w:rFonts w:hint="eastAsia" w:ascii="宋体" w:hAnsi="宋体" w:eastAsia="宋体" w:cs="宋体"/>
                <w:b w:val="0"/>
                <w:bCs/>
                <w:color w:val="auto"/>
                <w:sz w:val="21"/>
                <w:szCs w:val="21"/>
                <w:highlight w:val="none"/>
                <w:u w:val="none"/>
                <w:vertAlign w:val="baseline"/>
                <w:lang w:val="zh-CN"/>
              </w:rPr>
            </w:pPr>
            <w:r>
              <w:rPr>
                <w:rFonts w:hint="eastAsia" w:ascii="宋体" w:hAnsi="宋体" w:eastAsia="宋体" w:cs="宋体"/>
                <w:b w:val="0"/>
                <w:bCs/>
                <w:color w:val="auto"/>
                <w:sz w:val="21"/>
                <w:szCs w:val="21"/>
                <w:highlight w:val="none"/>
                <w:u w:val="none"/>
                <w:vertAlign w:val="baseline"/>
                <w:lang w:val="zh-CN"/>
              </w:rPr>
              <w:t>…</w:t>
            </w:r>
          </w:p>
        </w:tc>
        <w:tc>
          <w:tcPr>
            <w:tcW w:w="1066" w:type="dxa"/>
            <w:vAlign w:val="center"/>
          </w:tcPr>
          <w:p w14:paraId="4F7DF4B1">
            <w:pPr>
              <w:jc w:val="center"/>
              <w:rPr>
                <w:rFonts w:hint="eastAsia" w:ascii="宋体" w:hAnsi="宋体" w:eastAsia="宋体" w:cs="宋体"/>
                <w:b w:val="0"/>
                <w:bCs/>
                <w:color w:val="auto"/>
                <w:sz w:val="21"/>
                <w:szCs w:val="21"/>
                <w:highlight w:val="none"/>
                <w:u w:val="none"/>
                <w:vertAlign w:val="baseline"/>
                <w:lang w:val="zh-CN"/>
              </w:rPr>
            </w:pPr>
          </w:p>
        </w:tc>
        <w:tc>
          <w:tcPr>
            <w:tcW w:w="1067" w:type="dxa"/>
            <w:vAlign w:val="center"/>
          </w:tcPr>
          <w:p w14:paraId="587E23A0">
            <w:pPr>
              <w:jc w:val="center"/>
              <w:rPr>
                <w:rFonts w:hint="eastAsia" w:ascii="宋体" w:hAnsi="宋体" w:eastAsia="宋体" w:cs="宋体"/>
                <w:b w:val="0"/>
                <w:bCs/>
                <w:color w:val="auto"/>
                <w:sz w:val="21"/>
                <w:szCs w:val="21"/>
                <w:highlight w:val="none"/>
                <w:u w:val="none"/>
                <w:vertAlign w:val="baseline"/>
                <w:lang w:val="zh-CN"/>
              </w:rPr>
            </w:pPr>
          </w:p>
        </w:tc>
        <w:tc>
          <w:tcPr>
            <w:tcW w:w="1040" w:type="dxa"/>
            <w:vAlign w:val="center"/>
          </w:tcPr>
          <w:p w14:paraId="1717C12B">
            <w:pPr>
              <w:jc w:val="center"/>
              <w:rPr>
                <w:rFonts w:hint="eastAsia" w:ascii="宋体" w:hAnsi="宋体" w:eastAsia="宋体" w:cs="宋体"/>
                <w:b w:val="0"/>
                <w:bCs/>
                <w:color w:val="auto"/>
                <w:sz w:val="21"/>
                <w:szCs w:val="21"/>
                <w:highlight w:val="none"/>
                <w:u w:val="none"/>
                <w:vertAlign w:val="baseline"/>
                <w:lang w:val="zh-CN"/>
              </w:rPr>
            </w:pPr>
          </w:p>
        </w:tc>
        <w:tc>
          <w:tcPr>
            <w:tcW w:w="1383" w:type="dxa"/>
            <w:vAlign w:val="center"/>
          </w:tcPr>
          <w:p w14:paraId="17E778FC">
            <w:pPr>
              <w:jc w:val="center"/>
              <w:rPr>
                <w:rFonts w:hint="eastAsia" w:ascii="宋体" w:hAnsi="宋体" w:eastAsia="宋体" w:cs="宋体"/>
                <w:b w:val="0"/>
                <w:bCs/>
                <w:color w:val="auto"/>
                <w:sz w:val="21"/>
                <w:szCs w:val="21"/>
                <w:highlight w:val="none"/>
                <w:u w:val="none"/>
                <w:vertAlign w:val="baseline"/>
                <w:lang w:val="zh-CN"/>
              </w:rPr>
            </w:pPr>
          </w:p>
        </w:tc>
        <w:tc>
          <w:tcPr>
            <w:tcW w:w="1008" w:type="dxa"/>
            <w:vAlign w:val="center"/>
          </w:tcPr>
          <w:p w14:paraId="23683FF4">
            <w:pPr>
              <w:jc w:val="center"/>
              <w:rPr>
                <w:rFonts w:hint="eastAsia" w:ascii="宋体" w:hAnsi="宋体" w:eastAsia="宋体" w:cs="宋体"/>
                <w:b w:val="0"/>
                <w:bCs/>
                <w:color w:val="auto"/>
                <w:sz w:val="21"/>
                <w:szCs w:val="21"/>
                <w:highlight w:val="none"/>
                <w:u w:val="none"/>
                <w:vertAlign w:val="baseline"/>
                <w:lang w:val="zh-CN"/>
              </w:rPr>
            </w:pPr>
          </w:p>
        </w:tc>
        <w:tc>
          <w:tcPr>
            <w:tcW w:w="1464" w:type="dxa"/>
            <w:vAlign w:val="center"/>
          </w:tcPr>
          <w:p w14:paraId="52DB179B">
            <w:pPr>
              <w:jc w:val="center"/>
              <w:rPr>
                <w:rFonts w:hint="eastAsia" w:ascii="宋体" w:hAnsi="宋体" w:eastAsia="宋体" w:cs="宋体"/>
                <w:b w:val="0"/>
                <w:bCs/>
                <w:color w:val="auto"/>
                <w:sz w:val="21"/>
                <w:szCs w:val="21"/>
                <w:highlight w:val="none"/>
                <w:u w:val="none"/>
                <w:vertAlign w:val="baseline"/>
                <w:lang w:val="zh-CN"/>
              </w:rPr>
            </w:pPr>
          </w:p>
        </w:tc>
        <w:tc>
          <w:tcPr>
            <w:tcW w:w="1025" w:type="dxa"/>
            <w:vAlign w:val="center"/>
          </w:tcPr>
          <w:p w14:paraId="7D597A35">
            <w:pPr>
              <w:jc w:val="center"/>
              <w:rPr>
                <w:rFonts w:hint="eastAsia" w:ascii="宋体" w:hAnsi="宋体" w:eastAsia="宋体" w:cs="宋体"/>
                <w:b w:val="0"/>
                <w:bCs/>
                <w:color w:val="auto"/>
                <w:sz w:val="21"/>
                <w:szCs w:val="21"/>
                <w:highlight w:val="none"/>
                <w:u w:val="none"/>
                <w:vertAlign w:val="baseline"/>
                <w:lang w:val="zh-CN"/>
              </w:rPr>
            </w:pPr>
          </w:p>
        </w:tc>
        <w:tc>
          <w:tcPr>
            <w:tcW w:w="863" w:type="dxa"/>
            <w:vAlign w:val="center"/>
          </w:tcPr>
          <w:p w14:paraId="020B257B">
            <w:pPr>
              <w:jc w:val="center"/>
              <w:rPr>
                <w:rFonts w:hint="eastAsia" w:ascii="宋体" w:hAnsi="宋体" w:eastAsia="宋体" w:cs="宋体"/>
                <w:b w:val="0"/>
                <w:bCs/>
                <w:color w:val="auto"/>
                <w:sz w:val="21"/>
                <w:szCs w:val="21"/>
                <w:highlight w:val="none"/>
                <w:u w:val="none"/>
                <w:vertAlign w:val="baseline"/>
                <w:lang w:val="zh-CN"/>
              </w:rPr>
            </w:pPr>
          </w:p>
        </w:tc>
        <w:tc>
          <w:tcPr>
            <w:tcW w:w="1324" w:type="dxa"/>
            <w:vAlign w:val="center"/>
          </w:tcPr>
          <w:p w14:paraId="71ACF78C">
            <w:pPr>
              <w:jc w:val="center"/>
              <w:rPr>
                <w:rFonts w:hint="eastAsia" w:ascii="宋体" w:hAnsi="宋体" w:eastAsia="宋体" w:cs="宋体"/>
                <w:b w:val="0"/>
                <w:bCs/>
                <w:color w:val="auto"/>
                <w:sz w:val="21"/>
                <w:szCs w:val="21"/>
                <w:highlight w:val="none"/>
                <w:u w:val="none"/>
                <w:vertAlign w:val="baseline"/>
                <w:lang w:val="zh-CN"/>
              </w:rPr>
            </w:pPr>
          </w:p>
        </w:tc>
        <w:tc>
          <w:tcPr>
            <w:tcW w:w="1026" w:type="dxa"/>
            <w:vAlign w:val="center"/>
          </w:tcPr>
          <w:p w14:paraId="4D383F33">
            <w:pPr>
              <w:jc w:val="center"/>
              <w:rPr>
                <w:rFonts w:hint="eastAsia" w:ascii="宋体" w:hAnsi="宋体" w:eastAsia="宋体" w:cs="宋体"/>
                <w:b w:val="0"/>
                <w:bCs/>
                <w:color w:val="auto"/>
                <w:sz w:val="21"/>
                <w:szCs w:val="21"/>
                <w:highlight w:val="none"/>
                <w:u w:val="none"/>
                <w:vertAlign w:val="baseline"/>
                <w:lang w:val="zh-CN"/>
              </w:rPr>
            </w:pPr>
          </w:p>
        </w:tc>
        <w:tc>
          <w:tcPr>
            <w:tcW w:w="923" w:type="dxa"/>
            <w:vAlign w:val="center"/>
          </w:tcPr>
          <w:p w14:paraId="4597B415">
            <w:pPr>
              <w:jc w:val="center"/>
              <w:rPr>
                <w:rFonts w:hint="eastAsia" w:ascii="宋体" w:hAnsi="宋体" w:eastAsia="宋体" w:cs="宋体"/>
                <w:b w:val="0"/>
                <w:bCs/>
                <w:color w:val="auto"/>
                <w:sz w:val="21"/>
                <w:szCs w:val="21"/>
                <w:highlight w:val="none"/>
                <w:u w:val="none"/>
                <w:vertAlign w:val="baseline"/>
                <w:lang w:val="zh-CN"/>
              </w:rPr>
            </w:pPr>
          </w:p>
        </w:tc>
        <w:tc>
          <w:tcPr>
            <w:tcW w:w="1091" w:type="dxa"/>
            <w:vAlign w:val="center"/>
          </w:tcPr>
          <w:p w14:paraId="39D79B55">
            <w:pPr>
              <w:jc w:val="center"/>
              <w:rPr>
                <w:rFonts w:hint="eastAsia" w:ascii="宋体" w:hAnsi="宋体" w:eastAsia="宋体" w:cs="宋体"/>
                <w:b w:val="0"/>
                <w:bCs/>
                <w:color w:val="auto"/>
                <w:sz w:val="21"/>
                <w:szCs w:val="21"/>
                <w:highlight w:val="none"/>
                <w:u w:val="none"/>
                <w:vertAlign w:val="baseline"/>
                <w:lang w:val="zh-CN"/>
              </w:rPr>
            </w:pPr>
          </w:p>
        </w:tc>
      </w:tr>
      <w:tr w14:paraId="3BE3C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83" w:type="dxa"/>
            <w:gridSpan w:val="12"/>
            <w:vAlign w:val="center"/>
          </w:tcPr>
          <w:p w14:paraId="3F12CAFE">
            <w:pPr>
              <w:jc w:val="center"/>
              <w:rPr>
                <w:rFonts w:hint="eastAsia" w:ascii="宋体" w:hAnsi="宋体" w:eastAsia="宋体" w:cs="宋体"/>
                <w:b w:val="0"/>
                <w:bCs/>
                <w:color w:val="auto"/>
                <w:sz w:val="21"/>
                <w:szCs w:val="21"/>
                <w:highlight w:val="none"/>
                <w:u w:val="none"/>
                <w:vertAlign w:val="baseline"/>
                <w:lang w:val="en-US" w:eastAsia="zh-CN"/>
              </w:rPr>
            </w:pPr>
            <w:r>
              <w:rPr>
                <w:rFonts w:hint="eastAsia" w:ascii="宋体" w:hAnsi="宋体" w:eastAsia="宋体" w:cs="宋体"/>
                <w:b w:val="0"/>
                <w:bCs/>
                <w:color w:val="auto"/>
                <w:sz w:val="21"/>
                <w:szCs w:val="21"/>
                <w:highlight w:val="none"/>
                <w:u w:val="none"/>
                <w:vertAlign w:val="baseline"/>
                <w:lang w:val="en-US" w:eastAsia="zh-CN"/>
              </w:rPr>
              <w:t>总价</w:t>
            </w:r>
            <w:r>
              <w:rPr>
                <w:rFonts w:hint="eastAsia" w:ascii="宋体" w:hAnsi="宋体" w:eastAsia="宋体" w:cs="宋体"/>
                <w:b w:val="0"/>
                <w:bCs/>
                <w:color w:val="auto"/>
                <w:sz w:val="21"/>
                <w:szCs w:val="21"/>
                <w:highlight w:val="none"/>
              </w:rPr>
              <w:t>（元）</w:t>
            </w:r>
          </w:p>
        </w:tc>
        <w:tc>
          <w:tcPr>
            <w:tcW w:w="1091" w:type="dxa"/>
            <w:vAlign w:val="center"/>
          </w:tcPr>
          <w:p w14:paraId="4043D42E">
            <w:pPr>
              <w:jc w:val="center"/>
              <w:rPr>
                <w:rFonts w:hint="eastAsia" w:ascii="宋体" w:hAnsi="宋体" w:eastAsia="宋体" w:cs="宋体"/>
                <w:b w:val="0"/>
                <w:bCs/>
                <w:color w:val="auto"/>
                <w:sz w:val="21"/>
                <w:szCs w:val="21"/>
                <w:highlight w:val="none"/>
                <w:u w:val="none"/>
                <w:vertAlign w:val="baseline"/>
                <w:lang w:val="zh-CN"/>
              </w:rPr>
            </w:pPr>
          </w:p>
        </w:tc>
      </w:tr>
    </w:tbl>
    <w:p w14:paraId="6BDB9E13">
      <w:pPr>
        <w:spacing w:line="300" w:lineRule="auto"/>
        <w:rPr>
          <w:rFonts w:ascii="Arial" w:hAnsi="Arial" w:cs="Arial"/>
          <w:color w:val="auto"/>
          <w:szCs w:val="21"/>
          <w:highlight w:val="none"/>
        </w:rPr>
      </w:pPr>
    </w:p>
    <w:p w14:paraId="78C9B33B">
      <w:pPr>
        <w:spacing w:line="300" w:lineRule="auto"/>
        <w:rPr>
          <w:rFonts w:ascii="Arial" w:hAnsi="Arial" w:cs="Arial"/>
          <w:color w:val="auto"/>
          <w:szCs w:val="21"/>
          <w:highlight w:val="none"/>
        </w:rPr>
      </w:pPr>
      <w:r>
        <w:rPr>
          <w:rFonts w:ascii="Arial" w:hAnsi="Arial" w:cs="Arial"/>
          <w:color w:val="auto"/>
          <w:szCs w:val="21"/>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ascii="Arial" w:hAnsi="Arial" w:cs="Arial"/>
          <w:color w:val="auto"/>
          <w:szCs w:val="21"/>
          <w:highlight w:val="none"/>
        </w:rPr>
        <w:t>：</w:t>
      </w:r>
    </w:p>
    <w:p w14:paraId="2D4BBFEB">
      <w:pPr>
        <w:spacing w:line="300" w:lineRule="auto"/>
        <w:rPr>
          <w:rFonts w:ascii="Arial" w:hAnsi="Arial" w:cs="Arial"/>
          <w:color w:val="auto"/>
          <w:szCs w:val="21"/>
          <w:highlight w:val="none"/>
        </w:rPr>
      </w:pPr>
      <w:r>
        <w:rPr>
          <w:rFonts w:ascii="Arial" w:hAnsi="Arial" w:cs="Arial"/>
          <w:color w:val="auto"/>
          <w:szCs w:val="21"/>
          <w:highlight w:val="none"/>
        </w:rPr>
        <w:t>日期：</w:t>
      </w:r>
    </w:p>
    <w:p w14:paraId="4D754BC0">
      <w:pPr>
        <w:spacing w:line="300" w:lineRule="auto"/>
        <w:rPr>
          <w:rFonts w:hint="eastAsia" w:ascii="宋体" w:hAnsi="宋体" w:eastAsia="宋体" w:cs="宋体"/>
          <w:color w:val="auto"/>
          <w:sz w:val="24"/>
          <w:szCs w:val="24"/>
          <w:highlight w:val="none"/>
        </w:rPr>
      </w:pPr>
    </w:p>
    <w:p w14:paraId="333D9A1B">
      <w:pPr>
        <w:spacing w:line="360" w:lineRule="auto"/>
        <w:rPr>
          <w:rFonts w:hint="default" w:ascii="宋体" w:hAnsi="宋体" w:eastAsia="宋体" w:cs="宋体"/>
          <w:color w:val="auto"/>
          <w:sz w:val="21"/>
          <w:szCs w:val="21"/>
          <w:highlight w:val="none"/>
          <w:lang w:val="en-US" w:eastAsia="zh-CN"/>
        </w:rPr>
      </w:pPr>
      <w:r>
        <w:rPr>
          <w:rFonts w:hint="eastAsia" w:ascii="宋体" w:hAnsi="宋体" w:eastAsia="宋体" w:cs="宋体"/>
          <w:b/>
          <w:color w:val="auto"/>
          <w:sz w:val="21"/>
          <w:szCs w:val="21"/>
          <w:highlight w:val="none"/>
          <w:lang w:eastAsia="zh-CN"/>
        </w:rPr>
        <w:t>注：</w:t>
      </w:r>
      <w:r>
        <w:rPr>
          <w:rFonts w:hint="eastAsia" w:ascii="宋体" w:hAnsi="宋体" w:eastAsia="宋体" w:cs="宋体"/>
          <w:color w:val="auto"/>
          <w:sz w:val="21"/>
          <w:szCs w:val="21"/>
          <w:highlight w:val="none"/>
          <w:lang w:val="en-US" w:eastAsia="zh-CN"/>
        </w:rPr>
        <w:t>1.</w:t>
      </w:r>
      <w:r>
        <w:rPr>
          <w:rFonts w:hint="default" w:ascii="宋体" w:hAnsi="宋体" w:eastAsia="宋体" w:cs="宋体"/>
          <w:color w:val="auto"/>
          <w:sz w:val="21"/>
          <w:szCs w:val="21"/>
          <w:highlight w:val="none"/>
          <w:lang w:val="en-US" w:eastAsia="zh-CN"/>
        </w:rPr>
        <w:t>按照本表填写的</w:t>
      </w:r>
      <w:r>
        <w:rPr>
          <w:rFonts w:hint="eastAsia" w:cs="宋体"/>
          <w:color w:val="auto"/>
          <w:sz w:val="21"/>
          <w:szCs w:val="21"/>
          <w:highlight w:val="none"/>
          <w:lang w:val="en-US" w:eastAsia="zh-CN"/>
        </w:rPr>
        <w:t>总</w:t>
      </w:r>
      <w:r>
        <w:rPr>
          <w:rFonts w:hint="default" w:ascii="宋体" w:hAnsi="宋体" w:eastAsia="宋体" w:cs="宋体"/>
          <w:color w:val="auto"/>
          <w:sz w:val="21"/>
          <w:szCs w:val="21"/>
          <w:highlight w:val="none"/>
          <w:lang w:val="en-US" w:eastAsia="zh-CN"/>
        </w:rPr>
        <w:t>价填写到</w:t>
      </w:r>
      <w:r>
        <w:rPr>
          <w:rFonts w:hint="eastAsia" w:ascii="宋体" w:hAnsi="宋体" w:eastAsia="宋体" w:cs="宋体"/>
          <w:color w:val="auto"/>
          <w:sz w:val="21"/>
          <w:szCs w:val="21"/>
          <w:highlight w:val="none"/>
          <w:lang w:val="en-US" w:eastAsia="zh-CN"/>
        </w:rPr>
        <w:t>“</w:t>
      </w:r>
      <w:r>
        <w:rPr>
          <w:rFonts w:hint="eastAsia" w:cs="宋体"/>
          <w:color w:val="auto"/>
          <w:sz w:val="21"/>
          <w:szCs w:val="21"/>
          <w:highlight w:val="none"/>
          <w:lang w:val="en-US" w:eastAsia="zh-CN"/>
        </w:rPr>
        <w:t>开标</w:t>
      </w:r>
      <w:r>
        <w:rPr>
          <w:rFonts w:hint="eastAsia" w:ascii="宋体" w:hAnsi="宋体" w:eastAsia="宋体" w:cs="宋体"/>
          <w:color w:val="auto"/>
          <w:sz w:val="21"/>
          <w:szCs w:val="21"/>
          <w:highlight w:val="none"/>
          <w:lang w:val="en-US" w:eastAsia="zh-CN"/>
        </w:rPr>
        <w:t>一览表”</w:t>
      </w:r>
      <w:r>
        <w:rPr>
          <w:rFonts w:hint="default" w:ascii="宋体" w:hAnsi="宋体" w:eastAsia="宋体" w:cs="宋体"/>
          <w:color w:val="auto"/>
          <w:sz w:val="21"/>
          <w:szCs w:val="21"/>
          <w:highlight w:val="none"/>
          <w:lang w:val="en-US" w:eastAsia="zh-CN"/>
        </w:rPr>
        <w:t>中对应的</w:t>
      </w:r>
      <w:r>
        <w:rPr>
          <w:rFonts w:hint="eastAsia" w:cs="宋体"/>
          <w:color w:val="auto"/>
          <w:sz w:val="21"/>
          <w:szCs w:val="21"/>
          <w:highlight w:val="none"/>
          <w:lang w:val="en-US" w:eastAsia="zh-CN"/>
        </w:rPr>
        <w:t>“投标报价”</w:t>
      </w:r>
      <w:r>
        <w:rPr>
          <w:rFonts w:hint="default" w:ascii="宋体" w:hAnsi="宋体" w:eastAsia="宋体" w:cs="宋体"/>
          <w:color w:val="auto"/>
          <w:sz w:val="21"/>
          <w:szCs w:val="21"/>
          <w:highlight w:val="none"/>
          <w:lang w:val="en-US" w:eastAsia="zh-CN"/>
        </w:rPr>
        <w:t>栏中。</w:t>
      </w:r>
    </w:p>
    <w:p w14:paraId="0351045A">
      <w:pPr>
        <w:spacing w:line="360" w:lineRule="auto"/>
        <w:ind w:firstLine="420" w:firstLineChars="200"/>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rPr>
        <w:t>.表中所列货物为对应本项目需求的全部货物及所需附件购置费、包装费、运输费、人工费、保险费、安装调试费、各种税费、资料费、售后服务费及完成项目应有的全部费用。如有漏项或缺项，</w:t>
      </w:r>
      <w:r>
        <w:rPr>
          <w:rFonts w:hint="eastAsia" w:cs="宋体"/>
          <w:color w:val="auto"/>
          <w:sz w:val="21"/>
          <w:szCs w:val="21"/>
          <w:highlight w:val="none"/>
          <w:lang w:val="en-US" w:eastAsia="zh-CN"/>
        </w:rPr>
        <w:t>投标人</w:t>
      </w:r>
      <w:r>
        <w:rPr>
          <w:rFonts w:hint="eastAsia" w:ascii="宋体" w:hAnsi="宋体" w:eastAsia="宋体" w:cs="宋体"/>
          <w:color w:val="auto"/>
          <w:sz w:val="21"/>
          <w:szCs w:val="21"/>
          <w:highlight w:val="none"/>
        </w:rPr>
        <w:t>承担全部责任。</w:t>
      </w:r>
    </w:p>
    <w:p w14:paraId="322AB15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3</w:t>
      </w:r>
      <w:r>
        <w:rPr>
          <w:rFonts w:hint="eastAsia" w:ascii="宋体" w:hAnsi="宋体" w:eastAsia="宋体" w:cs="宋体"/>
          <w:color w:val="auto"/>
          <w:sz w:val="21"/>
          <w:szCs w:val="21"/>
          <w:highlight w:val="none"/>
        </w:rPr>
        <w:t>.表中须明确列出所投产品的</w:t>
      </w:r>
      <w:r>
        <w:rPr>
          <w:rFonts w:hint="eastAsia" w:cs="宋体"/>
          <w:color w:val="auto"/>
          <w:sz w:val="21"/>
          <w:szCs w:val="21"/>
          <w:highlight w:val="none"/>
          <w:lang w:val="en-US" w:eastAsia="zh-CN"/>
        </w:rPr>
        <w:t>分项</w:t>
      </w:r>
      <w:r>
        <w:rPr>
          <w:rFonts w:hint="eastAsia" w:ascii="宋体" w:hAnsi="宋体" w:eastAsia="宋体" w:cs="宋体"/>
          <w:color w:val="auto"/>
          <w:sz w:val="21"/>
          <w:szCs w:val="21"/>
          <w:highlight w:val="none"/>
        </w:rPr>
        <w:t>名称、</w:t>
      </w:r>
      <w:r>
        <w:rPr>
          <w:rFonts w:hint="eastAsia" w:cs="宋体"/>
          <w:color w:val="auto"/>
          <w:sz w:val="21"/>
          <w:szCs w:val="21"/>
          <w:highlight w:val="none"/>
          <w:lang w:val="en-US" w:eastAsia="zh-CN"/>
        </w:rPr>
        <w:t>制造商、</w:t>
      </w:r>
      <w:r>
        <w:rPr>
          <w:rFonts w:hint="eastAsia" w:cs="宋体"/>
          <w:b w:val="0"/>
          <w:bCs/>
          <w:color w:val="auto"/>
          <w:sz w:val="21"/>
          <w:szCs w:val="21"/>
          <w:highlight w:val="none"/>
          <w:lang w:val="en-US" w:eastAsia="zh-CN"/>
        </w:rPr>
        <w:t>产地/国别、</w:t>
      </w:r>
      <w:r>
        <w:rPr>
          <w:rFonts w:hint="eastAsia" w:ascii="宋体" w:hAnsi="宋体" w:eastAsia="宋体" w:cs="宋体"/>
          <w:b w:val="0"/>
          <w:bCs/>
          <w:color w:val="auto"/>
          <w:sz w:val="21"/>
          <w:szCs w:val="21"/>
          <w:highlight w:val="none"/>
          <w:lang w:val="en-US" w:eastAsia="zh-CN"/>
        </w:rPr>
        <w:t>制造商统一社会信用代码</w:t>
      </w:r>
      <w:r>
        <w:rPr>
          <w:rFonts w:hint="eastAsia"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lang w:val="en-US" w:eastAsia="zh-CN"/>
        </w:rPr>
        <w:t>制造商规模</w:t>
      </w:r>
      <w:r>
        <w:rPr>
          <w:rFonts w:hint="eastAsia" w:cs="宋体"/>
          <w:b w:val="0"/>
          <w:bCs/>
          <w:color w:val="auto"/>
          <w:sz w:val="21"/>
          <w:szCs w:val="21"/>
          <w:highlight w:val="none"/>
          <w:lang w:val="en-US" w:eastAsia="zh-CN"/>
        </w:rPr>
        <w:t>、制造商所属性别、外商投资类型、</w:t>
      </w:r>
      <w:r>
        <w:rPr>
          <w:rFonts w:hint="eastAsia" w:ascii="宋体" w:hAnsi="宋体" w:eastAsia="宋体" w:cs="宋体"/>
          <w:color w:val="auto"/>
          <w:sz w:val="21"/>
          <w:szCs w:val="21"/>
          <w:highlight w:val="none"/>
        </w:rPr>
        <w:t>品牌、</w:t>
      </w:r>
      <w:r>
        <w:rPr>
          <w:rFonts w:hint="eastAsia" w:cs="宋体"/>
          <w:color w:val="auto"/>
          <w:sz w:val="21"/>
          <w:szCs w:val="21"/>
          <w:highlight w:val="none"/>
          <w:lang w:eastAsia="zh-CN"/>
        </w:rPr>
        <w:t>规格、</w:t>
      </w:r>
      <w:r>
        <w:rPr>
          <w:rFonts w:hint="eastAsia" w:ascii="宋体" w:hAnsi="宋体" w:eastAsia="宋体" w:cs="宋体"/>
          <w:color w:val="auto"/>
          <w:sz w:val="21"/>
          <w:szCs w:val="21"/>
          <w:highlight w:val="none"/>
        </w:rPr>
        <w:t>型号、</w:t>
      </w:r>
      <w:r>
        <w:rPr>
          <w:rFonts w:hint="eastAsia" w:cs="宋体"/>
          <w:color w:val="auto"/>
          <w:sz w:val="21"/>
          <w:szCs w:val="21"/>
          <w:highlight w:val="none"/>
          <w:lang w:eastAsia="zh-CN"/>
        </w:rPr>
        <w:t>单价、数量、</w:t>
      </w:r>
      <w:r>
        <w:rPr>
          <w:rFonts w:hint="eastAsia" w:cs="宋体"/>
          <w:color w:val="auto"/>
          <w:sz w:val="21"/>
          <w:szCs w:val="21"/>
          <w:highlight w:val="none"/>
          <w:lang w:val="en-US" w:eastAsia="zh-CN"/>
        </w:rPr>
        <w:t>合价等</w:t>
      </w:r>
      <w:r>
        <w:rPr>
          <w:rFonts w:hint="eastAsia" w:ascii="宋体" w:hAnsi="宋体" w:eastAsia="宋体" w:cs="宋体"/>
          <w:color w:val="auto"/>
          <w:sz w:val="21"/>
          <w:szCs w:val="21"/>
          <w:highlight w:val="none"/>
        </w:rPr>
        <w:t>，否则可能导致</w:t>
      </w:r>
      <w:r>
        <w:rPr>
          <w:rFonts w:hint="eastAsia" w:ascii="宋体" w:hAnsi="宋体" w:eastAsia="宋体" w:cs="宋体"/>
          <w:b/>
          <w:bCs/>
          <w:color w:val="auto"/>
          <w:sz w:val="21"/>
          <w:szCs w:val="21"/>
          <w:highlight w:val="none"/>
        </w:rPr>
        <w:t>响应无效</w:t>
      </w:r>
      <w:r>
        <w:rPr>
          <w:rFonts w:hint="eastAsia" w:ascii="宋体" w:hAnsi="宋体" w:eastAsia="宋体" w:cs="宋体"/>
          <w:color w:val="auto"/>
          <w:sz w:val="21"/>
          <w:szCs w:val="21"/>
          <w:highlight w:val="none"/>
        </w:rPr>
        <w:t>。</w:t>
      </w:r>
    </w:p>
    <w:p w14:paraId="3A375D91">
      <w:pPr>
        <w:keepNext w:val="0"/>
        <w:keepLines w:val="0"/>
        <w:widowControl/>
        <w:suppressLineNumbers w:val="0"/>
        <w:jc w:val="left"/>
        <w:rPr>
          <w:rFonts w:hint="eastAsia" w:ascii="宋体" w:hAnsi="宋体" w:eastAsia="宋体" w:cs="宋体"/>
          <w:b/>
          <w:bCs/>
          <w:i w:val="0"/>
          <w:iCs w:val="0"/>
          <w:color w:val="auto"/>
          <w:kern w:val="0"/>
          <w:sz w:val="21"/>
          <w:szCs w:val="21"/>
          <w:highlight w:val="none"/>
          <w:lang w:val="en-US" w:eastAsia="zh-CN" w:bidi="ar"/>
        </w:rPr>
      </w:pPr>
    </w:p>
    <w:p w14:paraId="31165EC9">
      <w:pPr>
        <w:keepNext w:val="0"/>
        <w:keepLines w:val="0"/>
        <w:widowControl/>
        <w:suppressLineNumbers w:val="0"/>
        <w:jc w:val="left"/>
        <w:rPr>
          <w:rFonts w:hint="eastAsia" w:ascii="宋体" w:hAnsi="宋体" w:eastAsia="宋体" w:cs="宋体"/>
          <w:b w:val="0"/>
          <w:bCs w:val="0"/>
          <w:i w:val="0"/>
          <w:iCs w:val="0"/>
          <w:color w:val="auto"/>
          <w:kern w:val="0"/>
          <w:sz w:val="21"/>
          <w:szCs w:val="21"/>
          <w:highlight w:val="none"/>
          <w:lang w:val="en-US" w:eastAsia="zh-CN" w:bidi="ar"/>
        </w:rPr>
      </w:pPr>
      <w:r>
        <w:rPr>
          <w:rFonts w:hint="eastAsia" w:ascii="宋体" w:hAnsi="宋体" w:eastAsia="宋体" w:cs="宋体"/>
          <w:b/>
          <w:bCs/>
          <w:i w:val="0"/>
          <w:iCs w:val="0"/>
          <w:color w:val="auto"/>
          <w:kern w:val="0"/>
          <w:sz w:val="21"/>
          <w:szCs w:val="21"/>
          <w:highlight w:val="none"/>
          <w:lang w:val="en-US" w:eastAsia="zh-CN" w:bidi="ar"/>
        </w:rPr>
        <w:t>填写说明：</w:t>
      </w:r>
      <w:r>
        <w:rPr>
          <w:rFonts w:hint="eastAsia" w:ascii="宋体" w:hAnsi="宋体" w:eastAsia="宋体" w:cs="宋体"/>
          <w:b w:val="0"/>
          <w:bCs w:val="0"/>
          <w:i w:val="0"/>
          <w:iCs w:val="0"/>
          <w:color w:val="auto"/>
          <w:kern w:val="0"/>
          <w:sz w:val="21"/>
          <w:szCs w:val="21"/>
          <w:highlight w:val="none"/>
          <w:lang w:val="en-US" w:eastAsia="zh-CN" w:bidi="ar"/>
        </w:rPr>
        <w:t>1、</w:t>
      </w:r>
      <w:r>
        <w:rPr>
          <w:rFonts w:hint="eastAsia"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lang w:val="en-US" w:eastAsia="zh-CN" w:bidi="ar"/>
        </w:rPr>
        <w:t>制造商规模</w:t>
      </w:r>
      <w:r>
        <w:rPr>
          <w:rFonts w:hint="eastAsia"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lang w:val="en-US" w:eastAsia="zh-CN" w:bidi="ar"/>
        </w:rPr>
        <w:t>请填写“大型”、“中型”、“小型”、“微型”或“其他”，且不应与《中小企业声明函》或《拟分包情况说明》中内容矛盾。</w:t>
      </w:r>
    </w:p>
    <w:p w14:paraId="0299D327">
      <w:pPr>
        <w:keepNext w:val="0"/>
        <w:keepLines w:val="0"/>
        <w:widowControl/>
        <w:suppressLineNumbers w:val="0"/>
        <w:ind w:firstLine="1050" w:firstLineChars="500"/>
        <w:jc w:val="left"/>
        <w:rPr>
          <w:rFonts w:hint="eastAsia" w:ascii="宋体" w:hAnsi="宋体" w:eastAsia="宋体" w:cs="宋体"/>
          <w:b w:val="0"/>
          <w:bCs w:val="0"/>
          <w:i w:val="0"/>
          <w:iCs w:val="0"/>
          <w:color w:val="auto"/>
          <w:sz w:val="21"/>
          <w:szCs w:val="21"/>
          <w:highlight w:val="none"/>
        </w:rPr>
      </w:pPr>
      <w:r>
        <w:rPr>
          <w:rFonts w:hint="eastAsia" w:ascii="宋体" w:hAnsi="宋体" w:eastAsia="宋体" w:cs="宋体"/>
          <w:b w:val="0"/>
          <w:bCs w:val="0"/>
          <w:i w:val="0"/>
          <w:iCs w:val="0"/>
          <w:color w:val="auto"/>
          <w:kern w:val="0"/>
          <w:sz w:val="21"/>
          <w:szCs w:val="21"/>
          <w:highlight w:val="none"/>
          <w:lang w:val="en-US" w:eastAsia="zh-CN" w:bidi="ar"/>
        </w:rPr>
        <w:t>2、</w:t>
      </w:r>
      <w:r>
        <w:rPr>
          <w:rFonts w:hint="eastAsia" w:cs="宋体"/>
          <w:b w:val="0"/>
          <w:bCs w:val="0"/>
          <w:i w:val="0"/>
          <w:iCs w:val="0"/>
          <w:color w:val="auto"/>
          <w:kern w:val="0"/>
          <w:sz w:val="21"/>
          <w:szCs w:val="21"/>
          <w:highlight w:val="none"/>
          <w:lang w:val="en-US" w:eastAsia="zh-CN" w:bidi="ar"/>
        </w:rPr>
        <w:t>“制造</w:t>
      </w:r>
      <w:r>
        <w:rPr>
          <w:rFonts w:hint="eastAsia" w:ascii="宋体" w:hAnsi="宋体" w:eastAsia="宋体" w:cs="宋体"/>
          <w:b w:val="0"/>
          <w:bCs w:val="0"/>
          <w:i w:val="0"/>
          <w:iCs w:val="0"/>
          <w:color w:val="auto"/>
          <w:kern w:val="0"/>
          <w:sz w:val="21"/>
          <w:szCs w:val="21"/>
          <w:highlight w:val="none"/>
          <w:lang w:val="en-US" w:eastAsia="zh-CN" w:bidi="ar"/>
        </w:rPr>
        <w:t>商实际控制人性别</w:t>
      </w:r>
      <w:r>
        <w:rPr>
          <w:rFonts w:hint="eastAsia"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lang w:val="en-US" w:eastAsia="zh-CN" w:bidi="ar"/>
        </w:rPr>
        <w:t>按</w:t>
      </w:r>
      <w:r>
        <w:rPr>
          <w:rFonts w:hint="eastAsia" w:cs="宋体"/>
          <w:b w:val="0"/>
          <w:bCs w:val="0"/>
          <w:i w:val="0"/>
          <w:iCs w:val="0"/>
          <w:color w:val="auto"/>
          <w:kern w:val="0"/>
          <w:sz w:val="21"/>
          <w:szCs w:val="21"/>
          <w:highlight w:val="none"/>
          <w:lang w:val="en-US" w:eastAsia="zh-CN" w:bidi="ar"/>
        </w:rPr>
        <w:t>制造</w:t>
      </w:r>
      <w:r>
        <w:rPr>
          <w:rFonts w:hint="eastAsia" w:ascii="宋体" w:hAnsi="宋体" w:eastAsia="宋体" w:cs="宋体"/>
          <w:b w:val="0"/>
          <w:bCs w:val="0"/>
          <w:i w:val="0"/>
          <w:iCs w:val="0"/>
          <w:color w:val="auto"/>
          <w:kern w:val="0"/>
          <w:sz w:val="21"/>
          <w:szCs w:val="21"/>
          <w:highlight w:val="none"/>
          <w:lang w:val="en-US" w:eastAsia="zh-CN" w:bidi="ar"/>
        </w:rPr>
        <w:t>商实际控制人性别划分请填写“男”或“女”，指拥有</w:t>
      </w:r>
      <w:r>
        <w:rPr>
          <w:rFonts w:hint="eastAsia" w:cs="宋体"/>
          <w:b w:val="0"/>
          <w:bCs w:val="0"/>
          <w:i w:val="0"/>
          <w:iCs w:val="0"/>
          <w:color w:val="auto"/>
          <w:kern w:val="0"/>
          <w:sz w:val="21"/>
          <w:szCs w:val="21"/>
          <w:highlight w:val="none"/>
          <w:lang w:val="en-US" w:eastAsia="zh-CN" w:bidi="ar"/>
        </w:rPr>
        <w:t>制造商</w:t>
      </w:r>
      <w:r>
        <w:rPr>
          <w:rFonts w:hint="eastAsia" w:ascii="宋体" w:hAnsi="宋体" w:eastAsia="宋体" w:cs="宋体"/>
          <w:b w:val="0"/>
          <w:bCs w:val="0"/>
          <w:i w:val="0"/>
          <w:iCs w:val="0"/>
          <w:color w:val="auto"/>
          <w:kern w:val="0"/>
          <w:sz w:val="21"/>
          <w:szCs w:val="21"/>
          <w:highlight w:val="none"/>
          <w:lang w:val="en-US" w:eastAsia="zh-CN" w:bidi="ar"/>
        </w:rPr>
        <w:t xml:space="preserve"> 51%以上绝对所有权的性别；绝对所有权拥有者可以是一个人，也可以是多人合计计算。 </w:t>
      </w:r>
    </w:p>
    <w:p w14:paraId="0B87922C">
      <w:pPr>
        <w:spacing w:line="300" w:lineRule="auto"/>
        <w:ind w:firstLine="1050" w:firstLineChars="500"/>
        <w:rPr>
          <w:rFonts w:hint="eastAsia" w:ascii="宋体" w:hAnsi="宋体" w:eastAsia="宋体" w:cs="宋体"/>
          <w:color w:val="auto"/>
          <w:sz w:val="21"/>
          <w:szCs w:val="21"/>
          <w:highlight w:val="none"/>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ascii="宋体" w:hAnsi="宋体" w:eastAsia="宋体" w:cs="宋体"/>
          <w:b w:val="0"/>
          <w:bCs w:val="0"/>
          <w:i w:val="0"/>
          <w:iCs w:val="0"/>
          <w:color w:val="auto"/>
          <w:kern w:val="0"/>
          <w:sz w:val="21"/>
          <w:szCs w:val="21"/>
          <w:highlight w:val="none"/>
          <w:lang w:val="en-US" w:eastAsia="zh-CN" w:bidi="ar"/>
        </w:rPr>
        <w:t>3、</w:t>
      </w:r>
      <w:r>
        <w:rPr>
          <w:rFonts w:hint="eastAsia"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lang w:val="en-US" w:eastAsia="zh-CN" w:bidi="ar"/>
        </w:rPr>
        <w:t>外商投资类型</w:t>
      </w:r>
      <w:r>
        <w:rPr>
          <w:rFonts w:hint="eastAsia" w:cs="宋体"/>
          <w:b w:val="0"/>
          <w:bCs w:val="0"/>
          <w:i w:val="0"/>
          <w:iCs w:val="0"/>
          <w:color w:val="auto"/>
          <w:kern w:val="0"/>
          <w:sz w:val="21"/>
          <w:szCs w:val="21"/>
          <w:highlight w:val="none"/>
          <w:lang w:val="en-US" w:eastAsia="zh-CN" w:bidi="ar"/>
        </w:rPr>
        <w:t>”</w:t>
      </w:r>
      <w:r>
        <w:rPr>
          <w:rFonts w:hint="eastAsia" w:ascii="宋体" w:hAnsi="宋体" w:eastAsia="宋体" w:cs="宋体"/>
          <w:b w:val="0"/>
          <w:bCs w:val="0"/>
          <w:i w:val="0"/>
          <w:iCs w:val="0"/>
          <w:color w:val="auto"/>
          <w:kern w:val="0"/>
          <w:sz w:val="21"/>
          <w:szCs w:val="21"/>
          <w:highlight w:val="none"/>
          <w:lang w:val="en-US" w:eastAsia="zh-CN" w:bidi="ar"/>
        </w:rPr>
        <w:t>请填写“外商单独投资”、“外商部分投资”或“内资”。</w:t>
      </w:r>
    </w:p>
    <w:p w14:paraId="5C4C33FC">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358" w:name="_Toc24394"/>
      <w:bookmarkStart w:id="359" w:name="_Toc155185921"/>
      <w:bookmarkStart w:id="360" w:name="_Toc109900327"/>
      <w:bookmarkStart w:id="361" w:name="_Toc163492915"/>
      <w:bookmarkStart w:id="362" w:name="_Toc109899489"/>
      <w:bookmarkStart w:id="363" w:name="_Toc25402"/>
      <w:bookmarkStart w:id="364" w:name="_Toc109899908"/>
      <w:bookmarkStart w:id="365" w:name="_Toc140132831"/>
      <w:bookmarkStart w:id="366" w:name="_Toc3577"/>
      <w:r>
        <w:rPr>
          <w:rFonts w:hint="eastAsia" w:cstheme="majorBidi"/>
          <w:b/>
          <w:bCs/>
          <w:color w:val="auto"/>
          <w:kern w:val="2"/>
          <w:sz w:val="32"/>
          <w:szCs w:val="32"/>
          <w:highlight w:val="none"/>
          <w:lang w:val="en-US" w:eastAsia="zh-CN" w:bidi="ar-SA"/>
        </w:rPr>
        <w:t>九</w:t>
      </w:r>
      <w:r>
        <w:rPr>
          <w:rFonts w:hint="eastAsia" w:eastAsia="宋体" w:asciiTheme="majorHAnsi" w:hAnsiTheme="majorHAnsi" w:cstheme="majorBidi"/>
          <w:b/>
          <w:bCs/>
          <w:color w:val="auto"/>
          <w:kern w:val="2"/>
          <w:sz w:val="32"/>
          <w:szCs w:val="32"/>
          <w:highlight w:val="none"/>
          <w:lang w:val="en-US" w:eastAsia="zh-CN" w:bidi="ar-SA"/>
        </w:rPr>
        <w:t>、投标函</w:t>
      </w:r>
      <w:bookmarkEnd w:id="358"/>
      <w:bookmarkEnd w:id="359"/>
      <w:bookmarkEnd w:id="360"/>
      <w:bookmarkEnd w:id="361"/>
      <w:bookmarkEnd w:id="362"/>
      <w:bookmarkEnd w:id="363"/>
      <w:bookmarkEnd w:id="364"/>
      <w:bookmarkEnd w:id="365"/>
      <w:bookmarkEnd w:id="366"/>
    </w:p>
    <w:p w14:paraId="56BE9B39">
      <w:pPr>
        <w:rPr>
          <w:color w:val="auto"/>
          <w:highlight w:val="none"/>
        </w:rPr>
      </w:pPr>
      <w:r>
        <w:rPr>
          <w:rFonts w:hint="eastAsia"/>
          <w:color w:val="auto"/>
          <w:highlight w:val="none"/>
        </w:rPr>
        <w:t>致：（采购人）</w:t>
      </w:r>
    </w:p>
    <w:p w14:paraId="15E7076B">
      <w:pPr>
        <w:ind w:firstLine="480" w:firstLineChars="200"/>
        <w:rPr>
          <w:rFonts w:cs="仿宋_GB2312"/>
          <w:b/>
          <w:bCs/>
          <w:color w:val="auto"/>
          <w:szCs w:val="24"/>
          <w:highlight w:val="none"/>
        </w:rPr>
      </w:pPr>
      <w:r>
        <w:rPr>
          <w:rFonts w:hint="eastAsia" w:cs="仿宋_GB2312"/>
          <w:color w:val="auto"/>
          <w:szCs w:val="24"/>
          <w:highlight w:val="none"/>
        </w:rPr>
        <w:t>根据贵方</w:t>
      </w:r>
      <w:r>
        <w:rPr>
          <w:rFonts w:hint="eastAsia" w:cs="仿宋_GB2312"/>
          <w:color w:val="auto"/>
          <w:szCs w:val="24"/>
          <w:highlight w:val="none"/>
          <w:u w:val="single"/>
        </w:rPr>
        <w:t>（项目名称</w:t>
      </w:r>
      <w:r>
        <w:rPr>
          <w:rFonts w:hint="eastAsia" w:cs="仿宋_GB2312"/>
          <w:color w:val="auto"/>
          <w:szCs w:val="24"/>
          <w:highlight w:val="none"/>
          <w:u w:val="single"/>
          <w:lang w:val="en-US" w:eastAsia="zh-CN"/>
        </w:rPr>
        <w:t>/标项号</w:t>
      </w:r>
      <w:r>
        <w:rPr>
          <w:rFonts w:hint="eastAsia" w:cs="仿宋_GB2312"/>
          <w:color w:val="auto"/>
          <w:szCs w:val="24"/>
          <w:highlight w:val="none"/>
          <w:u w:val="single"/>
        </w:rPr>
        <w:t>）（项目编号）</w:t>
      </w:r>
      <w:r>
        <w:rPr>
          <w:rFonts w:hint="eastAsia" w:cs="仿宋_GB2312"/>
          <w:color w:val="auto"/>
          <w:szCs w:val="24"/>
          <w:highlight w:val="none"/>
          <w:lang w:val="en-US" w:eastAsia="zh-CN"/>
        </w:rPr>
        <w:t>项目</w:t>
      </w:r>
      <w:r>
        <w:rPr>
          <w:rFonts w:hint="eastAsia" w:cs="仿宋_GB2312"/>
          <w:color w:val="auto"/>
          <w:szCs w:val="24"/>
          <w:highlight w:val="none"/>
        </w:rPr>
        <w:t>的</w:t>
      </w:r>
      <w:r>
        <w:rPr>
          <w:rFonts w:hint="eastAsia" w:cs="仿宋_GB2312"/>
          <w:color w:val="auto"/>
          <w:szCs w:val="24"/>
          <w:highlight w:val="none"/>
          <w:lang w:val="en-US" w:eastAsia="zh-CN"/>
        </w:rPr>
        <w:t>招标公告</w:t>
      </w:r>
      <w:r>
        <w:rPr>
          <w:rFonts w:hint="eastAsia" w:cs="仿宋_GB2312"/>
          <w:color w:val="auto"/>
          <w:szCs w:val="24"/>
          <w:highlight w:val="none"/>
        </w:rPr>
        <w:t>，签字代表</w:t>
      </w:r>
      <w:r>
        <w:rPr>
          <w:rFonts w:hint="eastAsia" w:cs="仿宋_GB2312"/>
          <w:color w:val="auto"/>
          <w:szCs w:val="24"/>
          <w:highlight w:val="none"/>
          <w:u w:val="single"/>
        </w:rPr>
        <w:t>（姓名、职务）</w:t>
      </w:r>
      <w:r>
        <w:rPr>
          <w:rFonts w:hint="eastAsia" w:cs="仿宋_GB2312"/>
          <w:color w:val="auto"/>
          <w:szCs w:val="24"/>
          <w:highlight w:val="none"/>
        </w:rPr>
        <w:t>经正式授权并代表投标人</w:t>
      </w:r>
      <w:r>
        <w:rPr>
          <w:rFonts w:hint="eastAsia" w:cs="仿宋_GB2312"/>
          <w:color w:val="auto"/>
          <w:szCs w:val="24"/>
          <w:highlight w:val="none"/>
          <w:u w:val="single"/>
        </w:rPr>
        <w:t>（投标人名称、地址）</w:t>
      </w:r>
      <w:r>
        <w:rPr>
          <w:rFonts w:hint="eastAsia" w:cs="仿宋_GB2312"/>
          <w:color w:val="auto"/>
          <w:szCs w:val="24"/>
          <w:highlight w:val="none"/>
        </w:rPr>
        <w:t>提交下述文件</w:t>
      </w:r>
      <w:r>
        <w:rPr>
          <w:rFonts w:hint="eastAsia" w:cs="仿宋_GB2312"/>
          <w:b/>
          <w:bCs/>
          <w:color w:val="auto"/>
          <w:szCs w:val="24"/>
          <w:highlight w:val="none"/>
        </w:rPr>
        <w:t>：</w:t>
      </w:r>
    </w:p>
    <w:p w14:paraId="2DD7BDDC">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1.</w:t>
      </w:r>
      <w:r>
        <w:rPr>
          <w:rFonts w:hint="eastAsia" w:cs="Arial"/>
          <w:color w:val="auto"/>
          <w:szCs w:val="24"/>
          <w:highlight w:val="none"/>
        </w:rPr>
        <w:t>资格</w:t>
      </w:r>
      <w:r>
        <w:rPr>
          <w:rFonts w:hint="eastAsia" w:cs="Arial"/>
          <w:color w:val="auto"/>
          <w:szCs w:val="24"/>
          <w:highlight w:val="none"/>
          <w:lang w:val="en-US" w:eastAsia="zh-CN"/>
        </w:rPr>
        <w:t>证明</w:t>
      </w:r>
      <w:r>
        <w:rPr>
          <w:rFonts w:hint="eastAsia" w:cs="Arial"/>
          <w:color w:val="auto"/>
          <w:szCs w:val="24"/>
          <w:highlight w:val="none"/>
        </w:rPr>
        <w:t>文件</w:t>
      </w:r>
      <w:r>
        <w:rPr>
          <w:rFonts w:cs="Arial"/>
          <w:color w:val="auto"/>
          <w:szCs w:val="24"/>
          <w:highlight w:val="none"/>
        </w:rPr>
        <w:t>；</w:t>
      </w:r>
    </w:p>
    <w:p w14:paraId="01CA08A3">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2.</w:t>
      </w:r>
      <w:r>
        <w:rPr>
          <w:rFonts w:hint="eastAsia" w:cs="Arial"/>
          <w:color w:val="auto"/>
          <w:szCs w:val="24"/>
          <w:highlight w:val="none"/>
        </w:rPr>
        <w:t>投标报价</w:t>
      </w:r>
      <w:r>
        <w:rPr>
          <w:rFonts w:cs="Arial"/>
          <w:color w:val="auto"/>
          <w:szCs w:val="24"/>
          <w:highlight w:val="none"/>
        </w:rPr>
        <w:t>文件</w:t>
      </w:r>
      <w:r>
        <w:rPr>
          <w:rFonts w:hint="eastAsia" w:cs="Arial"/>
          <w:color w:val="auto"/>
          <w:szCs w:val="24"/>
          <w:highlight w:val="none"/>
        </w:rPr>
        <w:t>；</w:t>
      </w:r>
    </w:p>
    <w:p w14:paraId="241D09E9">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3.</w:t>
      </w:r>
      <w:r>
        <w:rPr>
          <w:rFonts w:hint="eastAsia" w:cs="Arial"/>
          <w:color w:val="auto"/>
          <w:szCs w:val="24"/>
          <w:highlight w:val="none"/>
          <w:lang w:val="en-US" w:eastAsia="zh-CN"/>
        </w:rPr>
        <w:t>商务技术</w:t>
      </w:r>
      <w:r>
        <w:rPr>
          <w:rFonts w:hint="eastAsia" w:cs="Arial"/>
          <w:color w:val="auto"/>
          <w:szCs w:val="24"/>
          <w:highlight w:val="none"/>
        </w:rPr>
        <w:t>文件</w:t>
      </w:r>
      <w:r>
        <w:rPr>
          <w:rFonts w:cs="Arial"/>
          <w:color w:val="auto"/>
          <w:szCs w:val="24"/>
          <w:highlight w:val="none"/>
        </w:rPr>
        <w:t>。</w:t>
      </w:r>
    </w:p>
    <w:p w14:paraId="31075F9B">
      <w:pPr>
        <w:spacing w:line="324" w:lineRule="auto"/>
        <w:ind w:firstLine="480" w:firstLineChars="200"/>
        <w:rPr>
          <w:rFonts w:cs="Arial"/>
          <w:color w:val="auto"/>
          <w:szCs w:val="24"/>
          <w:highlight w:val="none"/>
        </w:rPr>
      </w:pPr>
      <w:r>
        <w:rPr>
          <w:rFonts w:cs="Arial"/>
          <w:color w:val="auto"/>
          <w:szCs w:val="24"/>
          <w:highlight w:val="none"/>
        </w:rPr>
        <w:t>根据此函，签字代表宣布同意如下：</w:t>
      </w:r>
    </w:p>
    <w:p w14:paraId="79904BA0">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1.</w:t>
      </w:r>
      <w:r>
        <w:rPr>
          <w:rFonts w:cs="Arial"/>
          <w:color w:val="auto"/>
          <w:szCs w:val="24"/>
          <w:highlight w:val="none"/>
        </w:rPr>
        <w:t>所附投标价格表中规定的应提交和交付的</w:t>
      </w:r>
      <w:r>
        <w:rPr>
          <w:rFonts w:hint="eastAsia" w:cs="Arial"/>
          <w:color w:val="auto"/>
          <w:szCs w:val="24"/>
          <w:highlight w:val="none"/>
        </w:rPr>
        <w:t>货物</w:t>
      </w:r>
      <w:r>
        <w:rPr>
          <w:rFonts w:cs="Arial"/>
          <w:color w:val="auto"/>
          <w:szCs w:val="24"/>
          <w:highlight w:val="none"/>
        </w:rPr>
        <w:t>和</w:t>
      </w:r>
      <w:r>
        <w:rPr>
          <w:rFonts w:hint="eastAsia" w:cs="Arial"/>
          <w:color w:val="auto"/>
          <w:szCs w:val="24"/>
          <w:highlight w:val="none"/>
          <w:lang w:val="en-US" w:eastAsia="zh-CN"/>
        </w:rPr>
        <w:t>相关</w:t>
      </w:r>
      <w:r>
        <w:rPr>
          <w:rFonts w:cs="Arial"/>
          <w:color w:val="auto"/>
          <w:szCs w:val="24"/>
          <w:highlight w:val="none"/>
        </w:rPr>
        <w:t>服务</w:t>
      </w:r>
      <w:r>
        <w:rPr>
          <w:rFonts w:hint="eastAsia" w:cs="Arial"/>
          <w:color w:val="auto"/>
          <w:szCs w:val="24"/>
          <w:highlight w:val="none"/>
        </w:rPr>
        <w:t>（如有）</w:t>
      </w:r>
      <w:r>
        <w:rPr>
          <w:rFonts w:cs="Arial"/>
          <w:color w:val="auto"/>
          <w:szCs w:val="24"/>
          <w:highlight w:val="none"/>
        </w:rPr>
        <w:t>的</w:t>
      </w:r>
      <w:r>
        <w:rPr>
          <w:rFonts w:hint="eastAsia" w:cs="Arial"/>
          <w:color w:val="auto"/>
          <w:szCs w:val="24"/>
          <w:highlight w:val="none"/>
        </w:rPr>
        <w:t>投标报价</w:t>
      </w:r>
      <w:r>
        <w:rPr>
          <w:rFonts w:cs="Arial"/>
          <w:color w:val="auto"/>
          <w:szCs w:val="24"/>
          <w:highlight w:val="none"/>
        </w:rPr>
        <w:t>为</w:t>
      </w:r>
      <w:r>
        <w:rPr>
          <w:rFonts w:hint="eastAsia" w:cs="Arial"/>
          <w:color w:val="auto"/>
          <w:szCs w:val="24"/>
          <w:highlight w:val="none"/>
        </w:rPr>
        <w:t xml:space="preserve"> </w:t>
      </w:r>
      <w:r>
        <w:rPr>
          <w:rFonts w:hint="eastAsia" w:cs="Arial"/>
          <w:color w:val="auto"/>
          <w:szCs w:val="24"/>
          <w:highlight w:val="none"/>
          <w:u w:val="single"/>
        </w:rPr>
        <w:t xml:space="preserve">                  </w:t>
      </w:r>
      <w:r>
        <w:rPr>
          <w:rFonts w:cs="Arial"/>
          <w:color w:val="auto"/>
          <w:szCs w:val="24"/>
          <w:highlight w:val="none"/>
        </w:rPr>
        <w:t>。</w:t>
      </w:r>
    </w:p>
    <w:p w14:paraId="3C0C4D75">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2.</w:t>
      </w:r>
      <w:r>
        <w:rPr>
          <w:rFonts w:hint="eastAsia" w:cs="Arial"/>
          <w:color w:val="auto"/>
          <w:szCs w:val="24"/>
          <w:highlight w:val="none"/>
        </w:rPr>
        <w:t>我方</w:t>
      </w:r>
      <w:r>
        <w:rPr>
          <w:rFonts w:cs="Arial"/>
          <w:color w:val="auto"/>
          <w:szCs w:val="24"/>
          <w:highlight w:val="none"/>
        </w:rPr>
        <w:t>将按招标文件的规定履行合同责任和义务。</w:t>
      </w:r>
    </w:p>
    <w:p w14:paraId="74ADF56B">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3.</w:t>
      </w:r>
      <w:r>
        <w:rPr>
          <w:rFonts w:hint="eastAsia" w:cs="Arial"/>
          <w:color w:val="auto"/>
          <w:szCs w:val="24"/>
          <w:highlight w:val="none"/>
        </w:rPr>
        <w:t>我方</w:t>
      </w:r>
      <w:r>
        <w:rPr>
          <w:rFonts w:cs="Arial"/>
          <w:color w:val="auto"/>
          <w:szCs w:val="24"/>
          <w:highlight w:val="none"/>
        </w:rPr>
        <w:t>已详细审查全部招标文件，包括第</w:t>
      </w:r>
      <w:r>
        <w:rPr>
          <w:rFonts w:cs="Arial"/>
          <w:i w:val="0"/>
          <w:iCs/>
          <w:color w:val="auto"/>
          <w:szCs w:val="24"/>
          <w:highlight w:val="none"/>
          <w:u w:val="single"/>
        </w:rPr>
        <w:t>（编号、补遗书）（如果有的话）</w:t>
      </w:r>
      <w:r>
        <w:rPr>
          <w:rFonts w:cs="Arial"/>
          <w:color w:val="auto"/>
          <w:szCs w:val="24"/>
          <w:highlight w:val="none"/>
        </w:rPr>
        <w:t>。我</w:t>
      </w:r>
      <w:r>
        <w:rPr>
          <w:rFonts w:hint="eastAsia" w:cs="Arial"/>
          <w:color w:val="auto"/>
          <w:szCs w:val="24"/>
          <w:highlight w:val="none"/>
        </w:rPr>
        <w:t>方</w:t>
      </w:r>
      <w:r>
        <w:rPr>
          <w:rFonts w:cs="Arial"/>
          <w:color w:val="auto"/>
          <w:szCs w:val="24"/>
          <w:highlight w:val="none"/>
        </w:rPr>
        <w:t>完全理解并同意放弃对这方面有不明及误解的权力。</w:t>
      </w:r>
    </w:p>
    <w:p w14:paraId="7F0F087F">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4.</w:t>
      </w:r>
      <w:r>
        <w:rPr>
          <w:rFonts w:hint="eastAsia" w:cs="Arial"/>
          <w:color w:val="auto"/>
          <w:szCs w:val="24"/>
          <w:highlight w:val="none"/>
        </w:rPr>
        <w:t>投标有效期为自提交投标文件的截止之日起</w:t>
      </w:r>
      <w:r>
        <w:rPr>
          <w:rFonts w:hint="eastAsia" w:cs="Arial"/>
          <w:i/>
          <w:color w:val="auto"/>
          <w:szCs w:val="24"/>
          <w:highlight w:val="none"/>
          <w:u w:val="single"/>
        </w:rPr>
        <w:t xml:space="preserve"> </w:t>
      </w:r>
      <w:r>
        <w:rPr>
          <w:rFonts w:hint="eastAsia" w:cs="Arial"/>
          <w:i w:val="0"/>
          <w:iCs/>
          <w:color w:val="auto"/>
          <w:szCs w:val="24"/>
          <w:highlight w:val="none"/>
          <w:u w:val="single"/>
        </w:rPr>
        <w:t>（由投标人填写）</w:t>
      </w:r>
      <w:r>
        <w:rPr>
          <w:rFonts w:cs="Arial"/>
          <w:color w:val="auto"/>
          <w:szCs w:val="24"/>
          <w:highlight w:val="none"/>
        </w:rPr>
        <w:t>个日历天。</w:t>
      </w:r>
    </w:p>
    <w:p w14:paraId="7F3158D4">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5.</w:t>
      </w:r>
      <w:r>
        <w:rPr>
          <w:rFonts w:hint="eastAsia" w:cs="Arial"/>
          <w:color w:val="auto"/>
          <w:szCs w:val="24"/>
          <w:highlight w:val="none"/>
        </w:rPr>
        <w:t>我方</w:t>
      </w:r>
      <w:r>
        <w:rPr>
          <w:rFonts w:cs="Arial"/>
          <w:color w:val="auto"/>
          <w:szCs w:val="24"/>
          <w:highlight w:val="none"/>
        </w:rPr>
        <w:t>同意提供按照贵方</w:t>
      </w:r>
      <w:r>
        <w:rPr>
          <w:rFonts w:hint="eastAsia" w:cs="Arial"/>
          <w:color w:val="auto"/>
          <w:szCs w:val="24"/>
          <w:highlight w:val="none"/>
          <w:lang w:val="en-US" w:eastAsia="zh-CN"/>
        </w:rPr>
        <w:t>招标</w:t>
      </w:r>
      <w:r>
        <w:rPr>
          <w:rFonts w:hint="eastAsia" w:cs="Arial"/>
          <w:color w:val="auto"/>
          <w:szCs w:val="24"/>
          <w:highlight w:val="none"/>
        </w:rPr>
        <w:t>文件</w:t>
      </w:r>
      <w:r>
        <w:rPr>
          <w:rFonts w:cs="Arial"/>
          <w:color w:val="auto"/>
          <w:szCs w:val="24"/>
          <w:highlight w:val="none"/>
        </w:rPr>
        <w:t>要求的与投标有关的一切数据或资料，</w:t>
      </w:r>
      <w:r>
        <w:rPr>
          <w:rFonts w:hint="eastAsia" w:cs="Arial"/>
          <w:color w:val="auto"/>
          <w:szCs w:val="24"/>
          <w:highlight w:val="none"/>
        </w:rPr>
        <w:t>采用综合评分法时，我方</w:t>
      </w:r>
      <w:r>
        <w:rPr>
          <w:rFonts w:cs="Arial"/>
          <w:color w:val="auto"/>
          <w:szCs w:val="24"/>
          <w:highlight w:val="none"/>
        </w:rPr>
        <w:t>完全理解贵方不一定接受最低价的投标。</w:t>
      </w:r>
    </w:p>
    <w:p w14:paraId="693769A0">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6.</w:t>
      </w:r>
      <w:r>
        <w:rPr>
          <w:rFonts w:hint="eastAsia" w:cs="Arial"/>
          <w:color w:val="auto"/>
          <w:szCs w:val="24"/>
          <w:highlight w:val="none"/>
        </w:rPr>
        <w:t>本项目如由中标人支付采购代理服务费，我方同意按投标人须知前附表中规定向采购代理机构支付采购代理服务费。</w:t>
      </w:r>
    </w:p>
    <w:p w14:paraId="439CC37A">
      <w:pPr>
        <w:numPr>
          <w:ilvl w:val="0"/>
          <w:numId w:val="0"/>
        </w:numPr>
        <w:snapToGrid w:val="0"/>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7.</w:t>
      </w:r>
      <w:r>
        <w:rPr>
          <w:rFonts w:hint="eastAsia" w:cs="Arial"/>
          <w:color w:val="auto"/>
          <w:szCs w:val="24"/>
          <w:highlight w:val="none"/>
        </w:rPr>
        <w:t>重要声明：</w:t>
      </w:r>
    </w:p>
    <w:p w14:paraId="140C65B6">
      <w:pPr>
        <w:snapToGrid w:val="0"/>
        <w:spacing w:line="324" w:lineRule="auto"/>
        <w:ind w:firstLine="480" w:firstLineChars="200"/>
        <w:rPr>
          <w:color w:val="auto"/>
          <w:szCs w:val="24"/>
          <w:highlight w:val="none"/>
        </w:rPr>
      </w:pPr>
      <w:r>
        <w:rPr>
          <w:rFonts w:hint="eastAsia"/>
          <w:color w:val="auto"/>
          <w:szCs w:val="24"/>
          <w:highlight w:val="none"/>
        </w:rPr>
        <w:t>1）与我方单位负责人为同一人的其他单位名称：</w:t>
      </w:r>
    </w:p>
    <w:p w14:paraId="77DAF0B7">
      <w:pPr>
        <w:snapToGrid w:val="0"/>
        <w:spacing w:line="324" w:lineRule="auto"/>
        <w:ind w:left="456" w:leftChars="190" w:firstLine="355" w:firstLineChars="148"/>
        <w:rPr>
          <w:i w:val="0"/>
          <w:iCs/>
          <w:color w:val="auto"/>
          <w:szCs w:val="24"/>
          <w:highlight w:val="none"/>
        </w:rPr>
      </w:pPr>
      <w:r>
        <w:rPr>
          <w:rFonts w:hint="eastAsia"/>
          <w:color w:val="auto"/>
          <w:szCs w:val="24"/>
          <w:highlight w:val="none"/>
          <w:lang w:eastAsia="zh-CN"/>
        </w:rPr>
        <w:t>□</w:t>
      </w:r>
      <w:r>
        <w:rPr>
          <w:rFonts w:hint="eastAsia"/>
          <w:color w:val="auto"/>
          <w:szCs w:val="24"/>
          <w:highlight w:val="none"/>
        </w:rPr>
        <w:t>无；</w:t>
      </w:r>
      <w:r>
        <w:rPr>
          <w:rFonts w:hint="eastAsia"/>
          <w:color w:val="auto"/>
          <w:szCs w:val="24"/>
          <w:highlight w:val="none"/>
          <w:lang w:eastAsia="zh-CN"/>
        </w:rPr>
        <w:t>□</w:t>
      </w:r>
      <w:r>
        <w:rPr>
          <w:rFonts w:hint="eastAsia"/>
          <w:color w:val="auto"/>
          <w:szCs w:val="24"/>
          <w:highlight w:val="none"/>
        </w:rPr>
        <w:t>有，具体单位名称为：</w:t>
      </w:r>
      <w:r>
        <w:rPr>
          <w:rFonts w:hint="eastAsia" w:cs="Arial"/>
          <w:i w:val="0"/>
          <w:iCs/>
          <w:color w:val="auto"/>
          <w:szCs w:val="24"/>
          <w:highlight w:val="none"/>
          <w:u w:val="single"/>
        </w:rPr>
        <w:t>（由投标人如实填写）</w:t>
      </w:r>
      <w:r>
        <w:rPr>
          <w:rFonts w:hint="eastAsia"/>
          <w:i w:val="0"/>
          <w:iCs/>
          <w:color w:val="auto"/>
          <w:szCs w:val="24"/>
          <w:highlight w:val="none"/>
        </w:rPr>
        <w:t>。</w:t>
      </w:r>
    </w:p>
    <w:p w14:paraId="32447AF6">
      <w:pPr>
        <w:snapToGrid w:val="0"/>
        <w:spacing w:line="324" w:lineRule="auto"/>
        <w:ind w:firstLine="480" w:firstLineChars="200"/>
        <w:rPr>
          <w:i w:val="0"/>
          <w:iCs/>
          <w:color w:val="auto"/>
          <w:szCs w:val="24"/>
          <w:highlight w:val="none"/>
        </w:rPr>
      </w:pPr>
      <w:r>
        <w:rPr>
          <w:rFonts w:hint="eastAsia"/>
          <w:i w:val="0"/>
          <w:iCs/>
          <w:color w:val="auto"/>
          <w:szCs w:val="24"/>
          <w:highlight w:val="none"/>
        </w:rPr>
        <w:t>2）与我方存在控股、管理关系的其他单位的名称：</w:t>
      </w:r>
    </w:p>
    <w:p w14:paraId="0EAD22E2">
      <w:pPr>
        <w:snapToGrid w:val="0"/>
        <w:spacing w:line="324" w:lineRule="auto"/>
        <w:ind w:left="456" w:leftChars="190" w:firstLine="355" w:firstLineChars="148"/>
        <w:rPr>
          <w:color w:val="auto"/>
          <w:szCs w:val="24"/>
          <w:highlight w:val="none"/>
        </w:rPr>
      </w:pPr>
      <w:r>
        <w:rPr>
          <w:rFonts w:hint="eastAsia"/>
          <w:i w:val="0"/>
          <w:iCs/>
          <w:color w:val="auto"/>
          <w:szCs w:val="24"/>
          <w:highlight w:val="none"/>
          <w:lang w:eastAsia="zh-CN"/>
        </w:rPr>
        <w:t>□</w:t>
      </w:r>
      <w:r>
        <w:rPr>
          <w:rFonts w:hint="eastAsia"/>
          <w:i w:val="0"/>
          <w:iCs/>
          <w:color w:val="auto"/>
          <w:szCs w:val="24"/>
          <w:highlight w:val="none"/>
        </w:rPr>
        <w:t xml:space="preserve">无；□有，具体单位名称为： </w:t>
      </w:r>
      <w:r>
        <w:rPr>
          <w:rFonts w:hint="eastAsia" w:cs="Arial"/>
          <w:i w:val="0"/>
          <w:iCs/>
          <w:color w:val="auto"/>
          <w:szCs w:val="24"/>
          <w:highlight w:val="none"/>
          <w:u w:val="single"/>
        </w:rPr>
        <w:t>（由投标人如实填写）</w:t>
      </w:r>
      <w:r>
        <w:rPr>
          <w:rFonts w:hint="eastAsia"/>
          <w:color w:val="auto"/>
          <w:szCs w:val="24"/>
          <w:highlight w:val="none"/>
        </w:rPr>
        <w:t>。</w:t>
      </w:r>
    </w:p>
    <w:p w14:paraId="383F3F9B">
      <w:pPr>
        <w:snapToGrid w:val="0"/>
        <w:spacing w:line="324" w:lineRule="auto"/>
        <w:ind w:firstLine="480" w:firstLineChars="200"/>
        <w:rPr>
          <w:color w:val="auto"/>
          <w:szCs w:val="24"/>
          <w:highlight w:val="none"/>
        </w:rPr>
      </w:pPr>
      <w:r>
        <w:rPr>
          <w:rFonts w:hint="eastAsia"/>
          <w:color w:val="auto"/>
          <w:szCs w:val="24"/>
          <w:highlight w:val="none"/>
        </w:rPr>
        <w:t>3）参与本项目采购活动前，是否为本项目前期准备提供过整体设计、规范编制或者项目管理、监理、检测等服务：</w:t>
      </w:r>
    </w:p>
    <w:p w14:paraId="6ACC6FB9">
      <w:pPr>
        <w:snapToGrid w:val="0"/>
        <w:spacing w:line="324" w:lineRule="auto"/>
        <w:ind w:left="456" w:leftChars="190" w:firstLine="355" w:firstLineChars="148"/>
        <w:rPr>
          <w:color w:val="auto"/>
          <w:szCs w:val="24"/>
          <w:highlight w:val="none"/>
        </w:rPr>
      </w:pPr>
      <w:r>
        <w:rPr>
          <w:rFonts w:hint="eastAsia"/>
          <w:color w:val="auto"/>
          <w:szCs w:val="24"/>
          <w:highlight w:val="none"/>
          <w:lang w:eastAsia="zh-CN"/>
        </w:rPr>
        <w:t>□</w:t>
      </w:r>
      <w:r>
        <w:rPr>
          <w:rFonts w:hint="eastAsia"/>
          <w:color w:val="auto"/>
          <w:szCs w:val="24"/>
          <w:highlight w:val="none"/>
        </w:rPr>
        <w:t>无；□有，已提供的具体服务内容为：</w:t>
      </w:r>
      <w:r>
        <w:rPr>
          <w:rFonts w:hint="eastAsia"/>
          <w:i w:val="0"/>
          <w:iCs w:val="0"/>
          <w:color w:val="auto"/>
          <w:szCs w:val="24"/>
          <w:highlight w:val="none"/>
        </w:rPr>
        <w:t xml:space="preserve"> </w:t>
      </w:r>
      <w:r>
        <w:rPr>
          <w:rFonts w:hint="eastAsia" w:cs="Arial"/>
          <w:i w:val="0"/>
          <w:iCs w:val="0"/>
          <w:color w:val="auto"/>
          <w:szCs w:val="24"/>
          <w:highlight w:val="none"/>
          <w:u w:val="single"/>
        </w:rPr>
        <w:t>（由投标人如实填写）</w:t>
      </w:r>
      <w:r>
        <w:rPr>
          <w:rFonts w:hint="eastAsia"/>
          <w:color w:val="auto"/>
          <w:szCs w:val="24"/>
          <w:highlight w:val="none"/>
        </w:rPr>
        <w:t>。</w:t>
      </w:r>
    </w:p>
    <w:p w14:paraId="5474F831">
      <w:pPr>
        <w:spacing w:line="324" w:lineRule="auto"/>
        <w:ind w:firstLine="480" w:firstLineChars="200"/>
        <w:rPr>
          <w:color w:val="auto"/>
          <w:szCs w:val="24"/>
          <w:highlight w:val="none"/>
        </w:rPr>
      </w:pPr>
      <w:r>
        <w:rPr>
          <w:rFonts w:hint="eastAsia"/>
          <w:color w:val="auto"/>
          <w:szCs w:val="24"/>
          <w:highlight w:val="none"/>
        </w:rPr>
        <w:t>（备注：以上</w:t>
      </w:r>
      <w:r>
        <w:rPr>
          <w:color w:val="auto"/>
          <w:szCs w:val="24"/>
          <w:highlight w:val="none"/>
        </w:rPr>
        <w:t>3</w:t>
      </w:r>
      <w:r>
        <w:rPr>
          <w:rFonts w:hint="eastAsia"/>
          <w:color w:val="auto"/>
          <w:szCs w:val="24"/>
          <w:highlight w:val="none"/>
        </w:rPr>
        <w:t>项声明，必须如实选择，选中项用</w:t>
      </w:r>
      <w:r>
        <w:rPr>
          <w:rFonts w:hint="eastAsia"/>
          <w:color w:val="auto"/>
          <w:szCs w:val="24"/>
          <w:highlight w:val="none"/>
          <w:lang w:eastAsia="zh-CN"/>
        </w:rPr>
        <w:t>☑</w:t>
      </w:r>
      <w:r>
        <w:rPr>
          <w:rFonts w:hint="eastAsia"/>
          <w:color w:val="auto"/>
          <w:szCs w:val="24"/>
          <w:highlight w:val="none"/>
        </w:rPr>
        <w:t>表示，未选中项用□表示。①“单位负责人”是指单位法定代表人或者法律、行政法规规定代表单位行使职权的主要负责人。②本条所规定的控股、管理关系仅限于直接控股、直接管理关系，不包括间接的控股或管理关系。③供应商如未如实填报，视为提供虚假材料谋取中标，应承担相应法律责任。）</w:t>
      </w:r>
    </w:p>
    <w:p w14:paraId="43E752AC">
      <w:pPr>
        <w:snapToGrid w:val="0"/>
        <w:spacing w:line="324" w:lineRule="auto"/>
        <w:ind w:firstLine="480" w:firstLineChars="200"/>
        <w:rPr>
          <w:color w:val="auto"/>
          <w:szCs w:val="24"/>
          <w:highlight w:val="none"/>
        </w:rPr>
      </w:pPr>
      <w:r>
        <w:rPr>
          <w:rFonts w:hint="eastAsia"/>
          <w:color w:val="auto"/>
          <w:szCs w:val="24"/>
          <w:highlight w:val="none"/>
        </w:rPr>
        <w:t>4）我方在本投标文件中所提供的全部资料均真实有效，我方承诺对其真实性负责并承担相应后果。</w:t>
      </w:r>
    </w:p>
    <w:p w14:paraId="529CD326">
      <w:pPr>
        <w:snapToGrid w:val="0"/>
        <w:spacing w:line="324" w:lineRule="auto"/>
        <w:ind w:firstLine="480" w:firstLineChars="200"/>
        <w:rPr>
          <w:color w:val="auto"/>
          <w:szCs w:val="24"/>
          <w:highlight w:val="none"/>
        </w:rPr>
      </w:pPr>
      <w:r>
        <w:rPr>
          <w:rFonts w:hint="eastAsia"/>
          <w:color w:val="auto"/>
          <w:szCs w:val="24"/>
          <w:highlight w:val="none"/>
        </w:rPr>
        <w:t>5）</w:t>
      </w:r>
      <w:bookmarkStart w:id="367" w:name="_Hlk161604053"/>
      <w:r>
        <w:rPr>
          <w:rFonts w:hint="eastAsia"/>
          <w:color w:val="auto"/>
          <w:szCs w:val="24"/>
          <w:highlight w:val="none"/>
        </w:rPr>
        <w:t>我方承诺本《投标函》的签章对本投标文件全部内容具有约束力并承担法律责任。</w:t>
      </w:r>
      <w:bookmarkEnd w:id="367"/>
    </w:p>
    <w:p w14:paraId="6B4BC180">
      <w:pPr>
        <w:spacing w:line="300" w:lineRule="auto"/>
        <w:rPr>
          <w:rFonts w:cs="Arial"/>
          <w:color w:val="auto"/>
          <w:szCs w:val="24"/>
          <w:highlight w:val="none"/>
        </w:rPr>
      </w:pPr>
    </w:p>
    <w:p w14:paraId="5A87C2AB">
      <w:pPr>
        <w:spacing w:line="300" w:lineRule="auto"/>
        <w:rPr>
          <w:rFonts w:cs="Arial"/>
          <w:color w:val="auto"/>
          <w:szCs w:val="24"/>
          <w:highlight w:val="none"/>
        </w:rPr>
      </w:pPr>
    </w:p>
    <w:p w14:paraId="333D2AEC">
      <w:pPr>
        <w:spacing w:line="300" w:lineRule="auto"/>
        <w:rPr>
          <w:rFonts w:cs="Arial"/>
          <w:color w:val="auto"/>
          <w:szCs w:val="24"/>
          <w:highlight w:val="none"/>
        </w:rPr>
      </w:pPr>
    </w:p>
    <w:p w14:paraId="5081B9E3">
      <w:pPr>
        <w:autoSpaceDE w:val="0"/>
        <w:autoSpaceDN w:val="0"/>
        <w:adjustRightInd w:val="0"/>
        <w:snapToGrid w:val="0"/>
        <w:ind w:firstLine="480" w:firstLineChars="200"/>
        <w:rPr>
          <w:rFonts w:hint="eastAsia" w:ascii="宋体" w:hAnsi="宋体" w:cs="宋体"/>
          <w:color w:val="auto"/>
          <w:kern w:val="0"/>
          <w:sz w:val="24"/>
          <w:highlight w:val="none"/>
          <w:lang w:val="zh-CN"/>
        </w:rPr>
      </w:pPr>
      <w:r>
        <w:rPr>
          <w:rFonts w:hint="eastAsia" w:ascii="宋体" w:hAnsi="宋体" w:eastAsia="宋体" w:cs="宋体"/>
          <w:color w:val="auto"/>
          <w:kern w:val="0"/>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63573E93">
      <w:pPr>
        <w:autoSpaceDE w:val="0"/>
        <w:autoSpaceDN w:val="0"/>
        <w:adjustRightInd w:val="0"/>
        <w:snapToGrid w:val="0"/>
        <w:ind w:firstLine="480" w:firstLineChars="200"/>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法定代表人或授权代表（签字或印章）：</w:t>
      </w:r>
    </w:p>
    <w:p w14:paraId="0D8081D3">
      <w:pPr>
        <w:autoSpaceDE w:val="0"/>
        <w:autoSpaceDN w:val="0"/>
        <w:adjustRightInd w:val="0"/>
        <w:snapToGrid w:val="0"/>
        <w:ind w:firstLine="480" w:firstLineChars="200"/>
        <w:rPr>
          <w:rFonts w:cs="宋体"/>
          <w:color w:val="auto"/>
          <w:highlight w:val="none"/>
        </w:rPr>
      </w:pPr>
      <w:r>
        <w:rPr>
          <w:rFonts w:hint="eastAsia" w:cs="宋体"/>
          <w:color w:val="auto"/>
          <w:highlight w:val="none"/>
        </w:rPr>
        <w:t>通  讯  地  址：</w:t>
      </w:r>
    </w:p>
    <w:p w14:paraId="63E8D868">
      <w:pPr>
        <w:autoSpaceDE w:val="0"/>
        <w:autoSpaceDN w:val="0"/>
        <w:adjustRightInd w:val="0"/>
        <w:snapToGrid w:val="0"/>
        <w:ind w:firstLine="480" w:firstLineChars="200"/>
        <w:rPr>
          <w:rFonts w:cs="宋体"/>
          <w:color w:val="auto"/>
          <w:highlight w:val="none"/>
        </w:rPr>
      </w:pPr>
      <w:r>
        <w:rPr>
          <w:rFonts w:hint="eastAsia" w:cs="宋体"/>
          <w:color w:val="auto"/>
          <w:highlight w:val="none"/>
        </w:rPr>
        <w:t xml:space="preserve">传       </w:t>
      </w:r>
      <w:r>
        <w:rPr>
          <w:rFonts w:cs="宋体"/>
          <w:color w:val="auto"/>
          <w:highlight w:val="none"/>
        </w:rPr>
        <w:t xml:space="preserve">   </w:t>
      </w:r>
      <w:r>
        <w:rPr>
          <w:rFonts w:hint="eastAsia" w:cs="宋体"/>
          <w:color w:val="auto"/>
          <w:highlight w:val="none"/>
        </w:rPr>
        <w:t>真：</w:t>
      </w:r>
    </w:p>
    <w:p w14:paraId="675C0700">
      <w:pPr>
        <w:autoSpaceDE w:val="0"/>
        <w:autoSpaceDN w:val="0"/>
        <w:adjustRightInd w:val="0"/>
        <w:snapToGrid w:val="0"/>
        <w:ind w:firstLine="480" w:firstLineChars="200"/>
        <w:rPr>
          <w:rFonts w:cs="宋体"/>
          <w:color w:val="auto"/>
          <w:highlight w:val="none"/>
        </w:rPr>
      </w:pPr>
      <w:r>
        <w:rPr>
          <w:rFonts w:hint="eastAsia" w:cs="宋体"/>
          <w:color w:val="auto"/>
          <w:highlight w:val="none"/>
        </w:rPr>
        <w:t>电          话：</w:t>
      </w:r>
    </w:p>
    <w:p w14:paraId="219DC3F9">
      <w:pPr>
        <w:ind w:firstLine="480" w:firstLineChars="200"/>
        <w:rPr>
          <w:rFonts w:cs="Arial"/>
          <w:color w:val="auto"/>
          <w:szCs w:val="24"/>
          <w:highlight w:val="none"/>
        </w:rPr>
      </w:pPr>
      <w:r>
        <w:rPr>
          <w:rFonts w:hint="eastAsia" w:cs="宋体"/>
          <w:color w:val="auto"/>
          <w:highlight w:val="none"/>
        </w:rPr>
        <w:t xml:space="preserve">日     </w:t>
      </w:r>
      <w:r>
        <w:rPr>
          <w:rFonts w:cs="宋体"/>
          <w:color w:val="auto"/>
          <w:highlight w:val="none"/>
        </w:rPr>
        <w:t xml:space="preserve">  </w:t>
      </w:r>
      <w:r>
        <w:rPr>
          <w:rFonts w:hint="eastAsia" w:cs="宋体"/>
          <w:color w:val="auto"/>
          <w:highlight w:val="none"/>
        </w:rPr>
        <w:t xml:space="preserve">    期：</w:t>
      </w:r>
    </w:p>
    <w:p w14:paraId="6F37AEA7">
      <w:pPr>
        <w:rPr>
          <w:rFonts w:cs="Arial"/>
          <w:color w:val="auto"/>
          <w:szCs w:val="24"/>
          <w:highlight w:val="none"/>
          <w:u w:val="single"/>
        </w:rPr>
      </w:pPr>
    </w:p>
    <w:p w14:paraId="1FBE658D">
      <w:pPr>
        <w:rPr>
          <w:rFonts w:cs="Arial"/>
          <w:color w:val="auto"/>
          <w:szCs w:val="24"/>
          <w:highlight w:val="none"/>
          <w:u w:val="single"/>
        </w:rPr>
      </w:pPr>
      <w:r>
        <w:rPr>
          <w:rFonts w:cs="Arial"/>
          <w:color w:val="auto"/>
          <w:szCs w:val="24"/>
          <w:highlight w:val="none"/>
          <w:u w:val="single"/>
        </w:rPr>
        <w:br w:type="page"/>
      </w:r>
    </w:p>
    <w:p w14:paraId="316FECB1">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368" w:name="_Toc163492918"/>
      <w:bookmarkStart w:id="369" w:name="_Toc155185924"/>
      <w:bookmarkStart w:id="370" w:name="_Toc20456"/>
      <w:r>
        <w:rPr>
          <w:rFonts w:hint="eastAsia" w:cstheme="majorBidi"/>
          <w:b/>
          <w:bCs/>
          <w:color w:val="auto"/>
          <w:kern w:val="2"/>
          <w:sz w:val="32"/>
          <w:szCs w:val="32"/>
          <w:highlight w:val="none"/>
          <w:lang w:val="en-US" w:eastAsia="zh-CN" w:bidi="ar-SA"/>
        </w:rPr>
        <w:t>十</w:t>
      </w:r>
      <w:r>
        <w:rPr>
          <w:rFonts w:hint="eastAsia" w:eastAsia="宋体" w:asciiTheme="majorHAnsi" w:hAnsiTheme="majorHAnsi" w:cstheme="majorBidi"/>
          <w:b/>
          <w:bCs/>
          <w:color w:val="auto"/>
          <w:kern w:val="2"/>
          <w:sz w:val="32"/>
          <w:szCs w:val="32"/>
          <w:highlight w:val="none"/>
          <w:lang w:val="en-US" w:eastAsia="zh-CN" w:bidi="ar-SA"/>
        </w:rPr>
        <w:t>、法定代表人（单位负责人）身份证明</w:t>
      </w:r>
      <w:bookmarkEnd w:id="368"/>
      <w:bookmarkEnd w:id="369"/>
      <w:bookmarkEnd w:id="370"/>
    </w:p>
    <w:p w14:paraId="18B74274">
      <w:pP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致：（采购人或采购代理机构） </w:t>
      </w:r>
    </w:p>
    <w:p w14:paraId="7706B172">
      <w:pPr>
        <w:spacing w:line="480" w:lineRule="auto"/>
        <w:ind w:firstLine="960" w:firstLineChars="400"/>
        <w:rPr>
          <w:rFonts w:hint="eastAsia" w:cs="仿宋_GB2312"/>
          <w:color w:val="auto"/>
          <w:szCs w:val="24"/>
          <w:highlight w:val="none"/>
        </w:rPr>
      </w:pPr>
      <w:r>
        <w:rPr>
          <w:rFonts w:hint="eastAsia" w:cs="仿宋_GB2312"/>
          <w:color w:val="auto"/>
          <w:szCs w:val="24"/>
          <w:highlight w:val="none"/>
          <w:lang w:val="en-US" w:eastAsia="zh-CN"/>
        </w:rPr>
        <w:t xml:space="preserve">兹证明， </w:t>
      </w:r>
    </w:p>
    <w:p w14:paraId="06954783">
      <w:pP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姓名：____性别：____年龄：____职务：____ </w:t>
      </w:r>
    </w:p>
    <w:p w14:paraId="6F52AF3F">
      <w:pP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系 </w:t>
      </w:r>
      <w:r>
        <w:rPr>
          <w:rFonts w:hint="eastAsia" w:cs="仿宋_GB2312"/>
          <w:color w:val="auto"/>
          <w:szCs w:val="24"/>
          <w:highlight w:val="none"/>
          <w:u w:val="single"/>
          <w:lang w:val="en-US" w:eastAsia="zh-CN"/>
        </w:rPr>
        <w:t xml:space="preserve">            </w:t>
      </w:r>
      <w:r>
        <w:rPr>
          <w:rFonts w:hint="eastAsia" w:cs="仿宋_GB2312"/>
          <w:color w:val="auto"/>
          <w:szCs w:val="24"/>
          <w:highlight w:val="none"/>
          <w:lang w:val="en-US" w:eastAsia="zh-CN"/>
        </w:rPr>
        <w:t xml:space="preserve">（投标人名称）的法定代表人（单位负责人）。 </w:t>
      </w:r>
    </w:p>
    <w:p w14:paraId="6A597179">
      <w:pP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附：法定代表人（单位负责人）身份证等身份证明文件电子件： </w:t>
      </w:r>
    </w:p>
    <w:p w14:paraId="283D2BBF">
      <w:pPr>
        <w:spacing w:line="480" w:lineRule="auto"/>
        <w:ind w:firstLine="480" w:firstLineChars="200"/>
        <w:rPr>
          <w:rFonts w:cs="仿宋_GB2312"/>
          <w:color w:val="auto"/>
          <w:szCs w:val="24"/>
          <w:highlight w:val="none"/>
        </w:rPr>
      </w:pPr>
    </w:p>
    <w:p w14:paraId="7D72780C">
      <w:pPr>
        <w:rPr>
          <w:rFonts w:cs="Arial"/>
          <w:color w:val="auto"/>
          <w:sz w:val="21"/>
          <w:szCs w:val="21"/>
          <w:highlight w:val="none"/>
        </w:rPr>
      </w:pPr>
    </w:p>
    <w:tbl>
      <w:tblPr>
        <w:tblStyle w:val="30"/>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33CAA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trPr>
        <w:tc>
          <w:tcPr>
            <w:tcW w:w="8527" w:type="dxa"/>
          </w:tcPr>
          <w:p w14:paraId="6A235E5D">
            <w:pPr>
              <w:rPr>
                <w:rFonts w:cs="Arial"/>
                <w:color w:val="auto"/>
                <w:highlight w:val="none"/>
              </w:rPr>
            </w:pPr>
          </w:p>
        </w:tc>
      </w:tr>
    </w:tbl>
    <w:p w14:paraId="6966729D">
      <w:pPr>
        <w:ind w:firstLine="840" w:firstLineChars="350"/>
        <w:jc w:val="center"/>
        <w:rPr>
          <w:rFonts w:cs="Arial"/>
          <w:color w:val="auto"/>
          <w:highlight w:val="none"/>
        </w:rPr>
      </w:pPr>
    </w:p>
    <w:p w14:paraId="10584DFB">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lang w:val="en-US" w:eastAsia="zh-CN" w:bidi="ar"/>
        </w:rPr>
        <w:t>：</w:t>
      </w:r>
      <w:r>
        <w:rPr>
          <w:rFonts w:ascii="DejaVuSans" w:hAnsi="DejaVuSans" w:eastAsia="DejaVuSans" w:cs="DejaVuSans"/>
          <w:color w:val="auto"/>
          <w:kern w:val="0"/>
          <w:sz w:val="24"/>
          <w:szCs w:val="24"/>
          <w:highlight w:val="none"/>
          <w:lang w:val="en-US" w:eastAsia="zh-CN" w:bidi="ar"/>
        </w:rPr>
        <w:t xml:space="preserve">________________ </w:t>
      </w:r>
    </w:p>
    <w:p w14:paraId="403988B5">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法定代表人（单位负责人）（签字或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lang w:val="en-US" w:eastAsia="zh-CN" w:bidi="ar"/>
        </w:rPr>
        <w:t>）：</w:t>
      </w:r>
      <w:r>
        <w:rPr>
          <w:rFonts w:hint="default" w:ascii="DejaVuSans" w:hAnsi="DejaVuSans" w:eastAsia="DejaVuSans" w:cs="DejaVuSans"/>
          <w:color w:val="auto"/>
          <w:kern w:val="0"/>
          <w:sz w:val="24"/>
          <w:szCs w:val="24"/>
          <w:highlight w:val="none"/>
          <w:lang w:val="en-US" w:eastAsia="zh-CN" w:bidi="ar"/>
        </w:rPr>
        <w:t xml:space="preserve">_______ </w:t>
      </w:r>
    </w:p>
    <w:p w14:paraId="33B9BB21">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p>
    <w:p w14:paraId="208546FD">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日期：</w:t>
      </w:r>
      <w:r>
        <w:rPr>
          <w:rFonts w:hint="default" w:ascii="DejaVuSans" w:hAnsi="DejaVuSans" w:eastAsia="DejaVuSans" w:cs="DejaVuSans"/>
          <w:color w:val="auto"/>
          <w:kern w:val="0"/>
          <w:sz w:val="24"/>
          <w:szCs w:val="24"/>
          <w:highlight w:val="none"/>
          <w:lang w:val="en-US" w:eastAsia="zh-CN" w:bidi="ar"/>
        </w:rPr>
        <w:t>_____</w:t>
      </w:r>
      <w:r>
        <w:rPr>
          <w:rFonts w:hint="eastAsia" w:ascii="宋体" w:hAnsi="宋体" w:eastAsia="宋体" w:cs="宋体"/>
          <w:color w:val="auto"/>
          <w:kern w:val="0"/>
          <w:sz w:val="24"/>
          <w:szCs w:val="24"/>
          <w:highlight w:val="none"/>
          <w:lang w:val="en-US" w:eastAsia="zh-CN" w:bidi="ar"/>
        </w:rPr>
        <w:t>年</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月</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日</w:t>
      </w:r>
    </w:p>
    <w:p w14:paraId="59CE363D">
      <w:pPr>
        <w:rPr>
          <w:b/>
          <w:color w:val="auto"/>
          <w:sz w:val="28"/>
          <w:szCs w:val="28"/>
          <w:highlight w:val="none"/>
        </w:rPr>
      </w:pPr>
    </w:p>
    <w:p w14:paraId="2D9DC7B2">
      <w:pPr>
        <w:rPr>
          <w:b/>
          <w:color w:val="auto"/>
          <w:sz w:val="28"/>
          <w:szCs w:val="28"/>
          <w:highlight w:val="none"/>
        </w:rPr>
      </w:pPr>
      <w:r>
        <w:rPr>
          <w:b/>
          <w:color w:val="auto"/>
          <w:sz w:val="28"/>
          <w:szCs w:val="28"/>
          <w:highlight w:val="none"/>
        </w:rPr>
        <w:br w:type="page"/>
      </w:r>
    </w:p>
    <w:p w14:paraId="72DCE5FE">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371" w:name="_Toc163492919"/>
      <w:bookmarkStart w:id="372" w:name="_Toc155185925"/>
      <w:bookmarkStart w:id="373" w:name="_Toc18136"/>
      <w:r>
        <w:rPr>
          <w:rFonts w:hint="eastAsia" w:cstheme="majorBidi"/>
          <w:b/>
          <w:bCs/>
          <w:color w:val="auto"/>
          <w:kern w:val="2"/>
          <w:sz w:val="32"/>
          <w:szCs w:val="32"/>
          <w:highlight w:val="none"/>
          <w:lang w:val="en-US" w:eastAsia="zh-CN" w:bidi="ar-SA"/>
        </w:rPr>
        <w:t>十一</w:t>
      </w:r>
      <w:r>
        <w:rPr>
          <w:rFonts w:hint="eastAsia" w:eastAsia="宋体" w:asciiTheme="majorHAnsi" w:hAnsiTheme="majorHAnsi" w:cstheme="majorBidi"/>
          <w:b/>
          <w:bCs/>
          <w:color w:val="auto"/>
          <w:kern w:val="2"/>
          <w:sz w:val="32"/>
          <w:szCs w:val="32"/>
          <w:highlight w:val="none"/>
          <w:lang w:val="en-US" w:eastAsia="zh-CN" w:bidi="ar-SA"/>
        </w:rPr>
        <w:t>、授权委托书</w:t>
      </w:r>
      <w:bookmarkEnd w:id="371"/>
      <w:bookmarkEnd w:id="372"/>
      <w:bookmarkEnd w:id="373"/>
    </w:p>
    <w:p w14:paraId="277209B5">
      <w:pPr>
        <w:ind w:firstLine="480" w:firstLineChars="200"/>
        <w:rPr>
          <w:rFonts w:cs="仿宋_GB2312"/>
          <w:color w:val="auto"/>
          <w:szCs w:val="24"/>
          <w:highlight w:val="none"/>
        </w:rPr>
      </w:pPr>
      <w:r>
        <w:rPr>
          <w:rFonts w:hint="eastAsia" w:cs="仿宋_GB2312"/>
          <w:color w:val="auto"/>
          <w:szCs w:val="24"/>
          <w:highlight w:val="none"/>
        </w:rPr>
        <w:t>本人</w:t>
      </w:r>
      <w:r>
        <w:rPr>
          <w:rFonts w:cs="仿宋_GB2312"/>
          <w:color w:val="auto"/>
          <w:szCs w:val="24"/>
          <w:highlight w:val="none"/>
          <w:u w:val="single"/>
        </w:rPr>
        <w:t xml:space="preserve">     </w:t>
      </w:r>
      <w:r>
        <w:rPr>
          <w:rFonts w:hint="eastAsia" w:cs="仿宋_GB2312"/>
          <w:color w:val="auto"/>
          <w:szCs w:val="24"/>
          <w:highlight w:val="none"/>
          <w:u w:val="none"/>
        </w:rPr>
        <w:t>（姓名）</w:t>
      </w:r>
      <w:r>
        <w:rPr>
          <w:rFonts w:hint="eastAsia" w:cs="仿宋_GB2312"/>
          <w:color w:val="auto"/>
          <w:szCs w:val="24"/>
          <w:highlight w:val="none"/>
        </w:rPr>
        <w:t>系</w:t>
      </w:r>
      <w:r>
        <w:rPr>
          <w:rFonts w:hint="eastAsia" w:cs="仿宋_GB2312"/>
          <w:color w:val="auto"/>
          <w:szCs w:val="24"/>
          <w:highlight w:val="none"/>
          <w:u w:val="single"/>
        </w:rPr>
        <w:t xml:space="preserve">   </w:t>
      </w:r>
      <w:r>
        <w:rPr>
          <w:rFonts w:hint="eastAsia" w:cs="仿宋_GB2312"/>
          <w:color w:val="auto"/>
          <w:szCs w:val="24"/>
          <w:highlight w:val="none"/>
          <w:u w:val="single"/>
          <w:lang w:val="en-US" w:eastAsia="zh-CN"/>
        </w:rPr>
        <w:t xml:space="preserve">     </w:t>
      </w:r>
      <w:r>
        <w:rPr>
          <w:rFonts w:hint="eastAsia" w:cs="仿宋_GB2312"/>
          <w:color w:val="auto"/>
          <w:szCs w:val="24"/>
          <w:highlight w:val="none"/>
          <w:u w:val="single"/>
        </w:rPr>
        <w:t xml:space="preserve">  </w:t>
      </w:r>
      <w:r>
        <w:rPr>
          <w:rFonts w:hint="eastAsia" w:cs="仿宋_GB2312"/>
          <w:color w:val="auto"/>
          <w:szCs w:val="24"/>
          <w:highlight w:val="none"/>
          <w:u w:val="none"/>
        </w:rPr>
        <w:t>（投标人名称）</w:t>
      </w:r>
      <w:r>
        <w:rPr>
          <w:rFonts w:hint="eastAsia" w:cs="仿宋_GB2312"/>
          <w:color w:val="auto"/>
          <w:szCs w:val="24"/>
          <w:highlight w:val="none"/>
        </w:rPr>
        <w:t>的法定代表人</w:t>
      </w:r>
      <w:r>
        <w:rPr>
          <w:rFonts w:hint="eastAsia"/>
          <w:color w:val="auto"/>
          <w:highlight w:val="none"/>
        </w:rPr>
        <w:t>（</w:t>
      </w:r>
      <w:r>
        <w:rPr>
          <w:rFonts w:hint="eastAsia"/>
          <w:color w:val="auto"/>
          <w:highlight w:val="none"/>
          <w:lang w:val="en-US" w:eastAsia="zh-CN"/>
        </w:rPr>
        <w:t>单位</w:t>
      </w:r>
      <w:r>
        <w:rPr>
          <w:rFonts w:hint="eastAsia"/>
          <w:color w:val="auto"/>
          <w:highlight w:val="none"/>
        </w:rPr>
        <w:t>负责人）</w:t>
      </w:r>
      <w:r>
        <w:rPr>
          <w:rFonts w:hint="eastAsia" w:cs="仿宋_GB2312"/>
          <w:color w:val="auto"/>
          <w:szCs w:val="24"/>
          <w:highlight w:val="none"/>
        </w:rPr>
        <w:t>，现委托</w:t>
      </w:r>
      <w:r>
        <w:rPr>
          <w:rFonts w:hint="eastAsia" w:cs="仿宋_GB2312"/>
          <w:color w:val="auto"/>
          <w:szCs w:val="24"/>
          <w:highlight w:val="none"/>
          <w:u w:val="single"/>
        </w:rPr>
        <w:t xml:space="preserve">     </w:t>
      </w:r>
      <w:r>
        <w:rPr>
          <w:rFonts w:hint="eastAsia" w:cs="仿宋_GB2312"/>
          <w:color w:val="auto"/>
          <w:szCs w:val="24"/>
          <w:highlight w:val="none"/>
        </w:rPr>
        <w:t>（姓名）为我方代理人。代理人根据授权，以我方名义签署、澄清</w:t>
      </w:r>
      <w:r>
        <w:rPr>
          <w:rFonts w:hint="eastAsia" w:cs="仿宋_GB2312"/>
          <w:color w:val="auto"/>
          <w:szCs w:val="24"/>
          <w:highlight w:val="none"/>
          <w:lang w:val="en-US" w:eastAsia="zh-CN"/>
        </w:rPr>
        <w:t>确认</w:t>
      </w:r>
      <w:r>
        <w:rPr>
          <w:rFonts w:hint="eastAsia" w:cs="仿宋_GB2312"/>
          <w:color w:val="auto"/>
          <w:szCs w:val="24"/>
          <w:highlight w:val="none"/>
        </w:rPr>
        <w:t>、说明、补正、递交、撤回、修改</w:t>
      </w:r>
      <w:r>
        <w:rPr>
          <w:rFonts w:hint="eastAsia" w:cs="仿宋_GB2312"/>
          <w:color w:val="auto"/>
          <w:szCs w:val="24"/>
          <w:highlight w:val="none"/>
          <w:u w:val="single"/>
        </w:rPr>
        <w:t xml:space="preserve">   </w:t>
      </w:r>
      <w:r>
        <w:rPr>
          <w:rFonts w:hint="eastAsia" w:cs="仿宋_GB2312"/>
          <w:color w:val="auto"/>
          <w:szCs w:val="24"/>
          <w:highlight w:val="none"/>
          <w:u w:val="single"/>
          <w:lang w:val="en-US" w:eastAsia="zh-CN"/>
        </w:rPr>
        <w:t xml:space="preserve">      </w:t>
      </w:r>
      <w:r>
        <w:rPr>
          <w:rFonts w:hint="eastAsia" w:cs="仿宋_GB2312"/>
          <w:color w:val="auto"/>
          <w:szCs w:val="24"/>
          <w:highlight w:val="none"/>
          <w:u w:val="single"/>
        </w:rPr>
        <w:t xml:space="preserve">  </w:t>
      </w:r>
      <w:r>
        <w:rPr>
          <w:rFonts w:hint="eastAsia" w:cs="仿宋_GB2312"/>
          <w:color w:val="auto"/>
          <w:szCs w:val="24"/>
          <w:highlight w:val="none"/>
        </w:rPr>
        <w:t>（项目名称）投标文件、签订合同和处理有关事宜，其法律后果由我方承担。</w:t>
      </w:r>
    </w:p>
    <w:p w14:paraId="2CD72A80">
      <w:pPr>
        <w:ind w:firstLine="480" w:firstLineChars="200"/>
        <w:rPr>
          <w:rFonts w:hint="eastAsia" w:cs="仿宋_GB2312"/>
          <w:color w:val="auto"/>
          <w:szCs w:val="24"/>
          <w:highlight w:val="none"/>
        </w:rPr>
      </w:pPr>
      <w:r>
        <w:rPr>
          <w:rFonts w:hint="eastAsia" w:cs="仿宋_GB2312"/>
          <w:color w:val="auto"/>
          <w:szCs w:val="24"/>
          <w:highlight w:val="none"/>
        </w:rPr>
        <w:t>委托期限：</w:t>
      </w:r>
      <w:r>
        <w:rPr>
          <w:rFonts w:hint="eastAsia" w:cs="仿宋_GB2312"/>
          <w:color w:val="auto"/>
          <w:szCs w:val="24"/>
          <w:highlight w:val="none"/>
          <w:lang w:val="en-US" w:eastAsia="zh-CN"/>
        </w:rPr>
        <w:t>自本授权委托书签署之日起至投标有效期届满之日止。</w:t>
      </w:r>
    </w:p>
    <w:p w14:paraId="33223663">
      <w:pPr>
        <w:ind w:firstLine="480" w:firstLineChars="200"/>
        <w:rPr>
          <w:rFonts w:cs="仿宋_GB2312"/>
          <w:color w:val="auto"/>
          <w:szCs w:val="24"/>
          <w:highlight w:val="none"/>
        </w:rPr>
      </w:pPr>
      <w:r>
        <w:rPr>
          <w:rFonts w:hint="eastAsia" w:cs="仿宋_GB2312"/>
          <w:color w:val="auto"/>
          <w:szCs w:val="24"/>
          <w:highlight w:val="none"/>
        </w:rPr>
        <w:t>代理人无转委托权。</w:t>
      </w:r>
    </w:p>
    <w:p w14:paraId="750CE12C">
      <w:pPr>
        <w:keepNext w:val="0"/>
        <w:keepLines w:val="0"/>
        <w:pageBreakBefore w:val="0"/>
        <w:widowControl w:val="0"/>
        <w:kinsoku/>
        <w:wordWrap/>
        <w:overflowPunct/>
        <w:topLinePunct w:val="0"/>
        <w:autoSpaceDE/>
        <w:autoSpaceDN/>
        <w:bidi w:val="0"/>
        <w:adjustRightInd/>
        <w:snapToGrid/>
        <w:spacing w:line="240" w:lineRule="exact"/>
        <w:ind w:firstLine="480" w:firstLineChars="200"/>
        <w:textAlignment w:val="auto"/>
        <w:rPr>
          <w:rFonts w:hint="eastAsia" w:cs="仿宋_GB2312"/>
          <w:color w:val="auto"/>
          <w:szCs w:val="24"/>
          <w:highlight w:val="none"/>
        </w:rPr>
      </w:pPr>
    </w:p>
    <w:p w14:paraId="53C91C6E">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lang w:val="en-US" w:eastAsia="zh-CN" w:bidi="ar"/>
        </w:rPr>
        <w:t>：</w:t>
      </w:r>
      <w:r>
        <w:rPr>
          <w:rFonts w:ascii="DejaVuSans" w:hAnsi="DejaVuSans" w:eastAsia="DejaVuSans" w:cs="DejaVuSans"/>
          <w:color w:val="auto"/>
          <w:kern w:val="0"/>
          <w:sz w:val="24"/>
          <w:szCs w:val="24"/>
          <w:highlight w:val="none"/>
          <w:lang w:val="en-US" w:eastAsia="zh-CN" w:bidi="ar"/>
        </w:rPr>
        <w:t xml:space="preserve">________________ </w:t>
      </w:r>
    </w:p>
    <w:p w14:paraId="000E06CE">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法定代表人（单位负责人）（签字或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lang w:val="en-US" w:eastAsia="zh-CN" w:bidi="ar"/>
        </w:rPr>
        <w:t>：</w:t>
      </w:r>
      <w:r>
        <w:rPr>
          <w:rFonts w:hint="default" w:ascii="DejaVuSans" w:hAnsi="DejaVuSans" w:eastAsia="DejaVuSans" w:cs="DejaVuSans"/>
          <w:color w:val="auto"/>
          <w:kern w:val="0"/>
          <w:sz w:val="24"/>
          <w:szCs w:val="24"/>
          <w:highlight w:val="none"/>
          <w:lang w:val="en-US" w:eastAsia="zh-CN" w:bidi="ar"/>
        </w:rPr>
        <w:t xml:space="preserve">________________ </w:t>
      </w:r>
    </w:p>
    <w:p w14:paraId="38718EF6">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color w:val="auto"/>
          <w:highlight w:val="none"/>
          <w:lang w:val="en-US"/>
        </w:rPr>
      </w:pPr>
      <w:r>
        <w:rPr>
          <w:rFonts w:hint="eastAsia" w:ascii="宋体" w:hAnsi="宋体" w:eastAsia="宋体" w:cs="宋体"/>
          <w:color w:val="auto"/>
          <w:kern w:val="0"/>
          <w:sz w:val="24"/>
          <w:szCs w:val="24"/>
          <w:highlight w:val="none"/>
          <w:lang w:val="en-US" w:eastAsia="zh-CN" w:bidi="ar"/>
        </w:rPr>
        <w:t>委托代理人（签字或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lang w:val="en-US" w:eastAsia="zh-CN" w:bidi="ar"/>
        </w:rPr>
        <w:t>：</w:t>
      </w:r>
      <w:r>
        <w:rPr>
          <w:rFonts w:hint="default" w:ascii="DejaVuSans" w:hAnsi="DejaVuSans" w:eastAsia="DejaVuSans" w:cs="DejaVuSans"/>
          <w:color w:val="auto"/>
          <w:kern w:val="0"/>
          <w:sz w:val="24"/>
          <w:szCs w:val="24"/>
          <w:highlight w:val="none"/>
          <w:lang w:val="en-US" w:eastAsia="zh-CN" w:bidi="ar"/>
        </w:rPr>
        <w:t xml:space="preserve">________________ </w:t>
      </w:r>
      <w:r>
        <w:rPr>
          <w:rFonts w:hint="eastAsia" w:ascii="DejaVuSans" w:hAnsi="DejaVuSans" w:eastAsia="DejaVuSans" w:cs="DejaVuSans"/>
          <w:color w:val="auto"/>
          <w:kern w:val="0"/>
          <w:sz w:val="24"/>
          <w:szCs w:val="24"/>
          <w:highlight w:val="none"/>
          <w:lang w:val="en-US" w:eastAsia="zh-CN" w:bidi="ar"/>
        </w:rPr>
        <w:t xml:space="preserve">   联系电话：</w:t>
      </w:r>
      <w:r>
        <w:rPr>
          <w:rFonts w:hint="default" w:ascii="DejaVuSans" w:hAnsi="DejaVuSans" w:eastAsia="DejaVuSans" w:cs="DejaVuSans"/>
          <w:color w:val="auto"/>
          <w:kern w:val="0"/>
          <w:sz w:val="24"/>
          <w:szCs w:val="24"/>
          <w:highlight w:val="none"/>
          <w:lang w:val="en-US" w:eastAsia="zh-CN" w:bidi="ar"/>
        </w:rPr>
        <w:t>________</w:t>
      </w:r>
    </w:p>
    <w:p w14:paraId="5A9C6ED0">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日期：</w:t>
      </w:r>
      <w:r>
        <w:rPr>
          <w:rFonts w:hint="default" w:ascii="DejaVuSans" w:hAnsi="DejaVuSans" w:eastAsia="DejaVuSans" w:cs="DejaVuSans"/>
          <w:color w:val="auto"/>
          <w:kern w:val="0"/>
          <w:sz w:val="24"/>
          <w:szCs w:val="24"/>
          <w:highlight w:val="none"/>
          <w:lang w:val="en-US" w:eastAsia="zh-CN" w:bidi="ar"/>
        </w:rPr>
        <w:t>_____</w:t>
      </w:r>
      <w:r>
        <w:rPr>
          <w:rFonts w:hint="eastAsia" w:ascii="宋体" w:hAnsi="宋体" w:eastAsia="宋体" w:cs="宋体"/>
          <w:color w:val="auto"/>
          <w:kern w:val="0"/>
          <w:sz w:val="24"/>
          <w:szCs w:val="24"/>
          <w:highlight w:val="none"/>
          <w:lang w:val="en-US" w:eastAsia="zh-CN" w:bidi="ar"/>
        </w:rPr>
        <w:t>年</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月</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 xml:space="preserve">日 </w:t>
      </w:r>
    </w:p>
    <w:p w14:paraId="7BD66CCC">
      <w:pPr>
        <w:keepNext w:val="0"/>
        <w:keepLines w:val="0"/>
        <w:pageBreakBefore w:val="0"/>
        <w:widowControl w:val="0"/>
        <w:kinsoku/>
        <w:wordWrap/>
        <w:overflowPunct/>
        <w:topLinePunct w:val="0"/>
        <w:autoSpaceDE/>
        <w:autoSpaceDN/>
        <w:bidi w:val="0"/>
        <w:adjustRightInd/>
        <w:snapToGrid/>
        <w:spacing w:line="240" w:lineRule="exact"/>
        <w:ind w:firstLine="480" w:firstLineChars="200"/>
        <w:textAlignment w:val="auto"/>
        <w:rPr>
          <w:rFonts w:hint="eastAsia" w:cs="仿宋_GB2312"/>
          <w:color w:val="auto"/>
          <w:szCs w:val="24"/>
          <w:highlight w:val="none"/>
          <w:lang w:val="en-US" w:eastAsia="zh-CN"/>
        </w:rPr>
      </w:pPr>
    </w:p>
    <w:p w14:paraId="2E446B85">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 xml:space="preserve">附：法定代表人及委托代理人身份证明文件电子件： </w:t>
      </w:r>
    </w:p>
    <w:tbl>
      <w:tblPr>
        <w:tblStyle w:val="30"/>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66AE0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trPr>
        <w:tc>
          <w:tcPr>
            <w:tcW w:w="8527" w:type="dxa"/>
          </w:tcPr>
          <w:p w14:paraId="1C6DF6F9">
            <w:pPr>
              <w:rPr>
                <w:rFonts w:cs="Arial"/>
                <w:color w:val="auto"/>
                <w:highlight w:val="none"/>
              </w:rPr>
            </w:pPr>
          </w:p>
        </w:tc>
      </w:tr>
    </w:tbl>
    <w:p w14:paraId="42A362C7">
      <w:pPr>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说明： </w:t>
      </w:r>
    </w:p>
    <w:p w14:paraId="092C249E">
      <w:pPr>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1.若投标人为事业单位或其他组织或分支机构，则法定代表人（单位负责人）处的签署人可为单位负责人。 </w:t>
      </w:r>
    </w:p>
    <w:p w14:paraId="42338ACB">
      <w:pPr>
        <w:ind w:firstLine="480" w:firstLineChars="200"/>
        <w:rPr>
          <w:rFonts w:hint="eastAsia" w:cs="仿宋_GB2312"/>
          <w:color w:val="auto"/>
          <w:szCs w:val="24"/>
          <w:highlight w:val="none"/>
        </w:rPr>
      </w:pPr>
      <w:r>
        <w:rPr>
          <w:rFonts w:hint="default" w:cs="仿宋_GB2312"/>
          <w:color w:val="auto"/>
          <w:szCs w:val="24"/>
          <w:highlight w:val="none"/>
          <w:lang w:val="en-US" w:eastAsia="zh-CN"/>
        </w:rPr>
        <w:t>2.</w:t>
      </w:r>
      <w:r>
        <w:rPr>
          <w:rFonts w:hint="eastAsia" w:cs="仿宋_GB2312"/>
          <w:color w:val="auto"/>
          <w:szCs w:val="24"/>
          <w:highlight w:val="none"/>
          <w:lang w:val="en-US" w:eastAsia="zh-CN"/>
        </w:rPr>
        <w:t xml:space="preserve">若投标文件中签字之处均为法定代表人（单位负责人）本人签署，则可不提供本《授权委托书》，但须提供《法定代表人（单位负责人）身份证明》。 </w:t>
      </w:r>
    </w:p>
    <w:p w14:paraId="33B2CCF8">
      <w:pPr>
        <w:ind w:firstLine="480" w:firstLineChars="200"/>
        <w:rPr>
          <w:rFonts w:hint="eastAsia" w:cs="仿宋_GB2312"/>
          <w:color w:val="auto"/>
          <w:szCs w:val="24"/>
          <w:highlight w:val="none"/>
        </w:rPr>
      </w:pPr>
      <w:r>
        <w:rPr>
          <w:rFonts w:hint="default" w:cs="仿宋_GB2312"/>
          <w:color w:val="auto"/>
          <w:szCs w:val="24"/>
          <w:highlight w:val="none"/>
          <w:lang w:val="en-US" w:eastAsia="zh-CN"/>
        </w:rPr>
        <w:t>3.</w:t>
      </w:r>
      <w:r>
        <w:rPr>
          <w:rFonts w:hint="eastAsia" w:cs="仿宋_GB2312"/>
          <w:color w:val="auto"/>
          <w:szCs w:val="24"/>
          <w:highlight w:val="none"/>
          <w:lang w:val="en-US" w:eastAsia="zh-CN"/>
        </w:rPr>
        <w:t xml:space="preserve">投标人为自然人的情形，可不提供本《授权委托书》。 </w:t>
      </w:r>
    </w:p>
    <w:p w14:paraId="55C5E8DD">
      <w:pPr>
        <w:ind w:firstLine="480" w:firstLineChars="200"/>
        <w:rPr>
          <w:rFonts w:hint="eastAsia" w:cs="仿宋_GB2312"/>
          <w:color w:val="auto"/>
          <w:szCs w:val="24"/>
          <w:highlight w:val="none"/>
        </w:rPr>
      </w:pPr>
      <w:r>
        <w:rPr>
          <w:rFonts w:hint="default" w:cs="仿宋_GB2312"/>
          <w:color w:val="auto"/>
          <w:szCs w:val="24"/>
          <w:highlight w:val="none"/>
          <w:lang w:val="en-US" w:eastAsia="zh-CN"/>
        </w:rPr>
        <w:t>4.</w:t>
      </w:r>
      <w:r>
        <w:rPr>
          <w:rFonts w:hint="eastAsia" w:cs="仿宋_GB2312"/>
          <w:color w:val="auto"/>
          <w:szCs w:val="24"/>
          <w:highlight w:val="none"/>
          <w:lang w:val="en-US" w:eastAsia="zh-CN"/>
        </w:rPr>
        <w:t>投标人应随本《授权委托书》同时提供法定代表人（单位负责人）及委托代理人的有效的身份证等身份证明文件电子件。提供身份证的，应同时提供身份证</w:t>
      </w:r>
      <w:r>
        <w:rPr>
          <w:rFonts w:hint="eastAsia" w:cs="仿宋_GB2312"/>
          <w:b/>
          <w:bCs/>
          <w:color w:val="auto"/>
          <w:szCs w:val="24"/>
          <w:highlight w:val="none"/>
          <w:lang w:val="en-US" w:eastAsia="zh-CN"/>
        </w:rPr>
        <w:t>双面</w:t>
      </w:r>
      <w:r>
        <w:rPr>
          <w:rFonts w:hint="eastAsia" w:cs="仿宋_GB2312"/>
          <w:color w:val="auto"/>
          <w:szCs w:val="24"/>
          <w:highlight w:val="none"/>
          <w:lang w:val="en-US" w:eastAsia="zh-CN"/>
        </w:rPr>
        <w:t>电子件。</w:t>
      </w:r>
    </w:p>
    <w:p w14:paraId="4009C382">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374" w:name="_Toc163492928"/>
      <w:bookmarkStart w:id="375" w:name="_Toc155185934"/>
      <w:bookmarkStart w:id="376" w:name="_Toc28250"/>
      <w:r>
        <w:rPr>
          <w:rFonts w:hint="eastAsia" w:cstheme="majorBidi"/>
          <w:b/>
          <w:bCs/>
          <w:color w:val="auto"/>
          <w:kern w:val="2"/>
          <w:sz w:val="32"/>
          <w:szCs w:val="32"/>
          <w:highlight w:val="none"/>
          <w:lang w:val="en-US" w:eastAsia="zh-CN" w:bidi="ar-SA"/>
        </w:rPr>
        <w:t>十二</w:t>
      </w:r>
      <w:r>
        <w:rPr>
          <w:rFonts w:hint="eastAsia" w:eastAsia="宋体" w:asciiTheme="majorHAnsi" w:hAnsiTheme="majorHAnsi" w:cstheme="majorBidi"/>
          <w:b/>
          <w:bCs/>
          <w:color w:val="auto"/>
          <w:kern w:val="2"/>
          <w:sz w:val="32"/>
          <w:szCs w:val="32"/>
          <w:highlight w:val="none"/>
          <w:lang w:val="en-US" w:eastAsia="zh-CN" w:bidi="ar-SA"/>
        </w:rPr>
        <w:t>、</w:t>
      </w:r>
      <w:bookmarkEnd w:id="374"/>
      <w:bookmarkEnd w:id="375"/>
      <w:bookmarkStart w:id="377" w:name="_Toc163492929"/>
      <w:r>
        <w:rPr>
          <w:rFonts w:hint="eastAsia" w:eastAsia="宋体" w:asciiTheme="majorHAnsi" w:hAnsiTheme="majorHAnsi" w:cstheme="majorBidi"/>
          <w:b/>
          <w:bCs/>
          <w:color w:val="auto"/>
          <w:kern w:val="2"/>
          <w:sz w:val="32"/>
          <w:szCs w:val="32"/>
          <w:highlight w:val="none"/>
          <w:lang w:val="zh-CN" w:eastAsia="zh-CN" w:bidi="ar-SA"/>
        </w:rPr>
        <w:t>政府采购</w:t>
      </w:r>
      <w:r>
        <w:rPr>
          <w:rFonts w:hint="eastAsia" w:cstheme="majorBidi"/>
          <w:b/>
          <w:bCs/>
          <w:color w:val="auto"/>
          <w:kern w:val="2"/>
          <w:sz w:val="32"/>
          <w:szCs w:val="32"/>
          <w:highlight w:val="none"/>
          <w:lang w:val="en-US" w:eastAsia="zh-CN" w:bidi="ar-SA"/>
        </w:rPr>
        <w:t>投标人</w:t>
      </w:r>
      <w:r>
        <w:rPr>
          <w:rFonts w:hint="eastAsia" w:eastAsia="宋体" w:asciiTheme="majorHAnsi" w:hAnsiTheme="majorHAnsi" w:cstheme="majorBidi"/>
          <w:b/>
          <w:bCs/>
          <w:color w:val="auto"/>
          <w:kern w:val="2"/>
          <w:sz w:val="32"/>
          <w:szCs w:val="32"/>
          <w:highlight w:val="none"/>
          <w:lang w:val="zh-CN" w:eastAsia="zh-CN" w:bidi="ar-SA"/>
        </w:rPr>
        <w:t>廉洁自律承诺书</w:t>
      </w:r>
      <w:bookmarkEnd w:id="376"/>
    </w:p>
    <w:p w14:paraId="24A913E8">
      <w:pPr>
        <w:pStyle w:val="14"/>
        <w:rPr>
          <w:color w:val="auto"/>
          <w:highlight w:val="none"/>
        </w:rPr>
      </w:pPr>
    </w:p>
    <w:p w14:paraId="00E7CECA">
      <w:pPr>
        <w:snapToGrid w:val="0"/>
        <w:spacing w:line="360" w:lineRule="auto"/>
        <w:rPr>
          <w:rFonts w:ascii="宋体" w:hAnsi="宋体" w:cs="宋体"/>
          <w:color w:val="auto"/>
          <w:kern w:val="0"/>
          <w:sz w:val="24"/>
          <w:szCs w:val="24"/>
          <w:highlight w:val="none"/>
        </w:rPr>
      </w:pPr>
      <w:r>
        <w:rPr>
          <w:rFonts w:hint="eastAsia" w:ascii="宋体" w:hAnsi="宋体" w:cs="宋体"/>
          <w:color w:val="auto"/>
          <w:sz w:val="24"/>
          <w:szCs w:val="24"/>
          <w:highlight w:val="none"/>
        </w:rPr>
        <w:t>（采购人）、（采购代理机构）</w:t>
      </w:r>
      <w:r>
        <w:rPr>
          <w:rFonts w:hint="eastAsia" w:ascii="宋体" w:hAnsi="宋体" w:cs="宋体"/>
          <w:color w:val="auto"/>
          <w:kern w:val="0"/>
          <w:sz w:val="24"/>
          <w:szCs w:val="24"/>
          <w:highlight w:val="none"/>
          <w:lang w:val="zh-CN"/>
        </w:rPr>
        <w:t>：</w:t>
      </w:r>
    </w:p>
    <w:p w14:paraId="2CC98856">
      <w:pPr>
        <w:autoSpaceDE w:val="0"/>
        <w:autoSpaceDN w:val="0"/>
        <w:spacing w:line="360" w:lineRule="auto"/>
        <w:ind w:left="2" w:leftChars="1" w:firstLine="480" w:firstLineChars="200"/>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我单位响应你</w:t>
      </w:r>
      <w:r>
        <w:rPr>
          <w:rFonts w:hint="eastAsia" w:ascii="宋体" w:hAnsi="宋体" w:cs="宋体"/>
          <w:color w:val="auto"/>
          <w:sz w:val="24"/>
          <w:szCs w:val="24"/>
          <w:highlight w:val="none"/>
        </w:rPr>
        <w:t>单位</w:t>
      </w:r>
      <w:r>
        <w:rPr>
          <w:rFonts w:hint="eastAsia" w:ascii="宋体" w:hAnsi="宋体" w:cs="宋体"/>
          <w:color w:val="auto"/>
          <w:kern w:val="0"/>
          <w:sz w:val="24"/>
          <w:szCs w:val="24"/>
          <w:highlight w:val="none"/>
          <w:lang w:val="zh-CN"/>
        </w:rPr>
        <w:t>项目招标</w:t>
      </w:r>
      <w:r>
        <w:rPr>
          <w:rFonts w:hint="eastAsia" w:ascii="宋体" w:hAnsi="宋体" w:cs="宋体"/>
          <w:color w:val="auto"/>
          <w:kern w:val="0"/>
          <w:sz w:val="24"/>
          <w:szCs w:val="24"/>
          <w:highlight w:val="none"/>
          <w:lang w:val="en-US" w:eastAsia="zh-CN"/>
        </w:rPr>
        <w:t>文件</w:t>
      </w:r>
      <w:r>
        <w:rPr>
          <w:rFonts w:hint="eastAsia" w:ascii="宋体" w:hAnsi="宋体" w:cs="宋体"/>
          <w:color w:val="auto"/>
          <w:kern w:val="0"/>
          <w:sz w:val="24"/>
          <w:szCs w:val="24"/>
          <w:highlight w:val="none"/>
          <w:lang w:val="zh-CN"/>
        </w:rPr>
        <w:t>要求参加投标。在这次投标过程中和中标后，我们将严格遵守国家法律法规要求，并郑重承诺：</w:t>
      </w:r>
    </w:p>
    <w:p w14:paraId="78AA66B4">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 xml:space="preserve">一、不向项目有关人员及部门赠送礼金礼物、有价证券、回扣以及中介费、介绍费、咨询费等好处费； </w:t>
      </w:r>
    </w:p>
    <w:p w14:paraId="6C54FECA">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 xml:space="preserve">二、不为项目有关人员及部门报销应由你方单位或个人支付的费用； </w:t>
      </w:r>
    </w:p>
    <w:p w14:paraId="3A8CE656">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三、不向项目有关人员及部门提供有可能影响公正的宴请和健身娱乐等活动；</w:t>
      </w:r>
    </w:p>
    <w:p w14:paraId="6D30691A">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四、不为项目有关人员及部门出国（境）、旅游等提供方便；</w:t>
      </w:r>
    </w:p>
    <w:p w14:paraId="6FD33D19">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五、不为项目有关人员个人装修住房、婚丧嫁娶、配偶子女工作安排等提供好处；</w:t>
      </w:r>
    </w:p>
    <w:p w14:paraId="64CABD67">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六、严格遵守《中华人民共和国政府采购法》《中华人民共和国政府采购法</w:t>
      </w:r>
      <w:r>
        <w:rPr>
          <w:rFonts w:hint="eastAsia" w:cs="宋体"/>
          <w:color w:val="auto"/>
          <w:kern w:val="0"/>
          <w:sz w:val="24"/>
          <w:szCs w:val="24"/>
          <w:highlight w:val="none"/>
          <w:lang w:val="en-US" w:eastAsia="zh-CN"/>
        </w:rPr>
        <w:t>实施条例</w:t>
      </w:r>
      <w:r>
        <w:rPr>
          <w:rFonts w:hint="eastAsia" w:ascii="宋体" w:hAnsi="宋体" w:cs="宋体"/>
          <w:color w:val="auto"/>
          <w:kern w:val="0"/>
          <w:sz w:val="24"/>
          <w:szCs w:val="24"/>
          <w:highlight w:val="none"/>
          <w:lang w:val="zh-CN"/>
        </w:rPr>
        <w:t xml:space="preserve">》《中华人民共和国民法典》等法律法规，诚实守信，合法经营，坚决抵制各种违法违纪行为。 </w:t>
      </w:r>
    </w:p>
    <w:p w14:paraId="26636766">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如违反上述承诺，你单位有权立即取消我单位投标、中标或在建项目的建设资格，有权拒绝我单位在一定时期内进入你单位进行项目建设或其他经营活动，并通报财政</w:t>
      </w:r>
      <w:r>
        <w:rPr>
          <w:rFonts w:hint="eastAsia" w:cs="宋体"/>
          <w:color w:val="auto"/>
          <w:kern w:val="0"/>
          <w:sz w:val="24"/>
          <w:szCs w:val="24"/>
          <w:highlight w:val="none"/>
          <w:lang w:val="zh-CN"/>
        </w:rPr>
        <w:t>部门</w:t>
      </w:r>
      <w:r>
        <w:rPr>
          <w:rFonts w:hint="eastAsia" w:ascii="宋体" w:hAnsi="宋体" w:cs="宋体"/>
          <w:color w:val="auto"/>
          <w:kern w:val="0"/>
          <w:sz w:val="24"/>
          <w:szCs w:val="24"/>
          <w:highlight w:val="none"/>
          <w:lang w:val="zh-CN"/>
        </w:rPr>
        <w:t>。由此引起的相应损失均由我单位承担。</w:t>
      </w:r>
    </w:p>
    <w:p w14:paraId="08CD53AE">
      <w:pPr>
        <w:autoSpaceDE w:val="0"/>
        <w:autoSpaceDN w:val="0"/>
        <w:spacing w:line="360" w:lineRule="auto"/>
        <w:ind w:left="2"/>
        <w:jc w:val="left"/>
        <w:rPr>
          <w:rFonts w:ascii="宋体" w:hAnsi="宋体" w:cs="宋体"/>
          <w:color w:val="auto"/>
          <w:kern w:val="0"/>
          <w:sz w:val="24"/>
          <w:szCs w:val="24"/>
          <w:highlight w:val="none"/>
          <w:lang w:val="zh-CN"/>
        </w:rPr>
      </w:pPr>
    </w:p>
    <w:p w14:paraId="73A17CBC">
      <w:pPr>
        <w:autoSpaceDE w:val="0"/>
        <w:autoSpaceDN w:val="0"/>
        <w:spacing w:line="360" w:lineRule="auto"/>
        <w:ind w:left="2"/>
        <w:jc w:val="left"/>
        <w:rPr>
          <w:rFonts w:ascii="宋体" w:hAnsi="宋体" w:cs="宋体"/>
          <w:color w:val="auto"/>
          <w:kern w:val="0"/>
          <w:sz w:val="24"/>
          <w:szCs w:val="24"/>
          <w:highlight w:val="none"/>
          <w:lang w:val="zh-CN"/>
        </w:rPr>
      </w:pPr>
    </w:p>
    <w:p w14:paraId="6D69E545">
      <w:pPr>
        <w:autoSpaceDE w:val="0"/>
        <w:autoSpaceDN w:val="0"/>
        <w:spacing w:line="360" w:lineRule="auto"/>
        <w:ind w:left="2"/>
        <w:jc w:val="left"/>
        <w:rPr>
          <w:rFonts w:ascii="宋体" w:hAnsi="宋体" w:cs="宋体"/>
          <w:color w:val="auto"/>
          <w:kern w:val="0"/>
          <w:sz w:val="24"/>
          <w:szCs w:val="24"/>
          <w:highlight w:val="none"/>
          <w:lang w:val="zh-CN"/>
        </w:rPr>
      </w:pPr>
    </w:p>
    <w:p w14:paraId="2213ADAF">
      <w:pPr>
        <w:autoSpaceDE w:val="0"/>
        <w:autoSpaceDN w:val="0"/>
        <w:spacing w:line="360" w:lineRule="auto"/>
        <w:ind w:left="2" w:leftChars="1" w:right="1120" w:firstLine="4560" w:firstLineChars="1900"/>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cs="宋体"/>
          <w:color w:val="auto"/>
          <w:kern w:val="0"/>
          <w:sz w:val="24"/>
          <w:szCs w:val="24"/>
          <w:highlight w:val="none"/>
          <w:lang w:val="zh-CN"/>
        </w:rPr>
        <w:t xml:space="preserve">：                                                                                                                                                                                                               </w:t>
      </w:r>
    </w:p>
    <w:p w14:paraId="58A178D4">
      <w:pPr>
        <w:ind w:firstLine="4560" w:firstLineChars="1900"/>
        <w:rPr>
          <w:rFonts w:hint="eastAsia" w:eastAsia="宋体" w:asciiTheme="majorHAnsi" w:hAnsiTheme="majorHAnsi" w:cstheme="majorBidi"/>
          <w:b/>
          <w:bCs/>
          <w:color w:val="auto"/>
          <w:kern w:val="2"/>
          <w:sz w:val="24"/>
          <w:szCs w:val="24"/>
          <w:highlight w:val="none"/>
          <w:lang w:val="en-US" w:eastAsia="zh-CN" w:bidi="ar-SA"/>
        </w:rPr>
      </w:pPr>
      <w:r>
        <w:rPr>
          <w:rFonts w:hint="eastAsia" w:ascii="宋体" w:hAnsi="宋体" w:cs="宋体"/>
          <w:color w:val="auto"/>
          <w:kern w:val="0"/>
          <w:sz w:val="24"/>
          <w:szCs w:val="24"/>
          <w:highlight w:val="none"/>
          <w:lang w:val="zh-CN"/>
        </w:rPr>
        <w:t>日期</w:t>
      </w: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val="zh-CN"/>
        </w:rPr>
        <w:t xml:space="preserve">   年   月   日</w:t>
      </w:r>
    </w:p>
    <w:p w14:paraId="2D6DB32A">
      <w:pPr>
        <w:rPr>
          <w:rFonts w:hint="eastAsia" w:eastAsia="宋体" w:asciiTheme="majorHAnsi" w:hAnsiTheme="majorHAnsi" w:cstheme="majorBidi"/>
          <w:b/>
          <w:bCs/>
          <w:color w:val="auto"/>
          <w:kern w:val="2"/>
          <w:sz w:val="24"/>
          <w:szCs w:val="24"/>
          <w:highlight w:val="none"/>
          <w:lang w:val="en-US" w:eastAsia="zh-CN" w:bidi="ar-SA"/>
        </w:rPr>
      </w:pPr>
    </w:p>
    <w:p w14:paraId="6C7B6A5F">
      <w:pPr>
        <w:pStyle w:val="14"/>
        <w:rPr>
          <w:rFonts w:hint="eastAsia" w:eastAsia="宋体" w:asciiTheme="majorHAnsi" w:hAnsiTheme="majorHAnsi" w:cstheme="majorBidi"/>
          <w:b/>
          <w:bCs/>
          <w:color w:val="auto"/>
          <w:kern w:val="2"/>
          <w:sz w:val="24"/>
          <w:szCs w:val="24"/>
          <w:highlight w:val="none"/>
          <w:lang w:val="en-US" w:eastAsia="zh-CN" w:bidi="ar-SA"/>
        </w:rPr>
      </w:pPr>
    </w:p>
    <w:p w14:paraId="1875C8CA">
      <w:pPr>
        <w:pStyle w:val="14"/>
        <w:rPr>
          <w:rFonts w:hint="eastAsia" w:eastAsia="宋体" w:asciiTheme="majorHAnsi" w:hAnsiTheme="majorHAnsi" w:cstheme="majorBidi"/>
          <w:b/>
          <w:bCs/>
          <w:color w:val="auto"/>
          <w:kern w:val="2"/>
          <w:sz w:val="24"/>
          <w:szCs w:val="24"/>
          <w:highlight w:val="none"/>
          <w:lang w:val="en-US" w:eastAsia="zh-CN" w:bidi="ar-SA"/>
        </w:rPr>
      </w:pPr>
    </w:p>
    <w:bookmarkEnd w:id="377"/>
    <w:p w14:paraId="626EF50E">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378" w:name="_Toc24270"/>
      <w:r>
        <w:rPr>
          <w:rFonts w:hint="eastAsia" w:cstheme="majorBidi"/>
          <w:b/>
          <w:bCs/>
          <w:color w:val="auto"/>
          <w:kern w:val="2"/>
          <w:sz w:val="32"/>
          <w:szCs w:val="32"/>
          <w:highlight w:val="none"/>
          <w:lang w:val="en-US" w:eastAsia="zh-CN" w:bidi="ar-SA"/>
        </w:rPr>
        <w:t>十三</w:t>
      </w:r>
      <w:r>
        <w:rPr>
          <w:rFonts w:hint="eastAsia" w:eastAsia="宋体" w:asciiTheme="majorHAnsi" w:hAnsiTheme="majorHAnsi" w:cstheme="majorBidi"/>
          <w:b/>
          <w:bCs/>
          <w:color w:val="auto"/>
          <w:kern w:val="2"/>
          <w:sz w:val="32"/>
          <w:szCs w:val="32"/>
          <w:highlight w:val="none"/>
          <w:lang w:val="en-US" w:eastAsia="zh-CN" w:bidi="ar-SA"/>
        </w:rPr>
        <w:t>、</w:t>
      </w:r>
      <w:bookmarkEnd w:id="378"/>
      <w:r>
        <w:rPr>
          <w:rFonts w:hint="eastAsia" w:eastAsia="宋体" w:asciiTheme="majorHAnsi" w:hAnsiTheme="majorHAnsi" w:cstheme="majorBidi"/>
          <w:b/>
          <w:bCs/>
          <w:color w:val="auto"/>
          <w:kern w:val="2"/>
          <w:sz w:val="32"/>
          <w:szCs w:val="32"/>
          <w:highlight w:val="none"/>
          <w:lang w:val="en-US" w:eastAsia="zh-CN" w:bidi="ar-SA"/>
        </w:rPr>
        <w:t>商务响应偏离表</w:t>
      </w:r>
    </w:p>
    <w:p w14:paraId="21AF32D6">
      <w:pPr>
        <w:rPr>
          <w:rFonts w:cs="仿宋_GB2312"/>
          <w:color w:val="auto"/>
          <w:szCs w:val="24"/>
          <w:highlight w:val="none"/>
        </w:rPr>
      </w:pPr>
      <w:r>
        <w:rPr>
          <w:rFonts w:hint="eastAsia" w:cs="仿宋_GB2312"/>
          <w:color w:val="auto"/>
          <w:szCs w:val="24"/>
          <w:highlight w:val="none"/>
        </w:rPr>
        <w:t>项目名称</w:t>
      </w:r>
      <w:r>
        <w:rPr>
          <w:rFonts w:hint="eastAsia"/>
          <w:b w:val="0"/>
          <w:bCs/>
          <w:color w:val="auto"/>
          <w:szCs w:val="21"/>
          <w:highlight w:val="none"/>
          <w:lang w:val="en-US" w:eastAsia="zh-CN"/>
        </w:rPr>
        <w:t>/标项</w:t>
      </w:r>
      <w:r>
        <w:rPr>
          <w:rFonts w:hint="eastAsia"/>
          <w:b w:val="0"/>
          <w:bCs/>
          <w:color w:val="auto"/>
          <w:szCs w:val="21"/>
          <w:highlight w:val="none"/>
          <w:lang w:val="zh-CN"/>
        </w:rPr>
        <w:t>号</w:t>
      </w:r>
      <w:r>
        <w:rPr>
          <w:rFonts w:hint="eastAsia" w:cs="仿宋_GB2312"/>
          <w:color w:val="auto"/>
          <w:szCs w:val="24"/>
          <w:highlight w:val="none"/>
        </w:rPr>
        <w:t xml:space="preserve">：                                         </w:t>
      </w:r>
    </w:p>
    <w:p w14:paraId="0424C095">
      <w:pPr>
        <w:rPr>
          <w:rFonts w:cs="仿宋_GB2312"/>
          <w:color w:val="auto"/>
          <w:szCs w:val="24"/>
          <w:highlight w:val="none"/>
        </w:rPr>
      </w:pPr>
      <w:r>
        <w:rPr>
          <w:rFonts w:hint="eastAsia" w:cs="仿宋_GB2312"/>
          <w:color w:val="auto"/>
          <w:szCs w:val="24"/>
          <w:highlight w:val="none"/>
        </w:rPr>
        <w:t xml:space="preserve">项目编号：        </w:t>
      </w:r>
    </w:p>
    <w:tbl>
      <w:tblPr>
        <w:tblStyle w:val="30"/>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2394"/>
        <w:gridCol w:w="1720"/>
        <w:gridCol w:w="1871"/>
        <w:gridCol w:w="1871"/>
      </w:tblGrid>
      <w:tr w14:paraId="16BE7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420" w:type="pct"/>
            <w:vAlign w:val="center"/>
          </w:tcPr>
          <w:p w14:paraId="1A4BE3A9">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395" w:type="pct"/>
            <w:vAlign w:val="center"/>
          </w:tcPr>
          <w:p w14:paraId="7CB83CD6">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招标文件的商务条款</w:t>
            </w:r>
          </w:p>
        </w:tc>
        <w:tc>
          <w:tcPr>
            <w:tcW w:w="1002" w:type="pct"/>
            <w:vAlign w:val="center"/>
          </w:tcPr>
          <w:p w14:paraId="55A47B57">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投标文件的响应内容</w:t>
            </w:r>
          </w:p>
        </w:tc>
        <w:tc>
          <w:tcPr>
            <w:tcW w:w="1090" w:type="pct"/>
            <w:vAlign w:val="center"/>
          </w:tcPr>
          <w:p w14:paraId="2572E859">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响应情况</w:t>
            </w:r>
          </w:p>
        </w:tc>
        <w:tc>
          <w:tcPr>
            <w:tcW w:w="1090" w:type="pct"/>
            <w:vAlign w:val="center"/>
          </w:tcPr>
          <w:p w14:paraId="7884F206">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说明及索引</w:t>
            </w:r>
          </w:p>
        </w:tc>
      </w:tr>
      <w:tr w14:paraId="07285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156411A">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395" w:type="pct"/>
            <w:vAlign w:val="center"/>
          </w:tcPr>
          <w:p w14:paraId="34566CA0">
            <w:pPr>
              <w:pStyle w:val="51"/>
              <w:jc w:val="center"/>
              <w:rPr>
                <w:rFonts w:hint="eastAsia" w:ascii="宋体" w:hAnsi="宋体" w:eastAsia="宋体" w:cs="宋体"/>
                <w:color w:val="auto"/>
                <w:sz w:val="21"/>
                <w:szCs w:val="21"/>
                <w:highlight w:val="none"/>
              </w:rPr>
            </w:pPr>
          </w:p>
        </w:tc>
        <w:tc>
          <w:tcPr>
            <w:tcW w:w="1002" w:type="pct"/>
            <w:vAlign w:val="center"/>
          </w:tcPr>
          <w:p w14:paraId="1C6482B4">
            <w:pPr>
              <w:pStyle w:val="51"/>
              <w:jc w:val="center"/>
              <w:rPr>
                <w:rFonts w:hint="eastAsia" w:ascii="宋体" w:hAnsi="宋体" w:eastAsia="宋体" w:cs="宋体"/>
                <w:color w:val="auto"/>
                <w:sz w:val="21"/>
                <w:szCs w:val="21"/>
                <w:highlight w:val="none"/>
              </w:rPr>
            </w:pPr>
          </w:p>
        </w:tc>
        <w:tc>
          <w:tcPr>
            <w:tcW w:w="1871" w:type="dxa"/>
            <w:vAlign w:val="center"/>
          </w:tcPr>
          <w:p w14:paraId="1BBD0417">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响应/正偏离/负偏离</w:t>
            </w:r>
          </w:p>
        </w:tc>
        <w:tc>
          <w:tcPr>
            <w:tcW w:w="1090" w:type="pct"/>
            <w:vAlign w:val="center"/>
          </w:tcPr>
          <w:p w14:paraId="1A90E39C">
            <w:pPr>
              <w:pStyle w:val="51"/>
              <w:jc w:val="center"/>
              <w:rPr>
                <w:rFonts w:hint="eastAsia" w:ascii="宋体" w:hAnsi="宋体" w:eastAsia="宋体" w:cs="宋体"/>
                <w:color w:val="auto"/>
                <w:sz w:val="21"/>
                <w:szCs w:val="21"/>
                <w:highlight w:val="none"/>
              </w:rPr>
            </w:pPr>
          </w:p>
        </w:tc>
      </w:tr>
      <w:tr w14:paraId="7C832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5821036">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395" w:type="pct"/>
            <w:vAlign w:val="center"/>
          </w:tcPr>
          <w:p w14:paraId="2A717A55">
            <w:pPr>
              <w:pStyle w:val="51"/>
              <w:jc w:val="center"/>
              <w:rPr>
                <w:rFonts w:hint="eastAsia" w:ascii="宋体" w:hAnsi="宋体" w:eastAsia="宋体" w:cs="宋体"/>
                <w:color w:val="auto"/>
                <w:sz w:val="21"/>
                <w:szCs w:val="21"/>
                <w:highlight w:val="none"/>
              </w:rPr>
            </w:pPr>
          </w:p>
        </w:tc>
        <w:tc>
          <w:tcPr>
            <w:tcW w:w="1002" w:type="pct"/>
            <w:vAlign w:val="center"/>
          </w:tcPr>
          <w:p w14:paraId="20EC7575">
            <w:pPr>
              <w:pStyle w:val="51"/>
              <w:jc w:val="center"/>
              <w:rPr>
                <w:rFonts w:hint="eastAsia" w:ascii="宋体" w:hAnsi="宋体" w:eastAsia="宋体" w:cs="宋体"/>
                <w:color w:val="auto"/>
                <w:sz w:val="21"/>
                <w:szCs w:val="21"/>
                <w:highlight w:val="none"/>
              </w:rPr>
            </w:pPr>
          </w:p>
        </w:tc>
        <w:tc>
          <w:tcPr>
            <w:tcW w:w="1871" w:type="dxa"/>
            <w:vAlign w:val="center"/>
          </w:tcPr>
          <w:p w14:paraId="5923E58D">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响应/正偏离/负偏离</w:t>
            </w:r>
          </w:p>
        </w:tc>
        <w:tc>
          <w:tcPr>
            <w:tcW w:w="1090" w:type="pct"/>
            <w:vAlign w:val="center"/>
          </w:tcPr>
          <w:p w14:paraId="59C2C317">
            <w:pPr>
              <w:pStyle w:val="51"/>
              <w:jc w:val="center"/>
              <w:rPr>
                <w:rFonts w:hint="eastAsia" w:ascii="宋体" w:hAnsi="宋体" w:eastAsia="宋体" w:cs="宋体"/>
                <w:color w:val="auto"/>
                <w:sz w:val="21"/>
                <w:szCs w:val="21"/>
                <w:highlight w:val="none"/>
              </w:rPr>
            </w:pPr>
          </w:p>
        </w:tc>
      </w:tr>
      <w:tr w14:paraId="6435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6D563CA4">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395" w:type="pct"/>
            <w:vAlign w:val="center"/>
          </w:tcPr>
          <w:p w14:paraId="595245DB">
            <w:pPr>
              <w:pStyle w:val="51"/>
              <w:jc w:val="center"/>
              <w:rPr>
                <w:rFonts w:hint="eastAsia" w:ascii="宋体" w:hAnsi="宋体" w:eastAsia="宋体" w:cs="宋体"/>
                <w:color w:val="auto"/>
                <w:sz w:val="21"/>
                <w:szCs w:val="21"/>
                <w:highlight w:val="none"/>
              </w:rPr>
            </w:pPr>
          </w:p>
        </w:tc>
        <w:tc>
          <w:tcPr>
            <w:tcW w:w="1002" w:type="pct"/>
            <w:vAlign w:val="center"/>
          </w:tcPr>
          <w:p w14:paraId="0A16B4B6">
            <w:pPr>
              <w:pStyle w:val="51"/>
              <w:jc w:val="center"/>
              <w:rPr>
                <w:rFonts w:hint="eastAsia" w:ascii="宋体" w:hAnsi="宋体" w:eastAsia="宋体" w:cs="宋体"/>
                <w:color w:val="auto"/>
                <w:sz w:val="21"/>
                <w:szCs w:val="21"/>
                <w:highlight w:val="none"/>
              </w:rPr>
            </w:pPr>
          </w:p>
        </w:tc>
        <w:tc>
          <w:tcPr>
            <w:tcW w:w="1871" w:type="dxa"/>
            <w:vAlign w:val="center"/>
          </w:tcPr>
          <w:p w14:paraId="58535F72">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响应/正偏离/负偏离</w:t>
            </w:r>
          </w:p>
        </w:tc>
        <w:tc>
          <w:tcPr>
            <w:tcW w:w="1090" w:type="pct"/>
            <w:vAlign w:val="center"/>
          </w:tcPr>
          <w:p w14:paraId="50AB520B">
            <w:pPr>
              <w:pStyle w:val="51"/>
              <w:jc w:val="center"/>
              <w:rPr>
                <w:rFonts w:hint="eastAsia" w:ascii="宋体" w:hAnsi="宋体" w:eastAsia="宋体" w:cs="宋体"/>
                <w:color w:val="auto"/>
                <w:sz w:val="21"/>
                <w:szCs w:val="21"/>
                <w:highlight w:val="none"/>
              </w:rPr>
            </w:pPr>
          </w:p>
        </w:tc>
      </w:tr>
      <w:tr w14:paraId="669EA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74127D5E">
            <w:pPr>
              <w:pStyle w:val="51"/>
              <w:jc w:val="center"/>
              <w:rPr>
                <w:rFonts w:hint="eastAsia" w:ascii="宋体" w:hAnsi="宋体" w:eastAsia="宋体" w:cs="宋体"/>
                <w:color w:val="auto"/>
                <w:sz w:val="21"/>
                <w:szCs w:val="21"/>
                <w:highlight w:val="none"/>
              </w:rPr>
            </w:pPr>
          </w:p>
        </w:tc>
        <w:tc>
          <w:tcPr>
            <w:tcW w:w="1395" w:type="pct"/>
            <w:vAlign w:val="center"/>
          </w:tcPr>
          <w:p w14:paraId="14968038">
            <w:pPr>
              <w:pStyle w:val="51"/>
              <w:jc w:val="center"/>
              <w:rPr>
                <w:rFonts w:hint="eastAsia" w:ascii="宋体" w:hAnsi="宋体" w:eastAsia="宋体" w:cs="宋体"/>
                <w:color w:val="auto"/>
                <w:sz w:val="21"/>
                <w:szCs w:val="21"/>
                <w:highlight w:val="none"/>
              </w:rPr>
            </w:pPr>
          </w:p>
        </w:tc>
        <w:tc>
          <w:tcPr>
            <w:tcW w:w="1002" w:type="pct"/>
            <w:vAlign w:val="center"/>
          </w:tcPr>
          <w:p w14:paraId="10A6B59E">
            <w:pPr>
              <w:pStyle w:val="51"/>
              <w:jc w:val="center"/>
              <w:rPr>
                <w:rFonts w:hint="eastAsia" w:ascii="宋体" w:hAnsi="宋体" w:eastAsia="宋体" w:cs="宋体"/>
                <w:color w:val="auto"/>
                <w:sz w:val="21"/>
                <w:szCs w:val="21"/>
                <w:highlight w:val="none"/>
              </w:rPr>
            </w:pPr>
          </w:p>
        </w:tc>
        <w:tc>
          <w:tcPr>
            <w:tcW w:w="1090" w:type="pct"/>
            <w:vAlign w:val="center"/>
          </w:tcPr>
          <w:p w14:paraId="61702DF6">
            <w:pPr>
              <w:pStyle w:val="51"/>
              <w:jc w:val="center"/>
              <w:rPr>
                <w:rFonts w:hint="eastAsia" w:ascii="宋体" w:hAnsi="宋体" w:eastAsia="宋体" w:cs="宋体"/>
                <w:color w:val="auto"/>
                <w:sz w:val="21"/>
                <w:szCs w:val="21"/>
                <w:highlight w:val="none"/>
              </w:rPr>
            </w:pPr>
          </w:p>
        </w:tc>
        <w:tc>
          <w:tcPr>
            <w:tcW w:w="1090" w:type="pct"/>
            <w:vAlign w:val="center"/>
          </w:tcPr>
          <w:p w14:paraId="0CC18FC2">
            <w:pPr>
              <w:pStyle w:val="51"/>
              <w:jc w:val="center"/>
              <w:rPr>
                <w:rFonts w:hint="eastAsia" w:ascii="宋体" w:hAnsi="宋体" w:eastAsia="宋体" w:cs="宋体"/>
                <w:color w:val="auto"/>
                <w:sz w:val="21"/>
                <w:szCs w:val="21"/>
                <w:highlight w:val="none"/>
              </w:rPr>
            </w:pPr>
          </w:p>
        </w:tc>
      </w:tr>
      <w:tr w14:paraId="57F34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4561F269">
            <w:pPr>
              <w:pStyle w:val="51"/>
              <w:jc w:val="center"/>
              <w:rPr>
                <w:rFonts w:hint="eastAsia" w:ascii="宋体" w:hAnsi="宋体" w:eastAsia="宋体" w:cs="宋体"/>
                <w:color w:val="auto"/>
                <w:sz w:val="21"/>
                <w:szCs w:val="21"/>
                <w:highlight w:val="none"/>
              </w:rPr>
            </w:pPr>
          </w:p>
        </w:tc>
        <w:tc>
          <w:tcPr>
            <w:tcW w:w="1395" w:type="pct"/>
            <w:vAlign w:val="center"/>
          </w:tcPr>
          <w:p w14:paraId="5DDD9937">
            <w:pPr>
              <w:pStyle w:val="51"/>
              <w:jc w:val="center"/>
              <w:rPr>
                <w:rFonts w:hint="eastAsia" w:ascii="宋体" w:hAnsi="宋体" w:eastAsia="宋体" w:cs="宋体"/>
                <w:color w:val="auto"/>
                <w:sz w:val="21"/>
                <w:szCs w:val="21"/>
                <w:highlight w:val="none"/>
              </w:rPr>
            </w:pPr>
          </w:p>
        </w:tc>
        <w:tc>
          <w:tcPr>
            <w:tcW w:w="1002" w:type="pct"/>
            <w:vAlign w:val="center"/>
          </w:tcPr>
          <w:p w14:paraId="0B29A018">
            <w:pPr>
              <w:pStyle w:val="51"/>
              <w:jc w:val="center"/>
              <w:rPr>
                <w:rFonts w:hint="eastAsia" w:ascii="宋体" w:hAnsi="宋体" w:eastAsia="宋体" w:cs="宋体"/>
                <w:color w:val="auto"/>
                <w:sz w:val="21"/>
                <w:szCs w:val="21"/>
                <w:highlight w:val="none"/>
              </w:rPr>
            </w:pPr>
          </w:p>
        </w:tc>
        <w:tc>
          <w:tcPr>
            <w:tcW w:w="1090" w:type="pct"/>
            <w:vAlign w:val="center"/>
          </w:tcPr>
          <w:p w14:paraId="1FA693DE">
            <w:pPr>
              <w:pStyle w:val="51"/>
              <w:jc w:val="center"/>
              <w:rPr>
                <w:rFonts w:hint="eastAsia" w:ascii="宋体" w:hAnsi="宋体" w:eastAsia="宋体" w:cs="宋体"/>
                <w:color w:val="auto"/>
                <w:sz w:val="21"/>
                <w:szCs w:val="21"/>
                <w:highlight w:val="none"/>
              </w:rPr>
            </w:pPr>
          </w:p>
        </w:tc>
        <w:tc>
          <w:tcPr>
            <w:tcW w:w="1090" w:type="pct"/>
            <w:vAlign w:val="center"/>
          </w:tcPr>
          <w:p w14:paraId="3D633AB6">
            <w:pPr>
              <w:pStyle w:val="51"/>
              <w:jc w:val="center"/>
              <w:rPr>
                <w:rFonts w:hint="eastAsia" w:ascii="宋体" w:hAnsi="宋体" w:eastAsia="宋体" w:cs="宋体"/>
                <w:color w:val="auto"/>
                <w:sz w:val="21"/>
                <w:szCs w:val="21"/>
                <w:highlight w:val="none"/>
              </w:rPr>
            </w:pPr>
          </w:p>
        </w:tc>
      </w:tr>
      <w:tr w14:paraId="12449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 w:hRule="atLeast"/>
        </w:trPr>
        <w:tc>
          <w:tcPr>
            <w:tcW w:w="420" w:type="pct"/>
            <w:vAlign w:val="center"/>
          </w:tcPr>
          <w:p w14:paraId="59A5171A">
            <w:pPr>
              <w:pStyle w:val="51"/>
              <w:jc w:val="center"/>
              <w:rPr>
                <w:rFonts w:hint="eastAsia" w:ascii="宋体" w:hAnsi="宋体" w:eastAsia="宋体" w:cs="宋体"/>
                <w:color w:val="auto"/>
                <w:sz w:val="21"/>
                <w:szCs w:val="21"/>
                <w:highlight w:val="none"/>
              </w:rPr>
            </w:pPr>
          </w:p>
        </w:tc>
        <w:tc>
          <w:tcPr>
            <w:tcW w:w="1395" w:type="pct"/>
            <w:vAlign w:val="center"/>
          </w:tcPr>
          <w:p w14:paraId="014A297F">
            <w:pPr>
              <w:pStyle w:val="51"/>
              <w:jc w:val="center"/>
              <w:rPr>
                <w:rFonts w:hint="eastAsia" w:ascii="宋体" w:hAnsi="宋体" w:eastAsia="宋体" w:cs="宋体"/>
                <w:color w:val="auto"/>
                <w:sz w:val="21"/>
                <w:szCs w:val="21"/>
                <w:highlight w:val="none"/>
              </w:rPr>
            </w:pPr>
          </w:p>
        </w:tc>
        <w:tc>
          <w:tcPr>
            <w:tcW w:w="1002" w:type="pct"/>
            <w:vAlign w:val="center"/>
          </w:tcPr>
          <w:p w14:paraId="51467013">
            <w:pPr>
              <w:pStyle w:val="51"/>
              <w:jc w:val="center"/>
              <w:rPr>
                <w:rFonts w:hint="eastAsia" w:ascii="宋体" w:hAnsi="宋体" w:eastAsia="宋体" w:cs="宋体"/>
                <w:color w:val="auto"/>
                <w:sz w:val="21"/>
                <w:szCs w:val="21"/>
                <w:highlight w:val="none"/>
              </w:rPr>
            </w:pPr>
          </w:p>
        </w:tc>
        <w:tc>
          <w:tcPr>
            <w:tcW w:w="1090" w:type="pct"/>
            <w:vAlign w:val="center"/>
          </w:tcPr>
          <w:p w14:paraId="011E40CA">
            <w:pPr>
              <w:pStyle w:val="51"/>
              <w:jc w:val="center"/>
              <w:rPr>
                <w:rFonts w:hint="eastAsia" w:ascii="宋体" w:hAnsi="宋体" w:eastAsia="宋体" w:cs="宋体"/>
                <w:color w:val="auto"/>
                <w:sz w:val="21"/>
                <w:szCs w:val="21"/>
                <w:highlight w:val="none"/>
              </w:rPr>
            </w:pPr>
          </w:p>
        </w:tc>
        <w:tc>
          <w:tcPr>
            <w:tcW w:w="1090" w:type="pct"/>
            <w:vAlign w:val="center"/>
          </w:tcPr>
          <w:p w14:paraId="7062C313">
            <w:pPr>
              <w:pStyle w:val="51"/>
              <w:jc w:val="center"/>
              <w:rPr>
                <w:rFonts w:hint="eastAsia" w:ascii="宋体" w:hAnsi="宋体" w:eastAsia="宋体" w:cs="宋体"/>
                <w:color w:val="auto"/>
                <w:sz w:val="21"/>
                <w:szCs w:val="21"/>
                <w:highlight w:val="none"/>
              </w:rPr>
            </w:pPr>
          </w:p>
        </w:tc>
      </w:tr>
      <w:tr w14:paraId="7994B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0B6F410">
            <w:pPr>
              <w:pStyle w:val="51"/>
              <w:jc w:val="center"/>
              <w:rPr>
                <w:rFonts w:hint="eastAsia" w:ascii="宋体" w:hAnsi="宋体" w:eastAsia="宋体" w:cs="宋体"/>
                <w:color w:val="auto"/>
                <w:sz w:val="21"/>
                <w:szCs w:val="21"/>
                <w:highlight w:val="none"/>
              </w:rPr>
            </w:pPr>
          </w:p>
        </w:tc>
        <w:tc>
          <w:tcPr>
            <w:tcW w:w="1395" w:type="pct"/>
            <w:vAlign w:val="center"/>
          </w:tcPr>
          <w:p w14:paraId="010A1BB0">
            <w:pPr>
              <w:pStyle w:val="51"/>
              <w:jc w:val="center"/>
              <w:rPr>
                <w:rFonts w:hint="eastAsia" w:ascii="宋体" w:hAnsi="宋体" w:eastAsia="宋体" w:cs="宋体"/>
                <w:color w:val="auto"/>
                <w:sz w:val="21"/>
                <w:szCs w:val="21"/>
                <w:highlight w:val="none"/>
              </w:rPr>
            </w:pPr>
          </w:p>
        </w:tc>
        <w:tc>
          <w:tcPr>
            <w:tcW w:w="1002" w:type="pct"/>
            <w:vAlign w:val="center"/>
          </w:tcPr>
          <w:p w14:paraId="1EE22C75">
            <w:pPr>
              <w:pStyle w:val="51"/>
              <w:jc w:val="center"/>
              <w:rPr>
                <w:rFonts w:hint="eastAsia" w:ascii="宋体" w:hAnsi="宋体" w:eastAsia="宋体" w:cs="宋体"/>
                <w:color w:val="auto"/>
                <w:sz w:val="21"/>
                <w:szCs w:val="21"/>
                <w:highlight w:val="none"/>
              </w:rPr>
            </w:pPr>
          </w:p>
        </w:tc>
        <w:tc>
          <w:tcPr>
            <w:tcW w:w="1090" w:type="pct"/>
            <w:vAlign w:val="center"/>
          </w:tcPr>
          <w:p w14:paraId="3C86F2CC">
            <w:pPr>
              <w:pStyle w:val="51"/>
              <w:jc w:val="center"/>
              <w:rPr>
                <w:rFonts w:hint="eastAsia" w:ascii="宋体" w:hAnsi="宋体" w:eastAsia="宋体" w:cs="宋体"/>
                <w:color w:val="auto"/>
                <w:sz w:val="21"/>
                <w:szCs w:val="21"/>
                <w:highlight w:val="none"/>
              </w:rPr>
            </w:pPr>
          </w:p>
        </w:tc>
        <w:tc>
          <w:tcPr>
            <w:tcW w:w="1090" w:type="pct"/>
            <w:vAlign w:val="center"/>
          </w:tcPr>
          <w:p w14:paraId="515EA04E">
            <w:pPr>
              <w:pStyle w:val="51"/>
              <w:jc w:val="center"/>
              <w:rPr>
                <w:rFonts w:hint="eastAsia" w:ascii="宋体" w:hAnsi="宋体" w:eastAsia="宋体" w:cs="宋体"/>
                <w:color w:val="auto"/>
                <w:sz w:val="21"/>
                <w:szCs w:val="21"/>
                <w:highlight w:val="none"/>
              </w:rPr>
            </w:pPr>
          </w:p>
        </w:tc>
      </w:tr>
      <w:tr w14:paraId="2D75C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7EFA1E0">
            <w:pPr>
              <w:pStyle w:val="51"/>
              <w:jc w:val="center"/>
              <w:rPr>
                <w:rFonts w:hint="eastAsia" w:ascii="宋体" w:hAnsi="宋体" w:eastAsia="宋体" w:cs="宋体"/>
                <w:color w:val="auto"/>
                <w:sz w:val="21"/>
                <w:szCs w:val="21"/>
                <w:highlight w:val="none"/>
              </w:rPr>
            </w:pPr>
          </w:p>
        </w:tc>
        <w:tc>
          <w:tcPr>
            <w:tcW w:w="1395" w:type="pct"/>
            <w:vAlign w:val="center"/>
          </w:tcPr>
          <w:p w14:paraId="1C7A6406">
            <w:pPr>
              <w:pStyle w:val="51"/>
              <w:jc w:val="center"/>
              <w:rPr>
                <w:rFonts w:hint="eastAsia" w:ascii="宋体" w:hAnsi="宋体" w:eastAsia="宋体" w:cs="宋体"/>
                <w:color w:val="auto"/>
                <w:sz w:val="21"/>
                <w:szCs w:val="21"/>
                <w:highlight w:val="none"/>
              </w:rPr>
            </w:pPr>
          </w:p>
        </w:tc>
        <w:tc>
          <w:tcPr>
            <w:tcW w:w="1002" w:type="pct"/>
            <w:vAlign w:val="center"/>
          </w:tcPr>
          <w:p w14:paraId="7F774DAF">
            <w:pPr>
              <w:pStyle w:val="51"/>
              <w:jc w:val="center"/>
              <w:rPr>
                <w:rFonts w:hint="eastAsia" w:ascii="宋体" w:hAnsi="宋体" w:eastAsia="宋体" w:cs="宋体"/>
                <w:color w:val="auto"/>
                <w:sz w:val="21"/>
                <w:szCs w:val="21"/>
                <w:highlight w:val="none"/>
              </w:rPr>
            </w:pPr>
          </w:p>
        </w:tc>
        <w:tc>
          <w:tcPr>
            <w:tcW w:w="1090" w:type="pct"/>
            <w:vAlign w:val="center"/>
          </w:tcPr>
          <w:p w14:paraId="66A55C54">
            <w:pPr>
              <w:pStyle w:val="51"/>
              <w:jc w:val="center"/>
              <w:rPr>
                <w:rFonts w:hint="eastAsia" w:ascii="宋体" w:hAnsi="宋体" w:eastAsia="宋体" w:cs="宋体"/>
                <w:color w:val="auto"/>
                <w:sz w:val="21"/>
                <w:szCs w:val="21"/>
                <w:highlight w:val="none"/>
              </w:rPr>
            </w:pPr>
          </w:p>
        </w:tc>
        <w:tc>
          <w:tcPr>
            <w:tcW w:w="1090" w:type="pct"/>
            <w:vAlign w:val="center"/>
          </w:tcPr>
          <w:p w14:paraId="6FC3A7DB">
            <w:pPr>
              <w:pStyle w:val="51"/>
              <w:jc w:val="center"/>
              <w:rPr>
                <w:rFonts w:hint="eastAsia" w:ascii="宋体" w:hAnsi="宋体" w:eastAsia="宋体" w:cs="宋体"/>
                <w:color w:val="auto"/>
                <w:sz w:val="21"/>
                <w:szCs w:val="21"/>
                <w:highlight w:val="none"/>
              </w:rPr>
            </w:pPr>
          </w:p>
        </w:tc>
      </w:tr>
      <w:tr w14:paraId="322EB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E27F183">
            <w:pPr>
              <w:pStyle w:val="51"/>
              <w:jc w:val="center"/>
              <w:rPr>
                <w:rFonts w:hint="eastAsia" w:ascii="宋体" w:hAnsi="宋体" w:eastAsia="宋体" w:cs="宋体"/>
                <w:color w:val="auto"/>
                <w:sz w:val="21"/>
                <w:szCs w:val="21"/>
                <w:highlight w:val="none"/>
              </w:rPr>
            </w:pPr>
          </w:p>
        </w:tc>
        <w:tc>
          <w:tcPr>
            <w:tcW w:w="1395" w:type="pct"/>
            <w:vAlign w:val="center"/>
          </w:tcPr>
          <w:p w14:paraId="199507E1">
            <w:pPr>
              <w:pStyle w:val="51"/>
              <w:jc w:val="center"/>
              <w:rPr>
                <w:rFonts w:hint="eastAsia" w:ascii="宋体" w:hAnsi="宋体" w:eastAsia="宋体" w:cs="宋体"/>
                <w:color w:val="auto"/>
                <w:sz w:val="21"/>
                <w:szCs w:val="21"/>
                <w:highlight w:val="none"/>
              </w:rPr>
            </w:pPr>
          </w:p>
        </w:tc>
        <w:tc>
          <w:tcPr>
            <w:tcW w:w="1002" w:type="pct"/>
            <w:vAlign w:val="center"/>
          </w:tcPr>
          <w:p w14:paraId="6691FD82">
            <w:pPr>
              <w:pStyle w:val="51"/>
              <w:jc w:val="center"/>
              <w:rPr>
                <w:rFonts w:hint="eastAsia" w:ascii="宋体" w:hAnsi="宋体" w:eastAsia="宋体" w:cs="宋体"/>
                <w:color w:val="auto"/>
                <w:sz w:val="21"/>
                <w:szCs w:val="21"/>
                <w:highlight w:val="none"/>
              </w:rPr>
            </w:pPr>
          </w:p>
        </w:tc>
        <w:tc>
          <w:tcPr>
            <w:tcW w:w="1090" w:type="pct"/>
            <w:vAlign w:val="center"/>
          </w:tcPr>
          <w:p w14:paraId="6E35002B">
            <w:pPr>
              <w:pStyle w:val="51"/>
              <w:jc w:val="center"/>
              <w:rPr>
                <w:rFonts w:hint="eastAsia" w:ascii="宋体" w:hAnsi="宋体" w:eastAsia="宋体" w:cs="宋体"/>
                <w:color w:val="auto"/>
                <w:sz w:val="21"/>
                <w:szCs w:val="21"/>
                <w:highlight w:val="none"/>
              </w:rPr>
            </w:pPr>
          </w:p>
        </w:tc>
        <w:tc>
          <w:tcPr>
            <w:tcW w:w="1090" w:type="pct"/>
            <w:vAlign w:val="center"/>
          </w:tcPr>
          <w:p w14:paraId="69818ED1">
            <w:pPr>
              <w:pStyle w:val="51"/>
              <w:jc w:val="center"/>
              <w:rPr>
                <w:rFonts w:hint="eastAsia" w:ascii="宋体" w:hAnsi="宋体" w:eastAsia="宋体" w:cs="宋体"/>
                <w:color w:val="auto"/>
                <w:sz w:val="21"/>
                <w:szCs w:val="21"/>
                <w:highlight w:val="none"/>
              </w:rPr>
            </w:pPr>
          </w:p>
        </w:tc>
      </w:tr>
      <w:tr w14:paraId="79F3B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0" w:type="pct"/>
            <w:vAlign w:val="center"/>
          </w:tcPr>
          <w:p w14:paraId="71E185D4">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395" w:type="pct"/>
            <w:vAlign w:val="center"/>
          </w:tcPr>
          <w:p w14:paraId="6324A49D">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02" w:type="pct"/>
            <w:vAlign w:val="center"/>
          </w:tcPr>
          <w:p w14:paraId="0EE83785">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vAlign w:val="center"/>
          </w:tcPr>
          <w:p w14:paraId="7A24BB2D">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90" w:type="pct"/>
            <w:vAlign w:val="center"/>
          </w:tcPr>
          <w:p w14:paraId="7CC08218">
            <w:pPr>
              <w:pStyle w:val="51"/>
              <w:jc w:val="center"/>
              <w:rPr>
                <w:rFonts w:hint="eastAsia" w:ascii="宋体" w:hAnsi="宋体" w:eastAsia="宋体" w:cs="宋体"/>
                <w:color w:val="auto"/>
                <w:sz w:val="21"/>
                <w:szCs w:val="21"/>
                <w:highlight w:val="none"/>
              </w:rPr>
            </w:pPr>
          </w:p>
        </w:tc>
      </w:tr>
    </w:tbl>
    <w:p w14:paraId="5CB06622">
      <w:pPr>
        <w:ind w:firstLine="480" w:firstLineChars="200"/>
        <w:rPr>
          <w:rFonts w:cs="仿宋_GB2312"/>
          <w:color w:val="auto"/>
          <w:szCs w:val="24"/>
          <w:highlight w:val="none"/>
        </w:rPr>
      </w:pPr>
    </w:p>
    <w:p w14:paraId="2E8083B6">
      <w:pPr>
        <w:ind w:firstLine="480" w:firstLineChars="20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仿宋_GB2312"/>
          <w:color w:val="auto"/>
          <w:szCs w:val="24"/>
          <w:highlight w:val="none"/>
        </w:rPr>
        <w:t>：</w:t>
      </w:r>
      <w:r>
        <w:rPr>
          <w:rFonts w:cs="仿宋_GB2312"/>
          <w:color w:val="auto"/>
          <w:szCs w:val="24"/>
          <w:highlight w:val="none"/>
        </w:rPr>
        <w:t xml:space="preserve"> </w:t>
      </w:r>
    </w:p>
    <w:p w14:paraId="77655944">
      <w:pPr>
        <w:ind w:firstLine="420"/>
        <w:rPr>
          <w:rFonts w:cs="仿宋_GB2312"/>
          <w:color w:val="auto"/>
          <w:szCs w:val="24"/>
          <w:highlight w:val="none"/>
        </w:rPr>
      </w:pPr>
      <w:r>
        <w:rPr>
          <w:rFonts w:hint="eastAsia" w:cs="仿宋_GB2312"/>
          <w:color w:val="auto"/>
          <w:szCs w:val="24"/>
          <w:highlight w:val="none"/>
        </w:rPr>
        <w:t>日      期：</w:t>
      </w:r>
    </w:p>
    <w:p w14:paraId="62D3AA4F">
      <w:pPr>
        <w:ind w:firstLine="420" w:firstLineChars="200"/>
        <w:rPr>
          <w:rFonts w:hint="eastAsia" w:cs="仿宋_GB2312"/>
          <w:color w:val="auto"/>
          <w:sz w:val="21"/>
          <w:szCs w:val="21"/>
          <w:highlight w:val="none"/>
        </w:rPr>
      </w:pPr>
    </w:p>
    <w:p w14:paraId="3F428C59">
      <w:pPr>
        <w:ind w:firstLine="420" w:firstLineChars="200"/>
        <w:rPr>
          <w:rFonts w:cs="仿宋_GB2312"/>
          <w:color w:val="auto"/>
          <w:szCs w:val="24"/>
          <w:highlight w:val="none"/>
        </w:rPr>
      </w:pPr>
      <w:r>
        <w:rPr>
          <w:rFonts w:hint="eastAsia" w:cs="仿宋_GB2312"/>
          <w:color w:val="auto"/>
          <w:sz w:val="21"/>
          <w:szCs w:val="21"/>
          <w:highlight w:val="none"/>
        </w:rPr>
        <w:t>注：投标人应按照招标文件“第三章 采购需求”</w:t>
      </w:r>
      <w:r>
        <w:rPr>
          <w:rFonts w:hint="eastAsia" w:cs="仿宋_GB2312"/>
          <w:color w:val="auto"/>
          <w:sz w:val="21"/>
          <w:szCs w:val="21"/>
          <w:highlight w:val="none"/>
          <w:lang w:val="en-US" w:eastAsia="zh-CN"/>
        </w:rPr>
        <w:t>中的商务要求</w:t>
      </w:r>
      <w:r>
        <w:rPr>
          <w:rFonts w:hint="eastAsia" w:cs="仿宋_GB2312"/>
          <w:color w:val="auto"/>
          <w:sz w:val="21"/>
          <w:szCs w:val="21"/>
          <w:highlight w:val="none"/>
        </w:rPr>
        <w:t>填写</w:t>
      </w:r>
      <w:r>
        <w:rPr>
          <w:rFonts w:hint="eastAsia" w:cs="仿宋_GB2312"/>
          <w:color w:val="auto"/>
          <w:sz w:val="21"/>
          <w:szCs w:val="21"/>
          <w:highlight w:val="none"/>
          <w:lang w:eastAsia="zh-CN"/>
        </w:rPr>
        <w:t>：</w:t>
      </w:r>
    </w:p>
    <w:p w14:paraId="16749689">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1.“招标文件的商务条款”栏应详细列明招标文件中的商务要求。 </w:t>
      </w:r>
    </w:p>
    <w:p w14:paraId="5CB91061">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2.“投标文件的响应内容”栏填写投标人对招标文件提出的商务条款作出的明确响应，并列明具体响应数值或内容，只注明符合、满足等无具体内容表述的，将视为未实质性满足招标文件要求</w:t>
      </w:r>
      <w:r>
        <w:rPr>
          <w:rFonts w:hint="default" w:cs="仿宋_GB2312"/>
          <w:color w:val="auto"/>
          <w:sz w:val="21"/>
          <w:szCs w:val="21"/>
          <w:highlight w:val="none"/>
          <w:lang w:val="en-US" w:eastAsia="zh-CN"/>
        </w:rPr>
        <w:t>，</w:t>
      </w:r>
      <w:r>
        <w:rPr>
          <w:rFonts w:hint="eastAsia" w:cs="仿宋_GB2312"/>
          <w:b/>
          <w:bCs/>
          <w:color w:val="auto"/>
          <w:sz w:val="21"/>
          <w:szCs w:val="21"/>
          <w:highlight w:val="none"/>
          <w:lang w:val="en-US" w:eastAsia="zh-CN"/>
        </w:rPr>
        <w:t>投标</w:t>
      </w:r>
      <w:r>
        <w:rPr>
          <w:rFonts w:hint="default" w:cs="仿宋_GB2312"/>
          <w:b/>
          <w:bCs/>
          <w:color w:val="auto"/>
          <w:sz w:val="21"/>
          <w:szCs w:val="21"/>
          <w:highlight w:val="none"/>
          <w:lang w:val="en-US" w:eastAsia="zh-CN"/>
        </w:rPr>
        <w:t>无效</w:t>
      </w:r>
      <w:r>
        <w:rPr>
          <w:rFonts w:hint="eastAsia" w:cs="仿宋_GB2312"/>
          <w:color w:val="auto"/>
          <w:sz w:val="21"/>
          <w:szCs w:val="21"/>
          <w:highlight w:val="none"/>
          <w:lang w:val="en-US" w:eastAsia="zh-CN"/>
        </w:rPr>
        <w:t xml:space="preserve">。 </w:t>
      </w:r>
    </w:p>
    <w:p w14:paraId="0F350247">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3.“响应情况”栏应据实填写“响应”、“正偏离”或“负偏离”。 </w:t>
      </w:r>
    </w:p>
    <w:p w14:paraId="5B002B53">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4.“说明及索引”栏可填写偏离情况的具体说明及索引。</w:t>
      </w:r>
    </w:p>
    <w:p w14:paraId="59273B30">
      <w:pPr>
        <w:ind w:firstLine="420" w:firstLineChars="200"/>
        <w:rPr>
          <w:rFonts w:hint="eastAsia" w:cs="仿宋_GB2312"/>
          <w:color w:val="auto"/>
          <w:sz w:val="21"/>
          <w:szCs w:val="21"/>
          <w:highlight w:val="none"/>
          <w:lang w:val="en-US" w:eastAsia="zh-CN"/>
        </w:rPr>
      </w:pPr>
      <w:r>
        <w:rPr>
          <w:rFonts w:hint="eastAsia" w:cs="仿宋_GB2312"/>
          <w:color w:val="auto"/>
          <w:sz w:val="21"/>
          <w:szCs w:val="21"/>
          <w:highlight w:val="none"/>
          <w:lang w:val="en-US" w:eastAsia="zh-CN"/>
        </w:rPr>
        <w:t>5.对招标文件中的所有商务要求，除本表所列明的所有偏离外，均视作供应商</w:t>
      </w:r>
      <w:r>
        <w:rPr>
          <w:rFonts w:hint="default" w:cs="仿宋_GB2312"/>
          <w:color w:val="auto"/>
          <w:sz w:val="21"/>
          <w:szCs w:val="21"/>
          <w:highlight w:val="none"/>
          <w:lang w:val="en-US" w:eastAsia="zh-CN"/>
        </w:rPr>
        <w:t>已对之理解和响应。此表中若无任何文字说明，内容为空白的，</w:t>
      </w:r>
      <w:r>
        <w:rPr>
          <w:rFonts w:hint="default" w:cs="仿宋_GB2312"/>
          <w:b/>
          <w:bCs/>
          <w:color w:val="auto"/>
          <w:sz w:val="21"/>
          <w:szCs w:val="21"/>
          <w:highlight w:val="none"/>
          <w:lang w:val="en-US" w:eastAsia="zh-CN"/>
        </w:rPr>
        <w:t>投标无效</w:t>
      </w:r>
      <w:r>
        <w:rPr>
          <w:rFonts w:hint="default" w:cs="仿宋_GB2312"/>
          <w:color w:val="auto"/>
          <w:sz w:val="21"/>
          <w:szCs w:val="21"/>
          <w:highlight w:val="none"/>
          <w:lang w:val="en-US" w:eastAsia="zh-CN"/>
        </w:rPr>
        <w:t>。</w:t>
      </w:r>
    </w:p>
    <w:p w14:paraId="1358285E">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379" w:name="_Toc27056"/>
      <w:bookmarkStart w:id="380" w:name="_Toc163492934"/>
      <w:r>
        <w:rPr>
          <w:rFonts w:hint="eastAsia" w:cstheme="majorBidi"/>
          <w:b/>
          <w:bCs/>
          <w:color w:val="auto"/>
          <w:kern w:val="2"/>
          <w:sz w:val="32"/>
          <w:szCs w:val="32"/>
          <w:highlight w:val="none"/>
          <w:lang w:val="en-US" w:eastAsia="zh-CN" w:bidi="ar-SA"/>
        </w:rPr>
        <w:t>十四</w:t>
      </w:r>
      <w:r>
        <w:rPr>
          <w:rFonts w:hint="eastAsia" w:eastAsia="宋体" w:asciiTheme="majorHAnsi" w:hAnsiTheme="majorHAnsi" w:cstheme="majorBidi"/>
          <w:b/>
          <w:bCs/>
          <w:color w:val="auto"/>
          <w:kern w:val="2"/>
          <w:sz w:val="32"/>
          <w:szCs w:val="32"/>
          <w:highlight w:val="none"/>
          <w:lang w:val="en-US" w:eastAsia="zh-CN" w:bidi="ar-SA"/>
        </w:rPr>
        <w:t>、技术响应偏离表</w:t>
      </w:r>
      <w:bookmarkEnd w:id="379"/>
      <w:bookmarkEnd w:id="380"/>
    </w:p>
    <w:p w14:paraId="7EE50E6A">
      <w:pPr>
        <w:rPr>
          <w:rFonts w:cs="仿宋_GB2312"/>
          <w:color w:val="auto"/>
          <w:szCs w:val="24"/>
          <w:highlight w:val="none"/>
        </w:rPr>
      </w:pPr>
      <w:r>
        <w:rPr>
          <w:rFonts w:hint="eastAsia" w:cs="仿宋_GB2312"/>
          <w:color w:val="auto"/>
          <w:szCs w:val="24"/>
          <w:highlight w:val="none"/>
        </w:rPr>
        <w:t>项目名称</w:t>
      </w:r>
      <w:r>
        <w:rPr>
          <w:rFonts w:hint="eastAsia"/>
          <w:b w:val="0"/>
          <w:bCs/>
          <w:color w:val="auto"/>
          <w:szCs w:val="21"/>
          <w:highlight w:val="none"/>
          <w:lang w:val="en-US" w:eastAsia="zh-CN"/>
        </w:rPr>
        <w:t>/标项</w:t>
      </w:r>
      <w:r>
        <w:rPr>
          <w:rFonts w:hint="eastAsia"/>
          <w:b w:val="0"/>
          <w:bCs/>
          <w:color w:val="auto"/>
          <w:szCs w:val="21"/>
          <w:highlight w:val="none"/>
          <w:lang w:val="zh-CN"/>
        </w:rPr>
        <w:t>号</w:t>
      </w:r>
      <w:r>
        <w:rPr>
          <w:rFonts w:hint="eastAsia" w:cs="仿宋_GB2312"/>
          <w:color w:val="auto"/>
          <w:szCs w:val="24"/>
          <w:highlight w:val="none"/>
        </w:rPr>
        <w:t xml:space="preserve">：                                         </w:t>
      </w:r>
    </w:p>
    <w:p w14:paraId="10CF1BE4">
      <w:pPr>
        <w:rPr>
          <w:rFonts w:cs="仿宋_GB2312"/>
          <w:color w:val="auto"/>
          <w:szCs w:val="24"/>
          <w:highlight w:val="none"/>
        </w:rPr>
      </w:pPr>
      <w:r>
        <w:rPr>
          <w:rFonts w:hint="eastAsia" w:cs="仿宋_GB2312"/>
          <w:color w:val="auto"/>
          <w:szCs w:val="24"/>
          <w:highlight w:val="none"/>
        </w:rPr>
        <w:t xml:space="preserve">项目编号：         </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976"/>
        <w:gridCol w:w="1758"/>
        <w:gridCol w:w="2157"/>
        <w:gridCol w:w="1937"/>
      </w:tblGrid>
      <w:tr w14:paraId="23CC5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5F892E53">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159" w:type="pct"/>
            <w:vAlign w:val="center"/>
          </w:tcPr>
          <w:p w14:paraId="48E48677">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招标文件技术</w:t>
            </w:r>
          </w:p>
          <w:p w14:paraId="0C5608DB">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要求条款</w:t>
            </w:r>
          </w:p>
        </w:tc>
        <w:tc>
          <w:tcPr>
            <w:tcW w:w="1031" w:type="pct"/>
            <w:vAlign w:val="center"/>
          </w:tcPr>
          <w:p w14:paraId="0B845CF1">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投标文件内容</w:t>
            </w:r>
          </w:p>
          <w:p w14:paraId="4F79E073">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对应简述</w:t>
            </w:r>
          </w:p>
        </w:tc>
        <w:tc>
          <w:tcPr>
            <w:tcW w:w="1265" w:type="pct"/>
            <w:vAlign w:val="center"/>
          </w:tcPr>
          <w:p w14:paraId="4AB4E9C3">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响应情况</w:t>
            </w:r>
          </w:p>
        </w:tc>
        <w:tc>
          <w:tcPr>
            <w:tcW w:w="1136" w:type="pct"/>
            <w:vAlign w:val="center"/>
          </w:tcPr>
          <w:p w14:paraId="09D725B9">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证明资料</w:t>
            </w:r>
            <w:r>
              <w:rPr>
                <w:rFonts w:hint="eastAsia" w:ascii="宋体" w:hAnsi="宋体" w:eastAsia="宋体" w:cs="宋体"/>
                <w:color w:val="auto"/>
                <w:sz w:val="21"/>
                <w:szCs w:val="21"/>
                <w:highlight w:val="none"/>
              </w:rPr>
              <w:t>及索引</w:t>
            </w:r>
          </w:p>
        </w:tc>
      </w:tr>
      <w:tr w14:paraId="39EC0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29950C57">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159" w:type="pct"/>
            <w:vAlign w:val="center"/>
          </w:tcPr>
          <w:p w14:paraId="69B288A0">
            <w:pPr>
              <w:pStyle w:val="51"/>
              <w:jc w:val="center"/>
              <w:rPr>
                <w:rFonts w:hint="eastAsia" w:ascii="宋体" w:hAnsi="宋体" w:eastAsia="宋体" w:cs="宋体"/>
                <w:color w:val="auto"/>
                <w:sz w:val="21"/>
                <w:szCs w:val="21"/>
                <w:highlight w:val="none"/>
              </w:rPr>
            </w:pPr>
          </w:p>
        </w:tc>
        <w:tc>
          <w:tcPr>
            <w:tcW w:w="1031" w:type="pct"/>
            <w:vAlign w:val="center"/>
          </w:tcPr>
          <w:p w14:paraId="0E04AD72">
            <w:pPr>
              <w:pStyle w:val="51"/>
              <w:jc w:val="center"/>
              <w:rPr>
                <w:rFonts w:hint="eastAsia" w:ascii="宋体" w:hAnsi="宋体" w:eastAsia="宋体" w:cs="宋体"/>
                <w:color w:val="auto"/>
                <w:sz w:val="21"/>
                <w:szCs w:val="21"/>
                <w:highlight w:val="none"/>
              </w:rPr>
            </w:pPr>
          </w:p>
        </w:tc>
        <w:tc>
          <w:tcPr>
            <w:tcW w:w="1265" w:type="pct"/>
            <w:vAlign w:val="center"/>
          </w:tcPr>
          <w:p w14:paraId="585AEA1C">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响应/正偏离/负偏离</w:t>
            </w:r>
          </w:p>
        </w:tc>
        <w:tc>
          <w:tcPr>
            <w:tcW w:w="1136" w:type="pct"/>
            <w:vAlign w:val="center"/>
          </w:tcPr>
          <w:p w14:paraId="02D97874">
            <w:pPr>
              <w:pStyle w:val="51"/>
              <w:jc w:val="center"/>
              <w:rPr>
                <w:rFonts w:hint="eastAsia" w:ascii="宋体" w:hAnsi="宋体" w:eastAsia="宋体" w:cs="宋体"/>
                <w:color w:val="auto"/>
                <w:sz w:val="21"/>
                <w:szCs w:val="21"/>
                <w:highlight w:val="none"/>
              </w:rPr>
            </w:pPr>
          </w:p>
        </w:tc>
      </w:tr>
      <w:tr w14:paraId="4EC68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5" w:type="pct"/>
            <w:vAlign w:val="center"/>
          </w:tcPr>
          <w:p w14:paraId="195B6778">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159" w:type="pct"/>
            <w:vAlign w:val="center"/>
          </w:tcPr>
          <w:p w14:paraId="30E52A7F">
            <w:pPr>
              <w:pStyle w:val="51"/>
              <w:jc w:val="center"/>
              <w:rPr>
                <w:rFonts w:hint="eastAsia" w:ascii="宋体" w:hAnsi="宋体" w:eastAsia="宋体" w:cs="宋体"/>
                <w:color w:val="auto"/>
                <w:sz w:val="21"/>
                <w:szCs w:val="21"/>
                <w:highlight w:val="none"/>
              </w:rPr>
            </w:pPr>
          </w:p>
        </w:tc>
        <w:tc>
          <w:tcPr>
            <w:tcW w:w="1031" w:type="pct"/>
            <w:vAlign w:val="center"/>
          </w:tcPr>
          <w:p w14:paraId="29A6C1E1">
            <w:pPr>
              <w:pStyle w:val="51"/>
              <w:jc w:val="center"/>
              <w:rPr>
                <w:rFonts w:hint="eastAsia" w:ascii="宋体" w:hAnsi="宋体" w:eastAsia="宋体" w:cs="宋体"/>
                <w:color w:val="auto"/>
                <w:sz w:val="21"/>
                <w:szCs w:val="21"/>
                <w:highlight w:val="none"/>
              </w:rPr>
            </w:pPr>
          </w:p>
        </w:tc>
        <w:tc>
          <w:tcPr>
            <w:tcW w:w="1265" w:type="pct"/>
            <w:vAlign w:val="center"/>
          </w:tcPr>
          <w:p w14:paraId="5D92E460">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响应/正偏离/负偏离</w:t>
            </w:r>
          </w:p>
        </w:tc>
        <w:tc>
          <w:tcPr>
            <w:tcW w:w="1136" w:type="pct"/>
            <w:vAlign w:val="center"/>
          </w:tcPr>
          <w:p w14:paraId="63E16449">
            <w:pPr>
              <w:pStyle w:val="51"/>
              <w:jc w:val="center"/>
              <w:rPr>
                <w:rFonts w:hint="eastAsia" w:ascii="宋体" w:hAnsi="宋体" w:eastAsia="宋体" w:cs="宋体"/>
                <w:color w:val="auto"/>
                <w:sz w:val="21"/>
                <w:szCs w:val="21"/>
                <w:highlight w:val="none"/>
              </w:rPr>
            </w:pPr>
          </w:p>
        </w:tc>
      </w:tr>
      <w:tr w14:paraId="0C00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shd w:val="clear" w:color="auto" w:fill="auto"/>
            <w:vAlign w:val="center"/>
          </w:tcPr>
          <w:p w14:paraId="4C45FE18">
            <w:pPr>
              <w:pStyle w:val="51"/>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1159" w:type="pct"/>
            <w:shd w:val="clear" w:color="auto" w:fill="auto"/>
            <w:vAlign w:val="center"/>
          </w:tcPr>
          <w:p w14:paraId="6D1DD644">
            <w:pPr>
              <w:pStyle w:val="51"/>
              <w:jc w:val="center"/>
              <w:rPr>
                <w:rFonts w:hint="eastAsia" w:ascii="宋体" w:hAnsi="宋体" w:eastAsia="宋体" w:cs="宋体"/>
                <w:color w:val="auto"/>
                <w:sz w:val="21"/>
                <w:szCs w:val="21"/>
                <w:highlight w:val="none"/>
                <w:lang w:val="en-US" w:eastAsia="zh-CN"/>
              </w:rPr>
            </w:pPr>
          </w:p>
        </w:tc>
        <w:tc>
          <w:tcPr>
            <w:tcW w:w="1031" w:type="pct"/>
            <w:shd w:val="clear" w:color="auto" w:fill="auto"/>
            <w:vAlign w:val="center"/>
          </w:tcPr>
          <w:p w14:paraId="2982168B">
            <w:pPr>
              <w:pStyle w:val="51"/>
              <w:jc w:val="center"/>
              <w:rPr>
                <w:rFonts w:hint="eastAsia" w:ascii="宋体" w:hAnsi="宋体" w:eastAsia="宋体" w:cs="宋体"/>
                <w:color w:val="auto"/>
                <w:sz w:val="21"/>
                <w:szCs w:val="21"/>
                <w:highlight w:val="none"/>
                <w:lang w:val="en-US" w:eastAsia="zh-CN"/>
              </w:rPr>
            </w:pPr>
          </w:p>
        </w:tc>
        <w:tc>
          <w:tcPr>
            <w:tcW w:w="1265" w:type="pct"/>
            <w:shd w:val="clear" w:color="auto" w:fill="auto"/>
            <w:vAlign w:val="center"/>
          </w:tcPr>
          <w:p w14:paraId="78EC7D09">
            <w:pPr>
              <w:pStyle w:val="51"/>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响应/正偏离/负偏离</w:t>
            </w:r>
          </w:p>
        </w:tc>
        <w:tc>
          <w:tcPr>
            <w:tcW w:w="1136" w:type="pct"/>
            <w:vAlign w:val="center"/>
          </w:tcPr>
          <w:p w14:paraId="46369488">
            <w:pPr>
              <w:pStyle w:val="51"/>
              <w:jc w:val="center"/>
              <w:rPr>
                <w:rFonts w:hint="eastAsia" w:ascii="宋体" w:hAnsi="宋体" w:eastAsia="宋体" w:cs="宋体"/>
                <w:color w:val="auto"/>
                <w:sz w:val="21"/>
                <w:szCs w:val="21"/>
                <w:highlight w:val="none"/>
              </w:rPr>
            </w:pPr>
          </w:p>
        </w:tc>
      </w:tr>
      <w:tr w14:paraId="28C8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43874C19">
            <w:pPr>
              <w:pStyle w:val="51"/>
              <w:jc w:val="center"/>
              <w:rPr>
                <w:rFonts w:hint="eastAsia" w:ascii="宋体" w:hAnsi="宋体" w:eastAsia="宋体" w:cs="宋体"/>
                <w:color w:val="auto"/>
                <w:sz w:val="21"/>
                <w:szCs w:val="21"/>
                <w:highlight w:val="none"/>
              </w:rPr>
            </w:pPr>
          </w:p>
        </w:tc>
        <w:tc>
          <w:tcPr>
            <w:tcW w:w="1159" w:type="pct"/>
            <w:vAlign w:val="center"/>
          </w:tcPr>
          <w:p w14:paraId="529041E2">
            <w:pPr>
              <w:pStyle w:val="51"/>
              <w:jc w:val="center"/>
              <w:rPr>
                <w:rFonts w:hint="eastAsia" w:ascii="宋体" w:hAnsi="宋体" w:eastAsia="宋体" w:cs="宋体"/>
                <w:color w:val="auto"/>
                <w:sz w:val="21"/>
                <w:szCs w:val="21"/>
                <w:highlight w:val="none"/>
              </w:rPr>
            </w:pPr>
          </w:p>
        </w:tc>
        <w:tc>
          <w:tcPr>
            <w:tcW w:w="1031" w:type="pct"/>
            <w:vAlign w:val="center"/>
          </w:tcPr>
          <w:p w14:paraId="301E476D">
            <w:pPr>
              <w:pStyle w:val="51"/>
              <w:jc w:val="center"/>
              <w:rPr>
                <w:rFonts w:hint="eastAsia" w:ascii="宋体" w:hAnsi="宋体" w:eastAsia="宋体" w:cs="宋体"/>
                <w:color w:val="auto"/>
                <w:sz w:val="21"/>
                <w:szCs w:val="21"/>
                <w:highlight w:val="none"/>
              </w:rPr>
            </w:pPr>
          </w:p>
        </w:tc>
        <w:tc>
          <w:tcPr>
            <w:tcW w:w="1265" w:type="pct"/>
            <w:vAlign w:val="center"/>
          </w:tcPr>
          <w:p w14:paraId="06F8AED7">
            <w:pPr>
              <w:pStyle w:val="51"/>
              <w:jc w:val="center"/>
              <w:rPr>
                <w:rFonts w:hint="eastAsia" w:ascii="宋体" w:hAnsi="宋体" w:eastAsia="宋体" w:cs="宋体"/>
                <w:color w:val="auto"/>
                <w:sz w:val="21"/>
                <w:szCs w:val="21"/>
                <w:highlight w:val="none"/>
              </w:rPr>
            </w:pPr>
          </w:p>
        </w:tc>
        <w:tc>
          <w:tcPr>
            <w:tcW w:w="1136" w:type="pct"/>
            <w:vAlign w:val="center"/>
          </w:tcPr>
          <w:p w14:paraId="0CE9DF45">
            <w:pPr>
              <w:pStyle w:val="51"/>
              <w:jc w:val="center"/>
              <w:rPr>
                <w:rFonts w:hint="eastAsia" w:ascii="宋体" w:hAnsi="宋体" w:eastAsia="宋体" w:cs="宋体"/>
                <w:color w:val="auto"/>
                <w:sz w:val="21"/>
                <w:szCs w:val="21"/>
                <w:highlight w:val="none"/>
              </w:rPr>
            </w:pPr>
          </w:p>
        </w:tc>
      </w:tr>
      <w:tr w14:paraId="72916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41433E5C">
            <w:pPr>
              <w:pStyle w:val="51"/>
              <w:jc w:val="center"/>
              <w:rPr>
                <w:rFonts w:hint="eastAsia" w:ascii="宋体" w:hAnsi="宋体" w:eastAsia="宋体" w:cs="宋体"/>
                <w:color w:val="auto"/>
                <w:sz w:val="21"/>
                <w:szCs w:val="21"/>
                <w:highlight w:val="none"/>
              </w:rPr>
            </w:pPr>
          </w:p>
        </w:tc>
        <w:tc>
          <w:tcPr>
            <w:tcW w:w="1159" w:type="pct"/>
            <w:vAlign w:val="center"/>
          </w:tcPr>
          <w:p w14:paraId="77107295">
            <w:pPr>
              <w:pStyle w:val="51"/>
              <w:jc w:val="center"/>
              <w:rPr>
                <w:rFonts w:hint="eastAsia" w:ascii="宋体" w:hAnsi="宋体" w:eastAsia="宋体" w:cs="宋体"/>
                <w:color w:val="auto"/>
                <w:sz w:val="21"/>
                <w:szCs w:val="21"/>
                <w:highlight w:val="none"/>
              </w:rPr>
            </w:pPr>
          </w:p>
        </w:tc>
        <w:tc>
          <w:tcPr>
            <w:tcW w:w="1031" w:type="pct"/>
            <w:vAlign w:val="center"/>
          </w:tcPr>
          <w:p w14:paraId="4D01D78E">
            <w:pPr>
              <w:pStyle w:val="51"/>
              <w:jc w:val="center"/>
              <w:rPr>
                <w:rFonts w:hint="eastAsia" w:ascii="宋体" w:hAnsi="宋体" w:eastAsia="宋体" w:cs="宋体"/>
                <w:color w:val="auto"/>
                <w:sz w:val="21"/>
                <w:szCs w:val="21"/>
                <w:highlight w:val="none"/>
              </w:rPr>
            </w:pPr>
          </w:p>
        </w:tc>
        <w:tc>
          <w:tcPr>
            <w:tcW w:w="1265" w:type="pct"/>
            <w:vAlign w:val="center"/>
          </w:tcPr>
          <w:p w14:paraId="6D546857">
            <w:pPr>
              <w:pStyle w:val="51"/>
              <w:jc w:val="center"/>
              <w:rPr>
                <w:rFonts w:hint="eastAsia" w:ascii="宋体" w:hAnsi="宋体" w:eastAsia="宋体" w:cs="宋体"/>
                <w:color w:val="auto"/>
                <w:sz w:val="21"/>
                <w:szCs w:val="21"/>
                <w:highlight w:val="none"/>
              </w:rPr>
            </w:pPr>
          </w:p>
        </w:tc>
        <w:tc>
          <w:tcPr>
            <w:tcW w:w="1136" w:type="pct"/>
            <w:vAlign w:val="center"/>
          </w:tcPr>
          <w:p w14:paraId="2E1B7D0B">
            <w:pPr>
              <w:pStyle w:val="51"/>
              <w:jc w:val="center"/>
              <w:rPr>
                <w:rFonts w:hint="eastAsia" w:ascii="宋体" w:hAnsi="宋体" w:eastAsia="宋体" w:cs="宋体"/>
                <w:color w:val="auto"/>
                <w:sz w:val="21"/>
                <w:szCs w:val="21"/>
                <w:highlight w:val="none"/>
              </w:rPr>
            </w:pPr>
          </w:p>
        </w:tc>
      </w:tr>
      <w:tr w14:paraId="39F80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6AF16AFE">
            <w:pPr>
              <w:pStyle w:val="51"/>
              <w:jc w:val="center"/>
              <w:rPr>
                <w:rFonts w:hint="eastAsia" w:ascii="宋体" w:hAnsi="宋体" w:eastAsia="宋体" w:cs="宋体"/>
                <w:color w:val="auto"/>
                <w:sz w:val="21"/>
                <w:szCs w:val="21"/>
                <w:highlight w:val="none"/>
              </w:rPr>
            </w:pPr>
          </w:p>
        </w:tc>
        <w:tc>
          <w:tcPr>
            <w:tcW w:w="1159" w:type="pct"/>
            <w:vAlign w:val="center"/>
          </w:tcPr>
          <w:p w14:paraId="5C7E043B">
            <w:pPr>
              <w:pStyle w:val="51"/>
              <w:jc w:val="center"/>
              <w:rPr>
                <w:rFonts w:hint="eastAsia" w:ascii="宋体" w:hAnsi="宋体" w:eastAsia="宋体" w:cs="宋体"/>
                <w:color w:val="auto"/>
                <w:sz w:val="21"/>
                <w:szCs w:val="21"/>
                <w:highlight w:val="none"/>
              </w:rPr>
            </w:pPr>
          </w:p>
        </w:tc>
        <w:tc>
          <w:tcPr>
            <w:tcW w:w="1031" w:type="pct"/>
            <w:vAlign w:val="center"/>
          </w:tcPr>
          <w:p w14:paraId="64166C7A">
            <w:pPr>
              <w:pStyle w:val="51"/>
              <w:jc w:val="center"/>
              <w:rPr>
                <w:rFonts w:hint="eastAsia" w:ascii="宋体" w:hAnsi="宋体" w:eastAsia="宋体" w:cs="宋体"/>
                <w:color w:val="auto"/>
                <w:sz w:val="21"/>
                <w:szCs w:val="21"/>
                <w:highlight w:val="none"/>
              </w:rPr>
            </w:pPr>
          </w:p>
        </w:tc>
        <w:tc>
          <w:tcPr>
            <w:tcW w:w="1265" w:type="pct"/>
            <w:vAlign w:val="center"/>
          </w:tcPr>
          <w:p w14:paraId="2817CCE5">
            <w:pPr>
              <w:pStyle w:val="51"/>
              <w:jc w:val="center"/>
              <w:rPr>
                <w:rFonts w:hint="eastAsia" w:ascii="宋体" w:hAnsi="宋体" w:eastAsia="宋体" w:cs="宋体"/>
                <w:color w:val="auto"/>
                <w:sz w:val="21"/>
                <w:szCs w:val="21"/>
                <w:highlight w:val="none"/>
              </w:rPr>
            </w:pPr>
          </w:p>
        </w:tc>
        <w:tc>
          <w:tcPr>
            <w:tcW w:w="1136" w:type="pct"/>
            <w:vAlign w:val="center"/>
          </w:tcPr>
          <w:p w14:paraId="184E3F96">
            <w:pPr>
              <w:pStyle w:val="51"/>
              <w:jc w:val="center"/>
              <w:rPr>
                <w:rFonts w:hint="eastAsia" w:ascii="宋体" w:hAnsi="宋体" w:eastAsia="宋体" w:cs="宋体"/>
                <w:color w:val="auto"/>
                <w:sz w:val="21"/>
                <w:szCs w:val="21"/>
                <w:highlight w:val="none"/>
              </w:rPr>
            </w:pPr>
          </w:p>
        </w:tc>
      </w:tr>
      <w:tr w14:paraId="4BD96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5" w:type="pct"/>
            <w:vAlign w:val="center"/>
          </w:tcPr>
          <w:p w14:paraId="5DBDBE11">
            <w:pPr>
              <w:pStyle w:val="51"/>
              <w:jc w:val="center"/>
              <w:rPr>
                <w:rFonts w:hint="eastAsia" w:ascii="宋体" w:hAnsi="宋体" w:eastAsia="宋体" w:cs="宋体"/>
                <w:color w:val="auto"/>
                <w:sz w:val="21"/>
                <w:szCs w:val="21"/>
                <w:highlight w:val="none"/>
              </w:rPr>
            </w:pPr>
          </w:p>
        </w:tc>
        <w:tc>
          <w:tcPr>
            <w:tcW w:w="1159" w:type="pct"/>
            <w:vAlign w:val="center"/>
          </w:tcPr>
          <w:p w14:paraId="1F11A7BE">
            <w:pPr>
              <w:pStyle w:val="51"/>
              <w:jc w:val="center"/>
              <w:rPr>
                <w:rFonts w:hint="eastAsia" w:ascii="宋体" w:hAnsi="宋体" w:eastAsia="宋体" w:cs="宋体"/>
                <w:color w:val="auto"/>
                <w:sz w:val="21"/>
                <w:szCs w:val="21"/>
                <w:highlight w:val="none"/>
              </w:rPr>
            </w:pPr>
          </w:p>
        </w:tc>
        <w:tc>
          <w:tcPr>
            <w:tcW w:w="1031" w:type="pct"/>
            <w:vAlign w:val="center"/>
          </w:tcPr>
          <w:p w14:paraId="09342B6E">
            <w:pPr>
              <w:pStyle w:val="51"/>
              <w:jc w:val="center"/>
              <w:rPr>
                <w:rFonts w:hint="eastAsia" w:ascii="宋体" w:hAnsi="宋体" w:eastAsia="宋体" w:cs="宋体"/>
                <w:color w:val="auto"/>
                <w:sz w:val="21"/>
                <w:szCs w:val="21"/>
                <w:highlight w:val="none"/>
              </w:rPr>
            </w:pPr>
          </w:p>
        </w:tc>
        <w:tc>
          <w:tcPr>
            <w:tcW w:w="1265" w:type="pct"/>
            <w:vAlign w:val="center"/>
          </w:tcPr>
          <w:p w14:paraId="6742B646">
            <w:pPr>
              <w:pStyle w:val="51"/>
              <w:jc w:val="center"/>
              <w:rPr>
                <w:rFonts w:hint="eastAsia" w:ascii="宋体" w:hAnsi="宋体" w:eastAsia="宋体" w:cs="宋体"/>
                <w:color w:val="auto"/>
                <w:sz w:val="21"/>
                <w:szCs w:val="21"/>
                <w:highlight w:val="none"/>
              </w:rPr>
            </w:pPr>
          </w:p>
        </w:tc>
        <w:tc>
          <w:tcPr>
            <w:tcW w:w="1136" w:type="pct"/>
            <w:vAlign w:val="center"/>
          </w:tcPr>
          <w:p w14:paraId="4C72FCC2">
            <w:pPr>
              <w:pStyle w:val="51"/>
              <w:jc w:val="center"/>
              <w:rPr>
                <w:rFonts w:hint="eastAsia" w:ascii="宋体" w:hAnsi="宋体" w:eastAsia="宋体" w:cs="宋体"/>
                <w:color w:val="auto"/>
                <w:sz w:val="21"/>
                <w:szCs w:val="21"/>
                <w:highlight w:val="none"/>
              </w:rPr>
            </w:pPr>
          </w:p>
        </w:tc>
      </w:tr>
      <w:tr w14:paraId="26694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5" w:type="pct"/>
            <w:vAlign w:val="center"/>
          </w:tcPr>
          <w:p w14:paraId="0D811F11">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159" w:type="pct"/>
            <w:vAlign w:val="center"/>
          </w:tcPr>
          <w:p w14:paraId="7D0AF02A">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031" w:type="pct"/>
            <w:vAlign w:val="center"/>
          </w:tcPr>
          <w:p w14:paraId="6EC8C4F3">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265" w:type="pct"/>
            <w:vAlign w:val="center"/>
          </w:tcPr>
          <w:p w14:paraId="59EB3DF9">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136" w:type="pct"/>
            <w:vAlign w:val="center"/>
          </w:tcPr>
          <w:p w14:paraId="1BF96619">
            <w:pPr>
              <w:pStyle w:val="51"/>
              <w:jc w:val="center"/>
              <w:rPr>
                <w:rFonts w:hint="eastAsia" w:ascii="宋体" w:hAnsi="宋体" w:eastAsia="宋体" w:cs="宋体"/>
                <w:color w:val="auto"/>
                <w:sz w:val="21"/>
                <w:szCs w:val="21"/>
                <w:highlight w:val="none"/>
              </w:rPr>
            </w:pPr>
          </w:p>
        </w:tc>
      </w:tr>
    </w:tbl>
    <w:p w14:paraId="12AEBD40">
      <w:pPr>
        <w:ind w:firstLine="480" w:firstLineChars="200"/>
        <w:rPr>
          <w:rFonts w:cs="仿宋_GB2312"/>
          <w:color w:val="auto"/>
          <w:szCs w:val="24"/>
          <w:highlight w:val="none"/>
        </w:rPr>
      </w:pPr>
    </w:p>
    <w:p w14:paraId="53059121">
      <w:pPr>
        <w:ind w:firstLine="480" w:firstLineChars="20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仿宋_GB2312"/>
          <w:color w:val="auto"/>
          <w:szCs w:val="24"/>
          <w:highlight w:val="none"/>
        </w:rPr>
        <w:t>：</w:t>
      </w:r>
    </w:p>
    <w:p w14:paraId="27EF6D84">
      <w:pPr>
        <w:ind w:firstLine="420"/>
        <w:rPr>
          <w:rFonts w:cs="仿宋_GB2312"/>
          <w:color w:val="auto"/>
          <w:szCs w:val="24"/>
          <w:highlight w:val="none"/>
        </w:rPr>
      </w:pPr>
      <w:r>
        <w:rPr>
          <w:rFonts w:hint="eastAsia" w:cs="仿宋_GB2312"/>
          <w:color w:val="auto"/>
          <w:szCs w:val="24"/>
          <w:highlight w:val="none"/>
        </w:rPr>
        <w:t>日      期：</w:t>
      </w:r>
    </w:p>
    <w:p w14:paraId="34FA0C9E">
      <w:pPr>
        <w:ind w:firstLine="420"/>
        <w:rPr>
          <w:rFonts w:hint="eastAsia" w:cs="仿宋_GB2312"/>
          <w:color w:val="auto"/>
          <w:sz w:val="21"/>
          <w:szCs w:val="21"/>
          <w:highlight w:val="none"/>
          <w:lang w:val="en-US" w:eastAsia="zh-CN"/>
        </w:rPr>
      </w:pPr>
    </w:p>
    <w:p w14:paraId="695CF979">
      <w:pPr>
        <w:ind w:firstLine="420" w:firstLineChars="200"/>
        <w:rPr>
          <w:rFonts w:cs="仿宋_GB2312"/>
          <w:color w:val="auto"/>
          <w:szCs w:val="24"/>
          <w:highlight w:val="none"/>
        </w:rPr>
      </w:pPr>
      <w:r>
        <w:rPr>
          <w:rFonts w:hint="eastAsia" w:cs="仿宋_GB2312"/>
          <w:color w:val="auto"/>
          <w:sz w:val="21"/>
          <w:szCs w:val="21"/>
          <w:highlight w:val="none"/>
        </w:rPr>
        <w:t>注：投标人应按照招标文件“第三章 采购需求”</w:t>
      </w:r>
      <w:r>
        <w:rPr>
          <w:rFonts w:hint="eastAsia" w:cs="仿宋_GB2312"/>
          <w:color w:val="auto"/>
          <w:sz w:val="21"/>
          <w:szCs w:val="21"/>
          <w:highlight w:val="none"/>
          <w:lang w:val="en-US" w:eastAsia="zh-CN"/>
        </w:rPr>
        <w:t>中的技术要求</w:t>
      </w:r>
      <w:r>
        <w:rPr>
          <w:rFonts w:hint="eastAsia" w:cs="仿宋_GB2312"/>
          <w:color w:val="auto"/>
          <w:sz w:val="21"/>
          <w:szCs w:val="21"/>
          <w:highlight w:val="none"/>
        </w:rPr>
        <w:t>填写</w:t>
      </w:r>
      <w:r>
        <w:rPr>
          <w:rFonts w:hint="eastAsia" w:cs="仿宋_GB2312"/>
          <w:color w:val="auto"/>
          <w:sz w:val="21"/>
          <w:szCs w:val="21"/>
          <w:highlight w:val="none"/>
          <w:lang w:eastAsia="zh-CN"/>
        </w:rPr>
        <w:t>：</w:t>
      </w:r>
    </w:p>
    <w:p w14:paraId="2C3D9747">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1.“招标文件技术要求条款”栏应详细列明招标文件中的要求。 </w:t>
      </w:r>
    </w:p>
    <w:p w14:paraId="67B3A4D5">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2.“投标文件内容对应简述”栏填写投标人对招标文件提出的技术要求作出的明确响应，并列明具体响应数值或内容，只注明符合、满足等无具体内容表述的，将视为未实质性满足招标文件要求</w:t>
      </w:r>
      <w:r>
        <w:rPr>
          <w:rFonts w:hint="default" w:cs="仿宋_GB2312"/>
          <w:color w:val="auto"/>
          <w:sz w:val="21"/>
          <w:szCs w:val="21"/>
          <w:highlight w:val="none"/>
          <w:lang w:val="en-US" w:eastAsia="zh-CN"/>
        </w:rPr>
        <w:t>，</w:t>
      </w:r>
      <w:r>
        <w:rPr>
          <w:rFonts w:hint="eastAsia" w:cs="仿宋_GB2312"/>
          <w:b/>
          <w:bCs/>
          <w:color w:val="auto"/>
          <w:sz w:val="21"/>
          <w:szCs w:val="21"/>
          <w:highlight w:val="none"/>
          <w:lang w:val="en-US" w:eastAsia="zh-CN"/>
        </w:rPr>
        <w:t>投标</w:t>
      </w:r>
      <w:r>
        <w:rPr>
          <w:rFonts w:hint="default" w:cs="仿宋_GB2312"/>
          <w:b/>
          <w:bCs/>
          <w:color w:val="auto"/>
          <w:sz w:val="21"/>
          <w:szCs w:val="21"/>
          <w:highlight w:val="none"/>
          <w:lang w:val="en-US" w:eastAsia="zh-CN"/>
        </w:rPr>
        <w:t>无效</w:t>
      </w:r>
      <w:r>
        <w:rPr>
          <w:rFonts w:hint="eastAsia" w:cs="仿宋_GB2312"/>
          <w:color w:val="auto"/>
          <w:sz w:val="21"/>
          <w:szCs w:val="21"/>
          <w:highlight w:val="none"/>
          <w:lang w:val="en-US" w:eastAsia="zh-CN"/>
        </w:rPr>
        <w:t xml:space="preserve">。 </w:t>
      </w:r>
    </w:p>
    <w:p w14:paraId="1ADFBBD2">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3.“响应情况”栏应据实填写“响应”、“正偏离”或“负偏离”。 </w:t>
      </w:r>
    </w:p>
    <w:p w14:paraId="5D0BE6F5">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4.“证明资料及索引”栏可填写证明资料的具体内容及索引。</w:t>
      </w:r>
    </w:p>
    <w:p w14:paraId="2738FDA8">
      <w:pPr>
        <w:ind w:firstLine="420" w:firstLineChars="200"/>
        <w:rPr>
          <w:rFonts w:hint="eastAsia" w:cs="仿宋_GB2312"/>
          <w:color w:val="auto"/>
          <w:sz w:val="21"/>
          <w:szCs w:val="21"/>
          <w:highlight w:val="none"/>
          <w:lang w:val="en-US" w:eastAsia="zh-CN"/>
        </w:rPr>
      </w:pPr>
      <w:r>
        <w:rPr>
          <w:rFonts w:hint="eastAsia" w:cs="仿宋_GB2312"/>
          <w:color w:val="auto"/>
          <w:sz w:val="21"/>
          <w:szCs w:val="21"/>
          <w:highlight w:val="none"/>
          <w:lang w:val="en-US" w:eastAsia="zh-CN"/>
        </w:rPr>
        <w:t>5.对招标文件中的所有技术要求，除本表所列明的所有偏离外，均视作供应商</w:t>
      </w:r>
      <w:r>
        <w:rPr>
          <w:rFonts w:hint="default" w:cs="仿宋_GB2312"/>
          <w:color w:val="auto"/>
          <w:sz w:val="21"/>
          <w:szCs w:val="21"/>
          <w:highlight w:val="none"/>
          <w:lang w:val="en-US" w:eastAsia="zh-CN"/>
        </w:rPr>
        <w:t>已对之理解和响应。此表中若无任何文字说明，内容为空白的，</w:t>
      </w:r>
      <w:r>
        <w:rPr>
          <w:rFonts w:hint="default" w:cs="仿宋_GB2312"/>
          <w:b/>
          <w:bCs/>
          <w:color w:val="auto"/>
          <w:sz w:val="21"/>
          <w:szCs w:val="21"/>
          <w:highlight w:val="none"/>
          <w:lang w:val="en-US" w:eastAsia="zh-CN"/>
        </w:rPr>
        <w:t>投标无效</w:t>
      </w:r>
      <w:r>
        <w:rPr>
          <w:rFonts w:hint="default" w:cs="仿宋_GB2312"/>
          <w:color w:val="auto"/>
          <w:sz w:val="21"/>
          <w:szCs w:val="21"/>
          <w:highlight w:val="none"/>
          <w:lang w:val="en-US" w:eastAsia="zh-CN"/>
        </w:rPr>
        <w:t>。</w:t>
      </w:r>
    </w:p>
    <w:p w14:paraId="1B58EC6A">
      <w:pPr>
        <w:ind w:firstLine="420"/>
        <w:rPr>
          <w:rFonts w:cs="仿宋_GB2312"/>
          <w:color w:val="auto"/>
          <w:szCs w:val="24"/>
          <w:highlight w:val="none"/>
        </w:rPr>
      </w:pPr>
      <w:r>
        <w:rPr>
          <w:rFonts w:cs="仿宋_GB2312"/>
          <w:color w:val="auto"/>
          <w:szCs w:val="24"/>
          <w:highlight w:val="none"/>
        </w:rPr>
        <w:br w:type="page"/>
      </w:r>
    </w:p>
    <w:p w14:paraId="11F665A5">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381" w:name="_Toc29880"/>
      <w:bookmarkStart w:id="382" w:name="_Toc163492930"/>
      <w:r>
        <w:rPr>
          <w:rFonts w:hint="eastAsia" w:cstheme="majorBidi"/>
          <w:b/>
          <w:bCs/>
          <w:color w:val="auto"/>
          <w:kern w:val="2"/>
          <w:sz w:val="32"/>
          <w:szCs w:val="32"/>
          <w:highlight w:val="none"/>
          <w:lang w:val="en-US" w:eastAsia="zh-CN" w:bidi="ar-SA"/>
        </w:rPr>
        <w:t>十五</w:t>
      </w:r>
      <w:r>
        <w:rPr>
          <w:rFonts w:hint="eastAsia" w:eastAsia="宋体" w:asciiTheme="majorHAnsi" w:hAnsiTheme="majorHAnsi" w:cstheme="majorBidi"/>
          <w:b/>
          <w:bCs/>
          <w:color w:val="auto"/>
          <w:kern w:val="2"/>
          <w:sz w:val="32"/>
          <w:szCs w:val="32"/>
          <w:highlight w:val="none"/>
          <w:lang w:val="en-US" w:eastAsia="zh-CN" w:bidi="ar-SA"/>
        </w:rPr>
        <w:t>、业绩证明文件</w:t>
      </w:r>
      <w:bookmarkEnd w:id="381"/>
      <w:bookmarkEnd w:id="382"/>
    </w:p>
    <w:p w14:paraId="2D83E71A">
      <w:pPr>
        <w:rPr>
          <w:rFonts w:cs="仿宋_GB2312"/>
          <w:color w:val="auto"/>
          <w:szCs w:val="24"/>
          <w:highlight w:val="none"/>
        </w:rPr>
      </w:pPr>
      <w:r>
        <w:rPr>
          <w:rFonts w:cs="Arial"/>
          <w:bCs/>
          <w:color w:val="auto"/>
          <w:szCs w:val="21"/>
          <w:highlight w:val="none"/>
        </w:rPr>
        <w:fldChar w:fldCharType="begin"/>
      </w:r>
      <w:r>
        <w:rPr>
          <w:rFonts w:cs="Arial"/>
          <w:bCs/>
          <w:color w:val="auto"/>
          <w:szCs w:val="21"/>
          <w:highlight w:val="none"/>
        </w:rPr>
        <w:instrText xml:space="preserve"> LINK Word.Document.8 "D:\\音乐厅\\4通用设备\\招标文件\\音乐厅空调设备招标文件v1.0.doc" "OLE_LINK8" \r  \* MERGEFORMAT </w:instrText>
      </w:r>
      <w:r>
        <w:rPr>
          <w:rFonts w:cs="Arial"/>
          <w:bCs/>
          <w:color w:val="auto"/>
          <w:szCs w:val="21"/>
          <w:highlight w:val="none"/>
        </w:rPr>
        <w:fldChar w:fldCharType="separate"/>
      </w:r>
      <w:r>
        <w:rPr>
          <w:rFonts w:hint="eastAsia" w:cs="仿宋_GB2312"/>
          <w:color w:val="auto"/>
          <w:szCs w:val="24"/>
          <w:highlight w:val="none"/>
        </w:rPr>
        <w:t>项目名称</w:t>
      </w:r>
      <w:r>
        <w:rPr>
          <w:rFonts w:hint="eastAsia"/>
          <w:b w:val="0"/>
          <w:bCs/>
          <w:color w:val="auto"/>
          <w:szCs w:val="21"/>
          <w:highlight w:val="none"/>
          <w:lang w:val="en-US" w:eastAsia="zh-CN"/>
        </w:rPr>
        <w:t>/标项号</w:t>
      </w:r>
      <w:r>
        <w:rPr>
          <w:rFonts w:hint="eastAsia" w:cs="仿宋_GB2312"/>
          <w:color w:val="auto"/>
          <w:szCs w:val="24"/>
          <w:highlight w:val="none"/>
        </w:rPr>
        <w:t xml:space="preserve">：                                         </w:t>
      </w:r>
    </w:p>
    <w:p w14:paraId="09784D1D">
      <w:pPr>
        <w:rPr>
          <w:rFonts w:cs="Arial"/>
          <w:bCs/>
          <w:color w:val="auto"/>
          <w:szCs w:val="21"/>
          <w:highlight w:val="none"/>
        </w:rPr>
      </w:pPr>
      <w:r>
        <w:rPr>
          <w:rFonts w:hint="eastAsia" w:cs="仿宋_GB2312"/>
          <w:color w:val="auto"/>
          <w:szCs w:val="24"/>
          <w:highlight w:val="none"/>
        </w:rPr>
        <w:t xml:space="preserve">项目编号：      </w:t>
      </w:r>
      <w:r>
        <w:rPr>
          <w:rFonts w:cs="Arial"/>
          <w:bCs/>
          <w:color w:val="auto"/>
          <w:szCs w:val="21"/>
          <w:highlight w:val="none"/>
        </w:rPr>
        <w:fldChar w:fldCharType="end"/>
      </w:r>
    </w:p>
    <w:tbl>
      <w:tblPr>
        <w:tblStyle w:val="30"/>
        <w:tblW w:w="9072" w:type="dxa"/>
        <w:tblInd w:w="-2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560"/>
        <w:gridCol w:w="1248"/>
        <w:gridCol w:w="1560"/>
        <w:gridCol w:w="1344"/>
        <w:gridCol w:w="1525"/>
        <w:gridCol w:w="1091"/>
      </w:tblGrid>
      <w:tr w14:paraId="1E7AD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663DF324">
            <w:pPr>
              <w:jc w:val="center"/>
              <w:rPr>
                <w:rFonts w:hint="eastAsia" w:ascii="宋体" w:hAnsi="宋体" w:eastAsia="宋体" w:cs="宋体"/>
                <w:color w:val="auto"/>
                <w:sz w:val="21"/>
                <w:szCs w:val="21"/>
                <w:highlight w:val="none"/>
              </w:rPr>
            </w:pPr>
            <w:bookmarkStart w:id="383" w:name="_Hlk46779239"/>
            <w:r>
              <w:rPr>
                <w:rFonts w:hint="eastAsia" w:ascii="宋体" w:hAnsi="宋体" w:eastAsia="宋体" w:cs="宋体"/>
                <w:color w:val="auto"/>
                <w:sz w:val="21"/>
                <w:szCs w:val="21"/>
                <w:highlight w:val="none"/>
              </w:rPr>
              <w:t>序号</w:t>
            </w:r>
          </w:p>
        </w:tc>
        <w:tc>
          <w:tcPr>
            <w:tcW w:w="1560" w:type="dxa"/>
            <w:shd w:val="clear" w:color="auto" w:fill="auto"/>
            <w:vAlign w:val="center"/>
          </w:tcPr>
          <w:p w14:paraId="11A663BF">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项目名称</w:t>
            </w:r>
          </w:p>
        </w:tc>
        <w:tc>
          <w:tcPr>
            <w:tcW w:w="1248" w:type="dxa"/>
            <w:shd w:val="clear" w:color="auto" w:fill="auto"/>
            <w:vAlign w:val="center"/>
          </w:tcPr>
          <w:p w14:paraId="2ECB31F5">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标的</w:t>
            </w:r>
            <w:r>
              <w:rPr>
                <w:rFonts w:hint="eastAsia" w:ascii="宋体" w:hAnsi="宋体" w:eastAsia="宋体" w:cs="宋体"/>
                <w:color w:val="auto"/>
                <w:sz w:val="21"/>
                <w:szCs w:val="21"/>
                <w:highlight w:val="none"/>
              </w:rPr>
              <w:t>内容</w:t>
            </w:r>
          </w:p>
        </w:tc>
        <w:tc>
          <w:tcPr>
            <w:tcW w:w="1560" w:type="dxa"/>
            <w:shd w:val="clear" w:color="auto" w:fill="auto"/>
            <w:vAlign w:val="center"/>
          </w:tcPr>
          <w:p w14:paraId="55ED3B4F">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名称</w:t>
            </w:r>
          </w:p>
        </w:tc>
        <w:tc>
          <w:tcPr>
            <w:tcW w:w="1344" w:type="dxa"/>
            <w:shd w:val="clear" w:color="auto" w:fill="auto"/>
            <w:vAlign w:val="center"/>
          </w:tcPr>
          <w:p w14:paraId="57A685D0">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中标（成交）金额</w:t>
            </w:r>
          </w:p>
        </w:tc>
        <w:tc>
          <w:tcPr>
            <w:tcW w:w="1525" w:type="dxa"/>
            <w:shd w:val="clear" w:color="auto" w:fill="auto"/>
            <w:vAlign w:val="center"/>
          </w:tcPr>
          <w:p w14:paraId="0B5EB4A0">
            <w:pPr>
              <w:spacing w:line="240" w:lineRule="auto"/>
              <w:jc w:val="center"/>
              <w:rPr>
                <w:rFonts w:hint="default"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采购合同签订时间</w:t>
            </w:r>
          </w:p>
        </w:tc>
        <w:tc>
          <w:tcPr>
            <w:tcW w:w="1091" w:type="dxa"/>
            <w:vAlign w:val="center"/>
          </w:tcPr>
          <w:p w14:paraId="2992E5B3">
            <w:pPr>
              <w:jc w:val="center"/>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备注</w:t>
            </w:r>
          </w:p>
        </w:tc>
      </w:tr>
      <w:tr w14:paraId="19850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49D10A53">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560" w:type="dxa"/>
            <w:vAlign w:val="center"/>
          </w:tcPr>
          <w:p w14:paraId="5E0C8CBB">
            <w:pPr>
              <w:rPr>
                <w:rFonts w:hint="eastAsia" w:ascii="宋体" w:hAnsi="宋体" w:eastAsia="宋体" w:cs="宋体"/>
                <w:color w:val="auto"/>
                <w:sz w:val="21"/>
                <w:szCs w:val="21"/>
                <w:highlight w:val="none"/>
              </w:rPr>
            </w:pPr>
          </w:p>
        </w:tc>
        <w:tc>
          <w:tcPr>
            <w:tcW w:w="1248" w:type="dxa"/>
            <w:vAlign w:val="center"/>
          </w:tcPr>
          <w:p w14:paraId="67606B41">
            <w:pPr>
              <w:rPr>
                <w:rFonts w:hint="eastAsia" w:ascii="宋体" w:hAnsi="宋体" w:eastAsia="宋体" w:cs="宋体"/>
                <w:color w:val="auto"/>
                <w:sz w:val="21"/>
                <w:szCs w:val="21"/>
                <w:highlight w:val="none"/>
              </w:rPr>
            </w:pPr>
          </w:p>
        </w:tc>
        <w:tc>
          <w:tcPr>
            <w:tcW w:w="1560" w:type="dxa"/>
            <w:vAlign w:val="center"/>
          </w:tcPr>
          <w:p w14:paraId="35700A00">
            <w:pPr>
              <w:rPr>
                <w:rFonts w:hint="eastAsia" w:ascii="宋体" w:hAnsi="宋体" w:eastAsia="宋体" w:cs="宋体"/>
                <w:color w:val="auto"/>
                <w:sz w:val="21"/>
                <w:szCs w:val="21"/>
                <w:highlight w:val="none"/>
              </w:rPr>
            </w:pPr>
          </w:p>
        </w:tc>
        <w:tc>
          <w:tcPr>
            <w:tcW w:w="1344" w:type="dxa"/>
            <w:vAlign w:val="center"/>
          </w:tcPr>
          <w:p w14:paraId="55FE54A7">
            <w:pPr>
              <w:rPr>
                <w:rFonts w:hint="eastAsia" w:ascii="宋体" w:hAnsi="宋体" w:eastAsia="宋体" w:cs="宋体"/>
                <w:color w:val="auto"/>
                <w:sz w:val="21"/>
                <w:szCs w:val="21"/>
                <w:highlight w:val="none"/>
              </w:rPr>
            </w:pPr>
          </w:p>
        </w:tc>
        <w:tc>
          <w:tcPr>
            <w:tcW w:w="1525" w:type="dxa"/>
            <w:vAlign w:val="center"/>
          </w:tcPr>
          <w:p w14:paraId="221C6259">
            <w:pPr>
              <w:rPr>
                <w:rFonts w:hint="eastAsia" w:ascii="宋体" w:hAnsi="宋体" w:eastAsia="宋体" w:cs="宋体"/>
                <w:color w:val="auto"/>
                <w:sz w:val="21"/>
                <w:szCs w:val="21"/>
                <w:highlight w:val="none"/>
              </w:rPr>
            </w:pPr>
          </w:p>
        </w:tc>
        <w:tc>
          <w:tcPr>
            <w:tcW w:w="1091" w:type="dxa"/>
            <w:vAlign w:val="center"/>
          </w:tcPr>
          <w:p w14:paraId="74DE4035">
            <w:pPr>
              <w:rPr>
                <w:rFonts w:hint="eastAsia" w:ascii="宋体" w:hAnsi="宋体" w:eastAsia="宋体" w:cs="宋体"/>
                <w:color w:val="auto"/>
                <w:sz w:val="21"/>
                <w:szCs w:val="21"/>
                <w:highlight w:val="none"/>
              </w:rPr>
            </w:pPr>
          </w:p>
        </w:tc>
      </w:tr>
      <w:tr w14:paraId="3BBA1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5BFFC5B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560" w:type="dxa"/>
            <w:vAlign w:val="center"/>
          </w:tcPr>
          <w:p w14:paraId="197F193E">
            <w:pPr>
              <w:rPr>
                <w:rFonts w:hint="eastAsia" w:ascii="宋体" w:hAnsi="宋体" w:eastAsia="宋体" w:cs="宋体"/>
                <w:color w:val="auto"/>
                <w:sz w:val="21"/>
                <w:szCs w:val="21"/>
                <w:highlight w:val="none"/>
              </w:rPr>
            </w:pPr>
          </w:p>
        </w:tc>
        <w:tc>
          <w:tcPr>
            <w:tcW w:w="1248" w:type="dxa"/>
            <w:vAlign w:val="center"/>
          </w:tcPr>
          <w:p w14:paraId="1C58CBA7">
            <w:pPr>
              <w:rPr>
                <w:rFonts w:hint="eastAsia" w:ascii="宋体" w:hAnsi="宋体" w:eastAsia="宋体" w:cs="宋体"/>
                <w:color w:val="auto"/>
                <w:sz w:val="21"/>
                <w:szCs w:val="21"/>
                <w:highlight w:val="none"/>
              </w:rPr>
            </w:pPr>
          </w:p>
        </w:tc>
        <w:tc>
          <w:tcPr>
            <w:tcW w:w="1560" w:type="dxa"/>
            <w:vAlign w:val="center"/>
          </w:tcPr>
          <w:p w14:paraId="79B4C1E7">
            <w:pPr>
              <w:rPr>
                <w:rFonts w:hint="eastAsia" w:ascii="宋体" w:hAnsi="宋体" w:eastAsia="宋体" w:cs="宋体"/>
                <w:color w:val="auto"/>
                <w:sz w:val="21"/>
                <w:szCs w:val="21"/>
                <w:highlight w:val="none"/>
              </w:rPr>
            </w:pPr>
          </w:p>
        </w:tc>
        <w:tc>
          <w:tcPr>
            <w:tcW w:w="1344" w:type="dxa"/>
            <w:vAlign w:val="center"/>
          </w:tcPr>
          <w:p w14:paraId="23E8E746">
            <w:pPr>
              <w:rPr>
                <w:rFonts w:hint="eastAsia" w:ascii="宋体" w:hAnsi="宋体" w:eastAsia="宋体" w:cs="宋体"/>
                <w:color w:val="auto"/>
                <w:sz w:val="21"/>
                <w:szCs w:val="21"/>
                <w:highlight w:val="none"/>
              </w:rPr>
            </w:pPr>
          </w:p>
        </w:tc>
        <w:tc>
          <w:tcPr>
            <w:tcW w:w="1525" w:type="dxa"/>
            <w:vAlign w:val="center"/>
          </w:tcPr>
          <w:p w14:paraId="6DC2C17E">
            <w:pPr>
              <w:rPr>
                <w:rFonts w:hint="eastAsia" w:ascii="宋体" w:hAnsi="宋体" w:eastAsia="宋体" w:cs="宋体"/>
                <w:color w:val="auto"/>
                <w:sz w:val="21"/>
                <w:szCs w:val="21"/>
                <w:highlight w:val="none"/>
              </w:rPr>
            </w:pPr>
          </w:p>
        </w:tc>
        <w:tc>
          <w:tcPr>
            <w:tcW w:w="1091" w:type="dxa"/>
            <w:vAlign w:val="center"/>
          </w:tcPr>
          <w:p w14:paraId="1C6F74A6">
            <w:pPr>
              <w:rPr>
                <w:rFonts w:hint="eastAsia" w:ascii="宋体" w:hAnsi="宋体" w:eastAsia="宋体" w:cs="宋体"/>
                <w:color w:val="auto"/>
                <w:sz w:val="21"/>
                <w:szCs w:val="21"/>
                <w:highlight w:val="none"/>
              </w:rPr>
            </w:pPr>
          </w:p>
        </w:tc>
      </w:tr>
      <w:tr w14:paraId="502E9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4206957F">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560" w:type="dxa"/>
            <w:vAlign w:val="center"/>
          </w:tcPr>
          <w:p w14:paraId="5CCD4B31">
            <w:pPr>
              <w:rPr>
                <w:rFonts w:hint="eastAsia" w:ascii="宋体" w:hAnsi="宋体" w:eastAsia="宋体" w:cs="宋体"/>
                <w:color w:val="auto"/>
                <w:sz w:val="21"/>
                <w:szCs w:val="21"/>
                <w:highlight w:val="none"/>
              </w:rPr>
            </w:pPr>
          </w:p>
        </w:tc>
        <w:tc>
          <w:tcPr>
            <w:tcW w:w="1248" w:type="dxa"/>
            <w:vAlign w:val="center"/>
          </w:tcPr>
          <w:p w14:paraId="6D82C5AC">
            <w:pPr>
              <w:rPr>
                <w:rFonts w:hint="eastAsia" w:ascii="宋体" w:hAnsi="宋体" w:eastAsia="宋体" w:cs="宋体"/>
                <w:color w:val="auto"/>
                <w:sz w:val="21"/>
                <w:szCs w:val="21"/>
                <w:highlight w:val="none"/>
              </w:rPr>
            </w:pPr>
          </w:p>
        </w:tc>
        <w:tc>
          <w:tcPr>
            <w:tcW w:w="1560" w:type="dxa"/>
            <w:vAlign w:val="center"/>
          </w:tcPr>
          <w:p w14:paraId="5ABCA6CC">
            <w:pPr>
              <w:rPr>
                <w:rFonts w:hint="eastAsia" w:ascii="宋体" w:hAnsi="宋体" w:eastAsia="宋体" w:cs="宋体"/>
                <w:color w:val="auto"/>
                <w:sz w:val="21"/>
                <w:szCs w:val="21"/>
                <w:highlight w:val="none"/>
              </w:rPr>
            </w:pPr>
          </w:p>
        </w:tc>
        <w:tc>
          <w:tcPr>
            <w:tcW w:w="1344" w:type="dxa"/>
            <w:vAlign w:val="center"/>
          </w:tcPr>
          <w:p w14:paraId="50A5777A">
            <w:pPr>
              <w:rPr>
                <w:rFonts w:hint="eastAsia" w:ascii="宋体" w:hAnsi="宋体" w:eastAsia="宋体" w:cs="宋体"/>
                <w:color w:val="auto"/>
                <w:sz w:val="21"/>
                <w:szCs w:val="21"/>
                <w:highlight w:val="none"/>
              </w:rPr>
            </w:pPr>
          </w:p>
        </w:tc>
        <w:tc>
          <w:tcPr>
            <w:tcW w:w="1525" w:type="dxa"/>
            <w:vAlign w:val="center"/>
          </w:tcPr>
          <w:p w14:paraId="1BB0AAFB">
            <w:pPr>
              <w:rPr>
                <w:rFonts w:hint="eastAsia" w:ascii="宋体" w:hAnsi="宋体" w:eastAsia="宋体" w:cs="宋体"/>
                <w:color w:val="auto"/>
                <w:sz w:val="21"/>
                <w:szCs w:val="21"/>
                <w:highlight w:val="none"/>
              </w:rPr>
            </w:pPr>
          </w:p>
        </w:tc>
        <w:tc>
          <w:tcPr>
            <w:tcW w:w="1091" w:type="dxa"/>
            <w:vAlign w:val="center"/>
          </w:tcPr>
          <w:p w14:paraId="71D0F585">
            <w:pPr>
              <w:rPr>
                <w:rFonts w:hint="eastAsia" w:ascii="宋体" w:hAnsi="宋体" w:eastAsia="宋体" w:cs="宋体"/>
                <w:color w:val="auto"/>
                <w:sz w:val="21"/>
                <w:szCs w:val="21"/>
                <w:highlight w:val="none"/>
              </w:rPr>
            </w:pPr>
          </w:p>
        </w:tc>
      </w:tr>
      <w:tr w14:paraId="4EEC8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4D6F84F4">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560" w:type="dxa"/>
            <w:vAlign w:val="center"/>
          </w:tcPr>
          <w:p w14:paraId="0F76EDF7">
            <w:pPr>
              <w:rPr>
                <w:rFonts w:hint="eastAsia" w:ascii="宋体" w:hAnsi="宋体" w:eastAsia="宋体" w:cs="宋体"/>
                <w:color w:val="auto"/>
                <w:sz w:val="21"/>
                <w:szCs w:val="21"/>
                <w:highlight w:val="none"/>
              </w:rPr>
            </w:pPr>
          </w:p>
        </w:tc>
        <w:tc>
          <w:tcPr>
            <w:tcW w:w="1248" w:type="dxa"/>
            <w:vAlign w:val="center"/>
          </w:tcPr>
          <w:p w14:paraId="38596C79">
            <w:pPr>
              <w:rPr>
                <w:rFonts w:hint="eastAsia" w:ascii="宋体" w:hAnsi="宋体" w:eastAsia="宋体" w:cs="宋体"/>
                <w:color w:val="auto"/>
                <w:sz w:val="21"/>
                <w:szCs w:val="21"/>
                <w:highlight w:val="none"/>
              </w:rPr>
            </w:pPr>
          </w:p>
        </w:tc>
        <w:tc>
          <w:tcPr>
            <w:tcW w:w="1560" w:type="dxa"/>
            <w:vAlign w:val="center"/>
          </w:tcPr>
          <w:p w14:paraId="532688C7">
            <w:pPr>
              <w:rPr>
                <w:rFonts w:hint="eastAsia" w:ascii="宋体" w:hAnsi="宋体" w:eastAsia="宋体" w:cs="宋体"/>
                <w:color w:val="auto"/>
                <w:sz w:val="21"/>
                <w:szCs w:val="21"/>
                <w:highlight w:val="none"/>
              </w:rPr>
            </w:pPr>
          </w:p>
        </w:tc>
        <w:tc>
          <w:tcPr>
            <w:tcW w:w="1344" w:type="dxa"/>
            <w:vAlign w:val="center"/>
          </w:tcPr>
          <w:p w14:paraId="78714397">
            <w:pPr>
              <w:rPr>
                <w:rFonts w:hint="eastAsia" w:ascii="宋体" w:hAnsi="宋体" w:eastAsia="宋体" w:cs="宋体"/>
                <w:color w:val="auto"/>
                <w:sz w:val="21"/>
                <w:szCs w:val="21"/>
                <w:highlight w:val="none"/>
              </w:rPr>
            </w:pPr>
          </w:p>
        </w:tc>
        <w:tc>
          <w:tcPr>
            <w:tcW w:w="1525" w:type="dxa"/>
            <w:vAlign w:val="center"/>
          </w:tcPr>
          <w:p w14:paraId="045BFD24">
            <w:pPr>
              <w:rPr>
                <w:rFonts w:hint="eastAsia" w:ascii="宋体" w:hAnsi="宋体" w:eastAsia="宋体" w:cs="宋体"/>
                <w:color w:val="auto"/>
                <w:sz w:val="21"/>
                <w:szCs w:val="21"/>
                <w:highlight w:val="none"/>
              </w:rPr>
            </w:pPr>
          </w:p>
        </w:tc>
        <w:tc>
          <w:tcPr>
            <w:tcW w:w="1091" w:type="dxa"/>
            <w:vAlign w:val="center"/>
          </w:tcPr>
          <w:p w14:paraId="0541B8E5">
            <w:pPr>
              <w:rPr>
                <w:rFonts w:hint="eastAsia" w:ascii="宋体" w:hAnsi="宋体" w:eastAsia="宋体" w:cs="宋体"/>
                <w:color w:val="auto"/>
                <w:sz w:val="21"/>
                <w:szCs w:val="21"/>
                <w:highlight w:val="none"/>
              </w:rPr>
            </w:pPr>
          </w:p>
        </w:tc>
      </w:tr>
      <w:tr w14:paraId="0A7F0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0D9FA9F5">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560" w:type="dxa"/>
            <w:vAlign w:val="center"/>
          </w:tcPr>
          <w:p w14:paraId="7E708283">
            <w:pPr>
              <w:rPr>
                <w:rFonts w:hint="eastAsia" w:ascii="宋体" w:hAnsi="宋体" w:eastAsia="宋体" w:cs="宋体"/>
                <w:color w:val="auto"/>
                <w:sz w:val="21"/>
                <w:szCs w:val="21"/>
                <w:highlight w:val="none"/>
              </w:rPr>
            </w:pPr>
          </w:p>
        </w:tc>
        <w:tc>
          <w:tcPr>
            <w:tcW w:w="1248" w:type="dxa"/>
            <w:vAlign w:val="center"/>
          </w:tcPr>
          <w:p w14:paraId="32F91177">
            <w:pPr>
              <w:rPr>
                <w:rFonts w:hint="eastAsia" w:ascii="宋体" w:hAnsi="宋体" w:eastAsia="宋体" w:cs="宋体"/>
                <w:color w:val="auto"/>
                <w:sz w:val="21"/>
                <w:szCs w:val="21"/>
                <w:highlight w:val="none"/>
              </w:rPr>
            </w:pPr>
          </w:p>
        </w:tc>
        <w:tc>
          <w:tcPr>
            <w:tcW w:w="1560" w:type="dxa"/>
            <w:vAlign w:val="center"/>
          </w:tcPr>
          <w:p w14:paraId="2F9C9F7A">
            <w:pPr>
              <w:rPr>
                <w:rFonts w:hint="eastAsia" w:ascii="宋体" w:hAnsi="宋体" w:eastAsia="宋体" w:cs="宋体"/>
                <w:color w:val="auto"/>
                <w:sz w:val="21"/>
                <w:szCs w:val="21"/>
                <w:highlight w:val="none"/>
              </w:rPr>
            </w:pPr>
          </w:p>
        </w:tc>
        <w:tc>
          <w:tcPr>
            <w:tcW w:w="1344" w:type="dxa"/>
            <w:vAlign w:val="center"/>
          </w:tcPr>
          <w:p w14:paraId="723B1529">
            <w:pPr>
              <w:rPr>
                <w:rFonts w:hint="eastAsia" w:ascii="宋体" w:hAnsi="宋体" w:eastAsia="宋体" w:cs="宋体"/>
                <w:color w:val="auto"/>
                <w:sz w:val="21"/>
                <w:szCs w:val="21"/>
                <w:highlight w:val="none"/>
              </w:rPr>
            </w:pPr>
          </w:p>
        </w:tc>
        <w:tc>
          <w:tcPr>
            <w:tcW w:w="1525" w:type="dxa"/>
            <w:vAlign w:val="center"/>
          </w:tcPr>
          <w:p w14:paraId="6BD6BA2A">
            <w:pPr>
              <w:rPr>
                <w:rFonts w:hint="eastAsia" w:ascii="宋体" w:hAnsi="宋体" w:eastAsia="宋体" w:cs="宋体"/>
                <w:color w:val="auto"/>
                <w:sz w:val="21"/>
                <w:szCs w:val="21"/>
                <w:highlight w:val="none"/>
              </w:rPr>
            </w:pPr>
          </w:p>
        </w:tc>
        <w:tc>
          <w:tcPr>
            <w:tcW w:w="1091" w:type="dxa"/>
            <w:vAlign w:val="center"/>
          </w:tcPr>
          <w:p w14:paraId="2D9912E8">
            <w:pPr>
              <w:rPr>
                <w:rFonts w:hint="eastAsia" w:ascii="宋体" w:hAnsi="宋体" w:eastAsia="宋体" w:cs="宋体"/>
                <w:color w:val="auto"/>
                <w:sz w:val="21"/>
                <w:szCs w:val="21"/>
                <w:highlight w:val="none"/>
              </w:rPr>
            </w:pPr>
          </w:p>
        </w:tc>
      </w:tr>
      <w:tr w14:paraId="5322D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744" w:type="dxa"/>
            <w:vAlign w:val="center"/>
          </w:tcPr>
          <w:p w14:paraId="70DC9501">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560" w:type="dxa"/>
            <w:vAlign w:val="center"/>
          </w:tcPr>
          <w:p w14:paraId="08382563">
            <w:pPr>
              <w:rPr>
                <w:rFonts w:hint="eastAsia" w:ascii="宋体" w:hAnsi="宋体" w:eastAsia="宋体" w:cs="宋体"/>
                <w:color w:val="auto"/>
                <w:sz w:val="21"/>
                <w:szCs w:val="21"/>
                <w:highlight w:val="none"/>
              </w:rPr>
            </w:pPr>
          </w:p>
        </w:tc>
        <w:tc>
          <w:tcPr>
            <w:tcW w:w="1248" w:type="dxa"/>
            <w:vAlign w:val="center"/>
          </w:tcPr>
          <w:p w14:paraId="6FB0D99D">
            <w:pPr>
              <w:rPr>
                <w:rFonts w:hint="eastAsia" w:ascii="宋体" w:hAnsi="宋体" w:eastAsia="宋体" w:cs="宋体"/>
                <w:color w:val="auto"/>
                <w:sz w:val="21"/>
                <w:szCs w:val="21"/>
                <w:highlight w:val="none"/>
              </w:rPr>
            </w:pPr>
          </w:p>
        </w:tc>
        <w:tc>
          <w:tcPr>
            <w:tcW w:w="1560" w:type="dxa"/>
            <w:vAlign w:val="center"/>
          </w:tcPr>
          <w:p w14:paraId="6DE236C2">
            <w:pPr>
              <w:rPr>
                <w:rFonts w:hint="eastAsia" w:ascii="宋体" w:hAnsi="宋体" w:eastAsia="宋体" w:cs="宋体"/>
                <w:color w:val="auto"/>
                <w:sz w:val="21"/>
                <w:szCs w:val="21"/>
                <w:highlight w:val="none"/>
              </w:rPr>
            </w:pPr>
          </w:p>
        </w:tc>
        <w:tc>
          <w:tcPr>
            <w:tcW w:w="1344" w:type="dxa"/>
            <w:vAlign w:val="center"/>
          </w:tcPr>
          <w:p w14:paraId="04CBACB3">
            <w:pPr>
              <w:rPr>
                <w:rFonts w:hint="eastAsia" w:ascii="宋体" w:hAnsi="宋体" w:eastAsia="宋体" w:cs="宋体"/>
                <w:color w:val="auto"/>
                <w:sz w:val="21"/>
                <w:szCs w:val="21"/>
                <w:highlight w:val="none"/>
              </w:rPr>
            </w:pPr>
          </w:p>
        </w:tc>
        <w:tc>
          <w:tcPr>
            <w:tcW w:w="1525" w:type="dxa"/>
            <w:vAlign w:val="center"/>
          </w:tcPr>
          <w:p w14:paraId="292E9563">
            <w:pPr>
              <w:rPr>
                <w:rFonts w:hint="eastAsia" w:ascii="宋体" w:hAnsi="宋体" w:eastAsia="宋体" w:cs="宋体"/>
                <w:color w:val="auto"/>
                <w:sz w:val="21"/>
                <w:szCs w:val="21"/>
                <w:highlight w:val="none"/>
              </w:rPr>
            </w:pPr>
          </w:p>
        </w:tc>
        <w:tc>
          <w:tcPr>
            <w:tcW w:w="1091" w:type="dxa"/>
            <w:vAlign w:val="center"/>
          </w:tcPr>
          <w:p w14:paraId="24FA5F4B">
            <w:pPr>
              <w:rPr>
                <w:rFonts w:hint="eastAsia" w:ascii="宋体" w:hAnsi="宋体" w:eastAsia="宋体" w:cs="宋体"/>
                <w:color w:val="auto"/>
                <w:sz w:val="21"/>
                <w:szCs w:val="21"/>
                <w:highlight w:val="none"/>
              </w:rPr>
            </w:pPr>
          </w:p>
        </w:tc>
      </w:tr>
      <w:bookmarkEnd w:id="383"/>
    </w:tbl>
    <w:p w14:paraId="7FF45C09">
      <w:pPr>
        <w:rPr>
          <w:rFonts w:hint="eastAsia" w:cs="仿宋_GB2312"/>
          <w:color w:val="auto"/>
          <w:szCs w:val="24"/>
          <w:highlight w:val="none"/>
        </w:rPr>
      </w:pPr>
    </w:p>
    <w:p w14:paraId="4F6E4D15">
      <w:pPr>
        <w:rPr>
          <w:rFonts w:hint="eastAsia" w:cs="仿宋_GB2312"/>
          <w:color w:val="auto"/>
          <w:sz w:val="21"/>
          <w:szCs w:val="21"/>
          <w:highlight w:val="none"/>
        </w:rPr>
      </w:pPr>
      <w:r>
        <w:rPr>
          <w:rFonts w:hint="eastAsia" w:cs="仿宋_GB2312"/>
          <w:color w:val="auto"/>
          <w:sz w:val="21"/>
          <w:szCs w:val="21"/>
          <w:highlight w:val="none"/>
        </w:rPr>
        <w:t>注：投标人须按</w:t>
      </w:r>
      <w:r>
        <w:rPr>
          <w:rFonts w:hint="eastAsia" w:cs="仿宋_GB2312"/>
          <w:color w:val="auto"/>
          <w:sz w:val="21"/>
          <w:szCs w:val="21"/>
          <w:highlight w:val="none"/>
          <w:lang w:val="en-US" w:eastAsia="zh-CN"/>
        </w:rPr>
        <w:t>相关要求</w:t>
      </w:r>
      <w:r>
        <w:rPr>
          <w:rFonts w:hint="eastAsia" w:cs="仿宋_GB2312"/>
          <w:color w:val="auto"/>
          <w:sz w:val="21"/>
          <w:szCs w:val="21"/>
          <w:highlight w:val="none"/>
        </w:rPr>
        <w:t>提供相应的</w:t>
      </w:r>
      <w:r>
        <w:rPr>
          <w:rFonts w:hint="eastAsia" w:cs="仿宋_GB2312"/>
          <w:color w:val="auto"/>
          <w:sz w:val="21"/>
          <w:szCs w:val="21"/>
          <w:highlight w:val="none"/>
          <w:lang w:val="en-US" w:eastAsia="zh-CN"/>
        </w:rPr>
        <w:t>中标（成交）通知书或采购合同等</w:t>
      </w:r>
      <w:r>
        <w:rPr>
          <w:rFonts w:hint="eastAsia" w:cs="仿宋_GB2312"/>
          <w:color w:val="auto"/>
          <w:sz w:val="21"/>
          <w:szCs w:val="21"/>
          <w:highlight w:val="none"/>
        </w:rPr>
        <w:t>业绩证明资料。</w:t>
      </w:r>
    </w:p>
    <w:p w14:paraId="47A9F2A8">
      <w:pPr>
        <w:rPr>
          <w:rFonts w:hint="eastAsia" w:eastAsia="宋体" w:cs="仿宋_GB2312"/>
          <w:b/>
          <w:bCs/>
          <w:color w:val="auto"/>
          <w:sz w:val="21"/>
          <w:szCs w:val="21"/>
          <w:highlight w:val="none"/>
          <w:lang w:eastAsia="zh-CN"/>
        </w:rPr>
      </w:pPr>
      <w:r>
        <w:rPr>
          <w:rFonts w:hint="eastAsia" w:cs="仿宋_GB2312"/>
          <w:b/>
          <w:bCs/>
          <w:color w:val="auto"/>
          <w:sz w:val="21"/>
          <w:szCs w:val="21"/>
          <w:highlight w:val="none"/>
          <w:lang w:eastAsia="zh-CN"/>
        </w:rPr>
        <w:t>（具体以评分标准要求为准。）</w:t>
      </w:r>
    </w:p>
    <w:p w14:paraId="21F13D2A">
      <w:pPr>
        <w:widowControl/>
        <w:spacing w:before="100" w:beforeAutospacing="1" w:after="100" w:afterAutospacing="1"/>
        <w:rPr>
          <w:rFonts w:cs="Arial"/>
          <w:color w:val="auto"/>
          <w:szCs w:val="21"/>
          <w:highlight w:val="none"/>
        </w:rPr>
      </w:pPr>
    </w:p>
    <w:p w14:paraId="70E217F9">
      <w:pPr>
        <w:ind w:firstLine="480" w:firstLineChars="20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仿宋_GB2312"/>
          <w:color w:val="auto"/>
          <w:szCs w:val="24"/>
          <w:highlight w:val="none"/>
        </w:rPr>
        <w:t>：</w:t>
      </w:r>
      <w:r>
        <w:rPr>
          <w:rFonts w:cs="仿宋_GB2312"/>
          <w:color w:val="auto"/>
          <w:szCs w:val="24"/>
          <w:highlight w:val="none"/>
        </w:rPr>
        <w:t xml:space="preserve"> </w:t>
      </w:r>
    </w:p>
    <w:p w14:paraId="31D92D9B">
      <w:pPr>
        <w:ind w:firstLine="420"/>
        <w:rPr>
          <w:rFonts w:cs="仿宋_GB2312"/>
          <w:color w:val="auto"/>
          <w:szCs w:val="24"/>
          <w:highlight w:val="none"/>
        </w:rPr>
      </w:pPr>
      <w:r>
        <w:rPr>
          <w:rFonts w:hint="eastAsia" w:cs="仿宋_GB2312"/>
          <w:color w:val="auto"/>
          <w:szCs w:val="24"/>
          <w:highlight w:val="none"/>
        </w:rPr>
        <w:t>日      期：</w:t>
      </w:r>
    </w:p>
    <w:p w14:paraId="22BB9B8C">
      <w:pPr>
        <w:ind w:firstLine="420"/>
        <w:rPr>
          <w:rFonts w:cs="仿宋_GB2312"/>
          <w:color w:val="auto"/>
          <w:szCs w:val="24"/>
          <w:highlight w:val="none"/>
        </w:rPr>
      </w:pPr>
      <w:r>
        <w:rPr>
          <w:rFonts w:cs="仿宋_GB2312"/>
          <w:color w:val="auto"/>
          <w:szCs w:val="24"/>
          <w:highlight w:val="none"/>
        </w:rPr>
        <w:br w:type="page"/>
      </w:r>
    </w:p>
    <w:p w14:paraId="7A4A1AE9">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384" w:name="_Toc163492931"/>
      <w:bookmarkStart w:id="385" w:name="_Toc26782"/>
      <w:r>
        <w:rPr>
          <w:rFonts w:hint="eastAsia" w:cstheme="majorBidi"/>
          <w:b/>
          <w:bCs/>
          <w:color w:val="auto"/>
          <w:kern w:val="2"/>
          <w:sz w:val="32"/>
          <w:szCs w:val="32"/>
          <w:highlight w:val="none"/>
          <w:lang w:val="en-US" w:eastAsia="zh-CN" w:bidi="ar-SA"/>
        </w:rPr>
        <w:t>十六</w:t>
      </w:r>
      <w:r>
        <w:rPr>
          <w:rFonts w:hint="eastAsia" w:eastAsia="宋体" w:asciiTheme="majorHAnsi" w:hAnsiTheme="majorHAnsi" w:cstheme="majorBidi"/>
          <w:b/>
          <w:bCs/>
          <w:color w:val="auto"/>
          <w:kern w:val="2"/>
          <w:sz w:val="32"/>
          <w:szCs w:val="32"/>
          <w:highlight w:val="none"/>
          <w:lang w:val="en-US" w:eastAsia="zh-CN" w:bidi="ar-SA"/>
        </w:rPr>
        <w:t>、拟派项目团队</w:t>
      </w:r>
      <w:bookmarkEnd w:id="384"/>
      <w:bookmarkEnd w:id="385"/>
    </w:p>
    <w:tbl>
      <w:tblPr>
        <w:tblStyle w:val="30"/>
        <w:tblW w:w="9252" w:type="dxa"/>
        <w:tblInd w:w="-4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3"/>
        <w:gridCol w:w="1267"/>
        <w:gridCol w:w="1296"/>
        <w:gridCol w:w="1080"/>
        <w:gridCol w:w="804"/>
        <w:gridCol w:w="1860"/>
        <w:gridCol w:w="1356"/>
        <w:gridCol w:w="816"/>
      </w:tblGrid>
      <w:tr w14:paraId="549085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4" w:hRule="atLeast"/>
        </w:trPr>
        <w:tc>
          <w:tcPr>
            <w:tcW w:w="773" w:type="dxa"/>
            <w:vAlign w:val="center"/>
          </w:tcPr>
          <w:p w14:paraId="30605521">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67" w:type="dxa"/>
            <w:vAlign w:val="center"/>
          </w:tcPr>
          <w:p w14:paraId="16688B32">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团队成员</w:t>
            </w:r>
          </w:p>
          <w:p w14:paraId="45748D3F">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1296" w:type="dxa"/>
            <w:tcBorders>
              <w:right w:val="single" w:color="auto" w:sz="4" w:space="0"/>
            </w:tcBorders>
            <w:vAlign w:val="center"/>
          </w:tcPr>
          <w:p w14:paraId="5AA5F6D8">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工作单位</w:t>
            </w:r>
          </w:p>
        </w:tc>
        <w:tc>
          <w:tcPr>
            <w:tcW w:w="1080" w:type="dxa"/>
            <w:tcBorders>
              <w:left w:val="single" w:color="auto" w:sz="4" w:space="0"/>
            </w:tcBorders>
            <w:vAlign w:val="center"/>
          </w:tcPr>
          <w:p w14:paraId="0189671A">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身份证号</w:t>
            </w:r>
          </w:p>
        </w:tc>
        <w:tc>
          <w:tcPr>
            <w:tcW w:w="804" w:type="dxa"/>
            <w:tcBorders>
              <w:left w:val="single" w:color="auto" w:sz="4" w:space="0"/>
            </w:tcBorders>
            <w:vAlign w:val="center"/>
          </w:tcPr>
          <w:p w14:paraId="29F11B02">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职称</w:t>
            </w:r>
          </w:p>
        </w:tc>
        <w:tc>
          <w:tcPr>
            <w:tcW w:w="1860" w:type="dxa"/>
            <w:vAlign w:val="center"/>
          </w:tcPr>
          <w:p w14:paraId="7A56592C">
            <w:pPr>
              <w:pStyle w:val="51"/>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注册证书（岗位证书）名称及编号</w:t>
            </w:r>
          </w:p>
        </w:tc>
        <w:tc>
          <w:tcPr>
            <w:tcW w:w="1356" w:type="dxa"/>
            <w:vAlign w:val="center"/>
          </w:tcPr>
          <w:p w14:paraId="6A504EE7">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在团队中职务（岗位）</w:t>
            </w:r>
          </w:p>
        </w:tc>
        <w:tc>
          <w:tcPr>
            <w:tcW w:w="816" w:type="dxa"/>
            <w:vAlign w:val="center"/>
          </w:tcPr>
          <w:p w14:paraId="718A2298">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自有/外聘</w:t>
            </w:r>
          </w:p>
        </w:tc>
      </w:tr>
      <w:tr w14:paraId="0BEC33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4CAFF8C1">
            <w:pPr>
              <w:pStyle w:val="51"/>
              <w:jc w:val="center"/>
              <w:rPr>
                <w:rFonts w:hint="eastAsia" w:ascii="宋体" w:hAnsi="宋体" w:eastAsia="宋体" w:cs="宋体"/>
                <w:color w:val="auto"/>
                <w:sz w:val="21"/>
                <w:szCs w:val="21"/>
                <w:highlight w:val="none"/>
              </w:rPr>
            </w:pPr>
            <w:bookmarkStart w:id="386" w:name="_Toc100090784"/>
            <w:bookmarkStart w:id="387" w:name="_Toc99533292"/>
            <w:r>
              <w:rPr>
                <w:rFonts w:hint="eastAsia" w:ascii="宋体" w:hAnsi="宋体" w:eastAsia="宋体" w:cs="宋体"/>
                <w:color w:val="auto"/>
                <w:sz w:val="21"/>
                <w:szCs w:val="21"/>
                <w:highlight w:val="none"/>
              </w:rPr>
              <w:t>1</w:t>
            </w:r>
            <w:bookmarkEnd w:id="386"/>
            <w:bookmarkEnd w:id="387"/>
          </w:p>
        </w:tc>
        <w:tc>
          <w:tcPr>
            <w:tcW w:w="1267" w:type="dxa"/>
            <w:vAlign w:val="center"/>
          </w:tcPr>
          <w:p w14:paraId="4471D53D">
            <w:pPr>
              <w:pStyle w:val="51"/>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53839B7F">
            <w:pPr>
              <w:pStyle w:val="51"/>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0E06F164">
            <w:pPr>
              <w:pStyle w:val="51"/>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5F16B955">
            <w:pPr>
              <w:pStyle w:val="51"/>
              <w:jc w:val="center"/>
              <w:rPr>
                <w:rFonts w:hint="eastAsia" w:ascii="宋体" w:hAnsi="宋体" w:eastAsia="宋体" w:cs="宋体"/>
                <w:color w:val="auto"/>
                <w:sz w:val="21"/>
                <w:szCs w:val="21"/>
                <w:highlight w:val="none"/>
              </w:rPr>
            </w:pPr>
          </w:p>
        </w:tc>
        <w:tc>
          <w:tcPr>
            <w:tcW w:w="1860" w:type="dxa"/>
            <w:vAlign w:val="center"/>
          </w:tcPr>
          <w:p w14:paraId="3C0AC21C">
            <w:pPr>
              <w:pStyle w:val="51"/>
              <w:jc w:val="center"/>
              <w:rPr>
                <w:rFonts w:hint="eastAsia" w:ascii="宋体" w:hAnsi="宋体" w:eastAsia="宋体" w:cs="宋体"/>
                <w:color w:val="auto"/>
                <w:sz w:val="21"/>
                <w:szCs w:val="21"/>
                <w:highlight w:val="none"/>
              </w:rPr>
            </w:pPr>
          </w:p>
        </w:tc>
        <w:tc>
          <w:tcPr>
            <w:tcW w:w="1356" w:type="dxa"/>
            <w:vAlign w:val="center"/>
          </w:tcPr>
          <w:p w14:paraId="3AAF91A6">
            <w:pPr>
              <w:pStyle w:val="51"/>
              <w:jc w:val="center"/>
              <w:rPr>
                <w:rFonts w:hint="eastAsia" w:ascii="宋体" w:hAnsi="宋体" w:eastAsia="宋体" w:cs="宋体"/>
                <w:color w:val="auto"/>
                <w:sz w:val="21"/>
                <w:szCs w:val="21"/>
                <w:highlight w:val="none"/>
              </w:rPr>
            </w:pPr>
          </w:p>
        </w:tc>
        <w:tc>
          <w:tcPr>
            <w:tcW w:w="816" w:type="dxa"/>
            <w:vAlign w:val="center"/>
          </w:tcPr>
          <w:p w14:paraId="18AD137A">
            <w:pPr>
              <w:pStyle w:val="51"/>
              <w:jc w:val="center"/>
              <w:rPr>
                <w:rFonts w:hint="eastAsia" w:ascii="宋体" w:hAnsi="宋体" w:eastAsia="宋体" w:cs="宋体"/>
                <w:color w:val="auto"/>
                <w:sz w:val="21"/>
                <w:szCs w:val="21"/>
                <w:highlight w:val="none"/>
              </w:rPr>
            </w:pPr>
          </w:p>
        </w:tc>
      </w:tr>
      <w:tr w14:paraId="7D6BE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1D80BCA5">
            <w:pPr>
              <w:pStyle w:val="51"/>
              <w:jc w:val="center"/>
              <w:rPr>
                <w:rFonts w:hint="eastAsia" w:ascii="宋体" w:hAnsi="宋体" w:eastAsia="宋体" w:cs="宋体"/>
                <w:color w:val="auto"/>
                <w:sz w:val="21"/>
                <w:szCs w:val="21"/>
                <w:highlight w:val="none"/>
              </w:rPr>
            </w:pPr>
            <w:bookmarkStart w:id="388" w:name="_Toc99533293"/>
            <w:bookmarkStart w:id="389" w:name="_Toc100090785"/>
            <w:r>
              <w:rPr>
                <w:rFonts w:hint="eastAsia" w:ascii="宋体" w:hAnsi="宋体" w:eastAsia="宋体" w:cs="宋体"/>
                <w:color w:val="auto"/>
                <w:sz w:val="21"/>
                <w:szCs w:val="21"/>
                <w:highlight w:val="none"/>
              </w:rPr>
              <w:t>2</w:t>
            </w:r>
            <w:bookmarkEnd w:id="388"/>
            <w:bookmarkEnd w:id="389"/>
          </w:p>
        </w:tc>
        <w:tc>
          <w:tcPr>
            <w:tcW w:w="1267" w:type="dxa"/>
            <w:vAlign w:val="center"/>
          </w:tcPr>
          <w:p w14:paraId="5CBD627E">
            <w:pPr>
              <w:pStyle w:val="51"/>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0389DB9E">
            <w:pPr>
              <w:pStyle w:val="51"/>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6BB4E677">
            <w:pPr>
              <w:pStyle w:val="51"/>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767C46B9">
            <w:pPr>
              <w:pStyle w:val="51"/>
              <w:jc w:val="center"/>
              <w:rPr>
                <w:rFonts w:hint="eastAsia" w:ascii="宋体" w:hAnsi="宋体" w:eastAsia="宋体" w:cs="宋体"/>
                <w:color w:val="auto"/>
                <w:sz w:val="21"/>
                <w:szCs w:val="21"/>
                <w:highlight w:val="none"/>
              </w:rPr>
            </w:pPr>
          </w:p>
        </w:tc>
        <w:tc>
          <w:tcPr>
            <w:tcW w:w="1860" w:type="dxa"/>
            <w:vAlign w:val="center"/>
          </w:tcPr>
          <w:p w14:paraId="40F316A3">
            <w:pPr>
              <w:pStyle w:val="51"/>
              <w:jc w:val="center"/>
              <w:rPr>
                <w:rFonts w:hint="eastAsia" w:ascii="宋体" w:hAnsi="宋体" w:eastAsia="宋体" w:cs="宋体"/>
                <w:color w:val="auto"/>
                <w:sz w:val="21"/>
                <w:szCs w:val="21"/>
                <w:highlight w:val="none"/>
              </w:rPr>
            </w:pPr>
          </w:p>
        </w:tc>
        <w:tc>
          <w:tcPr>
            <w:tcW w:w="1356" w:type="dxa"/>
            <w:vAlign w:val="center"/>
          </w:tcPr>
          <w:p w14:paraId="54F8F637">
            <w:pPr>
              <w:pStyle w:val="51"/>
              <w:jc w:val="center"/>
              <w:rPr>
                <w:rFonts w:hint="eastAsia" w:ascii="宋体" w:hAnsi="宋体" w:eastAsia="宋体" w:cs="宋体"/>
                <w:color w:val="auto"/>
                <w:sz w:val="21"/>
                <w:szCs w:val="21"/>
                <w:highlight w:val="none"/>
              </w:rPr>
            </w:pPr>
          </w:p>
        </w:tc>
        <w:tc>
          <w:tcPr>
            <w:tcW w:w="816" w:type="dxa"/>
            <w:vAlign w:val="center"/>
          </w:tcPr>
          <w:p w14:paraId="2D64FC92">
            <w:pPr>
              <w:pStyle w:val="51"/>
              <w:jc w:val="center"/>
              <w:rPr>
                <w:rFonts w:hint="eastAsia" w:ascii="宋体" w:hAnsi="宋体" w:eastAsia="宋体" w:cs="宋体"/>
                <w:color w:val="auto"/>
                <w:sz w:val="21"/>
                <w:szCs w:val="21"/>
                <w:highlight w:val="none"/>
              </w:rPr>
            </w:pPr>
          </w:p>
        </w:tc>
      </w:tr>
      <w:tr w14:paraId="08F80B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47588133">
            <w:pPr>
              <w:pStyle w:val="51"/>
              <w:jc w:val="center"/>
              <w:rPr>
                <w:rFonts w:hint="eastAsia" w:ascii="宋体" w:hAnsi="宋体" w:eastAsia="宋体" w:cs="宋体"/>
                <w:color w:val="auto"/>
                <w:sz w:val="21"/>
                <w:szCs w:val="21"/>
                <w:highlight w:val="none"/>
              </w:rPr>
            </w:pPr>
            <w:bookmarkStart w:id="390" w:name="_Toc99533294"/>
            <w:bookmarkStart w:id="391" w:name="_Toc100090786"/>
            <w:r>
              <w:rPr>
                <w:rFonts w:hint="eastAsia" w:ascii="宋体" w:hAnsi="宋体" w:eastAsia="宋体" w:cs="宋体"/>
                <w:color w:val="auto"/>
                <w:sz w:val="21"/>
                <w:szCs w:val="21"/>
                <w:highlight w:val="none"/>
              </w:rPr>
              <w:t>3</w:t>
            </w:r>
            <w:bookmarkEnd w:id="390"/>
            <w:bookmarkEnd w:id="391"/>
          </w:p>
        </w:tc>
        <w:tc>
          <w:tcPr>
            <w:tcW w:w="1267" w:type="dxa"/>
            <w:vAlign w:val="center"/>
          </w:tcPr>
          <w:p w14:paraId="47E49549">
            <w:pPr>
              <w:pStyle w:val="51"/>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3D0C0128">
            <w:pPr>
              <w:pStyle w:val="51"/>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3786EB96">
            <w:pPr>
              <w:pStyle w:val="51"/>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43448906">
            <w:pPr>
              <w:pStyle w:val="51"/>
              <w:jc w:val="center"/>
              <w:rPr>
                <w:rFonts w:hint="eastAsia" w:ascii="宋体" w:hAnsi="宋体" w:eastAsia="宋体" w:cs="宋体"/>
                <w:color w:val="auto"/>
                <w:sz w:val="21"/>
                <w:szCs w:val="21"/>
                <w:highlight w:val="none"/>
              </w:rPr>
            </w:pPr>
          </w:p>
        </w:tc>
        <w:tc>
          <w:tcPr>
            <w:tcW w:w="1860" w:type="dxa"/>
            <w:vAlign w:val="center"/>
          </w:tcPr>
          <w:p w14:paraId="1B688287">
            <w:pPr>
              <w:pStyle w:val="51"/>
              <w:jc w:val="center"/>
              <w:rPr>
                <w:rFonts w:hint="eastAsia" w:ascii="宋体" w:hAnsi="宋体" w:eastAsia="宋体" w:cs="宋体"/>
                <w:color w:val="auto"/>
                <w:sz w:val="21"/>
                <w:szCs w:val="21"/>
                <w:highlight w:val="none"/>
              </w:rPr>
            </w:pPr>
          </w:p>
        </w:tc>
        <w:tc>
          <w:tcPr>
            <w:tcW w:w="1356" w:type="dxa"/>
            <w:vAlign w:val="center"/>
          </w:tcPr>
          <w:p w14:paraId="28A473DD">
            <w:pPr>
              <w:pStyle w:val="51"/>
              <w:jc w:val="center"/>
              <w:rPr>
                <w:rFonts w:hint="eastAsia" w:ascii="宋体" w:hAnsi="宋体" w:eastAsia="宋体" w:cs="宋体"/>
                <w:color w:val="auto"/>
                <w:sz w:val="21"/>
                <w:szCs w:val="21"/>
                <w:highlight w:val="none"/>
              </w:rPr>
            </w:pPr>
          </w:p>
        </w:tc>
        <w:tc>
          <w:tcPr>
            <w:tcW w:w="816" w:type="dxa"/>
            <w:vAlign w:val="center"/>
          </w:tcPr>
          <w:p w14:paraId="703C8B3F">
            <w:pPr>
              <w:pStyle w:val="51"/>
              <w:jc w:val="center"/>
              <w:rPr>
                <w:rFonts w:hint="eastAsia" w:ascii="宋体" w:hAnsi="宋体" w:eastAsia="宋体" w:cs="宋体"/>
                <w:color w:val="auto"/>
                <w:sz w:val="21"/>
                <w:szCs w:val="21"/>
                <w:highlight w:val="none"/>
              </w:rPr>
            </w:pPr>
          </w:p>
        </w:tc>
      </w:tr>
      <w:tr w14:paraId="754D4D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161BADF4">
            <w:pPr>
              <w:pStyle w:val="51"/>
              <w:jc w:val="center"/>
              <w:rPr>
                <w:rFonts w:hint="eastAsia" w:ascii="宋体" w:hAnsi="宋体" w:eastAsia="宋体" w:cs="宋体"/>
                <w:color w:val="auto"/>
                <w:sz w:val="21"/>
                <w:szCs w:val="21"/>
                <w:highlight w:val="none"/>
              </w:rPr>
            </w:pPr>
            <w:bookmarkStart w:id="392" w:name="_Toc100090787"/>
            <w:bookmarkStart w:id="393" w:name="_Toc99533295"/>
            <w:r>
              <w:rPr>
                <w:rFonts w:hint="eastAsia" w:ascii="宋体" w:hAnsi="宋体" w:eastAsia="宋体" w:cs="宋体"/>
                <w:color w:val="auto"/>
                <w:sz w:val="21"/>
                <w:szCs w:val="21"/>
                <w:highlight w:val="none"/>
              </w:rPr>
              <w:t>4</w:t>
            </w:r>
            <w:bookmarkEnd w:id="392"/>
            <w:bookmarkEnd w:id="393"/>
          </w:p>
        </w:tc>
        <w:tc>
          <w:tcPr>
            <w:tcW w:w="1267" w:type="dxa"/>
            <w:vAlign w:val="center"/>
          </w:tcPr>
          <w:p w14:paraId="111BAF0C">
            <w:pPr>
              <w:pStyle w:val="51"/>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2CDAF6AA">
            <w:pPr>
              <w:pStyle w:val="51"/>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10AA7C4A">
            <w:pPr>
              <w:pStyle w:val="51"/>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29547D93">
            <w:pPr>
              <w:pStyle w:val="51"/>
              <w:jc w:val="center"/>
              <w:rPr>
                <w:rFonts w:hint="eastAsia" w:ascii="宋体" w:hAnsi="宋体" w:eastAsia="宋体" w:cs="宋体"/>
                <w:color w:val="auto"/>
                <w:sz w:val="21"/>
                <w:szCs w:val="21"/>
                <w:highlight w:val="none"/>
              </w:rPr>
            </w:pPr>
          </w:p>
        </w:tc>
        <w:tc>
          <w:tcPr>
            <w:tcW w:w="1860" w:type="dxa"/>
            <w:vAlign w:val="center"/>
          </w:tcPr>
          <w:p w14:paraId="51EF97D8">
            <w:pPr>
              <w:pStyle w:val="51"/>
              <w:jc w:val="center"/>
              <w:rPr>
                <w:rFonts w:hint="eastAsia" w:ascii="宋体" w:hAnsi="宋体" w:eastAsia="宋体" w:cs="宋体"/>
                <w:color w:val="auto"/>
                <w:sz w:val="21"/>
                <w:szCs w:val="21"/>
                <w:highlight w:val="none"/>
              </w:rPr>
            </w:pPr>
          </w:p>
        </w:tc>
        <w:tc>
          <w:tcPr>
            <w:tcW w:w="1356" w:type="dxa"/>
            <w:vAlign w:val="center"/>
          </w:tcPr>
          <w:p w14:paraId="42C5B3CB">
            <w:pPr>
              <w:pStyle w:val="51"/>
              <w:jc w:val="center"/>
              <w:rPr>
                <w:rFonts w:hint="eastAsia" w:ascii="宋体" w:hAnsi="宋体" w:eastAsia="宋体" w:cs="宋体"/>
                <w:color w:val="auto"/>
                <w:sz w:val="21"/>
                <w:szCs w:val="21"/>
                <w:highlight w:val="none"/>
              </w:rPr>
            </w:pPr>
          </w:p>
        </w:tc>
        <w:tc>
          <w:tcPr>
            <w:tcW w:w="816" w:type="dxa"/>
            <w:vAlign w:val="center"/>
          </w:tcPr>
          <w:p w14:paraId="06AAE706">
            <w:pPr>
              <w:pStyle w:val="51"/>
              <w:jc w:val="center"/>
              <w:rPr>
                <w:rFonts w:hint="eastAsia" w:ascii="宋体" w:hAnsi="宋体" w:eastAsia="宋体" w:cs="宋体"/>
                <w:color w:val="auto"/>
                <w:sz w:val="21"/>
                <w:szCs w:val="21"/>
                <w:highlight w:val="none"/>
              </w:rPr>
            </w:pPr>
          </w:p>
        </w:tc>
      </w:tr>
      <w:tr w14:paraId="2F0CA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5FD4D585">
            <w:pPr>
              <w:pStyle w:val="51"/>
              <w:jc w:val="center"/>
              <w:rPr>
                <w:rFonts w:hint="eastAsia" w:ascii="宋体" w:hAnsi="宋体" w:eastAsia="宋体" w:cs="宋体"/>
                <w:color w:val="auto"/>
                <w:sz w:val="21"/>
                <w:szCs w:val="21"/>
                <w:highlight w:val="none"/>
              </w:rPr>
            </w:pPr>
            <w:bookmarkStart w:id="394" w:name="_Toc99533296"/>
            <w:bookmarkStart w:id="395" w:name="_Toc100090788"/>
            <w:r>
              <w:rPr>
                <w:rFonts w:hint="eastAsia" w:ascii="宋体" w:hAnsi="宋体" w:eastAsia="宋体" w:cs="宋体"/>
                <w:color w:val="auto"/>
                <w:sz w:val="21"/>
                <w:szCs w:val="21"/>
                <w:highlight w:val="none"/>
              </w:rPr>
              <w:t>5</w:t>
            </w:r>
            <w:bookmarkEnd w:id="394"/>
            <w:bookmarkEnd w:id="395"/>
          </w:p>
        </w:tc>
        <w:tc>
          <w:tcPr>
            <w:tcW w:w="1267" w:type="dxa"/>
            <w:vAlign w:val="center"/>
          </w:tcPr>
          <w:p w14:paraId="2BFE9012">
            <w:pPr>
              <w:pStyle w:val="51"/>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7B00C170">
            <w:pPr>
              <w:pStyle w:val="51"/>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3EBB6E0D">
            <w:pPr>
              <w:pStyle w:val="51"/>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6B192808">
            <w:pPr>
              <w:pStyle w:val="51"/>
              <w:jc w:val="center"/>
              <w:rPr>
                <w:rFonts w:hint="eastAsia" w:ascii="宋体" w:hAnsi="宋体" w:eastAsia="宋体" w:cs="宋体"/>
                <w:color w:val="auto"/>
                <w:sz w:val="21"/>
                <w:szCs w:val="21"/>
                <w:highlight w:val="none"/>
              </w:rPr>
            </w:pPr>
          </w:p>
        </w:tc>
        <w:tc>
          <w:tcPr>
            <w:tcW w:w="1860" w:type="dxa"/>
            <w:vAlign w:val="center"/>
          </w:tcPr>
          <w:p w14:paraId="3E036195">
            <w:pPr>
              <w:pStyle w:val="51"/>
              <w:jc w:val="center"/>
              <w:rPr>
                <w:rFonts w:hint="eastAsia" w:ascii="宋体" w:hAnsi="宋体" w:eastAsia="宋体" w:cs="宋体"/>
                <w:color w:val="auto"/>
                <w:sz w:val="21"/>
                <w:szCs w:val="21"/>
                <w:highlight w:val="none"/>
              </w:rPr>
            </w:pPr>
          </w:p>
        </w:tc>
        <w:tc>
          <w:tcPr>
            <w:tcW w:w="1356" w:type="dxa"/>
            <w:vAlign w:val="center"/>
          </w:tcPr>
          <w:p w14:paraId="1B1E121D">
            <w:pPr>
              <w:pStyle w:val="51"/>
              <w:jc w:val="center"/>
              <w:rPr>
                <w:rFonts w:hint="eastAsia" w:ascii="宋体" w:hAnsi="宋体" w:eastAsia="宋体" w:cs="宋体"/>
                <w:color w:val="auto"/>
                <w:sz w:val="21"/>
                <w:szCs w:val="21"/>
                <w:highlight w:val="none"/>
              </w:rPr>
            </w:pPr>
          </w:p>
        </w:tc>
        <w:tc>
          <w:tcPr>
            <w:tcW w:w="816" w:type="dxa"/>
            <w:vAlign w:val="center"/>
          </w:tcPr>
          <w:p w14:paraId="3ECCEDCE">
            <w:pPr>
              <w:pStyle w:val="51"/>
              <w:jc w:val="center"/>
              <w:rPr>
                <w:rFonts w:hint="eastAsia" w:ascii="宋体" w:hAnsi="宋体" w:eastAsia="宋体" w:cs="宋体"/>
                <w:color w:val="auto"/>
                <w:sz w:val="21"/>
                <w:szCs w:val="21"/>
                <w:highlight w:val="none"/>
              </w:rPr>
            </w:pPr>
          </w:p>
        </w:tc>
      </w:tr>
      <w:tr w14:paraId="74D2E2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546CAAC9">
            <w:pPr>
              <w:pStyle w:val="51"/>
              <w:jc w:val="center"/>
              <w:rPr>
                <w:rFonts w:hint="eastAsia" w:ascii="宋体" w:hAnsi="宋体" w:eastAsia="宋体" w:cs="宋体"/>
                <w:color w:val="auto"/>
                <w:sz w:val="21"/>
                <w:szCs w:val="21"/>
                <w:highlight w:val="none"/>
              </w:rPr>
            </w:pPr>
            <w:bookmarkStart w:id="396" w:name="_Toc99533297"/>
            <w:bookmarkStart w:id="397" w:name="_Toc100090789"/>
            <w:r>
              <w:rPr>
                <w:rFonts w:hint="eastAsia" w:ascii="宋体" w:hAnsi="宋体" w:eastAsia="宋体" w:cs="宋体"/>
                <w:color w:val="auto"/>
                <w:sz w:val="21"/>
                <w:szCs w:val="21"/>
                <w:highlight w:val="none"/>
              </w:rPr>
              <w:t>6</w:t>
            </w:r>
            <w:bookmarkEnd w:id="396"/>
            <w:bookmarkEnd w:id="397"/>
          </w:p>
        </w:tc>
        <w:tc>
          <w:tcPr>
            <w:tcW w:w="1267" w:type="dxa"/>
            <w:vAlign w:val="center"/>
          </w:tcPr>
          <w:p w14:paraId="19B6B6B7">
            <w:pPr>
              <w:pStyle w:val="51"/>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4514DD4A">
            <w:pPr>
              <w:pStyle w:val="51"/>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05213086">
            <w:pPr>
              <w:pStyle w:val="51"/>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4F463750">
            <w:pPr>
              <w:pStyle w:val="51"/>
              <w:jc w:val="center"/>
              <w:rPr>
                <w:rFonts w:hint="eastAsia" w:ascii="宋体" w:hAnsi="宋体" w:eastAsia="宋体" w:cs="宋体"/>
                <w:color w:val="auto"/>
                <w:sz w:val="21"/>
                <w:szCs w:val="21"/>
                <w:highlight w:val="none"/>
              </w:rPr>
            </w:pPr>
          </w:p>
        </w:tc>
        <w:tc>
          <w:tcPr>
            <w:tcW w:w="1860" w:type="dxa"/>
            <w:vAlign w:val="center"/>
          </w:tcPr>
          <w:p w14:paraId="5972AA97">
            <w:pPr>
              <w:pStyle w:val="51"/>
              <w:jc w:val="center"/>
              <w:rPr>
                <w:rFonts w:hint="eastAsia" w:ascii="宋体" w:hAnsi="宋体" w:eastAsia="宋体" w:cs="宋体"/>
                <w:color w:val="auto"/>
                <w:sz w:val="21"/>
                <w:szCs w:val="21"/>
                <w:highlight w:val="none"/>
              </w:rPr>
            </w:pPr>
          </w:p>
        </w:tc>
        <w:tc>
          <w:tcPr>
            <w:tcW w:w="1356" w:type="dxa"/>
            <w:vAlign w:val="center"/>
          </w:tcPr>
          <w:p w14:paraId="4345984C">
            <w:pPr>
              <w:pStyle w:val="51"/>
              <w:jc w:val="center"/>
              <w:rPr>
                <w:rFonts w:hint="eastAsia" w:ascii="宋体" w:hAnsi="宋体" w:eastAsia="宋体" w:cs="宋体"/>
                <w:color w:val="auto"/>
                <w:sz w:val="21"/>
                <w:szCs w:val="21"/>
                <w:highlight w:val="none"/>
              </w:rPr>
            </w:pPr>
          </w:p>
        </w:tc>
        <w:tc>
          <w:tcPr>
            <w:tcW w:w="816" w:type="dxa"/>
            <w:vAlign w:val="center"/>
          </w:tcPr>
          <w:p w14:paraId="321CBD47">
            <w:pPr>
              <w:pStyle w:val="51"/>
              <w:jc w:val="center"/>
              <w:rPr>
                <w:rFonts w:hint="eastAsia" w:ascii="宋体" w:hAnsi="宋体" w:eastAsia="宋体" w:cs="宋体"/>
                <w:color w:val="auto"/>
                <w:sz w:val="21"/>
                <w:szCs w:val="21"/>
                <w:highlight w:val="none"/>
              </w:rPr>
            </w:pPr>
          </w:p>
        </w:tc>
      </w:tr>
      <w:tr w14:paraId="6731D2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4E2D3450">
            <w:pPr>
              <w:pStyle w:val="51"/>
              <w:jc w:val="center"/>
              <w:rPr>
                <w:rFonts w:hint="eastAsia" w:ascii="宋体" w:hAnsi="宋体" w:eastAsia="宋体" w:cs="宋体"/>
                <w:color w:val="auto"/>
                <w:sz w:val="21"/>
                <w:szCs w:val="21"/>
                <w:highlight w:val="none"/>
              </w:rPr>
            </w:pPr>
            <w:bookmarkStart w:id="398" w:name="_Toc99533298"/>
            <w:bookmarkStart w:id="399" w:name="_Toc100090790"/>
            <w:r>
              <w:rPr>
                <w:rFonts w:hint="eastAsia" w:ascii="宋体" w:hAnsi="宋体" w:eastAsia="宋体" w:cs="宋体"/>
                <w:color w:val="auto"/>
                <w:sz w:val="21"/>
                <w:szCs w:val="21"/>
                <w:highlight w:val="none"/>
              </w:rPr>
              <w:t>7</w:t>
            </w:r>
            <w:bookmarkEnd w:id="398"/>
            <w:bookmarkEnd w:id="399"/>
          </w:p>
        </w:tc>
        <w:tc>
          <w:tcPr>
            <w:tcW w:w="1267" w:type="dxa"/>
            <w:vAlign w:val="center"/>
          </w:tcPr>
          <w:p w14:paraId="497EE336">
            <w:pPr>
              <w:pStyle w:val="51"/>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4B6BE3B2">
            <w:pPr>
              <w:pStyle w:val="51"/>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046DFC9B">
            <w:pPr>
              <w:pStyle w:val="51"/>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1E4E7F40">
            <w:pPr>
              <w:pStyle w:val="51"/>
              <w:jc w:val="center"/>
              <w:rPr>
                <w:rFonts w:hint="eastAsia" w:ascii="宋体" w:hAnsi="宋体" w:eastAsia="宋体" w:cs="宋体"/>
                <w:color w:val="auto"/>
                <w:sz w:val="21"/>
                <w:szCs w:val="21"/>
                <w:highlight w:val="none"/>
              </w:rPr>
            </w:pPr>
          </w:p>
        </w:tc>
        <w:tc>
          <w:tcPr>
            <w:tcW w:w="1860" w:type="dxa"/>
            <w:vAlign w:val="center"/>
          </w:tcPr>
          <w:p w14:paraId="4AE299BE">
            <w:pPr>
              <w:pStyle w:val="51"/>
              <w:jc w:val="center"/>
              <w:rPr>
                <w:rFonts w:hint="eastAsia" w:ascii="宋体" w:hAnsi="宋体" w:eastAsia="宋体" w:cs="宋体"/>
                <w:color w:val="auto"/>
                <w:sz w:val="21"/>
                <w:szCs w:val="21"/>
                <w:highlight w:val="none"/>
              </w:rPr>
            </w:pPr>
          </w:p>
        </w:tc>
        <w:tc>
          <w:tcPr>
            <w:tcW w:w="1356" w:type="dxa"/>
            <w:vAlign w:val="center"/>
          </w:tcPr>
          <w:p w14:paraId="2DC6B3A6">
            <w:pPr>
              <w:pStyle w:val="51"/>
              <w:jc w:val="center"/>
              <w:rPr>
                <w:rFonts w:hint="eastAsia" w:ascii="宋体" w:hAnsi="宋体" w:eastAsia="宋体" w:cs="宋体"/>
                <w:color w:val="auto"/>
                <w:sz w:val="21"/>
                <w:szCs w:val="21"/>
                <w:highlight w:val="none"/>
              </w:rPr>
            </w:pPr>
          </w:p>
        </w:tc>
        <w:tc>
          <w:tcPr>
            <w:tcW w:w="816" w:type="dxa"/>
            <w:vAlign w:val="center"/>
          </w:tcPr>
          <w:p w14:paraId="7F2F49EF">
            <w:pPr>
              <w:pStyle w:val="51"/>
              <w:jc w:val="center"/>
              <w:rPr>
                <w:rFonts w:hint="eastAsia" w:ascii="宋体" w:hAnsi="宋体" w:eastAsia="宋体" w:cs="宋体"/>
                <w:color w:val="auto"/>
                <w:sz w:val="21"/>
                <w:szCs w:val="21"/>
                <w:highlight w:val="none"/>
              </w:rPr>
            </w:pPr>
          </w:p>
        </w:tc>
      </w:tr>
      <w:tr w14:paraId="743CBE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27DE9EF5">
            <w:pPr>
              <w:pStyle w:val="51"/>
              <w:jc w:val="center"/>
              <w:rPr>
                <w:rFonts w:hint="eastAsia" w:ascii="宋体" w:hAnsi="宋体" w:eastAsia="宋体" w:cs="宋体"/>
                <w:color w:val="auto"/>
                <w:sz w:val="21"/>
                <w:szCs w:val="21"/>
                <w:highlight w:val="none"/>
              </w:rPr>
            </w:pPr>
            <w:bookmarkStart w:id="400" w:name="_Toc100090791"/>
            <w:bookmarkStart w:id="401" w:name="_Toc99533299"/>
            <w:r>
              <w:rPr>
                <w:rFonts w:hint="eastAsia" w:ascii="宋体" w:hAnsi="宋体" w:eastAsia="宋体" w:cs="宋体"/>
                <w:color w:val="auto"/>
                <w:sz w:val="21"/>
                <w:szCs w:val="21"/>
                <w:highlight w:val="none"/>
              </w:rPr>
              <w:t>8</w:t>
            </w:r>
            <w:bookmarkEnd w:id="400"/>
            <w:bookmarkEnd w:id="401"/>
          </w:p>
        </w:tc>
        <w:tc>
          <w:tcPr>
            <w:tcW w:w="1267" w:type="dxa"/>
            <w:vAlign w:val="center"/>
          </w:tcPr>
          <w:p w14:paraId="78BF6769">
            <w:pPr>
              <w:pStyle w:val="51"/>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0338F405">
            <w:pPr>
              <w:pStyle w:val="51"/>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798BAC4F">
            <w:pPr>
              <w:pStyle w:val="51"/>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6C0734EA">
            <w:pPr>
              <w:pStyle w:val="51"/>
              <w:jc w:val="center"/>
              <w:rPr>
                <w:rFonts w:hint="eastAsia" w:ascii="宋体" w:hAnsi="宋体" w:eastAsia="宋体" w:cs="宋体"/>
                <w:color w:val="auto"/>
                <w:sz w:val="21"/>
                <w:szCs w:val="21"/>
                <w:highlight w:val="none"/>
              </w:rPr>
            </w:pPr>
          </w:p>
        </w:tc>
        <w:tc>
          <w:tcPr>
            <w:tcW w:w="1860" w:type="dxa"/>
            <w:vAlign w:val="center"/>
          </w:tcPr>
          <w:p w14:paraId="1A3DA094">
            <w:pPr>
              <w:pStyle w:val="51"/>
              <w:jc w:val="center"/>
              <w:rPr>
                <w:rFonts w:hint="eastAsia" w:ascii="宋体" w:hAnsi="宋体" w:eastAsia="宋体" w:cs="宋体"/>
                <w:color w:val="auto"/>
                <w:sz w:val="21"/>
                <w:szCs w:val="21"/>
                <w:highlight w:val="none"/>
              </w:rPr>
            </w:pPr>
          </w:p>
        </w:tc>
        <w:tc>
          <w:tcPr>
            <w:tcW w:w="1356" w:type="dxa"/>
            <w:vAlign w:val="center"/>
          </w:tcPr>
          <w:p w14:paraId="416E9523">
            <w:pPr>
              <w:pStyle w:val="51"/>
              <w:jc w:val="center"/>
              <w:rPr>
                <w:rFonts w:hint="eastAsia" w:ascii="宋体" w:hAnsi="宋体" w:eastAsia="宋体" w:cs="宋体"/>
                <w:color w:val="auto"/>
                <w:sz w:val="21"/>
                <w:szCs w:val="21"/>
                <w:highlight w:val="none"/>
              </w:rPr>
            </w:pPr>
          </w:p>
        </w:tc>
        <w:tc>
          <w:tcPr>
            <w:tcW w:w="816" w:type="dxa"/>
            <w:vAlign w:val="center"/>
          </w:tcPr>
          <w:p w14:paraId="7588503F">
            <w:pPr>
              <w:pStyle w:val="51"/>
              <w:jc w:val="center"/>
              <w:rPr>
                <w:rFonts w:hint="eastAsia" w:ascii="宋体" w:hAnsi="宋体" w:eastAsia="宋体" w:cs="宋体"/>
                <w:color w:val="auto"/>
                <w:sz w:val="21"/>
                <w:szCs w:val="21"/>
                <w:highlight w:val="none"/>
              </w:rPr>
            </w:pPr>
          </w:p>
        </w:tc>
      </w:tr>
      <w:tr w14:paraId="592096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378672AF">
            <w:pPr>
              <w:pStyle w:val="51"/>
              <w:jc w:val="center"/>
              <w:rPr>
                <w:rFonts w:hint="eastAsia" w:ascii="宋体" w:hAnsi="宋体" w:eastAsia="宋体" w:cs="宋体"/>
                <w:color w:val="auto"/>
                <w:sz w:val="21"/>
                <w:szCs w:val="21"/>
                <w:highlight w:val="none"/>
              </w:rPr>
            </w:pPr>
            <w:bookmarkStart w:id="402" w:name="_Toc100090792"/>
            <w:bookmarkStart w:id="403" w:name="_Toc99533300"/>
            <w:r>
              <w:rPr>
                <w:rFonts w:hint="eastAsia" w:ascii="宋体" w:hAnsi="宋体" w:eastAsia="宋体" w:cs="宋体"/>
                <w:color w:val="auto"/>
                <w:sz w:val="21"/>
                <w:szCs w:val="21"/>
                <w:highlight w:val="none"/>
              </w:rPr>
              <w:t>9</w:t>
            </w:r>
            <w:bookmarkEnd w:id="402"/>
            <w:bookmarkEnd w:id="403"/>
          </w:p>
        </w:tc>
        <w:tc>
          <w:tcPr>
            <w:tcW w:w="1267" w:type="dxa"/>
            <w:vAlign w:val="center"/>
          </w:tcPr>
          <w:p w14:paraId="42F2255C">
            <w:pPr>
              <w:pStyle w:val="51"/>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4891BF68">
            <w:pPr>
              <w:pStyle w:val="51"/>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226E2C6E">
            <w:pPr>
              <w:pStyle w:val="51"/>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1F36AFAF">
            <w:pPr>
              <w:pStyle w:val="51"/>
              <w:jc w:val="center"/>
              <w:rPr>
                <w:rFonts w:hint="eastAsia" w:ascii="宋体" w:hAnsi="宋体" w:eastAsia="宋体" w:cs="宋体"/>
                <w:color w:val="auto"/>
                <w:sz w:val="21"/>
                <w:szCs w:val="21"/>
                <w:highlight w:val="none"/>
              </w:rPr>
            </w:pPr>
          </w:p>
        </w:tc>
        <w:tc>
          <w:tcPr>
            <w:tcW w:w="1860" w:type="dxa"/>
            <w:vAlign w:val="center"/>
          </w:tcPr>
          <w:p w14:paraId="4AFEBD77">
            <w:pPr>
              <w:pStyle w:val="51"/>
              <w:jc w:val="center"/>
              <w:rPr>
                <w:rFonts w:hint="eastAsia" w:ascii="宋体" w:hAnsi="宋体" w:eastAsia="宋体" w:cs="宋体"/>
                <w:color w:val="auto"/>
                <w:sz w:val="21"/>
                <w:szCs w:val="21"/>
                <w:highlight w:val="none"/>
              </w:rPr>
            </w:pPr>
          </w:p>
        </w:tc>
        <w:tc>
          <w:tcPr>
            <w:tcW w:w="1356" w:type="dxa"/>
            <w:vAlign w:val="center"/>
          </w:tcPr>
          <w:p w14:paraId="7CE2800A">
            <w:pPr>
              <w:pStyle w:val="51"/>
              <w:jc w:val="center"/>
              <w:rPr>
                <w:rFonts w:hint="eastAsia" w:ascii="宋体" w:hAnsi="宋体" w:eastAsia="宋体" w:cs="宋体"/>
                <w:color w:val="auto"/>
                <w:sz w:val="21"/>
                <w:szCs w:val="21"/>
                <w:highlight w:val="none"/>
              </w:rPr>
            </w:pPr>
          </w:p>
        </w:tc>
        <w:tc>
          <w:tcPr>
            <w:tcW w:w="816" w:type="dxa"/>
            <w:vAlign w:val="center"/>
          </w:tcPr>
          <w:p w14:paraId="53D1A4E1">
            <w:pPr>
              <w:pStyle w:val="51"/>
              <w:jc w:val="center"/>
              <w:rPr>
                <w:rFonts w:hint="eastAsia" w:ascii="宋体" w:hAnsi="宋体" w:eastAsia="宋体" w:cs="宋体"/>
                <w:color w:val="auto"/>
                <w:sz w:val="21"/>
                <w:szCs w:val="21"/>
                <w:highlight w:val="none"/>
              </w:rPr>
            </w:pPr>
          </w:p>
        </w:tc>
      </w:tr>
      <w:tr w14:paraId="7698A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773" w:type="dxa"/>
            <w:vAlign w:val="center"/>
          </w:tcPr>
          <w:p w14:paraId="36C2CCA7">
            <w:pPr>
              <w:pStyle w:val="51"/>
              <w:jc w:val="center"/>
              <w:rPr>
                <w:rFonts w:hint="eastAsia" w:ascii="宋体" w:hAnsi="宋体" w:eastAsia="宋体" w:cs="宋体"/>
                <w:color w:val="auto"/>
                <w:sz w:val="21"/>
                <w:szCs w:val="21"/>
                <w:highlight w:val="none"/>
              </w:rPr>
            </w:pPr>
            <w:bookmarkStart w:id="404" w:name="_Toc99533301"/>
            <w:bookmarkStart w:id="405" w:name="_Toc100090793"/>
            <w:r>
              <w:rPr>
                <w:rFonts w:hint="eastAsia" w:ascii="宋体" w:hAnsi="宋体" w:eastAsia="宋体" w:cs="宋体"/>
                <w:color w:val="auto"/>
                <w:sz w:val="21"/>
                <w:szCs w:val="21"/>
                <w:highlight w:val="none"/>
              </w:rPr>
              <w:t>10</w:t>
            </w:r>
            <w:bookmarkEnd w:id="404"/>
            <w:bookmarkEnd w:id="405"/>
          </w:p>
        </w:tc>
        <w:tc>
          <w:tcPr>
            <w:tcW w:w="1267" w:type="dxa"/>
            <w:vAlign w:val="center"/>
          </w:tcPr>
          <w:p w14:paraId="0988DC2E">
            <w:pPr>
              <w:pStyle w:val="51"/>
              <w:jc w:val="center"/>
              <w:rPr>
                <w:rFonts w:hint="eastAsia" w:ascii="宋体" w:hAnsi="宋体" w:eastAsia="宋体" w:cs="宋体"/>
                <w:color w:val="auto"/>
                <w:sz w:val="21"/>
                <w:szCs w:val="21"/>
                <w:highlight w:val="none"/>
              </w:rPr>
            </w:pPr>
          </w:p>
        </w:tc>
        <w:tc>
          <w:tcPr>
            <w:tcW w:w="1296" w:type="dxa"/>
            <w:tcBorders>
              <w:right w:val="single" w:color="auto" w:sz="4" w:space="0"/>
            </w:tcBorders>
            <w:vAlign w:val="center"/>
          </w:tcPr>
          <w:p w14:paraId="011F1EA3">
            <w:pPr>
              <w:pStyle w:val="51"/>
              <w:jc w:val="center"/>
              <w:rPr>
                <w:rFonts w:hint="eastAsia" w:ascii="宋体" w:hAnsi="宋体" w:eastAsia="宋体" w:cs="宋体"/>
                <w:color w:val="auto"/>
                <w:sz w:val="21"/>
                <w:szCs w:val="21"/>
                <w:highlight w:val="none"/>
              </w:rPr>
            </w:pPr>
          </w:p>
        </w:tc>
        <w:tc>
          <w:tcPr>
            <w:tcW w:w="1080" w:type="dxa"/>
            <w:tcBorders>
              <w:left w:val="single" w:color="auto" w:sz="4" w:space="0"/>
            </w:tcBorders>
            <w:vAlign w:val="center"/>
          </w:tcPr>
          <w:p w14:paraId="183DA025">
            <w:pPr>
              <w:pStyle w:val="51"/>
              <w:jc w:val="center"/>
              <w:rPr>
                <w:rFonts w:hint="eastAsia" w:ascii="宋体" w:hAnsi="宋体" w:eastAsia="宋体" w:cs="宋体"/>
                <w:color w:val="auto"/>
                <w:sz w:val="21"/>
                <w:szCs w:val="21"/>
                <w:highlight w:val="none"/>
              </w:rPr>
            </w:pPr>
          </w:p>
        </w:tc>
        <w:tc>
          <w:tcPr>
            <w:tcW w:w="804" w:type="dxa"/>
            <w:tcBorders>
              <w:left w:val="single" w:color="auto" w:sz="4" w:space="0"/>
            </w:tcBorders>
            <w:vAlign w:val="center"/>
          </w:tcPr>
          <w:p w14:paraId="7A0A40F8">
            <w:pPr>
              <w:pStyle w:val="51"/>
              <w:jc w:val="center"/>
              <w:rPr>
                <w:rFonts w:hint="eastAsia" w:ascii="宋体" w:hAnsi="宋体" w:eastAsia="宋体" w:cs="宋体"/>
                <w:color w:val="auto"/>
                <w:sz w:val="21"/>
                <w:szCs w:val="21"/>
                <w:highlight w:val="none"/>
              </w:rPr>
            </w:pPr>
          </w:p>
        </w:tc>
        <w:tc>
          <w:tcPr>
            <w:tcW w:w="1860" w:type="dxa"/>
            <w:vAlign w:val="center"/>
          </w:tcPr>
          <w:p w14:paraId="071BA7BD">
            <w:pPr>
              <w:pStyle w:val="51"/>
              <w:jc w:val="center"/>
              <w:rPr>
                <w:rFonts w:hint="eastAsia" w:ascii="宋体" w:hAnsi="宋体" w:eastAsia="宋体" w:cs="宋体"/>
                <w:color w:val="auto"/>
                <w:sz w:val="21"/>
                <w:szCs w:val="21"/>
                <w:highlight w:val="none"/>
              </w:rPr>
            </w:pPr>
          </w:p>
        </w:tc>
        <w:tc>
          <w:tcPr>
            <w:tcW w:w="1356" w:type="dxa"/>
            <w:vAlign w:val="center"/>
          </w:tcPr>
          <w:p w14:paraId="3BE27FA5">
            <w:pPr>
              <w:pStyle w:val="51"/>
              <w:jc w:val="center"/>
              <w:rPr>
                <w:rFonts w:hint="eastAsia" w:ascii="宋体" w:hAnsi="宋体" w:eastAsia="宋体" w:cs="宋体"/>
                <w:color w:val="auto"/>
                <w:sz w:val="21"/>
                <w:szCs w:val="21"/>
                <w:highlight w:val="none"/>
              </w:rPr>
            </w:pPr>
          </w:p>
        </w:tc>
        <w:tc>
          <w:tcPr>
            <w:tcW w:w="816" w:type="dxa"/>
            <w:vAlign w:val="center"/>
          </w:tcPr>
          <w:p w14:paraId="2593BB21">
            <w:pPr>
              <w:pStyle w:val="51"/>
              <w:jc w:val="center"/>
              <w:rPr>
                <w:rFonts w:hint="eastAsia" w:ascii="宋体" w:hAnsi="宋体" w:eastAsia="宋体" w:cs="宋体"/>
                <w:color w:val="auto"/>
                <w:sz w:val="21"/>
                <w:szCs w:val="21"/>
                <w:highlight w:val="none"/>
              </w:rPr>
            </w:pPr>
          </w:p>
        </w:tc>
      </w:tr>
    </w:tbl>
    <w:p w14:paraId="46193397">
      <w:pPr>
        <w:rPr>
          <w:rFonts w:hint="eastAsia" w:cs="仿宋_GB2312"/>
          <w:color w:val="auto"/>
          <w:sz w:val="21"/>
          <w:szCs w:val="21"/>
          <w:highlight w:val="none"/>
          <w:lang w:val="en-US" w:eastAsia="zh-CN"/>
        </w:rPr>
      </w:pPr>
    </w:p>
    <w:p w14:paraId="6DC2E3BE">
      <w:pPr>
        <w:rPr>
          <w:rFonts w:hint="default" w:cs="仿宋_GB2312"/>
          <w:color w:val="auto"/>
          <w:sz w:val="21"/>
          <w:szCs w:val="21"/>
          <w:highlight w:val="none"/>
          <w:lang w:val="en-US"/>
        </w:rPr>
      </w:pPr>
      <w:r>
        <w:rPr>
          <w:rFonts w:hint="eastAsia" w:cs="仿宋_GB2312"/>
          <w:color w:val="auto"/>
          <w:sz w:val="21"/>
          <w:szCs w:val="21"/>
          <w:highlight w:val="none"/>
          <w:lang w:val="en-US" w:eastAsia="zh-CN"/>
        </w:rPr>
        <w:t>注：按招标文件要求在本表后附相关人员证书。</w:t>
      </w:r>
    </w:p>
    <w:p w14:paraId="596FD1B2">
      <w:pPr>
        <w:ind w:firstLine="420" w:firstLineChars="200"/>
        <w:rPr>
          <w:rFonts w:hint="eastAsia" w:cs="仿宋_GB2312"/>
          <w:color w:val="auto"/>
          <w:sz w:val="21"/>
          <w:szCs w:val="21"/>
          <w:highlight w:val="none"/>
          <w:lang w:val="en-US" w:eastAsia="zh-CN"/>
        </w:rPr>
      </w:pPr>
    </w:p>
    <w:p w14:paraId="46AB2128">
      <w:pPr>
        <w:ind w:firstLine="420" w:firstLineChars="200"/>
        <w:rPr>
          <w:rFonts w:hint="eastAsia" w:cs="仿宋_GB2312"/>
          <w:color w:val="auto"/>
          <w:sz w:val="21"/>
          <w:szCs w:val="21"/>
          <w:highlight w:val="none"/>
          <w:lang w:val="en-US" w:eastAsia="zh-CN"/>
        </w:rPr>
      </w:pPr>
      <w:r>
        <w:rPr>
          <w:rFonts w:hint="eastAsia" w:cs="仿宋_GB2312"/>
          <w:color w:val="auto"/>
          <w:sz w:val="21"/>
          <w:szCs w:val="21"/>
          <w:highlight w:val="none"/>
          <w:lang w:val="en-US" w:eastAsia="zh-CN"/>
        </w:rPr>
        <w:t xml:space="preserve">说明： </w:t>
      </w:r>
    </w:p>
    <w:p w14:paraId="6F490ECE">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1.“在团队中职务（岗位）”栏应包括但不限于：项目负责人、项目联系人、项目服务人员或技术人员等。 </w:t>
      </w:r>
    </w:p>
    <w:p w14:paraId="2D072FBF">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2.如投标人中标，须按本表项目组成人员操作，不得随意更换。</w:t>
      </w:r>
    </w:p>
    <w:p w14:paraId="040BA3CA">
      <w:pPr>
        <w:rPr>
          <w:color w:val="auto"/>
          <w:highlight w:val="none"/>
        </w:rPr>
      </w:pPr>
    </w:p>
    <w:p w14:paraId="199560C0">
      <w:pPr>
        <w:rPr>
          <w:color w:val="auto"/>
          <w:highlight w:val="none"/>
        </w:rPr>
      </w:pPr>
      <w:r>
        <w:rPr>
          <w:color w:val="auto"/>
          <w:highlight w:val="none"/>
        </w:rPr>
        <w:br w:type="page"/>
      </w:r>
    </w:p>
    <w:p w14:paraId="1E700A86">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406" w:name="_Toc163492935"/>
      <w:bookmarkStart w:id="407" w:name="_Toc5913"/>
      <w:r>
        <w:rPr>
          <w:rFonts w:hint="eastAsia" w:cstheme="majorBidi"/>
          <w:b/>
          <w:bCs/>
          <w:color w:val="auto"/>
          <w:kern w:val="2"/>
          <w:sz w:val="32"/>
          <w:szCs w:val="32"/>
          <w:highlight w:val="none"/>
          <w:lang w:val="en-US" w:eastAsia="zh-CN" w:bidi="ar-SA"/>
        </w:rPr>
        <w:t>十七</w:t>
      </w:r>
      <w:r>
        <w:rPr>
          <w:rFonts w:hint="eastAsia" w:eastAsia="宋体" w:asciiTheme="majorHAnsi" w:hAnsiTheme="majorHAnsi" w:cstheme="majorBidi"/>
          <w:b/>
          <w:bCs/>
          <w:color w:val="auto"/>
          <w:kern w:val="2"/>
          <w:sz w:val="32"/>
          <w:szCs w:val="32"/>
          <w:highlight w:val="none"/>
          <w:lang w:val="en-US" w:eastAsia="zh-CN" w:bidi="ar-SA"/>
        </w:rPr>
        <w:t>、技术方案</w:t>
      </w:r>
      <w:bookmarkEnd w:id="406"/>
      <w:bookmarkEnd w:id="407"/>
    </w:p>
    <w:p w14:paraId="3F1494CE">
      <w:pPr>
        <w:pStyle w:val="39"/>
        <w:rPr>
          <w:color w:val="auto"/>
          <w:highlight w:val="none"/>
        </w:rPr>
      </w:pPr>
      <w:r>
        <w:rPr>
          <w:rFonts w:hint="eastAsia"/>
          <w:color w:val="auto"/>
          <w:highlight w:val="none"/>
        </w:rPr>
        <w:t>投标人应按照招标文件的要求，提供详细的</w:t>
      </w:r>
      <w:r>
        <w:rPr>
          <w:rFonts w:hint="eastAsia"/>
          <w:color w:val="auto"/>
          <w:highlight w:val="none"/>
          <w:lang w:val="en-US" w:eastAsia="zh-CN"/>
        </w:rPr>
        <w:t>供货及相关</w:t>
      </w:r>
      <w:r>
        <w:rPr>
          <w:rFonts w:hint="eastAsia"/>
          <w:color w:val="auto"/>
          <w:highlight w:val="none"/>
        </w:rPr>
        <w:t>服务方案，包括文字描述或图表显示。格式自拟。</w:t>
      </w:r>
    </w:p>
    <w:p w14:paraId="5A7E27DF">
      <w:pPr>
        <w:pStyle w:val="39"/>
        <w:rPr>
          <w:color w:val="auto"/>
          <w:highlight w:val="none"/>
        </w:rPr>
      </w:pPr>
      <w:r>
        <w:rPr>
          <w:color w:val="auto"/>
          <w:highlight w:val="none"/>
        </w:rPr>
        <w:br w:type="page"/>
      </w:r>
    </w:p>
    <w:p w14:paraId="10836479">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408" w:name="_Toc26668"/>
      <w:bookmarkStart w:id="409" w:name="_Toc163492936"/>
      <w:r>
        <w:rPr>
          <w:rFonts w:hint="eastAsia" w:eastAsia="宋体" w:asciiTheme="majorHAnsi" w:hAnsiTheme="majorHAnsi" w:cstheme="majorBidi"/>
          <w:b/>
          <w:bCs/>
          <w:color w:val="auto"/>
          <w:kern w:val="2"/>
          <w:sz w:val="32"/>
          <w:szCs w:val="32"/>
          <w:highlight w:val="none"/>
          <w:lang w:val="en-US" w:eastAsia="zh-CN" w:bidi="ar-SA"/>
        </w:rPr>
        <w:t>十</w:t>
      </w:r>
      <w:r>
        <w:rPr>
          <w:rFonts w:hint="eastAsia" w:cstheme="majorBidi"/>
          <w:b/>
          <w:bCs/>
          <w:color w:val="auto"/>
          <w:kern w:val="2"/>
          <w:sz w:val="32"/>
          <w:szCs w:val="32"/>
          <w:highlight w:val="none"/>
          <w:lang w:val="en-US" w:eastAsia="zh-CN" w:bidi="ar-SA"/>
        </w:rPr>
        <w:t>八</w:t>
      </w:r>
      <w:r>
        <w:rPr>
          <w:rFonts w:hint="eastAsia" w:eastAsia="宋体" w:asciiTheme="majorHAnsi" w:hAnsiTheme="majorHAnsi" w:cstheme="majorBidi"/>
          <w:b/>
          <w:bCs/>
          <w:color w:val="auto"/>
          <w:kern w:val="2"/>
          <w:sz w:val="32"/>
          <w:szCs w:val="32"/>
          <w:highlight w:val="none"/>
          <w:lang w:val="en-US" w:eastAsia="zh-CN" w:bidi="ar-SA"/>
        </w:rPr>
        <w:t>、其他文件</w:t>
      </w:r>
      <w:bookmarkEnd w:id="408"/>
      <w:bookmarkEnd w:id="409"/>
    </w:p>
    <w:p w14:paraId="62CB88EE">
      <w:pPr>
        <w:pStyle w:val="39"/>
        <w:ind w:left="0" w:leftChars="0" w:firstLine="0" w:firstLineChars="0"/>
        <w:rPr>
          <w:rFonts w:hint="eastAsia"/>
          <w:b/>
          <w:bCs/>
          <w:color w:val="auto"/>
          <w:sz w:val="24"/>
          <w:szCs w:val="24"/>
          <w:highlight w:val="none"/>
        </w:rPr>
      </w:pPr>
      <w:r>
        <w:rPr>
          <w:rFonts w:hint="eastAsia"/>
          <w:b/>
          <w:bCs/>
          <w:color w:val="auto"/>
          <w:sz w:val="24"/>
          <w:szCs w:val="24"/>
          <w:highlight w:val="none"/>
          <w:lang w:eastAsia="zh-CN"/>
        </w:rPr>
        <w:t>（</w:t>
      </w:r>
      <w:r>
        <w:rPr>
          <w:rFonts w:hint="eastAsia"/>
          <w:b/>
          <w:bCs/>
          <w:color w:val="auto"/>
          <w:sz w:val="24"/>
          <w:szCs w:val="24"/>
          <w:highlight w:val="none"/>
          <w:lang w:val="en-US" w:eastAsia="zh-CN"/>
        </w:rPr>
        <w:t>一）</w:t>
      </w:r>
      <w:r>
        <w:rPr>
          <w:rFonts w:hint="eastAsia"/>
          <w:b/>
          <w:bCs/>
          <w:color w:val="auto"/>
          <w:sz w:val="24"/>
          <w:szCs w:val="24"/>
          <w:highlight w:val="none"/>
        </w:rPr>
        <w:t>招标文件要求提供的其它商务</w:t>
      </w:r>
      <w:r>
        <w:rPr>
          <w:rFonts w:hint="eastAsia"/>
          <w:b/>
          <w:bCs/>
          <w:color w:val="auto"/>
          <w:sz w:val="24"/>
          <w:szCs w:val="24"/>
          <w:highlight w:val="none"/>
          <w:lang w:eastAsia="zh-CN"/>
        </w:rPr>
        <w:t>、</w:t>
      </w:r>
      <w:r>
        <w:rPr>
          <w:rFonts w:hint="eastAsia"/>
          <w:b/>
          <w:bCs/>
          <w:color w:val="auto"/>
          <w:sz w:val="24"/>
          <w:szCs w:val="24"/>
          <w:highlight w:val="none"/>
        </w:rPr>
        <w:t>技术资料和证明材料；</w:t>
      </w:r>
    </w:p>
    <w:p w14:paraId="1658EC87">
      <w:pPr>
        <w:pStyle w:val="39"/>
        <w:rPr>
          <w:rFonts w:hint="eastAsia"/>
          <w:color w:val="auto"/>
          <w:sz w:val="24"/>
          <w:szCs w:val="24"/>
          <w:highlight w:val="none"/>
          <w:lang w:val="en-US" w:eastAsia="zh-CN"/>
        </w:rPr>
      </w:pPr>
      <w:r>
        <w:rPr>
          <w:rFonts w:hint="eastAsia"/>
          <w:color w:val="auto"/>
          <w:sz w:val="24"/>
          <w:szCs w:val="24"/>
          <w:highlight w:val="none"/>
          <w:lang w:val="en-US" w:eastAsia="zh-CN"/>
        </w:rPr>
        <w:t>1.1供应商信息采集表</w:t>
      </w:r>
    </w:p>
    <w:tbl>
      <w:tblPr>
        <w:tblStyle w:val="31"/>
        <w:tblW w:w="8292" w:type="dxa"/>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8"/>
        <w:gridCol w:w="2841"/>
        <w:gridCol w:w="2743"/>
      </w:tblGrid>
      <w:tr w14:paraId="72CE7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708" w:type="dxa"/>
            <w:vAlign w:val="center"/>
          </w:tcPr>
          <w:p w14:paraId="076F0588">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供应商名称</w:t>
            </w:r>
          </w:p>
        </w:tc>
        <w:tc>
          <w:tcPr>
            <w:tcW w:w="2841" w:type="dxa"/>
            <w:vAlign w:val="center"/>
          </w:tcPr>
          <w:p w14:paraId="34918F8E">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供应商实际控制人性别</w:t>
            </w:r>
          </w:p>
        </w:tc>
        <w:tc>
          <w:tcPr>
            <w:tcW w:w="2743" w:type="dxa"/>
            <w:vAlign w:val="center"/>
          </w:tcPr>
          <w:p w14:paraId="72CA4138">
            <w:pPr>
              <w:keepNext w:val="0"/>
              <w:keepLines w:val="0"/>
              <w:widowControl/>
              <w:suppressLineNumbers w:val="0"/>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kern w:val="0"/>
                <w:sz w:val="24"/>
                <w:szCs w:val="24"/>
                <w:highlight w:val="none"/>
                <w:lang w:val="en-US" w:eastAsia="zh-CN" w:bidi="ar"/>
              </w:rPr>
              <w:t>外商投资类型</w:t>
            </w:r>
          </w:p>
        </w:tc>
      </w:tr>
      <w:tr w14:paraId="33482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2F9D0263">
            <w:pPr>
              <w:pStyle w:val="39"/>
              <w:rPr>
                <w:rFonts w:hint="eastAsia" w:ascii="宋体" w:hAnsi="宋体" w:eastAsia="宋体" w:cs="宋体"/>
                <w:color w:val="auto"/>
                <w:sz w:val="24"/>
                <w:szCs w:val="24"/>
                <w:highlight w:val="none"/>
                <w:vertAlign w:val="baseline"/>
                <w:lang w:val="en-US" w:eastAsia="zh-CN"/>
              </w:rPr>
            </w:pPr>
          </w:p>
        </w:tc>
        <w:tc>
          <w:tcPr>
            <w:tcW w:w="2841" w:type="dxa"/>
          </w:tcPr>
          <w:p w14:paraId="1738300B">
            <w:pPr>
              <w:pStyle w:val="39"/>
              <w:rPr>
                <w:rFonts w:hint="eastAsia" w:ascii="宋体" w:hAnsi="宋体" w:eastAsia="宋体" w:cs="宋体"/>
                <w:color w:val="auto"/>
                <w:sz w:val="24"/>
                <w:szCs w:val="24"/>
                <w:highlight w:val="none"/>
                <w:vertAlign w:val="baseline"/>
                <w:lang w:val="en-US" w:eastAsia="zh-CN"/>
              </w:rPr>
            </w:pPr>
          </w:p>
        </w:tc>
        <w:tc>
          <w:tcPr>
            <w:tcW w:w="2743" w:type="dxa"/>
          </w:tcPr>
          <w:p w14:paraId="23C09834">
            <w:pPr>
              <w:pStyle w:val="39"/>
              <w:rPr>
                <w:rFonts w:hint="eastAsia" w:ascii="宋体" w:hAnsi="宋体" w:eastAsia="宋体" w:cs="宋体"/>
                <w:color w:val="auto"/>
                <w:sz w:val="24"/>
                <w:szCs w:val="24"/>
                <w:highlight w:val="none"/>
                <w:vertAlign w:val="baseline"/>
                <w:lang w:val="en-US" w:eastAsia="zh-CN"/>
              </w:rPr>
            </w:pPr>
          </w:p>
        </w:tc>
      </w:tr>
      <w:tr w14:paraId="57F1F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57F11E4A">
            <w:pPr>
              <w:pStyle w:val="39"/>
              <w:rPr>
                <w:rFonts w:hint="eastAsia" w:ascii="宋体" w:hAnsi="宋体" w:eastAsia="宋体" w:cs="宋体"/>
                <w:color w:val="auto"/>
                <w:sz w:val="24"/>
                <w:szCs w:val="24"/>
                <w:highlight w:val="none"/>
                <w:vertAlign w:val="baseline"/>
                <w:lang w:val="en-US" w:eastAsia="zh-CN"/>
              </w:rPr>
            </w:pPr>
          </w:p>
        </w:tc>
        <w:tc>
          <w:tcPr>
            <w:tcW w:w="2841" w:type="dxa"/>
          </w:tcPr>
          <w:p w14:paraId="0F5A48C2">
            <w:pPr>
              <w:pStyle w:val="39"/>
              <w:rPr>
                <w:rFonts w:hint="eastAsia" w:ascii="宋体" w:hAnsi="宋体" w:eastAsia="宋体" w:cs="宋体"/>
                <w:color w:val="auto"/>
                <w:sz w:val="24"/>
                <w:szCs w:val="24"/>
                <w:highlight w:val="none"/>
                <w:vertAlign w:val="baseline"/>
                <w:lang w:val="en-US" w:eastAsia="zh-CN"/>
              </w:rPr>
            </w:pPr>
          </w:p>
        </w:tc>
        <w:tc>
          <w:tcPr>
            <w:tcW w:w="2743" w:type="dxa"/>
          </w:tcPr>
          <w:p w14:paraId="0AE9BD6A">
            <w:pPr>
              <w:pStyle w:val="39"/>
              <w:rPr>
                <w:rFonts w:hint="eastAsia" w:ascii="宋体" w:hAnsi="宋体" w:eastAsia="宋体" w:cs="宋体"/>
                <w:color w:val="auto"/>
                <w:sz w:val="24"/>
                <w:szCs w:val="24"/>
                <w:highlight w:val="none"/>
                <w:vertAlign w:val="baseline"/>
                <w:lang w:val="en-US" w:eastAsia="zh-CN"/>
              </w:rPr>
            </w:pPr>
          </w:p>
        </w:tc>
      </w:tr>
      <w:tr w14:paraId="3F728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1E4DA6B0">
            <w:pPr>
              <w:pStyle w:val="39"/>
              <w:rPr>
                <w:rFonts w:hint="eastAsia" w:ascii="宋体" w:hAnsi="宋体" w:eastAsia="宋体" w:cs="宋体"/>
                <w:color w:val="auto"/>
                <w:sz w:val="24"/>
                <w:szCs w:val="24"/>
                <w:highlight w:val="none"/>
                <w:vertAlign w:val="baseline"/>
                <w:lang w:val="en-US" w:eastAsia="zh-CN"/>
              </w:rPr>
            </w:pPr>
          </w:p>
        </w:tc>
        <w:tc>
          <w:tcPr>
            <w:tcW w:w="2841" w:type="dxa"/>
          </w:tcPr>
          <w:p w14:paraId="09597BB9">
            <w:pPr>
              <w:pStyle w:val="39"/>
              <w:rPr>
                <w:rFonts w:hint="eastAsia" w:ascii="宋体" w:hAnsi="宋体" w:eastAsia="宋体" w:cs="宋体"/>
                <w:color w:val="auto"/>
                <w:sz w:val="24"/>
                <w:szCs w:val="24"/>
                <w:highlight w:val="none"/>
                <w:vertAlign w:val="baseline"/>
                <w:lang w:val="en-US" w:eastAsia="zh-CN"/>
              </w:rPr>
            </w:pPr>
          </w:p>
        </w:tc>
        <w:tc>
          <w:tcPr>
            <w:tcW w:w="2743" w:type="dxa"/>
          </w:tcPr>
          <w:p w14:paraId="0E1F2590">
            <w:pPr>
              <w:pStyle w:val="39"/>
              <w:rPr>
                <w:rFonts w:hint="eastAsia" w:ascii="宋体" w:hAnsi="宋体" w:eastAsia="宋体" w:cs="宋体"/>
                <w:color w:val="auto"/>
                <w:sz w:val="24"/>
                <w:szCs w:val="24"/>
                <w:highlight w:val="none"/>
                <w:vertAlign w:val="baseline"/>
                <w:lang w:val="en-US" w:eastAsia="zh-CN"/>
              </w:rPr>
            </w:pPr>
          </w:p>
        </w:tc>
      </w:tr>
      <w:tr w14:paraId="3F8EA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379232E3">
            <w:pPr>
              <w:pStyle w:val="39"/>
              <w:rPr>
                <w:rFonts w:hint="eastAsia" w:ascii="宋体" w:hAnsi="宋体" w:eastAsia="宋体" w:cs="宋体"/>
                <w:color w:val="auto"/>
                <w:sz w:val="24"/>
                <w:szCs w:val="24"/>
                <w:highlight w:val="none"/>
                <w:vertAlign w:val="baseline"/>
                <w:lang w:val="en-US" w:eastAsia="zh-CN"/>
              </w:rPr>
            </w:pPr>
          </w:p>
        </w:tc>
        <w:tc>
          <w:tcPr>
            <w:tcW w:w="2841" w:type="dxa"/>
          </w:tcPr>
          <w:p w14:paraId="51572DD4">
            <w:pPr>
              <w:pStyle w:val="39"/>
              <w:rPr>
                <w:rFonts w:hint="eastAsia" w:ascii="宋体" w:hAnsi="宋体" w:eastAsia="宋体" w:cs="宋体"/>
                <w:color w:val="auto"/>
                <w:sz w:val="24"/>
                <w:szCs w:val="24"/>
                <w:highlight w:val="none"/>
                <w:vertAlign w:val="baseline"/>
                <w:lang w:val="en-US" w:eastAsia="zh-CN"/>
              </w:rPr>
            </w:pPr>
          </w:p>
        </w:tc>
        <w:tc>
          <w:tcPr>
            <w:tcW w:w="2743" w:type="dxa"/>
          </w:tcPr>
          <w:p w14:paraId="36FE795E">
            <w:pPr>
              <w:pStyle w:val="39"/>
              <w:rPr>
                <w:rFonts w:hint="eastAsia" w:ascii="宋体" w:hAnsi="宋体" w:eastAsia="宋体" w:cs="宋体"/>
                <w:color w:val="auto"/>
                <w:sz w:val="24"/>
                <w:szCs w:val="24"/>
                <w:highlight w:val="none"/>
                <w:vertAlign w:val="baseline"/>
                <w:lang w:val="en-US" w:eastAsia="zh-CN"/>
              </w:rPr>
            </w:pPr>
          </w:p>
        </w:tc>
      </w:tr>
    </w:tbl>
    <w:p w14:paraId="441642E2">
      <w:pPr>
        <w:keepNext w:val="0"/>
        <w:keepLines w:val="0"/>
        <w:widowControl/>
        <w:suppressLineNumbers w:val="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val="en-US" w:eastAsia="zh-CN" w:bidi="ar"/>
        </w:rPr>
        <w:t xml:space="preserve">注：1.供应商如为联合体，则应填写联合体各成员信息。 </w:t>
      </w:r>
    </w:p>
    <w:p w14:paraId="1BCCB498">
      <w:pPr>
        <w:keepNext w:val="0"/>
        <w:keepLines w:val="0"/>
        <w:widowControl/>
        <w:suppressLineNumbers w:val="0"/>
        <w:ind w:firstLine="420" w:firstLineChars="200"/>
        <w:jc w:val="left"/>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
        </w:rPr>
        <w:t>2.</w:t>
      </w:r>
      <w:r>
        <w:rPr>
          <w:rFonts w:hint="eastAsia" w:cs="宋体"/>
          <w:color w:val="auto"/>
          <w:kern w:val="0"/>
          <w:sz w:val="21"/>
          <w:szCs w:val="21"/>
          <w:highlight w:val="none"/>
          <w:lang w:val="en-US" w:eastAsia="zh-CN" w:bidi="ar"/>
        </w:rPr>
        <w:t>“供应商实际控制人性别”</w:t>
      </w:r>
      <w:r>
        <w:rPr>
          <w:rFonts w:hint="eastAsia" w:ascii="宋体" w:hAnsi="宋体" w:eastAsia="宋体" w:cs="宋体"/>
          <w:color w:val="auto"/>
          <w:kern w:val="0"/>
          <w:sz w:val="21"/>
          <w:szCs w:val="21"/>
          <w:highlight w:val="none"/>
          <w:lang w:val="en-US" w:eastAsia="zh-CN" w:bidi="ar"/>
        </w:rPr>
        <w:t>按供应商实际控制人性别划分请填写“男”或“女”，指拥有供应商 51%以上绝对所有权的性</w:t>
      </w:r>
      <w:r>
        <w:rPr>
          <w:rFonts w:hint="eastAsia" w:cs="宋体"/>
          <w:color w:val="auto"/>
          <w:kern w:val="0"/>
          <w:sz w:val="21"/>
          <w:szCs w:val="21"/>
          <w:highlight w:val="none"/>
          <w:lang w:val="en-US" w:eastAsia="zh-CN" w:bidi="ar"/>
        </w:rPr>
        <w:t>别</w:t>
      </w:r>
      <w:r>
        <w:rPr>
          <w:rFonts w:hint="eastAsia" w:ascii="宋体" w:hAnsi="宋体" w:eastAsia="宋体" w:cs="宋体"/>
          <w:color w:val="auto"/>
          <w:kern w:val="0"/>
          <w:sz w:val="21"/>
          <w:szCs w:val="21"/>
          <w:highlight w:val="none"/>
          <w:lang w:val="en-US" w:eastAsia="zh-CN" w:bidi="ar"/>
        </w:rPr>
        <w:t>；绝对所有权拥有者可以是一个人，也可以是多人合计计算。</w:t>
      </w:r>
    </w:p>
    <w:p w14:paraId="67DBB1C4">
      <w:pPr>
        <w:pStyle w:val="39"/>
        <w:ind w:left="0" w:leftChars="0" w:firstLine="420" w:firstLineChars="200"/>
        <w:rPr>
          <w:rFonts w:hint="eastAsia"/>
          <w:color w:val="auto"/>
          <w:sz w:val="21"/>
          <w:szCs w:val="21"/>
          <w:highlight w:val="none"/>
          <w:lang w:eastAsia="zh-CN"/>
        </w:rPr>
      </w:pPr>
      <w:r>
        <w:rPr>
          <w:rFonts w:hint="eastAsia" w:ascii="宋体" w:hAnsi="宋体" w:eastAsia="宋体" w:cs="宋体"/>
          <w:color w:val="auto"/>
          <w:kern w:val="0"/>
          <w:sz w:val="21"/>
          <w:szCs w:val="21"/>
          <w:highlight w:val="none"/>
          <w:lang w:val="en-US" w:eastAsia="zh-CN" w:bidi="ar"/>
        </w:rPr>
        <w:t>3.</w:t>
      </w:r>
      <w:r>
        <w:rPr>
          <w:rFonts w:hint="eastAsia"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外商投资类型</w:t>
      </w:r>
      <w:r>
        <w:rPr>
          <w:rFonts w:hint="eastAsia" w:cs="宋体"/>
          <w:color w:val="auto"/>
          <w:kern w:val="0"/>
          <w:sz w:val="21"/>
          <w:szCs w:val="21"/>
          <w:highlight w:val="none"/>
          <w:lang w:val="en-US" w:eastAsia="zh-CN" w:bidi="ar"/>
        </w:rPr>
        <w:t>”</w:t>
      </w:r>
      <w:r>
        <w:rPr>
          <w:rFonts w:hint="eastAsia" w:ascii="宋体" w:hAnsi="宋体" w:eastAsia="宋体" w:cs="宋体"/>
          <w:color w:val="auto"/>
          <w:kern w:val="0"/>
          <w:sz w:val="21"/>
          <w:szCs w:val="21"/>
          <w:highlight w:val="none"/>
          <w:lang w:val="en-US" w:eastAsia="zh-CN" w:bidi="ar"/>
        </w:rPr>
        <w:t>请填写“外商单独投资”、“外商部分投资”或“内资”。</w:t>
      </w:r>
    </w:p>
    <w:p w14:paraId="30F0F2E8">
      <w:pPr>
        <w:pStyle w:val="39"/>
        <w:rPr>
          <w:rFonts w:hint="eastAsia"/>
          <w:color w:val="auto"/>
          <w:sz w:val="28"/>
          <w:szCs w:val="28"/>
          <w:highlight w:val="none"/>
          <w:lang w:val="en-US" w:eastAsia="zh-CN"/>
        </w:rPr>
      </w:pPr>
    </w:p>
    <w:p w14:paraId="764C948A">
      <w:pPr>
        <w:pStyle w:val="39"/>
        <w:rPr>
          <w:rFonts w:hint="eastAsia"/>
          <w:color w:val="auto"/>
          <w:sz w:val="24"/>
          <w:szCs w:val="24"/>
          <w:highlight w:val="none"/>
          <w:lang w:val="en-US" w:eastAsia="zh-CN"/>
        </w:rPr>
      </w:pPr>
      <w:r>
        <w:rPr>
          <w:rFonts w:hint="eastAsia"/>
          <w:color w:val="auto"/>
          <w:sz w:val="24"/>
          <w:szCs w:val="24"/>
          <w:highlight w:val="none"/>
          <w:lang w:val="en-US" w:eastAsia="zh-CN"/>
        </w:rPr>
        <w:t>1.2其它商务、技术资料和证明材料</w:t>
      </w:r>
    </w:p>
    <w:p w14:paraId="2FFEAB44">
      <w:pPr>
        <w:pStyle w:val="39"/>
        <w:ind w:left="0" w:leftChars="0" w:firstLine="0" w:firstLineChars="0"/>
        <w:rPr>
          <w:rFonts w:hint="eastAsia"/>
          <w:b/>
          <w:bCs/>
          <w:color w:val="auto"/>
          <w:sz w:val="24"/>
          <w:szCs w:val="24"/>
          <w:highlight w:val="none"/>
          <w:lang w:eastAsia="zh-CN"/>
        </w:rPr>
      </w:pPr>
    </w:p>
    <w:p w14:paraId="216B92D1">
      <w:pPr>
        <w:pStyle w:val="39"/>
        <w:ind w:left="0" w:leftChars="0" w:firstLine="0" w:firstLineChars="0"/>
        <w:rPr>
          <w:rFonts w:hint="eastAsia"/>
          <w:b/>
          <w:bCs/>
          <w:color w:val="auto"/>
          <w:sz w:val="24"/>
          <w:szCs w:val="24"/>
          <w:highlight w:val="none"/>
          <w:lang w:val="en-US" w:eastAsia="zh-CN"/>
        </w:rPr>
      </w:pPr>
      <w:r>
        <w:rPr>
          <w:rFonts w:hint="eastAsia"/>
          <w:b/>
          <w:bCs/>
          <w:color w:val="auto"/>
          <w:sz w:val="24"/>
          <w:szCs w:val="24"/>
          <w:highlight w:val="none"/>
          <w:lang w:eastAsia="zh-CN"/>
        </w:rPr>
        <w:t>（</w:t>
      </w:r>
      <w:r>
        <w:rPr>
          <w:rFonts w:hint="eastAsia"/>
          <w:b/>
          <w:bCs/>
          <w:color w:val="auto"/>
          <w:sz w:val="24"/>
          <w:szCs w:val="24"/>
          <w:highlight w:val="none"/>
          <w:lang w:val="en-US" w:eastAsia="zh-CN"/>
        </w:rPr>
        <w:t>二）承诺函</w:t>
      </w:r>
    </w:p>
    <w:p w14:paraId="0E182B4E">
      <w:pPr>
        <w:spacing w:line="360" w:lineRule="auto"/>
        <w:ind w:firstLine="3120" w:firstLineChars="1300"/>
        <w:rPr>
          <w:rFonts w:hint="eastAsia"/>
          <w:b w:val="0"/>
          <w:bCs w:val="0"/>
          <w:color w:val="auto"/>
          <w:sz w:val="24"/>
          <w:szCs w:val="24"/>
        </w:rPr>
      </w:pPr>
      <w:r>
        <w:rPr>
          <w:rFonts w:hint="eastAsia"/>
          <w:b w:val="0"/>
          <w:bCs w:val="0"/>
          <w:color w:val="auto"/>
          <w:sz w:val="24"/>
          <w:szCs w:val="24"/>
        </w:rPr>
        <w:t>承诺函</w:t>
      </w:r>
    </w:p>
    <w:p w14:paraId="150A4302">
      <w:pPr>
        <w:spacing w:line="360" w:lineRule="auto"/>
        <w:ind w:firstLine="480" w:firstLineChars="200"/>
        <w:rPr>
          <w:rFonts w:hint="eastAsia"/>
          <w:b w:val="0"/>
          <w:bCs w:val="0"/>
          <w:color w:val="auto"/>
          <w:sz w:val="24"/>
          <w:szCs w:val="24"/>
        </w:rPr>
      </w:pPr>
      <w:r>
        <w:rPr>
          <w:rFonts w:hint="eastAsia"/>
          <w:b w:val="0"/>
          <w:bCs w:val="0"/>
          <w:color w:val="auto"/>
          <w:sz w:val="24"/>
          <w:szCs w:val="24"/>
        </w:rPr>
        <w:t>我公司承诺完成响应采购单位供货需求和售后等服务要求，</w:t>
      </w:r>
      <w:r>
        <w:rPr>
          <w:rStyle w:val="33"/>
          <w:rFonts w:ascii="宋体" w:hAnsi="宋体" w:eastAsia="宋体" w:cs="宋体"/>
          <w:b w:val="0"/>
          <w:bCs w:val="0"/>
          <w:color w:val="auto"/>
          <w:kern w:val="0"/>
          <w:sz w:val="24"/>
          <w:szCs w:val="24"/>
          <w:lang w:val="en-US" w:eastAsia="zh-CN" w:bidi="ar"/>
        </w:rPr>
        <w:t>如无法履行合同义务及采购需求要求，给采购人造成损失的，供应商须承担违约责任，赔偿采购人实际损失，赔偿上限不超过本项目合同总金额</w:t>
      </w:r>
      <w:r>
        <w:rPr>
          <w:rFonts w:hint="eastAsia"/>
          <w:b w:val="0"/>
          <w:bCs w:val="0"/>
          <w:color w:val="auto"/>
          <w:sz w:val="24"/>
          <w:szCs w:val="24"/>
        </w:rPr>
        <w:t>。</w:t>
      </w:r>
    </w:p>
    <w:p w14:paraId="3A3891FE">
      <w:pPr>
        <w:spacing w:line="360" w:lineRule="auto"/>
        <w:jc w:val="right"/>
        <w:rPr>
          <w:rFonts w:hint="eastAsia"/>
          <w:b w:val="0"/>
          <w:bCs w:val="0"/>
          <w:color w:val="auto"/>
          <w:sz w:val="24"/>
          <w:szCs w:val="24"/>
        </w:rPr>
      </w:pPr>
      <w:r>
        <w:rPr>
          <w:rFonts w:hint="eastAsia"/>
          <w:b w:val="0"/>
          <w:bCs w:val="0"/>
          <w:color w:val="auto"/>
          <w:sz w:val="24"/>
          <w:szCs w:val="24"/>
        </w:rPr>
        <w:t xml:space="preserve">               XXXXX公司（盖章）                 </w:t>
      </w:r>
    </w:p>
    <w:p w14:paraId="7DB30259">
      <w:pPr>
        <w:spacing w:line="360" w:lineRule="auto"/>
        <w:jc w:val="right"/>
        <w:rPr>
          <w:rFonts w:hint="eastAsia"/>
          <w:b w:val="0"/>
          <w:bCs w:val="0"/>
          <w:color w:val="auto"/>
          <w:sz w:val="28"/>
          <w:szCs w:val="28"/>
        </w:rPr>
      </w:pPr>
      <w:r>
        <w:rPr>
          <w:rFonts w:hint="eastAsia"/>
          <w:b w:val="0"/>
          <w:bCs w:val="0"/>
          <w:color w:val="auto"/>
          <w:sz w:val="24"/>
          <w:szCs w:val="24"/>
        </w:rPr>
        <w:t>时间：</w:t>
      </w:r>
    </w:p>
    <w:p w14:paraId="77F649AE">
      <w:pPr>
        <w:rPr>
          <w:rFonts w:hint="default"/>
          <w:b/>
          <w:bCs/>
          <w:color w:val="auto"/>
          <w:sz w:val="28"/>
          <w:szCs w:val="28"/>
          <w:lang w:val="en-US" w:eastAsia="zh-CN"/>
        </w:rPr>
      </w:pPr>
    </w:p>
    <w:p w14:paraId="5241A3EE">
      <w:pPr>
        <w:rPr>
          <w:rFonts w:hint="eastAsia"/>
          <w:color w:val="auto"/>
          <w:highlight w:val="none"/>
        </w:rPr>
      </w:pPr>
      <w:r>
        <w:rPr>
          <w:rFonts w:hint="eastAsia"/>
          <w:b/>
          <w:bCs/>
          <w:color w:val="auto"/>
          <w:sz w:val="24"/>
          <w:szCs w:val="24"/>
          <w:highlight w:val="none"/>
          <w:lang w:val="en-US" w:eastAsia="zh-CN"/>
        </w:rPr>
        <w:t>（三）</w:t>
      </w:r>
      <w:r>
        <w:rPr>
          <w:rFonts w:hint="eastAsia"/>
          <w:b/>
          <w:bCs/>
          <w:color w:val="auto"/>
          <w:sz w:val="24"/>
          <w:szCs w:val="24"/>
          <w:highlight w:val="none"/>
        </w:rPr>
        <w:t>投标人认为需要提供的其它商务</w:t>
      </w:r>
      <w:r>
        <w:rPr>
          <w:rFonts w:hint="eastAsia"/>
          <w:b/>
          <w:bCs/>
          <w:color w:val="auto"/>
          <w:sz w:val="24"/>
          <w:szCs w:val="24"/>
          <w:highlight w:val="none"/>
          <w:lang w:eastAsia="zh-CN"/>
        </w:rPr>
        <w:t>、</w:t>
      </w:r>
      <w:r>
        <w:rPr>
          <w:rFonts w:hint="eastAsia"/>
          <w:b/>
          <w:bCs/>
          <w:color w:val="auto"/>
          <w:sz w:val="24"/>
          <w:szCs w:val="24"/>
          <w:highlight w:val="none"/>
        </w:rPr>
        <w:t>技术资料和说明。</w:t>
      </w: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FZShuSong-Z01">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Helvetica">
    <w:altName w:val="Arial"/>
    <w:panose1 w:val="020B0504020202020204"/>
    <w:charset w:val="00"/>
    <w:family w:val="swiss"/>
    <w:pitch w:val="default"/>
    <w:sig w:usb0="00000000" w:usb1="00000000" w:usb2="00000000" w:usb3="00000000" w:csb0="0000000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DejaVuSans">
    <w:altName w:val="Segoe Print"/>
    <w:panose1 w:val="00000000000000000000"/>
    <w:charset w:val="00"/>
    <w:family w:val="auto"/>
    <w:pitch w:val="default"/>
    <w:sig w:usb0="00000000" w:usb1="00000000" w:usb2="00000000" w:usb3="00000000" w:csb0="00000000"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58744">
    <w:pPr>
      <w:pStyle w:val="20"/>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EBAFD8">
                          <w:pPr>
                            <w:pStyle w:val="2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7EBAFD8">
                    <w:pPr>
                      <w:pStyle w:val="20"/>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E8FFF">
    <w:pPr>
      <w:pStyle w:val="20"/>
      <w:jc w:val="cente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E7486E">
                          <w:pPr>
                            <w:pStyle w:val="20"/>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BE7486E">
                    <w:pPr>
                      <w:pStyle w:val="20"/>
                    </w:pPr>
                    <w:r>
                      <w:fldChar w:fldCharType="begin"/>
                    </w:r>
                    <w:r>
                      <w:instrText xml:space="preserve"> PAGE  \* MERGEFORMAT </w:instrText>
                    </w:r>
                    <w:r>
                      <w:fldChar w:fldCharType="separate"/>
                    </w:r>
                    <w:r>
                      <w:t>70</w:t>
                    </w:r>
                    <w:r>
                      <w:fldChar w:fldCharType="end"/>
                    </w:r>
                  </w:p>
                </w:txbxContent>
              </v:textbox>
            </v:shape>
          </w:pict>
        </mc:Fallback>
      </mc:AlternateContent>
    </w:r>
  </w:p>
  <w:p w14:paraId="1E6560F3">
    <w:pPr>
      <w:pStyle w:val="2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EB73E">
    <w:pPr>
      <w:pStyle w:val="21"/>
      <w:keepNext w:val="0"/>
      <w:keepLines w:val="0"/>
      <w:pageBreakBefore w:val="0"/>
      <w:widowControl w:val="0"/>
      <w:kinsoku/>
      <w:wordWrap/>
      <w:overflowPunct/>
      <w:topLinePunct w:val="0"/>
      <w:bidi w:val="0"/>
      <w:adjustRightInd/>
      <w:snapToGrid w:val="0"/>
      <w:jc w:val="right"/>
      <w:textAlignment w:val="auto"/>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38EFF">
    <w:pPr>
      <w:pStyle w:val="21"/>
    </w:pPr>
    <w:r>
      <w:rPr>
        <w:rFonts w:hint="eastAsia"/>
        <w:sz w:val="24"/>
        <w:szCs w:val="24"/>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070575"/>
    <w:multiLevelType w:val="singleLevel"/>
    <w:tmpl w:val="9C070575"/>
    <w:lvl w:ilvl="0" w:tentative="0">
      <w:start w:val="1"/>
      <w:numFmt w:val="decimal"/>
      <w:pStyle w:val="7"/>
      <w:lvlText w:val="%1."/>
      <w:lvlJc w:val="left"/>
      <w:pPr>
        <w:tabs>
          <w:tab w:val="left" w:pos="780"/>
        </w:tabs>
        <w:ind w:left="780" w:hanging="360"/>
      </w:p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029C88"/>
    <w:multiLevelType w:val="singleLevel"/>
    <w:tmpl w:val="DE029C88"/>
    <w:lvl w:ilvl="0" w:tentative="0">
      <w:start w:val="1"/>
      <w:numFmt w:val="chineseCounting"/>
      <w:suff w:val="nothing"/>
      <w:lvlText w:val="%1、"/>
      <w:lvlJc w:val="left"/>
      <w:rPr>
        <w:rFonts w:hint="eastAsia"/>
      </w:rPr>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E7906728"/>
    <w:multiLevelType w:val="singleLevel"/>
    <w:tmpl w:val="E7906728"/>
    <w:lvl w:ilvl="0" w:tentative="0">
      <w:start w:val="1"/>
      <w:numFmt w:val="decimal"/>
      <w:suff w:val="nothing"/>
      <w:lvlText w:val="%1、"/>
      <w:lvlJc w:val="left"/>
    </w:lvl>
  </w:abstractNum>
  <w:abstractNum w:abstractNumId="8">
    <w:nsid w:val="F21F9386"/>
    <w:multiLevelType w:val="singleLevel"/>
    <w:tmpl w:val="F21F9386"/>
    <w:lvl w:ilvl="0" w:tentative="0">
      <w:start w:val="1"/>
      <w:numFmt w:val="decimal"/>
      <w:suff w:val="nothing"/>
      <w:lvlText w:val="%1、"/>
      <w:lvlJc w:val="left"/>
      <w:pPr>
        <w:ind w:left="105" w:firstLine="0"/>
      </w:pPr>
    </w:lvl>
  </w:abstractNum>
  <w:abstractNum w:abstractNumId="9">
    <w:nsid w:val="FF75A290"/>
    <w:multiLevelType w:val="singleLevel"/>
    <w:tmpl w:val="FF75A290"/>
    <w:lvl w:ilvl="0" w:tentative="0">
      <w:start w:val="1"/>
      <w:numFmt w:val="chineseCounting"/>
      <w:suff w:val="nothing"/>
      <w:lvlText w:val="%1、"/>
      <w:lvlJc w:val="left"/>
      <w:rPr>
        <w:rFonts w:hint="eastAsia"/>
      </w:rPr>
    </w:lvl>
  </w:abstractNum>
  <w:abstractNum w:abstractNumId="10">
    <w:nsid w:val="FFEFC674"/>
    <w:multiLevelType w:val="singleLevel"/>
    <w:tmpl w:val="FFEFC674"/>
    <w:lvl w:ilvl="0" w:tentative="0">
      <w:start w:val="1"/>
      <w:numFmt w:val="decimal"/>
      <w:suff w:val="nothing"/>
      <w:lvlText w:val="（%1）"/>
      <w:lvlJc w:val="left"/>
    </w:lvl>
  </w:abstractNum>
  <w:abstractNum w:abstractNumId="11">
    <w:nsid w:val="1C761375"/>
    <w:multiLevelType w:val="multilevel"/>
    <w:tmpl w:val="1C76137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2F33D12A"/>
    <w:multiLevelType w:val="singleLevel"/>
    <w:tmpl w:val="2F33D12A"/>
    <w:lvl w:ilvl="0" w:tentative="0">
      <w:start w:val="2"/>
      <w:numFmt w:val="chineseCounting"/>
      <w:suff w:val="nothing"/>
      <w:lvlText w:val="（%1）"/>
      <w:lvlJc w:val="left"/>
      <w:rPr>
        <w:rFonts w:hint="eastAsia"/>
      </w:rPr>
    </w:lvl>
  </w:abstractNum>
  <w:abstractNum w:abstractNumId="13">
    <w:nsid w:val="447B6378"/>
    <w:multiLevelType w:val="multilevel"/>
    <w:tmpl w:val="447B6378"/>
    <w:lvl w:ilvl="0" w:tentative="0">
      <w:start w:val="1"/>
      <w:numFmt w:val="decimal"/>
      <w:pStyle w:val="41"/>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6423E26"/>
    <w:multiLevelType w:val="multilevel"/>
    <w:tmpl w:val="66423E2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7444EEFB"/>
    <w:multiLevelType w:val="singleLevel"/>
    <w:tmpl w:val="7444EEFB"/>
    <w:lvl w:ilvl="0" w:tentative="0">
      <w:start w:val="3"/>
      <w:numFmt w:val="chineseCounting"/>
      <w:suff w:val="space"/>
      <w:lvlText w:val="第%1章"/>
      <w:lvlJc w:val="left"/>
      <w:rPr>
        <w:rFonts w:hint="eastAsia"/>
      </w:rPr>
    </w:lvl>
  </w:abstractNum>
  <w:abstractNum w:abstractNumId="16">
    <w:nsid w:val="75504026"/>
    <w:multiLevelType w:val="multilevel"/>
    <w:tmpl w:val="75504026"/>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7A0F6431"/>
    <w:multiLevelType w:val="singleLevel"/>
    <w:tmpl w:val="7A0F6431"/>
    <w:lvl w:ilvl="0" w:tentative="0">
      <w:start w:val="1"/>
      <w:numFmt w:val="decimal"/>
      <w:suff w:val="space"/>
      <w:lvlText w:val="%1."/>
      <w:lvlJc w:val="left"/>
    </w:lvl>
  </w:abstractNum>
  <w:num w:numId="1">
    <w:abstractNumId w:val="0"/>
  </w:num>
  <w:num w:numId="2">
    <w:abstractNumId w:val="13"/>
  </w:num>
  <w:num w:numId="3">
    <w:abstractNumId w:val="15"/>
  </w:num>
  <w:num w:numId="4">
    <w:abstractNumId w:val="8"/>
  </w:num>
  <w:num w:numId="5">
    <w:abstractNumId w:val="4"/>
  </w:num>
  <w:num w:numId="6">
    <w:abstractNumId w:val="7"/>
  </w:num>
  <w:num w:numId="7">
    <w:abstractNumId w:val="14"/>
  </w:num>
  <w:num w:numId="8">
    <w:abstractNumId w:val="9"/>
  </w:num>
  <w:num w:numId="9">
    <w:abstractNumId w:val="12"/>
  </w:num>
  <w:num w:numId="10">
    <w:abstractNumId w:val="17"/>
  </w:num>
  <w:num w:numId="11">
    <w:abstractNumId w:val="2"/>
  </w:num>
  <w:num w:numId="12">
    <w:abstractNumId w:val="10"/>
  </w:num>
  <w:num w:numId="13">
    <w:abstractNumId w:val="5"/>
  </w:num>
  <w:num w:numId="14">
    <w:abstractNumId w:val="3"/>
  </w:num>
  <w:num w:numId="15">
    <w:abstractNumId w:val="1"/>
  </w:num>
  <w:num w:numId="16">
    <w:abstractNumId w:val="6"/>
  </w:num>
  <w:num w:numId="17">
    <w:abstractNumId w:val="11"/>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JkNTg1OTJkZTA1ZDVhNGYzMmVkNzJiZGI5ZmNhNzAifQ=="/>
  </w:docVars>
  <w:rsids>
    <w:rsidRoot w:val="00172A27"/>
    <w:rsid w:val="0000366A"/>
    <w:rsid w:val="00006F7F"/>
    <w:rsid w:val="00007003"/>
    <w:rsid w:val="000075B7"/>
    <w:rsid w:val="000237EA"/>
    <w:rsid w:val="00027CD2"/>
    <w:rsid w:val="00031E0C"/>
    <w:rsid w:val="00040832"/>
    <w:rsid w:val="00040D23"/>
    <w:rsid w:val="000439DA"/>
    <w:rsid w:val="00063604"/>
    <w:rsid w:val="0006370A"/>
    <w:rsid w:val="00066832"/>
    <w:rsid w:val="00067934"/>
    <w:rsid w:val="000720BF"/>
    <w:rsid w:val="0008641D"/>
    <w:rsid w:val="000B39A0"/>
    <w:rsid w:val="000C3E03"/>
    <w:rsid w:val="000C488D"/>
    <w:rsid w:val="000C52EC"/>
    <w:rsid w:val="000D0230"/>
    <w:rsid w:val="000D0AD3"/>
    <w:rsid w:val="000E45BD"/>
    <w:rsid w:val="000E4E33"/>
    <w:rsid w:val="000E67CF"/>
    <w:rsid w:val="000F20FD"/>
    <w:rsid w:val="000F39B0"/>
    <w:rsid w:val="001008D8"/>
    <w:rsid w:val="001022A4"/>
    <w:rsid w:val="00115EF7"/>
    <w:rsid w:val="0013642D"/>
    <w:rsid w:val="00146410"/>
    <w:rsid w:val="00150D67"/>
    <w:rsid w:val="00150EAD"/>
    <w:rsid w:val="00156600"/>
    <w:rsid w:val="00160E9C"/>
    <w:rsid w:val="00172190"/>
    <w:rsid w:val="00173480"/>
    <w:rsid w:val="00181988"/>
    <w:rsid w:val="00182557"/>
    <w:rsid w:val="0018304A"/>
    <w:rsid w:val="001904E9"/>
    <w:rsid w:val="001A77DE"/>
    <w:rsid w:val="001B36EC"/>
    <w:rsid w:val="001D7B23"/>
    <w:rsid w:val="001E2F56"/>
    <w:rsid w:val="00204A2D"/>
    <w:rsid w:val="002062E6"/>
    <w:rsid w:val="00207131"/>
    <w:rsid w:val="0022214D"/>
    <w:rsid w:val="00223585"/>
    <w:rsid w:val="002257E4"/>
    <w:rsid w:val="002317DB"/>
    <w:rsid w:val="00232245"/>
    <w:rsid w:val="0023265E"/>
    <w:rsid w:val="00235B5A"/>
    <w:rsid w:val="00251060"/>
    <w:rsid w:val="002514A3"/>
    <w:rsid w:val="00256B32"/>
    <w:rsid w:val="00256D01"/>
    <w:rsid w:val="002706F2"/>
    <w:rsid w:val="00271135"/>
    <w:rsid w:val="00285E30"/>
    <w:rsid w:val="00292BAB"/>
    <w:rsid w:val="002A1AEC"/>
    <w:rsid w:val="002A1BCB"/>
    <w:rsid w:val="002A5262"/>
    <w:rsid w:val="002A6484"/>
    <w:rsid w:val="002A79C6"/>
    <w:rsid w:val="002C06B9"/>
    <w:rsid w:val="002C0FDD"/>
    <w:rsid w:val="002C5E37"/>
    <w:rsid w:val="002D11F7"/>
    <w:rsid w:val="002D48C5"/>
    <w:rsid w:val="002E0B52"/>
    <w:rsid w:val="002E1CF4"/>
    <w:rsid w:val="002E5FED"/>
    <w:rsid w:val="002F0DA9"/>
    <w:rsid w:val="003113C1"/>
    <w:rsid w:val="00312C3A"/>
    <w:rsid w:val="0031353D"/>
    <w:rsid w:val="0032200D"/>
    <w:rsid w:val="00333B37"/>
    <w:rsid w:val="0034487B"/>
    <w:rsid w:val="00347CC6"/>
    <w:rsid w:val="00347D88"/>
    <w:rsid w:val="00350BCD"/>
    <w:rsid w:val="0035643C"/>
    <w:rsid w:val="00366226"/>
    <w:rsid w:val="003746B0"/>
    <w:rsid w:val="00374A6B"/>
    <w:rsid w:val="00383E1C"/>
    <w:rsid w:val="00390D4A"/>
    <w:rsid w:val="0039222E"/>
    <w:rsid w:val="0039288A"/>
    <w:rsid w:val="00393395"/>
    <w:rsid w:val="0039372E"/>
    <w:rsid w:val="00394AF5"/>
    <w:rsid w:val="003A19A4"/>
    <w:rsid w:val="003A1A1B"/>
    <w:rsid w:val="003A4485"/>
    <w:rsid w:val="003A4878"/>
    <w:rsid w:val="003B4310"/>
    <w:rsid w:val="003B60A6"/>
    <w:rsid w:val="003C5883"/>
    <w:rsid w:val="003C7C49"/>
    <w:rsid w:val="003D3327"/>
    <w:rsid w:val="003D6656"/>
    <w:rsid w:val="003E057C"/>
    <w:rsid w:val="003E2B14"/>
    <w:rsid w:val="003E314B"/>
    <w:rsid w:val="003F5655"/>
    <w:rsid w:val="003F5BC6"/>
    <w:rsid w:val="004021C6"/>
    <w:rsid w:val="00406BEF"/>
    <w:rsid w:val="00410595"/>
    <w:rsid w:val="00420F7C"/>
    <w:rsid w:val="0043307A"/>
    <w:rsid w:val="00433514"/>
    <w:rsid w:val="00446BB3"/>
    <w:rsid w:val="0045353D"/>
    <w:rsid w:val="004771C7"/>
    <w:rsid w:val="00481283"/>
    <w:rsid w:val="00481C3A"/>
    <w:rsid w:val="004851CA"/>
    <w:rsid w:val="0048656E"/>
    <w:rsid w:val="00493221"/>
    <w:rsid w:val="004A302C"/>
    <w:rsid w:val="004B539D"/>
    <w:rsid w:val="004C1FA1"/>
    <w:rsid w:val="004C3DCC"/>
    <w:rsid w:val="004E0BF9"/>
    <w:rsid w:val="004E0CF9"/>
    <w:rsid w:val="004F3FDD"/>
    <w:rsid w:val="004F46AB"/>
    <w:rsid w:val="00501A4A"/>
    <w:rsid w:val="005032B9"/>
    <w:rsid w:val="005100F2"/>
    <w:rsid w:val="00510300"/>
    <w:rsid w:val="00511D7B"/>
    <w:rsid w:val="00513AD5"/>
    <w:rsid w:val="00523D37"/>
    <w:rsid w:val="00524831"/>
    <w:rsid w:val="0052616B"/>
    <w:rsid w:val="00532F25"/>
    <w:rsid w:val="00541D90"/>
    <w:rsid w:val="00542258"/>
    <w:rsid w:val="0054547C"/>
    <w:rsid w:val="0054632A"/>
    <w:rsid w:val="00551EDC"/>
    <w:rsid w:val="005544D1"/>
    <w:rsid w:val="00554509"/>
    <w:rsid w:val="00561523"/>
    <w:rsid w:val="00561527"/>
    <w:rsid w:val="005714C6"/>
    <w:rsid w:val="00594E7A"/>
    <w:rsid w:val="005A146E"/>
    <w:rsid w:val="005A7208"/>
    <w:rsid w:val="005A7987"/>
    <w:rsid w:val="005B5936"/>
    <w:rsid w:val="005C0D20"/>
    <w:rsid w:val="005D050C"/>
    <w:rsid w:val="005F7A46"/>
    <w:rsid w:val="00611383"/>
    <w:rsid w:val="00620B1C"/>
    <w:rsid w:val="00626E33"/>
    <w:rsid w:val="006407ED"/>
    <w:rsid w:val="0064251F"/>
    <w:rsid w:val="00643F74"/>
    <w:rsid w:val="006503AE"/>
    <w:rsid w:val="00651EE4"/>
    <w:rsid w:val="00654524"/>
    <w:rsid w:val="00654BCF"/>
    <w:rsid w:val="0066052B"/>
    <w:rsid w:val="006630EF"/>
    <w:rsid w:val="0066446E"/>
    <w:rsid w:val="0066601A"/>
    <w:rsid w:val="006662AB"/>
    <w:rsid w:val="00674212"/>
    <w:rsid w:val="0067621A"/>
    <w:rsid w:val="006815D1"/>
    <w:rsid w:val="00687DD5"/>
    <w:rsid w:val="006923C3"/>
    <w:rsid w:val="006937E9"/>
    <w:rsid w:val="00693EF9"/>
    <w:rsid w:val="006947A5"/>
    <w:rsid w:val="006A1A11"/>
    <w:rsid w:val="006A2C75"/>
    <w:rsid w:val="006A4105"/>
    <w:rsid w:val="006B0C84"/>
    <w:rsid w:val="006B543B"/>
    <w:rsid w:val="006B7E54"/>
    <w:rsid w:val="006C0BD1"/>
    <w:rsid w:val="006C30C8"/>
    <w:rsid w:val="006C5139"/>
    <w:rsid w:val="006C69FC"/>
    <w:rsid w:val="006D069F"/>
    <w:rsid w:val="006D2C95"/>
    <w:rsid w:val="006D5F8F"/>
    <w:rsid w:val="006D6CEA"/>
    <w:rsid w:val="006E3B5C"/>
    <w:rsid w:val="006E3EB8"/>
    <w:rsid w:val="00707B1D"/>
    <w:rsid w:val="00710909"/>
    <w:rsid w:val="00716369"/>
    <w:rsid w:val="00723649"/>
    <w:rsid w:val="007265C3"/>
    <w:rsid w:val="00735F23"/>
    <w:rsid w:val="00740CEF"/>
    <w:rsid w:val="00742261"/>
    <w:rsid w:val="00752C5E"/>
    <w:rsid w:val="007531F9"/>
    <w:rsid w:val="00764378"/>
    <w:rsid w:val="0076591F"/>
    <w:rsid w:val="00766F0F"/>
    <w:rsid w:val="00773B9A"/>
    <w:rsid w:val="0077582F"/>
    <w:rsid w:val="007862C9"/>
    <w:rsid w:val="0079007B"/>
    <w:rsid w:val="007A0F22"/>
    <w:rsid w:val="007B5C1A"/>
    <w:rsid w:val="007C03A0"/>
    <w:rsid w:val="007C2BEF"/>
    <w:rsid w:val="007D3D77"/>
    <w:rsid w:val="007E157B"/>
    <w:rsid w:val="007E2EF7"/>
    <w:rsid w:val="007E4818"/>
    <w:rsid w:val="007E6A7E"/>
    <w:rsid w:val="007F33F3"/>
    <w:rsid w:val="007F6124"/>
    <w:rsid w:val="00801BDF"/>
    <w:rsid w:val="00802B86"/>
    <w:rsid w:val="0082514B"/>
    <w:rsid w:val="00830599"/>
    <w:rsid w:val="008334B0"/>
    <w:rsid w:val="0083496F"/>
    <w:rsid w:val="0083530F"/>
    <w:rsid w:val="00836468"/>
    <w:rsid w:val="00843492"/>
    <w:rsid w:val="00845F16"/>
    <w:rsid w:val="00852AF3"/>
    <w:rsid w:val="00856D2D"/>
    <w:rsid w:val="00856F2E"/>
    <w:rsid w:val="00871560"/>
    <w:rsid w:val="00872D54"/>
    <w:rsid w:val="00872F2D"/>
    <w:rsid w:val="0087585D"/>
    <w:rsid w:val="00880E22"/>
    <w:rsid w:val="00882B6F"/>
    <w:rsid w:val="008834AE"/>
    <w:rsid w:val="00885F4D"/>
    <w:rsid w:val="008962E2"/>
    <w:rsid w:val="008A74EF"/>
    <w:rsid w:val="008B0539"/>
    <w:rsid w:val="008B1C98"/>
    <w:rsid w:val="008B5ADF"/>
    <w:rsid w:val="008D0B3B"/>
    <w:rsid w:val="008D1450"/>
    <w:rsid w:val="008D2E66"/>
    <w:rsid w:val="008D56A5"/>
    <w:rsid w:val="008E1546"/>
    <w:rsid w:val="008E189F"/>
    <w:rsid w:val="008E24ED"/>
    <w:rsid w:val="008E40FE"/>
    <w:rsid w:val="008E57AC"/>
    <w:rsid w:val="008E6D3B"/>
    <w:rsid w:val="00906396"/>
    <w:rsid w:val="0090770A"/>
    <w:rsid w:val="00916E4D"/>
    <w:rsid w:val="00917A63"/>
    <w:rsid w:val="00920750"/>
    <w:rsid w:val="00923C36"/>
    <w:rsid w:val="00924B8E"/>
    <w:rsid w:val="00930024"/>
    <w:rsid w:val="009344DE"/>
    <w:rsid w:val="009357E5"/>
    <w:rsid w:val="00936087"/>
    <w:rsid w:val="00945D17"/>
    <w:rsid w:val="00951FEE"/>
    <w:rsid w:val="00965FBF"/>
    <w:rsid w:val="00973941"/>
    <w:rsid w:val="0097751F"/>
    <w:rsid w:val="00980255"/>
    <w:rsid w:val="009804FA"/>
    <w:rsid w:val="00985B78"/>
    <w:rsid w:val="0098649F"/>
    <w:rsid w:val="00993AFA"/>
    <w:rsid w:val="0099686E"/>
    <w:rsid w:val="00996DF2"/>
    <w:rsid w:val="009A41B0"/>
    <w:rsid w:val="009A4756"/>
    <w:rsid w:val="009A4C46"/>
    <w:rsid w:val="009A4DBF"/>
    <w:rsid w:val="009B3513"/>
    <w:rsid w:val="009B39EA"/>
    <w:rsid w:val="009D3FC3"/>
    <w:rsid w:val="009D433D"/>
    <w:rsid w:val="009D4484"/>
    <w:rsid w:val="009D5889"/>
    <w:rsid w:val="009D7755"/>
    <w:rsid w:val="009F1D20"/>
    <w:rsid w:val="00A00548"/>
    <w:rsid w:val="00A00713"/>
    <w:rsid w:val="00A00731"/>
    <w:rsid w:val="00A11A5C"/>
    <w:rsid w:val="00A22235"/>
    <w:rsid w:val="00A22F7B"/>
    <w:rsid w:val="00A23801"/>
    <w:rsid w:val="00A2554C"/>
    <w:rsid w:val="00A3295D"/>
    <w:rsid w:val="00A33652"/>
    <w:rsid w:val="00A3798C"/>
    <w:rsid w:val="00A42866"/>
    <w:rsid w:val="00A461C1"/>
    <w:rsid w:val="00A46B5C"/>
    <w:rsid w:val="00A50D6E"/>
    <w:rsid w:val="00A51DD8"/>
    <w:rsid w:val="00A647EA"/>
    <w:rsid w:val="00A736C6"/>
    <w:rsid w:val="00A82472"/>
    <w:rsid w:val="00A83F1F"/>
    <w:rsid w:val="00A8416F"/>
    <w:rsid w:val="00AA0223"/>
    <w:rsid w:val="00AB28B8"/>
    <w:rsid w:val="00AB3B77"/>
    <w:rsid w:val="00AC57B7"/>
    <w:rsid w:val="00AC73C5"/>
    <w:rsid w:val="00AC755C"/>
    <w:rsid w:val="00AD0E13"/>
    <w:rsid w:val="00AD5ABF"/>
    <w:rsid w:val="00AF45C5"/>
    <w:rsid w:val="00AF5667"/>
    <w:rsid w:val="00B05DD5"/>
    <w:rsid w:val="00B12477"/>
    <w:rsid w:val="00B13343"/>
    <w:rsid w:val="00B1354B"/>
    <w:rsid w:val="00B220B2"/>
    <w:rsid w:val="00B23942"/>
    <w:rsid w:val="00B32474"/>
    <w:rsid w:val="00B4327E"/>
    <w:rsid w:val="00B467A4"/>
    <w:rsid w:val="00B5286D"/>
    <w:rsid w:val="00B545BC"/>
    <w:rsid w:val="00B61032"/>
    <w:rsid w:val="00B61D2E"/>
    <w:rsid w:val="00B71854"/>
    <w:rsid w:val="00B71DA4"/>
    <w:rsid w:val="00B7235B"/>
    <w:rsid w:val="00B76348"/>
    <w:rsid w:val="00B81261"/>
    <w:rsid w:val="00B82556"/>
    <w:rsid w:val="00B87655"/>
    <w:rsid w:val="00B87801"/>
    <w:rsid w:val="00B92871"/>
    <w:rsid w:val="00B928DA"/>
    <w:rsid w:val="00BA5AC3"/>
    <w:rsid w:val="00BA630D"/>
    <w:rsid w:val="00BB06B4"/>
    <w:rsid w:val="00BB2551"/>
    <w:rsid w:val="00BB4892"/>
    <w:rsid w:val="00BB5E9B"/>
    <w:rsid w:val="00BC1A44"/>
    <w:rsid w:val="00BC5C37"/>
    <w:rsid w:val="00BC757B"/>
    <w:rsid w:val="00BC7ED2"/>
    <w:rsid w:val="00BD0190"/>
    <w:rsid w:val="00BE212E"/>
    <w:rsid w:val="00BE4AAB"/>
    <w:rsid w:val="00BE5086"/>
    <w:rsid w:val="00BF4971"/>
    <w:rsid w:val="00C07F40"/>
    <w:rsid w:val="00C12E85"/>
    <w:rsid w:val="00C16A79"/>
    <w:rsid w:val="00C20278"/>
    <w:rsid w:val="00C22791"/>
    <w:rsid w:val="00C236DC"/>
    <w:rsid w:val="00C31B7F"/>
    <w:rsid w:val="00C32F79"/>
    <w:rsid w:val="00C33FD2"/>
    <w:rsid w:val="00C35271"/>
    <w:rsid w:val="00C4036A"/>
    <w:rsid w:val="00C50E28"/>
    <w:rsid w:val="00C62934"/>
    <w:rsid w:val="00C64428"/>
    <w:rsid w:val="00C74D6F"/>
    <w:rsid w:val="00C842DE"/>
    <w:rsid w:val="00C902FB"/>
    <w:rsid w:val="00C90B42"/>
    <w:rsid w:val="00C965AE"/>
    <w:rsid w:val="00CA0AED"/>
    <w:rsid w:val="00CA66E6"/>
    <w:rsid w:val="00CC29DE"/>
    <w:rsid w:val="00CC3B64"/>
    <w:rsid w:val="00CD37C6"/>
    <w:rsid w:val="00CD3BA4"/>
    <w:rsid w:val="00CD41AA"/>
    <w:rsid w:val="00CD6943"/>
    <w:rsid w:val="00CE6C2F"/>
    <w:rsid w:val="00CE73CC"/>
    <w:rsid w:val="00CE7E9C"/>
    <w:rsid w:val="00CF2EF3"/>
    <w:rsid w:val="00CF3298"/>
    <w:rsid w:val="00D02F3B"/>
    <w:rsid w:val="00D0657B"/>
    <w:rsid w:val="00D129CB"/>
    <w:rsid w:val="00D16A04"/>
    <w:rsid w:val="00D27C17"/>
    <w:rsid w:val="00D41B89"/>
    <w:rsid w:val="00D47F27"/>
    <w:rsid w:val="00D5541F"/>
    <w:rsid w:val="00D57923"/>
    <w:rsid w:val="00D66387"/>
    <w:rsid w:val="00D741B6"/>
    <w:rsid w:val="00D74BD0"/>
    <w:rsid w:val="00D74FED"/>
    <w:rsid w:val="00D75A81"/>
    <w:rsid w:val="00D7761F"/>
    <w:rsid w:val="00D86806"/>
    <w:rsid w:val="00D86C35"/>
    <w:rsid w:val="00DB04FB"/>
    <w:rsid w:val="00DB6DFF"/>
    <w:rsid w:val="00DC003F"/>
    <w:rsid w:val="00DE72B3"/>
    <w:rsid w:val="00DF4668"/>
    <w:rsid w:val="00E00172"/>
    <w:rsid w:val="00E0533A"/>
    <w:rsid w:val="00E0701A"/>
    <w:rsid w:val="00E131D1"/>
    <w:rsid w:val="00E17AA0"/>
    <w:rsid w:val="00E2655B"/>
    <w:rsid w:val="00E311AB"/>
    <w:rsid w:val="00E358BF"/>
    <w:rsid w:val="00E36EC8"/>
    <w:rsid w:val="00E51146"/>
    <w:rsid w:val="00E512A9"/>
    <w:rsid w:val="00E54AF9"/>
    <w:rsid w:val="00E5624E"/>
    <w:rsid w:val="00E601D4"/>
    <w:rsid w:val="00E64C88"/>
    <w:rsid w:val="00E7179D"/>
    <w:rsid w:val="00E74832"/>
    <w:rsid w:val="00E81B04"/>
    <w:rsid w:val="00E820C5"/>
    <w:rsid w:val="00E87550"/>
    <w:rsid w:val="00E9413F"/>
    <w:rsid w:val="00E973D2"/>
    <w:rsid w:val="00EA0745"/>
    <w:rsid w:val="00EC7C64"/>
    <w:rsid w:val="00ED00D6"/>
    <w:rsid w:val="00EE26DC"/>
    <w:rsid w:val="00EE3FF1"/>
    <w:rsid w:val="00EE5816"/>
    <w:rsid w:val="00F03292"/>
    <w:rsid w:val="00F0565C"/>
    <w:rsid w:val="00F121AE"/>
    <w:rsid w:val="00F15852"/>
    <w:rsid w:val="00F23F4B"/>
    <w:rsid w:val="00F462F0"/>
    <w:rsid w:val="00F46C50"/>
    <w:rsid w:val="00F56CD7"/>
    <w:rsid w:val="00F60B61"/>
    <w:rsid w:val="00F66E89"/>
    <w:rsid w:val="00F67822"/>
    <w:rsid w:val="00F70621"/>
    <w:rsid w:val="00F74182"/>
    <w:rsid w:val="00F7607A"/>
    <w:rsid w:val="00F8517B"/>
    <w:rsid w:val="00F90250"/>
    <w:rsid w:val="00F91395"/>
    <w:rsid w:val="00F961D7"/>
    <w:rsid w:val="00F97A2B"/>
    <w:rsid w:val="00FA0CA3"/>
    <w:rsid w:val="00FA3BC5"/>
    <w:rsid w:val="00FA40FE"/>
    <w:rsid w:val="00FB08DC"/>
    <w:rsid w:val="00FB0D30"/>
    <w:rsid w:val="00FB1AE0"/>
    <w:rsid w:val="00FB34C2"/>
    <w:rsid w:val="00FB42F5"/>
    <w:rsid w:val="00FD76E1"/>
    <w:rsid w:val="00FE0970"/>
    <w:rsid w:val="00FF3F3A"/>
    <w:rsid w:val="00FF400F"/>
    <w:rsid w:val="01064C9A"/>
    <w:rsid w:val="01303AC5"/>
    <w:rsid w:val="013E61E2"/>
    <w:rsid w:val="014F4893"/>
    <w:rsid w:val="01554610"/>
    <w:rsid w:val="01657CDA"/>
    <w:rsid w:val="01781929"/>
    <w:rsid w:val="017B3663"/>
    <w:rsid w:val="017C564F"/>
    <w:rsid w:val="01877B89"/>
    <w:rsid w:val="019E3125"/>
    <w:rsid w:val="01BA39DE"/>
    <w:rsid w:val="01CA216C"/>
    <w:rsid w:val="01D0068D"/>
    <w:rsid w:val="01D775B9"/>
    <w:rsid w:val="01DD3C4D"/>
    <w:rsid w:val="02026E30"/>
    <w:rsid w:val="02132174"/>
    <w:rsid w:val="02186A33"/>
    <w:rsid w:val="022278B2"/>
    <w:rsid w:val="023130F5"/>
    <w:rsid w:val="0238407B"/>
    <w:rsid w:val="024737BC"/>
    <w:rsid w:val="024C2B81"/>
    <w:rsid w:val="026D3223"/>
    <w:rsid w:val="028604AE"/>
    <w:rsid w:val="028B75EF"/>
    <w:rsid w:val="028D5673"/>
    <w:rsid w:val="02922C89"/>
    <w:rsid w:val="029D33DC"/>
    <w:rsid w:val="02AD1871"/>
    <w:rsid w:val="02AD3196"/>
    <w:rsid w:val="02C44E0D"/>
    <w:rsid w:val="02C9326F"/>
    <w:rsid w:val="02DA63DE"/>
    <w:rsid w:val="02DF39F5"/>
    <w:rsid w:val="02EF5EA2"/>
    <w:rsid w:val="03200295"/>
    <w:rsid w:val="0361440A"/>
    <w:rsid w:val="036D7252"/>
    <w:rsid w:val="03747EC0"/>
    <w:rsid w:val="03922815"/>
    <w:rsid w:val="03990047"/>
    <w:rsid w:val="03AF1619"/>
    <w:rsid w:val="03B7227C"/>
    <w:rsid w:val="03C07382"/>
    <w:rsid w:val="03C350C4"/>
    <w:rsid w:val="03E07A24"/>
    <w:rsid w:val="03E2554B"/>
    <w:rsid w:val="03E30F7F"/>
    <w:rsid w:val="03EA08A3"/>
    <w:rsid w:val="03F62DA4"/>
    <w:rsid w:val="04001E75"/>
    <w:rsid w:val="040E4592"/>
    <w:rsid w:val="04293179"/>
    <w:rsid w:val="043833BC"/>
    <w:rsid w:val="04446205"/>
    <w:rsid w:val="044E2BE0"/>
    <w:rsid w:val="04506958"/>
    <w:rsid w:val="045126D0"/>
    <w:rsid w:val="045D72C7"/>
    <w:rsid w:val="045F303F"/>
    <w:rsid w:val="04820ADC"/>
    <w:rsid w:val="04893C18"/>
    <w:rsid w:val="04951C17"/>
    <w:rsid w:val="049F343C"/>
    <w:rsid w:val="04B14F1D"/>
    <w:rsid w:val="04F01EE9"/>
    <w:rsid w:val="04F574FF"/>
    <w:rsid w:val="05025778"/>
    <w:rsid w:val="051F632A"/>
    <w:rsid w:val="052851DF"/>
    <w:rsid w:val="052E656D"/>
    <w:rsid w:val="053A4F12"/>
    <w:rsid w:val="053F247C"/>
    <w:rsid w:val="0545596E"/>
    <w:rsid w:val="054E0032"/>
    <w:rsid w:val="05595CE0"/>
    <w:rsid w:val="057C377D"/>
    <w:rsid w:val="057E74F5"/>
    <w:rsid w:val="05810D93"/>
    <w:rsid w:val="05812B41"/>
    <w:rsid w:val="05850883"/>
    <w:rsid w:val="05B13426"/>
    <w:rsid w:val="05B362B9"/>
    <w:rsid w:val="05C2565F"/>
    <w:rsid w:val="05C72C4A"/>
    <w:rsid w:val="05CB2336"/>
    <w:rsid w:val="05D15877"/>
    <w:rsid w:val="05D215EF"/>
    <w:rsid w:val="05D2339D"/>
    <w:rsid w:val="05D37841"/>
    <w:rsid w:val="05E530D0"/>
    <w:rsid w:val="05EA4B8A"/>
    <w:rsid w:val="05F9301F"/>
    <w:rsid w:val="05FD48BE"/>
    <w:rsid w:val="06093262"/>
    <w:rsid w:val="06231E4A"/>
    <w:rsid w:val="06253E14"/>
    <w:rsid w:val="0633208D"/>
    <w:rsid w:val="063A16EC"/>
    <w:rsid w:val="063B53E6"/>
    <w:rsid w:val="065B7836"/>
    <w:rsid w:val="06856661"/>
    <w:rsid w:val="068576CE"/>
    <w:rsid w:val="069114AA"/>
    <w:rsid w:val="06913A7D"/>
    <w:rsid w:val="0698763E"/>
    <w:rsid w:val="06A66D03"/>
    <w:rsid w:val="06AE7966"/>
    <w:rsid w:val="06AF6DD1"/>
    <w:rsid w:val="06B07B82"/>
    <w:rsid w:val="06B64A6C"/>
    <w:rsid w:val="06DD649D"/>
    <w:rsid w:val="06E8731C"/>
    <w:rsid w:val="06F04422"/>
    <w:rsid w:val="06F757B1"/>
    <w:rsid w:val="07047ECE"/>
    <w:rsid w:val="071C5217"/>
    <w:rsid w:val="071D4AEC"/>
    <w:rsid w:val="07210A39"/>
    <w:rsid w:val="072242D3"/>
    <w:rsid w:val="072440CC"/>
    <w:rsid w:val="0737795B"/>
    <w:rsid w:val="073F4A62"/>
    <w:rsid w:val="07442078"/>
    <w:rsid w:val="07585B24"/>
    <w:rsid w:val="078A2181"/>
    <w:rsid w:val="07941252"/>
    <w:rsid w:val="07AB0349"/>
    <w:rsid w:val="07B54D24"/>
    <w:rsid w:val="07EA70C4"/>
    <w:rsid w:val="081E0B1B"/>
    <w:rsid w:val="08534C69"/>
    <w:rsid w:val="085D7896"/>
    <w:rsid w:val="08687FE8"/>
    <w:rsid w:val="08935065"/>
    <w:rsid w:val="08997D8A"/>
    <w:rsid w:val="089A2898"/>
    <w:rsid w:val="08AD2074"/>
    <w:rsid w:val="08CA7FAC"/>
    <w:rsid w:val="08D306C7"/>
    <w:rsid w:val="08D538D0"/>
    <w:rsid w:val="08D77648"/>
    <w:rsid w:val="08E04023"/>
    <w:rsid w:val="08E9737B"/>
    <w:rsid w:val="08F2265D"/>
    <w:rsid w:val="09077801"/>
    <w:rsid w:val="091C32AD"/>
    <w:rsid w:val="09212671"/>
    <w:rsid w:val="0926010A"/>
    <w:rsid w:val="093D1475"/>
    <w:rsid w:val="093F343F"/>
    <w:rsid w:val="09412D13"/>
    <w:rsid w:val="095B3C9B"/>
    <w:rsid w:val="095E1B17"/>
    <w:rsid w:val="09664528"/>
    <w:rsid w:val="09704318"/>
    <w:rsid w:val="09AC1C5B"/>
    <w:rsid w:val="09B039F5"/>
    <w:rsid w:val="09BD105E"/>
    <w:rsid w:val="09CE174C"/>
    <w:rsid w:val="09EA6F07"/>
    <w:rsid w:val="09EB2C7F"/>
    <w:rsid w:val="09FE29B2"/>
    <w:rsid w:val="0A140428"/>
    <w:rsid w:val="0A1C108A"/>
    <w:rsid w:val="0A2148F3"/>
    <w:rsid w:val="0A2C5771"/>
    <w:rsid w:val="0A391C3C"/>
    <w:rsid w:val="0A3D172D"/>
    <w:rsid w:val="0A3E680D"/>
    <w:rsid w:val="0A6749FB"/>
    <w:rsid w:val="0A740EC6"/>
    <w:rsid w:val="0A7964DD"/>
    <w:rsid w:val="0A825391"/>
    <w:rsid w:val="0A9D29C6"/>
    <w:rsid w:val="0A9F4195"/>
    <w:rsid w:val="0AAB338B"/>
    <w:rsid w:val="0ACC485F"/>
    <w:rsid w:val="0AD6392F"/>
    <w:rsid w:val="0AD83203"/>
    <w:rsid w:val="0AEF054D"/>
    <w:rsid w:val="0AF049F1"/>
    <w:rsid w:val="0AF45D7D"/>
    <w:rsid w:val="0B05734A"/>
    <w:rsid w:val="0B08583F"/>
    <w:rsid w:val="0B095AB3"/>
    <w:rsid w:val="0B0E131B"/>
    <w:rsid w:val="0B115FB9"/>
    <w:rsid w:val="0B1A381C"/>
    <w:rsid w:val="0B265A74"/>
    <w:rsid w:val="0B352404"/>
    <w:rsid w:val="0B376893"/>
    <w:rsid w:val="0B381EF4"/>
    <w:rsid w:val="0B386398"/>
    <w:rsid w:val="0B3A0D5F"/>
    <w:rsid w:val="0B3A3EBE"/>
    <w:rsid w:val="0B460AB5"/>
    <w:rsid w:val="0B536D2E"/>
    <w:rsid w:val="0B5C2086"/>
    <w:rsid w:val="0B674587"/>
    <w:rsid w:val="0B6A776A"/>
    <w:rsid w:val="0B6E5916"/>
    <w:rsid w:val="0B8B64C8"/>
    <w:rsid w:val="0BB24C22"/>
    <w:rsid w:val="0BD87233"/>
    <w:rsid w:val="0BDA2FAB"/>
    <w:rsid w:val="0BF0642E"/>
    <w:rsid w:val="0BF202F5"/>
    <w:rsid w:val="0BFE313E"/>
    <w:rsid w:val="0C02649C"/>
    <w:rsid w:val="0C0B25B3"/>
    <w:rsid w:val="0C104C1F"/>
    <w:rsid w:val="0C1E6205"/>
    <w:rsid w:val="0C236700"/>
    <w:rsid w:val="0C28640C"/>
    <w:rsid w:val="0C3C5A14"/>
    <w:rsid w:val="0C5A4DAC"/>
    <w:rsid w:val="0C5E47B4"/>
    <w:rsid w:val="0C8A677F"/>
    <w:rsid w:val="0CC04897"/>
    <w:rsid w:val="0CD12600"/>
    <w:rsid w:val="0CD520F0"/>
    <w:rsid w:val="0CD67C16"/>
    <w:rsid w:val="0CD81BE1"/>
    <w:rsid w:val="0CEB1914"/>
    <w:rsid w:val="0CFB142B"/>
    <w:rsid w:val="0D0C53E6"/>
    <w:rsid w:val="0D2210AE"/>
    <w:rsid w:val="0D466B4A"/>
    <w:rsid w:val="0D5154EF"/>
    <w:rsid w:val="0D611BD6"/>
    <w:rsid w:val="0D865A79"/>
    <w:rsid w:val="0D95205B"/>
    <w:rsid w:val="0D957AD2"/>
    <w:rsid w:val="0D9D0734"/>
    <w:rsid w:val="0DA90E87"/>
    <w:rsid w:val="0DB74AC1"/>
    <w:rsid w:val="0DEF71E2"/>
    <w:rsid w:val="0E0D58BA"/>
    <w:rsid w:val="0E0F1632"/>
    <w:rsid w:val="0E19425F"/>
    <w:rsid w:val="0E237412"/>
    <w:rsid w:val="0E2449B2"/>
    <w:rsid w:val="0E342E47"/>
    <w:rsid w:val="0E3B5D4C"/>
    <w:rsid w:val="0E460DCC"/>
    <w:rsid w:val="0E653000"/>
    <w:rsid w:val="0E6A4ABA"/>
    <w:rsid w:val="0E6D45AA"/>
    <w:rsid w:val="0E6D50C7"/>
    <w:rsid w:val="0E72396F"/>
    <w:rsid w:val="0E796AAB"/>
    <w:rsid w:val="0E7B2A67"/>
    <w:rsid w:val="0E7C0027"/>
    <w:rsid w:val="0E7E0566"/>
    <w:rsid w:val="0E7F6315"/>
    <w:rsid w:val="0E8D07A9"/>
    <w:rsid w:val="0EB36461"/>
    <w:rsid w:val="0EB45D35"/>
    <w:rsid w:val="0EBD108E"/>
    <w:rsid w:val="0EBD75FE"/>
    <w:rsid w:val="0ECA5559"/>
    <w:rsid w:val="0ED87C76"/>
    <w:rsid w:val="0EF600FC"/>
    <w:rsid w:val="0F1B5913"/>
    <w:rsid w:val="0F4C0664"/>
    <w:rsid w:val="0F5337A0"/>
    <w:rsid w:val="0F711E78"/>
    <w:rsid w:val="0F7E3A23"/>
    <w:rsid w:val="0F917E25"/>
    <w:rsid w:val="0F96368D"/>
    <w:rsid w:val="0F9D4A1B"/>
    <w:rsid w:val="0FA062BA"/>
    <w:rsid w:val="0FA638D0"/>
    <w:rsid w:val="0FB35FED"/>
    <w:rsid w:val="0FD33C3D"/>
    <w:rsid w:val="0FE8213B"/>
    <w:rsid w:val="0FF52AA9"/>
    <w:rsid w:val="0FF860F6"/>
    <w:rsid w:val="0FF94348"/>
    <w:rsid w:val="0FFF1232"/>
    <w:rsid w:val="10047D52"/>
    <w:rsid w:val="10086339"/>
    <w:rsid w:val="10150A56"/>
    <w:rsid w:val="10240C99"/>
    <w:rsid w:val="102723E9"/>
    <w:rsid w:val="102B566C"/>
    <w:rsid w:val="104841C5"/>
    <w:rsid w:val="107439CE"/>
    <w:rsid w:val="10861954"/>
    <w:rsid w:val="1090632E"/>
    <w:rsid w:val="10A92DD3"/>
    <w:rsid w:val="10BD54A5"/>
    <w:rsid w:val="10C55FD8"/>
    <w:rsid w:val="10F845FF"/>
    <w:rsid w:val="10FE0EB3"/>
    <w:rsid w:val="1103023A"/>
    <w:rsid w:val="11036B00"/>
    <w:rsid w:val="11082369"/>
    <w:rsid w:val="11357D2A"/>
    <w:rsid w:val="113849FC"/>
    <w:rsid w:val="113A4C18"/>
    <w:rsid w:val="113C31C6"/>
    <w:rsid w:val="11421E5E"/>
    <w:rsid w:val="11422FE1"/>
    <w:rsid w:val="116E48C1"/>
    <w:rsid w:val="11845E93"/>
    <w:rsid w:val="11867E5D"/>
    <w:rsid w:val="11877731"/>
    <w:rsid w:val="11967974"/>
    <w:rsid w:val="11A2456B"/>
    <w:rsid w:val="11AE5258"/>
    <w:rsid w:val="11DF30C9"/>
    <w:rsid w:val="11FA6155"/>
    <w:rsid w:val="12130FC5"/>
    <w:rsid w:val="121C60CC"/>
    <w:rsid w:val="1222745A"/>
    <w:rsid w:val="12371157"/>
    <w:rsid w:val="12375171"/>
    <w:rsid w:val="126A32DB"/>
    <w:rsid w:val="127001C5"/>
    <w:rsid w:val="127759F8"/>
    <w:rsid w:val="127A0C92"/>
    <w:rsid w:val="127F48AC"/>
    <w:rsid w:val="128819B3"/>
    <w:rsid w:val="128F2D41"/>
    <w:rsid w:val="12942106"/>
    <w:rsid w:val="129E4D32"/>
    <w:rsid w:val="12A548F1"/>
    <w:rsid w:val="12B91B6C"/>
    <w:rsid w:val="12BA7692"/>
    <w:rsid w:val="12EF558E"/>
    <w:rsid w:val="12F9640D"/>
    <w:rsid w:val="13021765"/>
    <w:rsid w:val="13037AFF"/>
    <w:rsid w:val="132A4818"/>
    <w:rsid w:val="13456351"/>
    <w:rsid w:val="134C0C32"/>
    <w:rsid w:val="13541895"/>
    <w:rsid w:val="135D4BEE"/>
    <w:rsid w:val="137B79E1"/>
    <w:rsid w:val="13833F28"/>
    <w:rsid w:val="1393060F"/>
    <w:rsid w:val="13D64F42"/>
    <w:rsid w:val="13E7095B"/>
    <w:rsid w:val="13E83E5F"/>
    <w:rsid w:val="14065285"/>
    <w:rsid w:val="144731A8"/>
    <w:rsid w:val="14717C9A"/>
    <w:rsid w:val="14757D15"/>
    <w:rsid w:val="147F2942"/>
    <w:rsid w:val="14991C55"/>
    <w:rsid w:val="14A95C11"/>
    <w:rsid w:val="14AF7789"/>
    <w:rsid w:val="14D50D33"/>
    <w:rsid w:val="14DA401C"/>
    <w:rsid w:val="14EA0703"/>
    <w:rsid w:val="14EF1875"/>
    <w:rsid w:val="151E65FF"/>
    <w:rsid w:val="1537321C"/>
    <w:rsid w:val="154020D1"/>
    <w:rsid w:val="154D47EE"/>
    <w:rsid w:val="157B7F4A"/>
    <w:rsid w:val="1585042C"/>
    <w:rsid w:val="15A840F3"/>
    <w:rsid w:val="15AE1730"/>
    <w:rsid w:val="15B11221"/>
    <w:rsid w:val="15CC6F25"/>
    <w:rsid w:val="15E37F2A"/>
    <w:rsid w:val="15FB249C"/>
    <w:rsid w:val="15FF3D3A"/>
    <w:rsid w:val="161A0B74"/>
    <w:rsid w:val="16383AE2"/>
    <w:rsid w:val="16565924"/>
    <w:rsid w:val="16571DC8"/>
    <w:rsid w:val="16646293"/>
    <w:rsid w:val="16685D83"/>
    <w:rsid w:val="167C182F"/>
    <w:rsid w:val="167C538B"/>
    <w:rsid w:val="167D1103"/>
    <w:rsid w:val="167D2FDD"/>
    <w:rsid w:val="16AE5760"/>
    <w:rsid w:val="16AE750E"/>
    <w:rsid w:val="16AF2A39"/>
    <w:rsid w:val="16B40FC8"/>
    <w:rsid w:val="16BC1C2B"/>
    <w:rsid w:val="16BD0A63"/>
    <w:rsid w:val="16C46D32"/>
    <w:rsid w:val="16D21A7E"/>
    <w:rsid w:val="16E3540A"/>
    <w:rsid w:val="16E442B3"/>
    <w:rsid w:val="16F13FCB"/>
    <w:rsid w:val="1711641B"/>
    <w:rsid w:val="1719707D"/>
    <w:rsid w:val="17215F32"/>
    <w:rsid w:val="172872C1"/>
    <w:rsid w:val="17457E73"/>
    <w:rsid w:val="174F6F43"/>
    <w:rsid w:val="175814CF"/>
    <w:rsid w:val="176821F4"/>
    <w:rsid w:val="177E1C86"/>
    <w:rsid w:val="17944956"/>
    <w:rsid w:val="179B7A92"/>
    <w:rsid w:val="17AC68A6"/>
    <w:rsid w:val="17AD77C6"/>
    <w:rsid w:val="17B62B1E"/>
    <w:rsid w:val="17CB7119"/>
    <w:rsid w:val="17DB67AF"/>
    <w:rsid w:val="18041ADC"/>
    <w:rsid w:val="18495740"/>
    <w:rsid w:val="185A794E"/>
    <w:rsid w:val="18891474"/>
    <w:rsid w:val="188E6B63"/>
    <w:rsid w:val="188F0B1E"/>
    <w:rsid w:val="18975ADC"/>
    <w:rsid w:val="18C272A1"/>
    <w:rsid w:val="18D314AE"/>
    <w:rsid w:val="18DA283C"/>
    <w:rsid w:val="18F90F15"/>
    <w:rsid w:val="192D6E10"/>
    <w:rsid w:val="19373862"/>
    <w:rsid w:val="193D1CBA"/>
    <w:rsid w:val="19520625"/>
    <w:rsid w:val="19526877"/>
    <w:rsid w:val="196547FC"/>
    <w:rsid w:val="19856C4C"/>
    <w:rsid w:val="199665EC"/>
    <w:rsid w:val="199C7AF2"/>
    <w:rsid w:val="199E1ABC"/>
    <w:rsid w:val="19CC03D7"/>
    <w:rsid w:val="19D2300F"/>
    <w:rsid w:val="19E80F89"/>
    <w:rsid w:val="19EC5173"/>
    <w:rsid w:val="19F872A0"/>
    <w:rsid w:val="1A352420"/>
    <w:rsid w:val="1A377809"/>
    <w:rsid w:val="1A452ACF"/>
    <w:rsid w:val="1A512FD2"/>
    <w:rsid w:val="1A5D54D3"/>
    <w:rsid w:val="1ADA2FC8"/>
    <w:rsid w:val="1ADC0AEE"/>
    <w:rsid w:val="1AE259D8"/>
    <w:rsid w:val="1AE35507"/>
    <w:rsid w:val="1AEB2ADF"/>
    <w:rsid w:val="1AF04599"/>
    <w:rsid w:val="1AFC1190"/>
    <w:rsid w:val="1B2129A5"/>
    <w:rsid w:val="1B3B1964"/>
    <w:rsid w:val="1B3E3557"/>
    <w:rsid w:val="1B5E7755"/>
    <w:rsid w:val="1B636B19"/>
    <w:rsid w:val="1B6805D3"/>
    <w:rsid w:val="1B7E1468"/>
    <w:rsid w:val="1B825739"/>
    <w:rsid w:val="1B83540D"/>
    <w:rsid w:val="1BA62EAA"/>
    <w:rsid w:val="1BC17CE4"/>
    <w:rsid w:val="1BCC0B62"/>
    <w:rsid w:val="1BDD4B1E"/>
    <w:rsid w:val="1BE35EAC"/>
    <w:rsid w:val="1BE718C7"/>
    <w:rsid w:val="1BF43C15"/>
    <w:rsid w:val="1C146065"/>
    <w:rsid w:val="1C1B73F4"/>
    <w:rsid w:val="1C2F10F1"/>
    <w:rsid w:val="1C3B1844"/>
    <w:rsid w:val="1C406E5A"/>
    <w:rsid w:val="1C495921"/>
    <w:rsid w:val="1C542906"/>
    <w:rsid w:val="1C5D5C5E"/>
    <w:rsid w:val="1C744D56"/>
    <w:rsid w:val="1C7A6810"/>
    <w:rsid w:val="1C7B7E93"/>
    <w:rsid w:val="1C7D1E5D"/>
    <w:rsid w:val="1C8036FB"/>
    <w:rsid w:val="1C9C6787"/>
    <w:rsid w:val="1C9D289F"/>
    <w:rsid w:val="1CD770EC"/>
    <w:rsid w:val="1CE43C8A"/>
    <w:rsid w:val="1D183933"/>
    <w:rsid w:val="1D210A3A"/>
    <w:rsid w:val="1D3764AF"/>
    <w:rsid w:val="1D4F5570"/>
    <w:rsid w:val="1D5E1C8E"/>
    <w:rsid w:val="1D61177E"/>
    <w:rsid w:val="1D7E7C3A"/>
    <w:rsid w:val="1D8D4321"/>
    <w:rsid w:val="1D9C27B6"/>
    <w:rsid w:val="1DA35CDF"/>
    <w:rsid w:val="1DAA4ED3"/>
    <w:rsid w:val="1DC615E1"/>
    <w:rsid w:val="1DC835AB"/>
    <w:rsid w:val="1DFD14A7"/>
    <w:rsid w:val="1E037E3E"/>
    <w:rsid w:val="1E242D4E"/>
    <w:rsid w:val="1E2F7187"/>
    <w:rsid w:val="1E340C41"/>
    <w:rsid w:val="1E401394"/>
    <w:rsid w:val="1E403BB4"/>
    <w:rsid w:val="1E435EE1"/>
    <w:rsid w:val="1E4A2212"/>
    <w:rsid w:val="1E6908EA"/>
    <w:rsid w:val="1E6934D0"/>
    <w:rsid w:val="1E766B63"/>
    <w:rsid w:val="1E890F8D"/>
    <w:rsid w:val="1E8A6AB3"/>
    <w:rsid w:val="1E8F7C25"/>
    <w:rsid w:val="1E9B2A6E"/>
    <w:rsid w:val="1EAF02C7"/>
    <w:rsid w:val="1EBA1146"/>
    <w:rsid w:val="1EC73863"/>
    <w:rsid w:val="1ED46823"/>
    <w:rsid w:val="1EDB24C3"/>
    <w:rsid w:val="1EDF295B"/>
    <w:rsid w:val="1F046865"/>
    <w:rsid w:val="1F1D16D5"/>
    <w:rsid w:val="1F204D21"/>
    <w:rsid w:val="1F2760B0"/>
    <w:rsid w:val="1F4153C3"/>
    <w:rsid w:val="1F460C2C"/>
    <w:rsid w:val="1F525822"/>
    <w:rsid w:val="1F58270D"/>
    <w:rsid w:val="1F5F1CED"/>
    <w:rsid w:val="1F707A57"/>
    <w:rsid w:val="1F7237CF"/>
    <w:rsid w:val="1F770DE5"/>
    <w:rsid w:val="1F833C2E"/>
    <w:rsid w:val="1F890B18"/>
    <w:rsid w:val="1F8D0609"/>
    <w:rsid w:val="1FB82BC8"/>
    <w:rsid w:val="1FBF453A"/>
    <w:rsid w:val="1FCA53B9"/>
    <w:rsid w:val="1FD47FE6"/>
    <w:rsid w:val="1FE31481"/>
    <w:rsid w:val="1FE917AE"/>
    <w:rsid w:val="1FF16DE9"/>
    <w:rsid w:val="1FF468DA"/>
    <w:rsid w:val="200977A9"/>
    <w:rsid w:val="200F54C2"/>
    <w:rsid w:val="201B5C14"/>
    <w:rsid w:val="20254CE5"/>
    <w:rsid w:val="2035625A"/>
    <w:rsid w:val="2039253E"/>
    <w:rsid w:val="204A02A8"/>
    <w:rsid w:val="2059498F"/>
    <w:rsid w:val="20690166"/>
    <w:rsid w:val="20803CC9"/>
    <w:rsid w:val="209239FD"/>
    <w:rsid w:val="20CC482F"/>
    <w:rsid w:val="20E97AC1"/>
    <w:rsid w:val="20EA2A65"/>
    <w:rsid w:val="20EF2BFD"/>
    <w:rsid w:val="210112AE"/>
    <w:rsid w:val="21156CD7"/>
    <w:rsid w:val="21354AB4"/>
    <w:rsid w:val="214E2A84"/>
    <w:rsid w:val="21556257"/>
    <w:rsid w:val="215F4227"/>
    <w:rsid w:val="217F6677"/>
    <w:rsid w:val="21817CF9"/>
    <w:rsid w:val="21884BA0"/>
    <w:rsid w:val="218D48F0"/>
    <w:rsid w:val="219519F6"/>
    <w:rsid w:val="2197576F"/>
    <w:rsid w:val="21977007"/>
    <w:rsid w:val="219B1B95"/>
    <w:rsid w:val="21BA145D"/>
    <w:rsid w:val="21BF6A73"/>
    <w:rsid w:val="21C30312"/>
    <w:rsid w:val="21DE15EF"/>
    <w:rsid w:val="21ED1832"/>
    <w:rsid w:val="21ED5205"/>
    <w:rsid w:val="21F26E49"/>
    <w:rsid w:val="21F7445F"/>
    <w:rsid w:val="220151E4"/>
    <w:rsid w:val="22032E04"/>
    <w:rsid w:val="2217240B"/>
    <w:rsid w:val="22196184"/>
    <w:rsid w:val="221B7523"/>
    <w:rsid w:val="222039B6"/>
    <w:rsid w:val="222B5EB7"/>
    <w:rsid w:val="2237485C"/>
    <w:rsid w:val="223E3E3C"/>
    <w:rsid w:val="224B716E"/>
    <w:rsid w:val="227635D6"/>
    <w:rsid w:val="227710FC"/>
    <w:rsid w:val="22794E74"/>
    <w:rsid w:val="228D26CE"/>
    <w:rsid w:val="22BB723B"/>
    <w:rsid w:val="22C87E24"/>
    <w:rsid w:val="22C95DFC"/>
    <w:rsid w:val="22EC5F17"/>
    <w:rsid w:val="22EE06E2"/>
    <w:rsid w:val="22F015DA"/>
    <w:rsid w:val="22F8223D"/>
    <w:rsid w:val="22F84FC6"/>
    <w:rsid w:val="22FD3CF7"/>
    <w:rsid w:val="230230BC"/>
    <w:rsid w:val="230A01C2"/>
    <w:rsid w:val="23243032"/>
    <w:rsid w:val="235A0EEE"/>
    <w:rsid w:val="235C6C70"/>
    <w:rsid w:val="23614286"/>
    <w:rsid w:val="23712585"/>
    <w:rsid w:val="23C93BD9"/>
    <w:rsid w:val="240E58C2"/>
    <w:rsid w:val="242B03F0"/>
    <w:rsid w:val="243472A5"/>
    <w:rsid w:val="2440076D"/>
    <w:rsid w:val="249E6E14"/>
    <w:rsid w:val="24A563F4"/>
    <w:rsid w:val="24B228BF"/>
    <w:rsid w:val="24C22B02"/>
    <w:rsid w:val="24D171E9"/>
    <w:rsid w:val="24EF141E"/>
    <w:rsid w:val="25034EC9"/>
    <w:rsid w:val="250C0222"/>
    <w:rsid w:val="25433819"/>
    <w:rsid w:val="25461985"/>
    <w:rsid w:val="25586D6C"/>
    <w:rsid w:val="256516E0"/>
    <w:rsid w:val="256B319A"/>
    <w:rsid w:val="25781413"/>
    <w:rsid w:val="257858B7"/>
    <w:rsid w:val="258B383C"/>
    <w:rsid w:val="259455FA"/>
    <w:rsid w:val="259F4BF2"/>
    <w:rsid w:val="25A246E2"/>
    <w:rsid w:val="25AD5EB4"/>
    <w:rsid w:val="25B662E5"/>
    <w:rsid w:val="25BF5294"/>
    <w:rsid w:val="25C2759F"/>
    <w:rsid w:val="25C63DCF"/>
    <w:rsid w:val="25C74149"/>
    <w:rsid w:val="25DE267C"/>
    <w:rsid w:val="25E46AA9"/>
    <w:rsid w:val="25E66CC5"/>
    <w:rsid w:val="25FA62CC"/>
    <w:rsid w:val="26143832"/>
    <w:rsid w:val="26207C3D"/>
    <w:rsid w:val="262275D1"/>
    <w:rsid w:val="26325A66"/>
    <w:rsid w:val="263712CE"/>
    <w:rsid w:val="2642063C"/>
    <w:rsid w:val="26456C5F"/>
    <w:rsid w:val="264D6D44"/>
    <w:rsid w:val="26635DE5"/>
    <w:rsid w:val="26977FBF"/>
    <w:rsid w:val="26AF355A"/>
    <w:rsid w:val="26B50445"/>
    <w:rsid w:val="26B54405"/>
    <w:rsid w:val="26B835BD"/>
    <w:rsid w:val="26BC17D3"/>
    <w:rsid w:val="26DC11F6"/>
    <w:rsid w:val="26E256DE"/>
    <w:rsid w:val="26EC191F"/>
    <w:rsid w:val="26F251F5"/>
    <w:rsid w:val="270C62B7"/>
    <w:rsid w:val="274730B4"/>
    <w:rsid w:val="27473793"/>
    <w:rsid w:val="27677991"/>
    <w:rsid w:val="27802801"/>
    <w:rsid w:val="278A123C"/>
    <w:rsid w:val="27963D10"/>
    <w:rsid w:val="279F537D"/>
    <w:rsid w:val="27DF5779"/>
    <w:rsid w:val="280451E0"/>
    <w:rsid w:val="280E7BD2"/>
    <w:rsid w:val="28177609"/>
    <w:rsid w:val="28186EDD"/>
    <w:rsid w:val="281C077C"/>
    <w:rsid w:val="28247630"/>
    <w:rsid w:val="282615FA"/>
    <w:rsid w:val="282910EA"/>
    <w:rsid w:val="28396E4B"/>
    <w:rsid w:val="283E4B96"/>
    <w:rsid w:val="28414686"/>
    <w:rsid w:val="28447CD2"/>
    <w:rsid w:val="284B2E0F"/>
    <w:rsid w:val="284D6B87"/>
    <w:rsid w:val="28550131"/>
    <w:rsid w:val="285A5748"/>
    <w:rsid w:val="28642123"/>
    <w:rsid w:val="28757E8C"/>
    <w:rsid w:val="287E4F92"/>
    <w:rsid w:val="28B07116"/>
    <w:rsid w:val="28B9421C"/>
    <w:rsid w:val="28CB21A2"/>
    <w:rsid w:val="28CC2935"/>
    <w:rsid w:val="28E62B38"/>
    <w:rsid w:val="28E868B0"/>
    <w:rsid w:val="28EC45F2"/>
    <w:rsid w:val="28F25980"/>
    <w:rsid w:val="28F96D0F"/>
    <w:rsid w:val="290673F2"/>
    <w:rsid w:val="290B7A2E"/>
    <w:rsid w:val="2944442E"/>
    <w:rsid w:val="29493E9D"/>
    <w:rsid w:val="29606D8E"/>
    <w:rsid w:val="29622B06"/>
    <w:rsid w:val="2964062C"/>
    <w:rsid w:val="29787C34"/>
    <w:rsid w:val="298131E9"/>
    <w:rsid w:val="298760C9"/>
    <w:rsid w:val="29927747"/>
    <w:rsid w:val="29AE7AF9"/>
    <w:rsid w:val="29C27101"/>
    <w:rsid w:val="29C54E43"/>
    <w:rsid w:val="29C9048F"/>
    <w:rsid w:val="29CB06AB"/>
    <w:rsid w:val="29DE4538"/>
    <w:rsid w:val="29FA689B"/>
    <w:rsid w:val="2A007C29"/>
    <w:rsid w:val="2A0108B7"/>
    <w:rsid w:val="2A04596B"/>
    <w:rsid w:val="2A133E00"/>
    <w:rsid w:val="2A1536D4"/>
    <w:rsid w:val="2A1A0CEB"/>
    <w:rsid w:val="2A202079"/>
    <w:rsid w:val="2A2E4796"/>
    <w:rsid w:val="2A500BB0"/>
    <w:rsid w:val="2A506E02"/>
    <w:rsid w:val="2A5C57A7"/>
    <w:rsid w:val="2A6B3832"/>
    <w:rsid w:val="2A763CD7"/>
    <w:rsid w:val="2A850E81"/>
    <w:rsid w:val="2A88659C"/>
    <w:rsid w:val="2A906CB5"/>
    <w:rsid w:val="2A954815"/>
    <w:rsid w:val="2ABE1FBE"/>
    <w:rsid w:val="2AD0584D"/>
    <w:rsid w:val="2AEE4B12"/>
    <w:rsid w:val="2AFE685E"/>
    <w:rsid w:val="2B057BED"/>
    <w:rsid w:val="2B060A50"/>
    <w:rsid w:val="2B0A5203"/>
    <w:rsid w:val="2B116592"/>
    <w:rsid w:val="2B193698"/>
    <w:rsid w:val="2B1C4F36"/>
    <w:rsid w:val="2B2160A9"/>
    <w:rsid w:val="2B400C25"/>
    <w:rsid w:val="2B4714A0"/>
    <w:rsid w:val="2B471FB3"/>
    <w:rsid w:val="2B606BD1"/>
    <w:rsid w:val="2B612949"/>
    <w:rsid w:val="2B6C5576"/>
    <w:rsid w:val="2B717030"/>
    <w:rsid w:val="2B74267D"/>
    <w:rsid w:val="2B762899"/>
    <w:rsid w:val="2B7663F5"/>
    <w:rsid w:val="2B7E52A9"/>
    <w:rsid w:val="2B9810F2"/>
    <w:rsid w:val="2B98280F"/>
    <w:rsid w:val="2BA50A88"/>
    <w:rsid w:val="2BAA2542"/>
    <w:rsid w:val="2BB46F1D"/>
    <w:rsid w:val="2BB60EE7"/>
    <w:rsid w:val="2BCA4992"/>
    <w:rsid w:val="2BE035C8"/>
    <w:rsid w:val="2BF24188"/>
    <w:rsid w:val="2BF65788"/>
    <w:rsid w:val="2BFD08C4"/>
    <w:rsid w:val="2C235EB7"/>
    <w:rsid w:val="2C2B5431"/>
    <w:rsid w:val="2C610E53"/>
    <w:rsid w:val="2C6646BB"/>
    <w:rsid w:val="2C9C1E8B"/>
    <w:rsid w:val="2C9F3729"/>
    <w:rsid w:val="2CAF267A"/>
    <w:rsid w:val="2CBE197F"/>
    <w:rsid w:val="2CCB6C14"/>
    <w:rsid w:val="2CE51A84"/>
    <w:rsid w:val="2CE90E48"/>
    <w:rsid w:val="2CED0939"/>
    <w:rsid w:val="2CF27CFD"/>
    <w:rsid w:val="2CF577ED"/>
    <w:rsid w:val="2CFA3055"/>
    <w:rsid w:val="2D012636"/>
    <w:rsid w:val="2D016C6B"/>
    <w:rsid w:val="2D0D2D89"/>
    <w:rsid w:val="2D2B1461"/>
    <w:rsid w:val="2D2D1B91"/>
    <w:rsid w:val="2D5B7F98"/>
    <w:rsid w:val="2D6A6CF3"/>
    <w:rsid w:val="2D746964"/>
    <w:rsid w:val="2D872B3B"/>
    <w:rsid w:val="2D8D7A26"/>
    <w:rsid w:val="2DB9081B"/>
    <w:rsid w:val="2DCE2518"/>
    <w:rsid w:val="2DD218DC"/>
    <w:rsid w:val="2DDB69E3"/>
    <w:rsid w:val="2DE735DA"/>
    <w:rsid w:val="2DEF7457"/>
    <w:rsid w:val="2DFD104F"/>
    <w:rsid w:val="2E093AD9"/>
    <w:rsid w:val="2E0A0E72"/>
    <w:rsid w:val="2E112405"/>
    <w:rsid w:val="2E426A62"/>
    <w:rsid w:val="2E4637EF"/>
    <w:rsid w:val="2E4E18AB"/>
    <w:rsid w:val="2E6B420B"/>
    <w:rsid w:val="2E6C48D9"/>
    <w:rsid w:val="2E7035CF"/>
    <w:rsid w:val="2E7D3F3E"/>
    <w:rsid w:val="2E864BA1"/>
    <w:rsid w:val="2E8F4F19"/>
    <w:rsid w:val="2EA63495"/>
    <w:rsid w:val="2EB57234"/>
    <w:rsid w:val="2EC8340B"/>
    <w:rsid w:val="2ED303B5"/>
    <w:rsid w:val="2EF35FAE"/>
    <w:rsid w:val="2EF91817"/>
    <w:rsid w:val="2EFA6A37"/>
    <w:rsid w:val="2EFD6E00"/>
    <w:rsid w:val="2F167CA6"/>
    <w:rsid w:val="2F25260C"/>
    <w:rsid w:val="2F452CAE"/>
    <w:rsid w:val="2F4A3E20"/>
    <w:rsid w:val="2F4F58DB"/>
    <w:rsid w:val="2F5D70AC"/>
    <w:rsid w:val="2F6824F8"/>
    <w:rsid w:val="2F8A246F"/>
    <w:rsid w:val="2F8B61E7"/>
    <w:rsid w:val="2F904855"/>
    <w:rsid w:val="2F947791"/>
    <w:rsid w:val="2FA33530"/>
    <w:rsid w:val="2FA36C75"/>
    <w:rsid w:val="2FB83480"/>
    <w:rsid w:val="2FBE036A"/>
    <w:rsid w:val="2FF16992"/>
    <w:rsid w:val="2FFA41B9"/>
    <w:rsid w:val="301D6DE7"/>
    <w:rsid w:val="302428C3"/>
    <w:rsid w:val="30297EDA"/>
    <w:rsid w:val="303074BA"/>
    <w:rsid w:val="304E08DD"/>
    <w:rsid w:val="30601421"/>
    <w:rsid w:val="3062519A"/>
    <w:rsid w:val="306929CC"/>
    <w:rsid w:val="30696528"/>
    <w:rsid w:val="306B405E"/>
    <w:rsid w:val="30832D34"/>
    <w:rsid w:val="308C4B30"/>
    <w:rsid w:val="309612E7"/>
    <w:rsid w:val="30C714A1"/>
    <w:rsid w:val="30D53BBD"/>
    <w:rsid w:val="30EB33E1"/>
    <w:rsid w:val="30F5600E"/>
    <w:rsid w:val="30FC114A"/>
    <w:rsid w:val="31012C04"/>
    <w:rsid w:val="310E0E7D"/>
    <w:rsid w:val="31104BF6"/>
    <w:rsid w:val="314A68DF"/>
    <w:rsid w:val="317A6D88"/>
    <w:rsid w:val="317F1D7B"/>
    <w:rsid w:val="318B0720"/>
    <w:rsid w:val="319E66A5"/>
    <w:rsid w:val="31A737AC"/>
    <w:rsid w:val="31A87524"/>
    <w:rsid w:val="31B00187"/>
    <w:rsid w:val="31D200FD"/>
    <w:rsid w:val="31DB3455"/>
    <w:rsid w:val="31DE4CF4"/>
    <w:rsid w:val="31E56082"/>
    <w:rsid w:val="31E64732"/>
    <w:rsid w:val="31F84559"/>
    <w:rsid w:val="31FB58A6"/>
    <w:rsid w:val="31FC1192"/>
    <w:rsid w:val="3207249C"/>
    <w:rsid w:val="320F4D4B"/>
    <w:rsid w:val="32140715"/>
    <w:rsid w:val="3223427F"/>
    <w:rsid w:val="3236068C"/>
    <w:rsid w:val="324059AE"/>
    <w:rsid w:val="326351F9"/>
    <w:rsid w:val="32766A06"/>
    <w:rsid w:val="327D078A"/>
    <w:rsid w:val="32933D30"/>
    <w:rsid w:val="32A7158A"/>
    <w:rsid w:val="32B31CDC"/>
    <w:rsid w:val="32C75788"/>
    <w:rsid w:val="32E165BD"/>
    <w:rsid w:val="32FA3DAF"/>
    <w:rsid w:val="330469DC"/>
    <w:rsid w:val="33244988"/>
    <w:rsid w:val="33274478"/>
    <w:rsid w:val="332B3F69"/>
    <w:rsid w:val="334A3443"/>
    <w:rsid w:val="334F40FB"/>
    <w:rsid w:val="3353526D"/>
    <w:rsid w:val="33641229"/>
    <w:rsid w:val="338673F1"/>
    <w:rsid w:val="339D48A3"/>
    <w:rsid w:val="33AC3A1C"/>
    <w:rsid w:val="33C74846"/>
    <w:rsid w:val="33CF6FEA"/>
    <w:rsid w:val="33F64577"/>
    <w:rsid w:val="34056568"/>
    <w:rsid w:val="34296B28"/>
    <w:rsid w:val="343E7CCC"/>
    <w:rsid w:val="344E43B3"/>
    <w:rsid w:val="34525525"/>
    <w:rsid w:val="346040E6"/>
    <w:rsid w:val="3468297C"/>
    <w:rsid w:val="348E47AF"/>
    <w:rsid w:val="34A0589E"/>
    <w:rsid w:val="34A67F96"/>
    <w:rsid w:val="34A9783B"/>
    <w:rsid w:val="34B0508B"/>
    <w:rsid w:val="34CE1050"/>
    <w:rsid w:val="34DF440A"/>
    <w:rsid w:val="350A581B"/>
    <w:rsid w:val="352E7D40"/>
    <w:rsid w:val="35426A60"/>
    <w:rsid w:val="35586B6B"/>
    <w:rsid w:val="355E7319"/>
    <w:rsid w:val="35690D78"/>
    <w:rsid w:val="358D36CE"/>
    <w:rsid w:val="3598340C"/>
    <w:rsid w:val="35A10512"/>
    <w:rsid w:val="35BB2507"/>
    <w:rsid w:val="35CE6E2D"/>
    <w:rsid w:val="35DB7EC8"/>
    <w:rsid w:val="35EE2046"/>
    <w:rsid w:val="35F41640"/>
    <w:rsid w:val="35F965A0"/>
    <w:rsid w:val="361A6E50"/>
    <w:rsid w:val="362A0508"/>
    <w:rsid w:val="3631566E"/>
    <w:rsid w:val="363967AA"/>
    <w:rsid w:val="36415851"/>
    <w:rsid w:val="36460158"/>
    <w:rsid w:val="36603F29"/>
    <w:rsid w:val="36745C27"/>
    <w:rsid w:val="36851BE2"/>
    <w:rsid w:val="368A0116"/>
    <w:rsid w:val="368E4F3A"/>
    <w:rsid w:val="369116D0"/>
    <w:rsid w:val="36941E25"/>
    <w:rsid w:val="36965B9D"/>
    <w:rsid w:val="369F7E9A"/>
    <w:rsid w:val="36A4650C"/>
    <w:rsid w:val="36B3674F"/>
    <w:rsid w:val="36CC15BF"/>
    <w:rsid w:val="36EF34FF"/>
    <w:rsid w:val="370C4F32"/>
    <w:rsid w:val="370E607B"/>
    <w:rsid w:val="372907BF"/>
    <w:rsid w:val="37294C63"/>
    <w:rsid w:val="37353608"/>
    <w:rsid w:val="374D6BA3"/>
    <w:rsid w:val="37500442"/>
    <w:rsid w:val="375A6BCB"/>
    <w:rsid w:val="377A726D"/>
    <w:rsid w:val="377E4FAF"/>
    <w:rsid w:val="37971BCD"/>
    <w:rsid w:val="37A75B88"/>
    <w:rsid w:val="37BA3B0D"/>
    <w:rsid w:val="37D921E5"/>
    <w:rsid w:val="37DF5322"/>
    <w:rsid w:val="37F51788"/>
    <w:rsid w:val="37F92887"/>
    <w:rsid w:val="37FA6A55"/>
    <w:rsid w:val="37FC2378"/>
    <w:rsid w:val="38037262"/>
    <w:rsid w:val="380C2A2C"/>
    <w:rsid w:val="384B3FA8"/>
    <w:rsid w:val="3854528C"/>
    <w:rsid w:val="38547ABE"/>
    <w:rsid w:val="38565141"/>
    <w:rsid w:val="38B41380"/>
    <w:rsid w:val="38B95B73"/>
    <w:rsid w:val="38C22C79"/>
    <w:rsid w:val="38C77A8E"/>
    <w:rsid w:val="38CF183A"/>
    <w:rsid w:val="38E30E42"/>
    <w:rsid w:val="38E57239"/>
    <w:rsid w:val="38EF5A38"/>
    <w:rsid w:val="38F31085"/>
    <w:rsid w:val="39036257"/>
    <w:rsid w:val="390F1199"/>
    <w:rsid w:val="39367F12"/>
    <w:rsid w:val="393D0552"/>
    <w:rsid w:val="394538AA"/>
    <w:rsid w:val="394D5E49"/>
    <w:rsid w:val="39553AED"/>
    <w:rsid w:val="398F2E12"/>
    <w:rsid w:val="399531A9"/>
    <w:rsid w:val="39993E51"/>
    <w:rsid w:val="39A10631"/>
    <w:rsid w:val="39AD02F7"/>
    <w:rsid w:val="39B5458C"/>
    <w:rsid w:val="39B60304"/>
    <w:rsid w:val="39DA2245"/>
    <w:rsid w:val="39DA3FF3"/>
    <w:rsid w:val="39DF3CFF"/>
    <w:rsid w:val="39E76710"/>
    <w:rsid w:val="39E81075"/>
    <w:rsid w:val="39EB5714"/>
    <w:rsid w:val="39F71049"/>
    <w:rsid w:val="39F96B6F"/>
    <w:rsid w:val="3A013C75"/>
    <w:rsid w:val="3A0472C2"/>
    <w:rsid w:val="3A073743"/>
    <w:rsid w:val="3A12378C"/>
    <w:rsid w:val="3A2B6F44"/>
    <w:rsid w:val="3A361B71"/>
    <w:rsid w:val="3A3C5A18"/>
    <w:rsid w:val="3A456E52"/>
    <w:rsid w:val="3A5A5133"/>
    <w:rsid w:val="3A631110"/>
    <w:rsid w:val="3A830B2E"/>
    <w:rsid w:val="3ABA2F86"/>
    <w:rsid w:val="3AC70A1B"/>
    <w:rsid w:val="3AC86541"/>
    <w:rsid w:val="3AEA64B7"/>
    <w:rsid w:val="3AF92B9E"/>
    <w:rsid w:val="3AFA0DF0"/>
    <w:rsid w:val="3B097226"/>
    <w:rsid w:val="3B111C96"/>
    <w:rsid w:val="3B194FEF"/>
    <w:rsid w:val="3B236ECD"/>
    <w:rsid w:val="3B2A7645"/>
    <w:rsid w:val="3B497682"/>
    <w:rsid w:val="3B5F6EA5"/>
    <w:rsid w:val="3B6E70E8"/>
    <w:rsid w:val="3B765F9D"/>
    <w:rsid w:val="3B7F30A4"/>
    <w:rsid w:val="3B8561E0"/>
    <w:rsid w:val="3B8B1A48"/>
    <w:rsid w:val="3BB07701"/>
    <w:rsid w:val="3BB2349B"/>
    <w:rsid w:val="3BB54D17"/>
    <w:rsid w:val="3BB62107"/>
    <w:rsid w:val="3BBF7944"/>
    <w:rsid w:val="3BC61B14"/>
    <w:rsid w:val="3BC82C9D"/>
    <w:rsid w:val="3BC9431F"/>
    <w:rsid w:val="3BE92C13"/>
    <w:rsid w:val="3BF375EE"/>
    <w:rsid w:val="3C0D4B53"/>
    <w:rsid w:val="3C0E2679"/>
    <w:rsid w:val="3C2105FF"/>
    <w:rsid w:val="3C2D2B00"/>
    <w:rsid w:val="3C372D23"/>
    <w:rsid w:val="3C447E49"/>
    <w:rsid w:val="3C494757"/>
    <w:rsid w:val="3C4B11D8"/>
    <w:rsid w:val="3C4B380F"/>
    <w:rsid w:val="3C4F6F1A"/>
    <w:rsid w:val="3C5A766D"/>
    <w:rsid w:val="3C720E5A"/>
    <w:rsid w:val="3C8B3CCA"/>
    <w:rsid w:val="3CA408E8"/>
    <w:rsid w:val="3CA52FDE"/>
    <w:rsid w:val="3CB94393"/>
    <w:rsid w:val="3CC14C1F"/>
    <w:rsid w:val="3CD0758C"/>
    <w:rsid w:val="3CE358B4"/>
    <w:rsid w:val="3CE55188"/>
    <w:rsid w:val="3CF47AC1"/>
    <w:rsid w:val="3CF56BC9"/>
    <w:rsid w:val="3D0A4BEF"/>
    <w:rsid w:val="3D0E2E48"/>
    <w:rsid w:val="3D1D0DC6"/>
    <w:rsid w:val="3D1F37E4"/>
    <w:rsid w:val="3D211F38"/>
    <w:rsid w:val="3D235CB1"/>
    <w:rsid w:val="3D346110"/>
    <w:rsid w:val="3D37175C"/>
    <w:rsid w:val="3D491BBB"/>
    <w:rsid w:val="3D4F2F4A"/>
    <w:rsid w:val="3D762284"/>
    <w:rsid w:val="3D826E7B"/>
    <w:rsid w:val="3D864BBD"/>
    <w:rsid w:val="3D906EDC"/>
    <w:rsid w:val="3DB65ADA"/>
    <w:rsid w:val="3DDB0CD9"/>
    <w:rsid w:val="3DDD67A7"/>
    <w:rsid w:val="3DE23DBE"/>
    <w:rsid w:val="3DE90CA8"/>
    <w:rsid w:val="3E157CEF"/>
    <w:rsid w:val="3E2A0F81"/>
    <w:rsid w:val="3E667746"/>
    <w:rsid w:val="3E815385"/>
    <w:rsid w:val="3E885B96"/>
    <w:rsid w:val="3E952BDE"/>
    <w:rsid w:val="3EB43064"/>
    <w:rsid w:val="3EB92D70"/>
    <w:rsid w:val="3EBC22FE"/>
    <w:rsid w:val="3ECD4126"/>
    <w:rsid w:val="3EF1250A"/>
    <w:rsid w:val="3EF773F5"/>
    <w:rsid w:val="3F163D1F"/>
    <w:rsid w:val="3F450160"/>
    <w:rsid w:val="3F473ED8"/>
    <w:rsid w:val="3F4C14EF"/>
    <w:rsid w:val="3F4D019D"/>
    <w:rsid w:val="3F5860E5"/>
    <w:rsid w:val="3F591E5E"/>
    <w:rsid w:val="3F760C61"/>
    <w:rsid w:val="3F8213B4"/>
    <w:rsid w:val="3F827606"/>
    <w:rsid w:val="3F870779"/>
    <w:rsid w:val="3F8769CB"/>
    <w:rsid w:val="3F890995"/>
    <w:rsid w:val="3F8A2017"/>
    <w:rsid w:val="3F917849"/>
    <w:rsid w:val="3F9B0612"/>
    <w:rsid w:val="3F9D1D4A"/>
    <w:rsid w:val="3FA241A2"/>
    <w:rsid w:val="3FAA4467"/>
    <w:rsid w:val="3FAC01DF"/>
    <w:rsid w:val="3FD85478"/>
    <w:rsid w:val="3FE536F1"/>
    <w:rsid w:val="3FE77469"/>
    <w:rsid w:val="40215D3E"/>
    <w:rsid w:val="403A57EB"/>
    <w:rsid w:val="404843AC"/>
    <w:rsid w:val="404B3E9C"/>
    <w:rsid w:val="4061546E"/>
    <w:rsid w:val="40664832"/>
    <w:rsid w:val="4079067E"/>
    <w:rsid w:val="4093139F"/>
    <w:rsid w:val="409343AF"/>
    <w:rsid w:val="409E3FCC"/>
    <w:rsid w:val="40A67324"/>
    <w:rsid w:val="40D75730"/>
    <w:rsid w:val="40E63BC5"/>
    <w:rsid w:val="40EB4D37"/>
    <w:rsid w:val="40EC14AB"/>
    <w:rsid w:val="40FA4F7A"/>
    <w:rsid w:val="410A340F"/>
    <w:rsid w:val="410D2F00"/>
    <w:rsid w:val="410D73A4"/>
    <w:rsid w:val="413C37E5"/>
    <w:rsid w:val="415648A7"/>
    <w:rsid w:val="415A71E1"/>
    <w:rsid w:val="41630D72"/>
    <w:rsid w:val="418807D8"/>
    <w:rsid w:val="418F600A"/>
    <w:rsid w:val="419B675D"/>
    <w:rsid w:val="41AA69A0"/>
    <w:rsid w:val="41B15F81"/>
    <w:rsid w:val="41C31810"/>
    <w:rsid w:val="41C55588"/>
    <w:rsid w:val="41DC7318"/>
    <w:rsid w:val="41E225DE"/>
    <w:rsid w:val="41F8595E"/>
    <w:rsid w:val="42100EF9"/>
    <w:rsid w:val="4214206C"/>
    <w:rsid w:val="42454372"/>
    <w:rsid w:val="426179A2"/>
    <w:rsid w:val="427174BE"/>
    <w:rsid w:val="42786A9F"/>
    <w:rsid w:val="428B67D2"/>
    <w:rsid w:val="428E0070"/>
    <w:rsid w:val="4294310E"/>
    <w:rsid w:val="42943344"/>
    <w:rsid w:val="42975177"/>
    <w:rsid w:val="429A07C3"/>
    <w:rsid w:val="429F402B"/>
    <w:rsid w:val="42C615B8"/>
    <w:rsid w:val="42D77C69"/>
    <w:rsid w:val="42DC0DDB"/>
    <w:rsid w:val="42DE0FF8"/>
    <w:rsid w:val="42E56A55"/>
    <w:rsid w:val="42FC322C"/>
    <w:rsid w:val="43193DDE"/>
    <w:rsid w:val="431C38CE"/>
    <w:rsid w:val="43372938"/>
    <w:rsid w:val="43484F88"/>
    <w:rsid w:val="434A1275"/>
    <w:rsid w:val="435C1F1C"/>
    <w:rsid w:val="4387343D"/>
    <w:rsid w:val="43972F54"/>
    <w:rsid w:val="439E42E3"/>
    <w:rsid w:val="43A124B3"/>
    <w:rsid w:val="43B65AD0"/>
    <w:rsid w:val="43BB4E95"/>
    <w:rsid w:val="43C55D14"/>
    <w:rsid w:val="43D85A47"/>
    <w:rsid w:val="43DE72C2"/>
    <w:rsid w:val="43E837B0"/>
    <w:rsid w:val="43E97C54"/>
    <w:rsid w:val="43F11473"/>
    <w:rsid w:val="43F839F3"/>
    <w:rsid w:val="44022AC4"/>
    <w:rsid w:val="44024872"/>
    <w:rsid w:val="44044A8E"/>
    <w:rsid w:val="44184095"/>
    <w:rsid w:val="44236B1E"/>
    <w:rsid w:val="444158E6"/>
    <w:rsid w:val="44564BBE"/>
    <w:rsid w:val="44641089"/>
    <w:rsid w:val="446948F1"/>
    <w:rsid w:val="446F3961"/>
    <w:rsid w:val="449B0822"/>
    <w:rsid w:val="44B95F17"/>
    <w:rsid w:val="44C11AA6"/>
    <w:rsid w:val="44C75831"/>
    <w:rsid w:val="44CD7477"/>
    <w:rsid w:val="44D04970"/>
    <w:rsid w:val="44D426B2"/>
    <w:rsid w:val="44DF4BB3"/>
    <w:rsid w:val="44E346A3"/>
    <w:rsid w:val="44F3240C"/>
    <w:rsid w:val="44FC154A"/>
    <w:rsid w:val="450048CC"/>
    <w:rsid w:val="451A208F"/>
    <w:rsid w:val="452457E1"/>
    <w:rsid w:val="45350C77"/>
    <w:rsid w:val="453A628D"/>
    <w:rsid w:val="45415D40"/>
    <w:rsid w:val="45435142"/>
    <w:rsid w:val="45451DF1"/>
    <w:rsid w:val="454A4722"/>
    <w:rsid w:val="454B2248"/>
    <w:rsid w:val="45513D03"/>
    <w:rsid w:val="4554734F"/>
    <w:rsid w:val="45570447"/>
    <w:rsid w:val="45723C79"/>
    <w:rsid w:val="45967968"/>
    <w:rsid w:val="459B31D0"/>
    <w:rsid w:val="45B46417"/>
    <w:rsid w:val="45B86522"/>
    <w:rsid w:val="45DB537A"/>
    <w:rsid w:val="45DE4E6B"/>
    <w:rsid w:val="45F43872"/>
    <w:rsid w:val="46113492"/>
    <w:rsid w:val="461B3AA5"/>
    <w:rsid w:val="462C5BD6"/>
    <w:rsid w:val="462E5DF2"/>
    <w:rsid w:val="464C0026"/>
    <w:rsid w:val="46655038"/>
    <w:rsid w:val="466C06C8"/>
    <w:rsid w:val="46843C64"/>
    <w:rsid w:val="46850285"/>
    <w:rsid w:val="46955E71"/>
    <w:rsid w:val="469F45FA"/>
    <w:rsid w:val="46A240EA"/>
    <w:rsid w:val="46A460B4"/>
    <w:rsid w:val="46AF05B5"/>
    <w:rsid w:val="46C94CDE"/>
    <w:rsid w:val="46D30747"/>
    <w:rsid w:val="46E14C12"/>
    <w:rsid w:val="4706474A"/>
    <w:rsid w:val="470703F1"/>
    <w:rsid w:val="470D3C59"/>
    <w:rsid w:val="471B28B4"/>
    <w:rsid w:val="473B0E1B"/>
    <w:rsid w:val="473F27FF"/>
    <w:rsid w:val="475E1C43"/>
    <w:rsid w:val="476017C6"/>
    <w:rsid w:val="47745A86"/>
    <w:rsid w:val="47811F51"/>
    <w:rsid w:val="47841A42"/>
    <w:rsid w:val="47863A0C"/>
    <w:rsid w:val="478E2D76"/>
    <w:rsid w:val="47916CB1"/>
    <w:rsid w:val="47A65E5C"/>
    <w:rsid w:val="47CA1B4A"/>
    <w:rsid w:val="47E67FE2"/>
    <w:rsid w:val="47F0014A"/>
    <w:rsid w:val="47F60B91"/>
    <w:rsid w:val="481903DC"/>
    <w:rsid w:val="486F26F2"/>
    <w:rsid w:val="48740AF8"/>
    <w:rsid w:val="487B247F"/>
    <w:rsid w:val="488E0DCA"/>
    <w:rsid w:val="48934632"/>
    <w:rsid w:val="48B270F8"/>
    <w:rsid w:val="48B56357"/>
    <w:rsid w:val="48B955C2"/>
    <w:rsid w:val="48B9571B"/>
    <w:rsid w:val="48BA396D"/>
    <w:rsid w:val="48BB76E5"/>
    <w:rsid w:val="48C657AA"/>
    <w:rsid w:val="48F30C2D"/>
    <w:rsid w:val="490177EE"/>
    <w:rsid w:val="490D6193"/>
    <w:rsid w:val="491F7C74"/>
    <w:rsid w:val="492B090F"/>
    <w:rsid w:val="492D6240"/>
    <w:rsid w:val="49382AE4"/>
    <w:rsid w:val="49417BEA"/>
    <w:rsid w:val="494852C1"/>
    <w:rsid w:val="494E0559"/>
    <w:rsid w:val="4968786D"/>
    <w:rsid w:val="496A7A12"/>
    <w:rsid w:val="496F0BFB"/>
    <w:rsid w:val="49843F7B"/>
    <w:rsid w:val="498E0956"/>
    <w:rsid w:val="49911DC2"/>
    <w:rsid w:val="499659CF"/>
    <w:rsid w:val="499A718B"/>
    <w:rsid w:val="49B52386"/>
    <w:rsid w:val="49C202E7"/>
    <w:rsid w:val="49EC3FFA"/>
    <w:rsid w:val="49F72751"/>
    <w:rsid w:val="4A1E3C56"/>
    <w:rsid w:val="4A1E617D"/>
    <w:rsid w:val="4A2D016F"/>
    <w:rsid w:val="4A4200BE"/>
    <w:rsid w:val="4A421E6C"/>
    <w:rsid w:val="4A704B0B"/>
    <w:rsid w:val="4A730023"/>
    <w:rsid w:val="4A744C91"/>
    <w:rsid w:val="4A876DA6"/>
    <w:rsid w:val="4A8833F8"/>
    <w:rsid w:val="4A8A619F"/>
    <w:rsid w:val="4AA2290B"/>
    <w:rsid w:val="4AC05487"/>
    <w:rsid w:val="4AD46AF0"/>
    <w:rsid w:val="4ADF61DE"/>
    <w:rsid w:val="4ADF76BB"/>
    <w:rsid w:val="4AE75EBB"/>
    <w:rsid w:val="4B0071C8"/>
    <w:rsid w:val="4B125FF6"/>
    <w:rsid w:val="4B1B110F"/>
    <w:rsid w:val="4B3F45FD"/>
    <w:rsid w:val="4B4614E8"/>
    <w:rsid w:val="4B5F3B0E"/>
    <w:rsid w:val="4B6C4CC7"/>
    <w:rsid w:val="4B7D0C82"/>
    <w:rsid w:val="4B8244EA"/>
    <w:rsid w:val="4B8B339F"/>
    <w:rsid w:val="4B8F7333"/>
    <w:rsid w:val="4B92472D"/>
    <w:rsid w:val="4BA17066"/>
    <w:rsid w:val="4BB43FF0"/>
    <w:rsid w:val="4BBD296A"/>
    <w:rsid w:val="4BDA7172"/>
    <w:rsid w:val="4C0575F5"/>
    <w:rsid w:val="4C2B503E"/>
    <w:rsid w:val="4C312198"/>
    <w:rsid w:val="4C3253A4"/>
    <w:rsid w:val="4C3677AE"/>
    <w:rsid w:val="4C40062D"/>
    <w:rsid w:val="4C481290"/>
    <w:rsid w:val="4C651E42"/>
    <w:rsid w:val="4C735D9E"/>
    <w:rsid w:val="4C765DFD"/>
    <w:rsid w:val="4C787DC7"/>
    <w:rsid w:val="4C8229F4"/>
    <w:rsid w:val="4C8C3872"/>
    <w:rsid w:val="4C987D10"/>
    <w:rsid w:val="4CA94424"/>
    <w:rsid w:val="4CAA3CF8"/>
    <w:rsid w:val="4CD62D3F"/>
    <w:rsid w:val="4CE0771A"/>
    <w:rsid w:val="4CFB4554"/>
    <w:rsid w:val="4D057181"/>
    <w:rsid w:val="4D331F40"/>
    <w:rsid w:val="4D3B0DF4"/>
    <w:rsid w:val="4D534390"/>
    <w:rsid w:val="4D537827"/>
    <w:rsid w:val="4D64659D"/>
    <w:rsid w:val="4D724702"/>
    <w:rsid w:val="4D7F6F33"/>
    <w:rsid w:val="4D9549A9"/>
    <w:rsid w:val="4D9D16E6"/>
    <w:rsid w:val="4DA76875"/>
    <w:rsid w:val="4DB017E2"/>
    <w:rsid w:val="4DB82445"/>
    <w:rsid w:val="4DC25072"/>
    <w:rsid w:val="4DC96400"/>
    <w:rsid w:val="4DD76D6F"/>
    <w:rsid w:val="4DDC4D2C"/>
    <w:rsid w:val="4DEB281B"/>
    <w:rsid w:val="4E0D453F"/>
    <w:rsid w:val="4E10402F"/>
    <w:rsid w:val="4E121B55"/>
    <w:rsid w:val="4E1E176D"/>
    <w:rsid w:val="4E2B2C17"/>
    <w:rsid w:val="4E2D698F"/>
    <w:rsid w:val="4E505C68"/>
    <w:rsid w:val="4E573A0C"/>
    <w:rsid w:val="4E5C1022"/>
    <w:rsid w:val="4E613302"/>
    <w:rsid w:val="4E760336"/>
    <w:rsid w:val="4EAC01FC"/>
    <w:rsid w:val="4EB250E6"/>
    <w:rsid w:val="4EB33338"/>
    <w:rsid w:val="4EB946C7"/>
    <w:rsid w:val="4EBE1CDD"/>
    <w:rsid w:val="4EC05A55"/>
    <w:rsid w:val="4EC1342D"/>
    <w:rsid w:val="4ECA0682"/>
    <w:rsid w:val="4ECD0674"/>
    <w:rsid w:val="4ED60DD5"/>
    <w:rsid w:val="4EE74D90"/>
    <w:rsid w:val="4EEF633A"/>
    <w:rsid w:val="4F134939"/>
    <w:rsid w:val="4F1D6A04"/>
    <w:rsid w:val="4F2935FA"/>
    <w:rsid w:val="4F2A7373"/>
    <w:rsid w:val="4F437111"/>
    <w:rsid w:val="4F495A4B"/>
    <w:rsid w:val="4F587A3C"/>
    <w:rsid w:val="4F7A3E56"/>
    <w:rsid w:val="4F8C3B89"/>
    <w:rsid w:val="4F9547EC"/>
    <w:rsid w:val="4FCC21D8"/>
    <w:rsid w:val="4FE6773D"/>
    <w:rsid w:val="4FEB6B02"/>
    <w:rsid w:val="4FEE65F2"/>
    <w:rsid w:val="4FF27E90"/>
    <w:rsid w:val="4FF77255"/>
    <w:rsid w:val="50106568"/>
    <w:rsid w:val="501222E0"/>
    <w:rsid w:val="501F0559"/>
    <w:rsid w:val="5023629C"/>
    <w:rsid w:val="503A5393"/>
    <w:rsid w:val="5043249A"/>
    <w:rsid w:val="504D50C7"/>
    <w:rsid w:val="505521CD"/>
    <w:rsid w:val="5060304C"/>
    <w:rsid w:val="506A211C"/>
    <w:rsid w:val="507C3BFE"/>
    <w:rsid w:val="50827466"/>
    <w:rsid w:val="50AC49D2"/>
    <w:rsid w:val="50CC248F"/>
    <w:rsid w:val="50D21A70"/>
    <w:rsid w:val="50D457E8"/>
    <w:rsid w:val="50F6750C"/>
    <w:rsid w:val="50FB4B23"/>
    <w:rsid w:val="51160A34"/>
    <w:rsid w:val="51163F32"/>
    <w:rsid w:val="51183927"/>
    <w:rsid w:val="51226553"/>
    <w:rsid w:val="51453FF0"/>
    <w:rsid w:val="516C77CE"/>
    <w:rsid w:val="5170282E"/>
    <w:rsid w:val="519A433C"/>
    <w:rsid w:val="519B0C10"/>
    <w:rsid w:val="51AE366B"/>
    <w:rsid w:val="51D71830"/>
    <w:rsid w:val="51DF0427"/>
    <w:rsid w:val="51E23F34"/>
    <w:rsid w:val="51F83758"/>
    <w:rsid w:val="520B3E30"/>
    <w:rsid w:val="520E5B76"/>
    <w:rsid w:val="5246001F"/>
    <w:rsid w:val="528C10A0"/>
    <w:rsid w:val="52972F71"/>
    <w:rsid w:val="52B0193D"/>
    <w:rsid w:val="52BC29D7"/>
    <w:rsid w:val="52C8312A"/>
    <w:rsid w:val="52DD4E28"/>
    <w:rsid w:val="52FB52AE"/>
    <w:rsid w:val="52FB705C"/>
    <w:rsid w:val="52FC4B82"/>
    <w:rsid w:val="532365B3"/>
    <w:rsid w:val="532E2213"/>
    <w:rsid w:val="533026AA"/>
    <w:rsid w:val="533E2F7F"/>
    <w:rsid w:val="534D3630"/>
    <w:rsid w:val="535C60FE"/>
    <w:rsid w:val="53807561"/>
    <w:rsid w:val="538708F0"/>
    <w:rsid w:val="538E7D0E"/>
    <w:rsid w:val="53A56FC8"/>
    <w:rsid w:val="53B4545D"/>
    <w:rsid w:val="53B8319F"/>
    <w:rsid w:val="53C03E02"/>
    <w:rsid w:val="53C658BC"/>
    <w:rsid w:val="53DF24DA"/>
    <w:rsid w:val="53F65A75"/>
    <w:rsid w:val="53FB308C"/>
    <w:rsid w:val="5402441A"/>
    <w:rsid w:val="54164DC0"/>
    <w:rsid w:val="542F214A"/>
    <w:rsid w:val="54302D35"/>
    <w:rsid w:val="54316AAD"/>
    <w:rsid w:val="543A3BB4"/>
    <w:rsid w:val="54640C31"/>
    <w:rsid w:val="547F3CBD"/>
    <w:rsid w:val="54994D7E"/>
    <w:rsid w:val="549E786E"/>
    <w:rsid w:val="54AB6860"/>
    <w:rsid w:val="54BB2F47"/>
    <w:rsid w:val="54BE216E"/>
    <w:rsid w:val="54BF40B9"/>
    <w:rsid w:val="54D15BFA"/>
    <w:rsid w:val="550F3292"/>
    <w:rsid w:val="5512615B"/>
    <w:rsid w:val="551B6940"/>
    <w:rsid w:val="552A3C28"/>
    <w:rsid w:val="55563AD1"/>
    <w:rsid w:val="555F460E"/>
    <w:rsid w:val="556B5B8F"/>
    <w:rsid w:val="558722C8"/>
    <w:rsid w:val="558F536E"/>
    <w:rsid w:val="55950837"/>
    <w:rsid w:val="55C027DF"/>
    <w:rsid w:val="55C2628A"/>
    <w:rsid w:val="55CE2806"/>
    <w:rsid w:val="55D50038"/>
    <w:rsid w:val="55D63DB0"/>
    <w:rsid w:val="55DB3175"/>
    <w:rsid w:val="55E55DA1"/>
    <w:rsid w:val="55EE4C56"/>
    <w:rsid w:val="55F61D5C"/>
    <w:rsid w:val="56002BDB"/>
    <w:rsid w:val="560426CB"/>
    <w:rsid w:val="56222B52"/>
    <w:rsid w:val="562A1B91"/>
    <w:rsid w:val="562B5B9A"/>
    <w:rsid w:val="56331D5B"/>
    <w:rsid w:val="56356D29"/>
    <w:rsid w:val="5637484F"/>
    <w:rsid w:val="5640122A"/>
    <w:rsid w:val="56570A4D"/>
    <w:rsid w:val="5661367A"/>
    <w:rsid w:val="56902358"/>
    <w:rsid w:val="56904BDD"/>
    <w:rsid w:val="56AB6FEB"/>
    <w:rsid w:val="56AB7BA5"/>
    <w:rsid w:val="56AF3861"/>
    <w:rsid w:val="56B85264"/>
    <w:rsid w:val="56C46C9A"/>
    <w:rsid w:val="56CA56C3"/>
    <w:rsid w:val="56CF0F2B"/>
    <w:rsid w:val="56DC53F6"/>
    <w:rsid w:val="56F40992"/>
    <w:rsid w:val="5714693E"/>
    <w:rsid w:val="571E5A0F"/>
    <w:rsid w:val="573C3AA9"/>
    <w:rsid w:val="575C2093"/>
    <w:rsid w:val="57664784"/>
    <w:rsid w:val="5781726E"/>
    <w:rsid w:val="578D049F"/>
    <w:rsid w:val="57BE4AFC"/>
    <w:rsid w:val="57C06AC6"/>
    <w:rsid w:val="57CE11E3"/>
    <w:rsid w:val="57CF2865"/>
    <w:rsid w:val="57E07028"/>
    <w:rsid w:val="57EC78BB"/>
    <w:rsid w:val="57F549C2"/>
    <w:rsid w:val="58010F61"/>
    <w:rsid w:val="58033583"/>
    <w:rsid w:val="581A7F84"/>
    <w:rsid w:val="58403763"/>
    <w:rsid w:val="58434227"/>
    <w:rsid w:val="584C2108"/>
    <w:rsid w:val="58550FBC"/>
    <w:rsid w:val="585D2567"/>
    <w:rsid w:val="586C6306"/>
    <w:rsid w:val="58737694"/>
    <w:rsid w:val="587F072F"/>
    <w:rsid w:val="58BA1767"/>
    <w:rsid w:val="58DC49CD"/>
    <w:rsid w:val="58DD31FA"/>
    <w:rsid w:val="59030A18"/>
    <w:rsid w:val="590E7F53"/>
    <w:rsid w:val="591A469F"/>
    <w:rsid w:val="59215342"/>
    <w:rsid w:val="59264A99"/>
    <w:rsid w:val="592941F7"/>
    <w:rsid w:val="592A3C50"/>
    <w:rsid w:val="593B46DD"/>
    <w:rsid w:val="594026BD"/>
    <w:rsid w:val="594159E5"/>
    <w:rsid w:val="59460076"/>
    <w:rsid w:val="595042A3"/>
    <w:rsid w:val="59515D8A"/>
    <w:rsid w:val="595C637A"/>
    <w:rsid w:val="5960477C"/>
    <w:rsid w:val="59682F71"/>
    <w:rsid w:val="596B66F6"/>
    <w:rsid w:val="596D2336"/>
    <w:rsid w:val="596F6178"/>
    <w:rsid w:val="59A5674B"/>
    <w:rsid w:val="59BD150F"/>
    <w:rsid w:val="59C53F20"/>
    <w:rsid w:val="59E720E8"/>
    <w:rsid w:val="59ED3476"/>
    <w:rsid w:val="5A151F73"/>
    <w:rsid w:val="5A492DA3"/>
    <w:rsid w:val="5A53777D"/>
    <w:rsid w:val="5A582FE6"/>
    <w:rsid w:val="5A601E9A"/>
    <w:rsid w:val="5AA77AC9"/>
    <w:rsid w:val="5AA91A93"/>
    <w:rsid w:val="5ABD109B"/>
    <w:rsid w:val="5ABE4B07"/>
    <w:rsid w:val="5AC266B1"/>
    <w:rsid w:val="5ACB37B8"/>
    <w:rsid w:val="5ACB7C5C"/>
    <w:rsid w:val="5AD77DB4"/>
    <w:rsid w:val="5AE44879"/>
    <w:rsid w:val="5AFA409D"/>
    <w:rsid w:val="5AFA5E4B"/>
    <w:rsid w:val="5B1769FD"/>
    <w:rsid w:val="5B2D6220"/>
    <w:rsid w:val="5B321A89"/>
    <w:rsid w:val="5B386973"/>
    <w:rsid w:val="5B4A6DD2"/>
    <w:rsid w:val="5B4E6197"/>
    <w:rsid w:val="5B657EA9"/>
    <w:rsid w:val="5B751975"/>
    <w:rsid w:val="5B8147BE"/>
    <w:rsid w:val="5B920779"/>
    <w:rsid w:val="5B9401EF"/>
    <w:rsid w:val="5BA555B3"/>
    <w:rsid w:val="5BB47AC3"/>
    <w:rsid w:val="5BB74B2C"/>
    <w:rsid w:val="5BD41E6E"/>
    <w:rsid w:val="5BEA2363"/>
    <w:rsid w:val="5BEA5EBF"/>
    <w:rsid w:val="5BEF1728"/>
    <w:rsid w:val="5BF64864"/>
    <w:rsid w:val="5BFD3E45"/>
    <w:rsid w:val="5C1402B4"/>
    <w:rsid w:val="5C2869E8"/>
    <w:rsid w:val="5C2C64D8"/>
    <w:rsid w:val="5C381321"/>
    <w:rsid w:val="5C3A6E47"/>
    <w:rsid w:val="5C3B1922"/>
    <w:rsid w:val="5C427AAA"/>
    <w:rsid w:val="5C5069F0"/>
    <w:rsid w:val="5C537F09"/>
    <w:rsid w:val="5C5477DD"/>
    <w:rsid w:val="5C5E2B95"/>
    <w:rsid w:val="5C7A1E91"/>
    <w:rsid w:val="5C8C6F77"/>
    <w:rsid w:val="5CA40764"/>
    <w:rsid w:val="5CAB5170"/>
    <w:rsid w:val="5CBD5382"/>
    <w:rsid w:val="5CCA5724"/>
    <w:rsid w:val="5CE62B2B"/>
    <w:rsid w:val="5CE70651"/>
    <w:rsid w:val="5CEE5E83"/>
    <w:rsid w:val="5D290C69"/>
    <w:rsid w:val="5D292A17"/>
    <w:rsid w:val="5D6972B8"/>
    <w:rsid w:val="5D706822"/>
    <w:rsid w:val="5D7F6ADB"/>
    <w:rsid w:val="5D8B3C74"/>
    <w:rsid w:val="5DAD53F7"/>
    <w:rsid w:val="5DB42C29"/>
    <w:rsid w:val="5DB669A1"/>
    <w:rsid w:val="5DBD1FCA"/>
    <w:rsid w:val="5DC0337C"/>
    <w:rsid w:val="5E084D23"/>
    <w:rsid w:val="5E092890"/>
    <w:rsid w:val="5E192A8C"/>
    <w:rsid w:val="5E1C432A"/>
    <w:rsid w:val="5E257683"/>
    <w:rsid w:val="5E282CCF"/>
    <w:rsid w:val="5E3A2E3F"/>
    <w:rsid w:val="5E3A5C3E"/>
    <w:rsid w:val="5E510478"/>
    <w:rsid w:val="5E524438"/>
    <w:rsid w:val="5E714676"/>
    <w:rsid w:val="5E8425FB"/>
    <w:rsid w:val="5E8C6F99"/>
    <w:rsid w:val="5EAA0273"/>
    <w:rsid w:val="5ECF75EF"/>
    <w:rsid w:val="5ED54C05"/>
    <w:rsid w:val="5EF2352E"/>
    <w:rsid w:val="5EF57055"/>
    <w:rsid w:val="5EF763C6"/>
    <w:rsid w:val="5EFD0600"/>
    <w:rsid w:val="5F08322C"/>
    <w:rsid w:val="5F4E6765"/>
    <w:rsid w:val="5F5D7160"/>
    <w:rsid w:val="5F714A4F"/>
    <w:rsid w:val="5F7408C2"/>
    <w:rsid w:val="5F887EC9"/>
    <w:rsid w:val="5F893C41"/>
    <w:rsid w:val="5F8B79B9"/>
    <w:rsid w:val="5F97010C"/>
    <w:rsid w:val="5FA1416A"/>
    <w:rsid w:val="5FB23198"/>
    <w:rsid w:val="5FB46F10"/>
    <w:rsid w:val="5FB90FB7"/>
    <w:rsid w:val="5FC30058"/>
    <w:rsid w:val="5FDE21DF"/>
    <w:rsid w:val="5FF27A39"/>
    <w:rsid w:val="5FFB0081"/>
    <w:rsid w:val="5FFE1F39"/>
    <w:rsid w:val="60060FEE"/>
    <w:rsid w:val="600A2554"/>
    <w:rsid w:val="60462E90"/>
    <w:rsid w:val="60571E01"/>
    <w:rsid w:val="605C6171"/>
    <w:rsid w:val="606F72DB"/>
    <w:rsid w:val="60786190"/>
    <w:rsid w:val="608368E3"/>
    <w:rsid w:val="60A07495"/>
    <w:rsid w:val="60A30D33"/>
    <w:rsid w:val="60A96349"/>
    <w:rsid w:val="60AE00AB"/>
    <w:rsid w:val="60B31391"/>
    <w:rsid w:val="60C2740B"/>
    <w:rsid w:val="60C82547"/>
    <w:rsid w:val="60D60EA4"/>
    <w:rsid w:val="60EB4BB4"/>
    <w:rsid w:val="60F34B93"/>
    <w:rsid w:val="612945BF"/>
    <w:rsid w:val="61530A39"/>
    <w:rsid w:val="6183303E"/>
    <w:rsid w:val="61923281"/>
    <w:rsid w:val="619F1863"/>
    <w:rsid w:val="61AC3CD1"/>
    <w:rsid w:val="61CB22EF"/>
    <w:rsid w:val="61D00691"/>
    <w:rsid w:val="61DF3FED"/>
    <w:rsid w:val="61F47A98"/>
    <w:rsid w:val="61FE695C"/>
    <w:rsid w:val="621912AD"/>
    <w:rsid w:val="62326812"/>
    <w:rsid w:val="62571DD5"/>
    <w:rsid w:val="625B7377"/>
    <w:rsid w:val="626562A0"/>
    <w:rsid w:val="6278019C"/>
    <w:rsid w:val="6283706E"/>
    <w:rsid w:val="628C1A7E"/>
    <w:rsid w:val="629B7F14"/>
    <w:rsid w:val="62A96AD4"/>
    <w:rsid w:val="62AE40EB"/>
    <w:rsid w:val="62B2525D"/>
    <w:rsid w:val="62C0797A"/>
    <w:rsid w:val="62E95123"/>
    <w:rsid w:val="62FB09B2"/>
    <w:rsid w:val="62FE04A2"/>
    <w:rsid w:val="63001694"/>
    <w:rsid w:val="63185A08"/>
    <w:rsid w:val="631D29EB"/>
    <w:rsid w:val="633C6169"/>
    <w:rsid w:val="637A3FCD"/>
    <w:rsid w:val="63822EAD"/>
    <w:rsid w:val="638C7755"/>
    <w:rsid w:val="639B1A12"/>
    <w:rsid w:val="63A011E3"/>
    <w:rsid w:val="63A92B04"/>
    <w:rsid w:val="63B70D7D"/>
    <w:rsid w:val="63BC45E5"/>
    <w:rsid w:val="63D23E09"/>
    <w:rsid w:val="63F773CC"/>
    <w:rsid w:val="64055F8C"/>
    <w:rsid w:val="64300F47"/>
    <w:rsid w:val="64483336"/>
    <w:rsid w:val="644F0FB6"/>
    <w:rsid w:val="64562D15"/>
    <w:rsid w:val="646C600B"/>
    <w:rsid w:val="646F3406"/>
    <w:rsid w:val="647C2CAA"/>
    <w:rsid w:val="64942E6C"/>
    <w:rsid w:val="649A01F8"/>
    <w:rsid w:val="64AE53F9"/>
    <w:rsid w:val="64D63485"/>
    <w:rsid w:val="64E35BA2"/>
    <w:rsid w:val="64EC2CA8"/>
    <w:rsid w:val="65085608"/>
    <w:rsid w:val="65091AAC"/>
    <w:rsid w:val="650F7082"/>
    <w:rsid w:val="65110961"/>
    <w:rsid w:val="6518767F"/>
    <w:rsid w:val="65362175"/>
    <w:rsid w:val="65385EEE"/>
    <w:rsid w:val="656767D3"/>
    <w:rsid w:val="65712B94"/>
    <w:rsid w:val="657A02B4"/>
    <w:rsid w:val="65801643"/>
    <w:rsid w:val="65956E9C"/>
    <w:rsid w:val="659858FD"/>
    <w:rsid w:val="6598698C"/>
    <w:rsid w:val="65A13CC9"/>
    <w:rsid w:val="65AA25C1"/>
    <w:rsid w:val="65E120E1"/>
    <w:rsid w:val="65F91B21"/>
    <w:rsid w:val="660364FC"/>
    <w:rsid w:val="660D737A"/>
    <w:rsid w:val="661C580F"/>
    <w:rsid w:val="661E2CB4"/>
    <w:rsid w:val="661E3335"/>
    <w:rsid w:val="662621EA"/>
    <w:rsid w:val="662C6800"/>
    <w:rsid w:val="6632293D"/>
    <w:rsid w:val="663D58AE"/>
    <w:rsid w:val="664E603D"/>
    <w:rsid w:val="666F1DE3"/>
    <w:rsid w:val="667B2536"/>
    <w:rsid w:val="667D1E28"/>
    <w:rsid w:val="66A870A3"/>
    <w:rsid w:val="66AD46B9"/>
    <w:rsid w:val="66B141AA"/>
    <w:rsid w:val="66CD4D5B"/>
    <w:rsid w:val="66D32372"/>
    <w:rsid w:val="66DD6797"/>
    <w:rsid w:val="66ED4AB6"/>
    <w:rsid w:val="66F66060"/>
    <w:rsid w:val="66F67E0E"/>
    <w:rsid w:val="670818F0"/>
    <w:rsid w:val="671D183F"/>
    <w:rsid w:val="671F55B7"/>
    <w:rsid w:val="67293782"/>
    <w:rsid w:val="675114E9"/>
    <w:rsid w:val="675863D3"/>
    <w:rsid w:val="6759039D"/>
    <w:rsid w:val="6784541A"/>
    <w:rsid w:val="679703E1"/>
    <w:rsid w:val="67984F00"/>
    <w:rsid w:val="67A965FC"/>
    <w:rsid w:val="68336E40"/>
    <w:rsid w:val="683926A8"/>
    <w:rsid w:val="68537CAF"/>
    <w:rsid w:val="685E210F"/>
    <w:rsid w:val="685F3791"/>
    <w:rsid w:val="68682EB7"/>
    <w:rsid w:val="68725BBA"/>
    <w:rsid w:val="68776D2D"/>
    <w:rsid w:val="687A4A6F"/>
    <w:rsid w:val="68B079A5"/>
    <w:rsid w:val="68BB30BE"/>
    <w:rsid w:val="68D45F2D"/>
    <w:rsid w:val="68DF62EE"/>
    <w:rsid w:val="68EA5751"/>
    <w:rsid w:val="68F570FB"/>
    <w:rsid w:val="69456E2B"/>
    <w:rsid w:val="69531548"/>
    <w:rsid w:val="696F3EA8"/>
    <w:rsid w:val="69731BEA"/>
    <w:rsid w:val="69790883"/>
    <w:rsid w:val="697A2F79"/>
    <w:rsid w:val="698B7CF9"/>
    <w:rsid w:val="698C6808"/>
    <w:rsid w:val="699266B6"/>
    <w:rsid w:val="69951FEB"/>
    <w:rsid w:val="69A47FF6"/>
    <w:rsid w:val="69F00E56"/>
    <w:rsid w:val="6A102F95"/>
    <w:rsid w:val="6A242EE4"/>
    <w:rsid w:val="6A2922A9"/>
    <w:rsid w:val="6A4415E9"/>
    <w:rsid w:val="6A5D1F52"/>
    <w:rsid w:val="6A7C062B"/>
    <w:rsid w:val="6A8D0A8A"/>
    <w:rsid w:val="6A9736B6"/>
    <w:rsid w:val="6AAB0F10"/>
    <w:rsid w:val="6ACC55B0"/>
    <w:rsid w:val="6ACD70D8"/>
    <w:rsid w:val="6AE12B83"/>
    <w:rsid w:val="6AEA7C8A"/>
    <w:rsid w:val="6AF12F2B"/>
    <w:rsid w:val="6B054AC4"/>
    <w:rsid w:val="6B1E7934"/>
    <w:rsid w:val="6B225676"/>
    <w:rsid w:val="6B422808"/>
    <w:rsid w:val="6B476E8A"/>
    <w:rsid w:val="6B4B5217"/>
    <w:rsid w:val="6B680BAF"/>
    <w:rsid w:val="6B6A0DCB"/>
    <w:rsid w:val="6B6F1F3D"/>
    <w:rsid w:val="6B8A1717"/>
    <w:rsid w:val="6B8C6F93"/>
    <w:rsid w:val="6B99345E"/>
    <w:rsid w:val="6BAD273F"/>
    <w:rsid w:val="6BBB1626"/>
    <w:rsid w:val="6BC56001"/>
    <w:rsid w:val="6BCA186A"/>
    <w:rsid w:val="6BCC7390"/>
    <w:rsid w:val="6BCE3108"/>
    <w:rsid w:val="6BD36970"/>
    <w:rsid w:val="6BD526E8"/>
    <w:rsid w:val="6C0B435C"/>
    <w:rsid w:val="6C17069E"/>
    <w:rsid w:val="6C2225DD"/>
    <w:rsid w:val="6C301153"/>
    <w:rsid w:val="6C6B0957"/>
    <w:rsid w:val="6C832144"/>
    <w:rsid w:val="6C845EBC"/>
    <w:rsid w:val="6C89702F"/>
    <w:rsid w:val="6C9C4FB4"/>
    <w:rsid w:val="6C9D0D2C"/>
    <w:rsid w:val="6CC265FC"/>
    <w:rsid w:val="6CD504C6"/>
    <w:rsid w:val="6CD52274"/>
    <w:rsid w:val="6CDA4C16"/>
    <w:rsid w:val="6CF92406"/>
    <w:rsid w:val="6CFC3CA5"/>
    <w:rsid w:val="6CFC5A53"/>
    <w:rsid w:val="6CFE5C6F"/>
    <w:rsid w:val="6D050DAB"/>
    <w:rsid w:val="6D147240"/>
    <w:rsid w:val="6D196605"/>
    <w:rsid w:val="6D21370B"/>
    <w:rsid w:val="6D3B18E0"/>
    <w:rsid w:val="6D413DAD"/>
    <w:rsid w:val="6D57537F"/>
    <w:rsid w:val="6D5B6C1D"/>
    <w:rsid w:val="6D6D4BA2"/>
    <w:rsid w:val="6D77332B"/>
    <w:rsid w:val="6D870514"/>
    <w:rsid w:val="6D8B5ABC"/>
    <w:rsid w:val="6D940381"/>
    <w:rsid w:val="6D9C3AFC"/>
    <w:rsid w:val="6DA22A9E"/>
    <w:rsid w:val="6DAC1227"/>
    <w:rsid w:val="6DBB76BC"/>
    <w:rsid w:val="6DD15131"/>
    <w:rsid w:val="6DD469CF"/>
    <w:rsid w:val="6DF66946"/>
    <w:rsid w:val="6E14209A"/>
    <w:rsid w:val="6E22773B"/>
    <w:rsid w:val="6E443B55"/>
    <w:rsid w:val="6E4E6782"/>
    <w:rsid w:val="6E5B2C4D"/>
    <w:rsid w:val="6E6164B5"/>
    <w:rsid w:val="6E9F4B86"/>
    <w:rsid w:val="6EA168B2"/>
    <w:rsid w:val="6EB02F99"/>
    <w:rsid w:val="6EB72460"/>
    <w:rsid w:val="6EB74327"/>
    <w:rsid w:val="6EB8556A"/>
    <w:rsid w:val="6EBC36EB"/>
    <w:rsid w:val="6ED547AD"/>
    <w:rsid w:val="6EEE586F"/>
    <w:rsid w:val="6EF72976"/>
    <w:rsid w:val="6F064E06"/>
    <w:rsid w:val="6F094457"/>
    <w:rsid w:val="6F176B74"/>
    <w:rsid w:val="6F35349E"/>
    <w:rsid w:val="6F360C58"/>
    <w:rsid w:val="6F370FC4"/>
    <w:rsid w:val="6F614293"/>
    <w:rsid w:val="6F636421"/>
    <w:rsid w:val="6F6B5112"/>
    <w:rsid w:val="6F6E6EC3"/>
    <w:rsid w:val="6F7264A0"/>
    <w:rsid w:val="6F765F90"/>
    <w:rsid w:val="6F9401C4"/>
    <w:rsid w:val="6FA058D3"/>
    <w:rsid w:val="6FB915A7"/>
    <w:rsid w:val="6FC14D32"/>
    <w:rsid w:val="6FCD1928"/>
    <w:rsid w:val="6FD902CD"/>
    <w:rsid w:val="6FDD39BA"/>
    <w:rsid w:val="6FDE58E3"/>
    <w:rsid w:val="6FE61F3E"/>
    <w:rsid w:val="6FEE1FCA"/>
    <w:rsid w:val="70161521"/>
    <w:rsid w:val="701914D7"/>
    <w:rsid w:val="701C6FC8"/>
    <w:rsid w:val="702F613F"/>
    <w:rsid w:val="703244E4"/>
    <w:rsid w:val="705636CC"/>
    <w:rsid w:val="70720586"/>
    <w:rsid w:val="70875F7B"/>
    <w:rsid w:val="70897150"/>
    <w:rsid w:val="70A4466C"/>
    <w:rsid w:val="70A64653"/>
    <w:rsid w:val="70C8281B"/>
    <w:rsid w:val="71094BE2"/>
    <w:rsid w:val="71656047"/>
    <w:rsid w:val="7165728E"/>
    <w:rsid w:val="718F158B"/>
    <w:rsid w:val="71A242CB"/>
    <w:rsid w:val="71C8684B"/>
    <w:rsid w:val="71CF732E"/>
    <w:rsid w:val="71DC40A5"/>
    <w:rsid w:val="71DD22F7"/>
    <w:rsid w:val="71E116BB"/>
    <w:rsid w:val="71F4319C"/>
    <w:rsid w:val="71FC75D1"/>
    <w:rsid w:val="71FE04BF"/>
    <w:rsid w:val="720D49AF"/>
    <w:rsid w:val="720F7FD6"/>
    <w:rsid w:val="72121874"/>
    <w:rsid w:val="72181F15"/>
    <w:rsid w:val="721F290F"/>
    <w:rsid w:val="722021E3"/>
    <w:rsid w:val="7229553C"/>
    <w:rsid w:val="72323CC5"/>
    <w:rsid w:val="726F7FB0"/>
    <w:rsid w:val="72A46970"/>
    <w:rsid w:val="72AD3E9C"/>
    <w:rsid w:val="72B50B7E"/>
    <w:rsid w:val="72BB0EC2"/>
    <w:rsid w:val="72C62D8B"/>
    <w:rsid w:val="72EE22E1"/>
    <w:rsid w:val="72FD2525"/>
    <w:rsid w:val="732D2E0A"/>
    <w:rsid w:val="732E0930"/>
    <w:rsid w:val="73335F46"/>
    <w:rsid w:val="73373C88"/>
    <w:rsid w:val="735C7C30"/>
    <w:rsid w:val="73661E78"/>
    <w:rsid w:val="73697BBA"/>
    <w:rsid w:val="73711DF2"/>
    <w:rsid w:val="73775E2C"/>
    <w:rsid w:val="73A155A6"/>
    <w:rsid w:val="73A86934"/>
    <w:rsid w:val="73B250BD"/>
    <w:rsid w:val="73B40E35"/>
    <w:rsid w:val="73B61051"/>
    <w:rsid w:val="73B70925"/>
    <w:rsid w:val="73BB6668"/>
    <w:rsid w:val="73C365CB"/>
    <w:rsid w:val="73D414D7"/>
    <w:rsid w:val="73EA4857"/>
    <w:rsid w:val="73F6144E"/>
    <w:rsid w:val="742023C5"/>
    <w:rsid w:val="743D293F"/>
    <w:rsid w:val="743D52CE"/>
    <w:rsid w:val="7443670B"/>
    <w:rsid w:val="74534AF2"/>
    <w:rsid w:val="745B7503"/>
    <w:rsid w:val="748702F8"/>
    <w:rsid w:val="748D1686"/>
    <w:rsid w:val="74933140"/>
    <w:rsid w:val="74AE3AD6"/>
    <w:rsid w:val="74B80A8E"/>
    <w:rsid w:val="74DF00D5"/>
    <w:rsid w:val="751122B7"/>
    <w:rsid w:val="75157FF9"/>
    <w:rsid w:val="751759A6"/>
    <w:rsid w:val="75387844"/>
    <w:rsid w:val="75422471"/>
    <w:rsid w:val="75431C52"/>
    <w:rsid w:val="75644ADD"/>
    <w:rsid w:val="75674604"/>
    <w:rsid w:val="756920F3"/>
    <w:rsid w:val="756B5E6B"/>
    <w:rsid w:val="756C4E37"/>
    <w:rsid w:val="756D0E75"/>
    <w:rsid w:val="75755831"/>
    <w:rsid w:val="75866801"/>
    <w:rsid w:val="758807CB"/>
    <w:rsid w:val="75937E8D"/>
    <w:rsid w:val="75CB06B8"/>
    <w:rsid w:val="75D51537"/>
    <w:rsid w:val="75DF5F11"/>
    <w:rsid w:val="75E35A02"/>
    <w:rsid w:val="75E654F2"/>
    <w:rsid w:val="762027B2"/>
    <w:rsid w:val="762108D3"/>
    <w:rsid w:val="76312C11"/>
    <w:rsid w:val="763224E5"/>
    <w:rsid w:val="76361FD5"/>
    <w:rsid w:val="764364A0"/>
    <w:rsid w:val="76505878"/>
    <w:rsid w:val="765406AD"/>
    <w:rsid w:val="76790114"/>
    <w:rsid w:val="76794AF8"/>
    <w:rsid w:val="76850C08"/>
    <w:rsid w:val="76BB24DB"/>
    <w:rsid w:val="76C84BF7"/>
    <w:rsid w:val="76D67314"/>
    <w:rsid w:val="76DF266D"/>
    <w:rsid w:val="770B3462"/>
    <w:rsid w:val="7711659E"/>
    <w:rsid w:val="771B11CB"/>
    <w:rsid w:val="771C7278"/>
    <w:rsid w:val="7722255A"/>
    <w:rsid w:val="77274014"/>
    <w:rsid w:val="772E2227"/>
    <w:rsid w:val="77302EC9"/>
    <w:rsid w:val="7731279D"/>
    <w:rsid w:val="77440722"/>
    <w:rsid w:val="77533CC6"/>
    <w:rsid w:val="775748F9"/>
    <w:rsid w:val="775D4510"/>
    <w:rsid w:val="7760252B"/>
    <w:rsid w:val="776058DA"/>
    <w:rsid w:val="77626DFA"/>
    <w:rsid w:val="777032C5"/>
    <w:rsid w:val="777803CC"/>
    <w:rsid w:val="777D1E86"/>
    <w:rsid w:val="77905715"/>
    <w:rsid w:val="779276DF"/>
    <w:rsid w:val="77F40160"/>
    <w:rsid w:val="781D568D"/>
    <w:rsid w:val="78342545"/>
    <w:rsid w:val="78362F6D"/>
    <w:rsid w:val="78412EB3"/>
    <w:rsid w:val="78627545"/>
    <w:rsid w:val="78632E2A"/>
    <w:rsid w:val="78654665"/>
    <w:rsid w:val="78654DF4"/>
    <w:rsid w:val="787B0173"/>
    <w:rsid w:val="789C661D"/>
    <w:rsid w:val="78B90C9C"/>
    <w:rsid w:val="78BB0EB8"/>
    <w:rsid w:val="78E0447A"/>
    <w:rsid w:val="78EF46BD"/>
    <w:rsid w:val="78F63C9E"/>
    <w:rsid w:val="790740FD"/>
    <w:rsid w:val="791660EE"/>
    <w:rsid w:val="791D122B"/>
    <w:rsid w:val="791F31F5"/>
    <w:rsid w:val="793F5645"/>
    <w:rsid w:val="794E7636"/>
    <w:rsid w:val="797F1EE5"/>
    <w:rsid w:val="79892D64"/>
    <w:rsid w:val="798B2638"/>
    <w:rsid w:val="798E037A"/>
    <w:rsid w:val="79960FDD"/>
    <w:rsid w:val="79997202"/>
    <w:rsid w:val="799E680F"/>
    <w:rsid w:val="79B0209F"/>
    <w:rsid w:val="79C45B4A"/>
    <w:rsid w:val="79E7658E"/>
    <w:rsid w:val="7A1B3962"/>
    <w:rsid w:val="7A2111EE"/>
    <w:rsid w:val="7A2A00A3"/>
    <w:rsid w:val="7A2A3180"/>
    <w:rsid w:val="7A2F56B9"/>
    <w:rsid w:val="7A623463"/>
    <w:rsid w:val="7A6D48C0"/>
    <w:rsid w:val="7A6D7F90"/>
    <w:rsid w:val="7A765096"/>
    <w:rsid w:val="7A861051"/>
    <w:rsid w:val="7A974046"/>
    <w:rsid w:val="7A9A4854"/>
    <w:rsid w:val="7AB931D5"/>
    <w:rsid w:val="7ABA14EE"/>
    <w:rsid w:val="7AC53928"/>
    <w:rsid w:val="7AC878BC"/>
    <w:rsid w:val="7ACA7190"/>
    <w:rsid w:val="7AE804D8"/>
    <w:rsid w:val="7B007056"/>
    <w:rsid w:val="7B02692A"/>
    <w:rsid w:val="7B0F72C3"/>
    <w:rsid w:val="7B114DBF"/>
    <w:rsid w:val="7B220A09"/>
    <w:rsid w:val="7B2368A0"/>
    <w:rsid w:val="7B4E7DC1"/>
    <w:rsid w:val="7B5B428C"/>
    <w:rsid w:val="7B887EC5"/>
    <w:rsid w:val="7B914152"/>
    <w:rsid w:val="7B930C24"/>
    <w:rsid w:val="7BB17EFC"/>
    <w:rsid w:val="7BB5399C"/>
    <w:rsid w:val="7BC60184"/>
    <w:rsid w:val="7BD5403F"/>
    <w:rsid w:val="7BDD2EF3"/>
    <w:rsid w:val="7BE73A8B"/>
    <w:rsid w:val="7BF471EA"/>
    <w:rsid w:val="7C011556"/>
    <w:rsid w:val="7C18217D"/>
    <w:rsid w:val="7C346F6A"/>
    <w:rsid w:val="7C3C40BE"/>
    <w:rsid w:val="7C4C3220"/>
    <w:rsid w:val="7C4F37CE"/>
    <w:rsid w:val="7C507B69"/>
    <w:rsid w:val="7C596A1E"/>
    <w:rsid w:val="7C5E2286"/>
    <w:rsid w:val="7C701FB9"/>
    <w:rsid w:val="7C817D22"/>
    <w:rsid w:val="7C857813"/>
    <w:rsid w:val="7C99506C"/>
    <w:rsid w:val="7CD24A22"/>
    <w:rsid w:val="7CEA1D6C"/>
    <w:rsid w:val="7CF61768"/>
    <w:rsid w:val="7CF84488"/>
    <w:rsid w:val="7D0C7F34"/>
    <w:rsid w:val="7D0E5A5A"/>
    <w:rsid w:val="7D2C5EE0"/>
    <w:rsid w:val="7D360B0D"/>
    <w:rsid w:val="7D3A5278"/>
    <w:rsid w:val="7D406A1E"/>
    <w:rsid w:val="7D5A0C9F"/>
    <w:rsid w:val="7D637428"/>
    <w:rsid w:val="7D6F2271"/>
    <w:rsid w:val="7D741635"/>
    <w:rsid w:val="7D823D52"/>
    <w:rsid w:val="7D851A94"/>
    <w:rsid w:val="7D965A4F"/>
    <w:rsid w:val="7DA95783"/>
    <w:rsid w:val="7DB3326F"/>
    <w:rsid w:val="7DCB56F9"/>
    <w:rsid w:val="7DF34C50"/>
    <w:rsid w:val="7E0A2318"/>
    <w:rsid w:val="7E0D00F2"/>
    <w:rsid w:val="7E1846B6"/>
    <w:rsid w:val="7E1A21DD"/>
    <w:rsid w:val="7E3037AE"/>
    <w:rsid w:val="7E3A287F"/>
    <w:rsid w:val="7E486D4A"/>
    <w:rsid w:val="7E5F22E5"/>
    <w:rsid w:val="7E6B4A0B"/>
    <w:rsid w:val="7E714CEC"/>
    <w:rsid w:val="7E786F03"/>
    <w:rsid w:val="7E7C7B82"/>
    <w:rsid w:val="7E8B4E88"/>
    <w:rsid w:val="7E960CC1"/>
    <w:rsid w:val="7EA36676"/>
    <w:rsid w:val="7EB702F4"/>
    <w:rsid w:val="7ECD724F"/>
    <w:rsid w:val="7ED405DD"/>
    <w:rsid w:val="7ED625A7"/>
    <w:rsid w:val="7EED715E"/>
    <w:rsid w:val="7EFD7F37"/>
    <w:rsid w:val="7F0A2251"/>
    <w:rsid w:val="7F0D3AEF"/>
    <w:rsid w:val="7F17671C"/>
    <w:rsid w:val="7F2271E4"/>
    <w:rsid w:val="7F2D7CEE"/>
    <w:rsid w:val="7F313C82"/>
    <w:rsid w:val="7F4A61E1"/>
    <w:rsid w:val="7F544D8E"/>
    <w:rsid w:val="7F596D35"/>
    <w:rsid w:val="7F5C68C8"/>
    <w:rsid w:val="7F645E05"/>
    <w:rsid w:val="7F743B6E"/>
    <w:rsid w:val="7F8C710A"/>
    <w:rsid w:val="7F962F62"/>
    <w:rsid w:val="7F967F89"/>
    <w:rsid w:val="7F9935D5"/>
    <w:rsid w:val="7FA51F7A"/>
    <w:rsid w:val="7FB328E9"/>
    <w:rsid w:val="7FC468A4"/>
    <w:rsid w:val="7FD30895"/>
    <w:rsid w:val="7FDD1714"/>
    <w:rsid w:val="7FDD5BB8"/>
    <w:rsid w:val="7FFA2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pPr>
    <w:rPr>
      <w:rFonts w:ascii="宋体" w:hAnsi="宋体" w:eastAsia="宋体" w:cstheme="minorBidi"/>
      <w:kern w:val="2"/>
      <w:sz w:val="24"/>
      <w:szCs w:val="22"/>
      <w:lang w:val="en-US" w:eastAsia="zh-CN" w:bidi="ar-SA"/>
    </w:rPr>
  </w:style>
  <w:style w:type="paragraph" w:styleId="2">
    <w:name w:val="heading 1"/>
    <w:basedOn w:val="1"/>
    <w:next w:val="1"/>
    <w:link w:val="40"/>
    <w:qFormat/>
    <w:uiPriority w:val="9"/>
    <w:pPr>
      <w:keepNext/>
      <w:keepLines/>
      <w:spacing w:before="340" w:after="330" w:line="578" w:lineRule="auto"/>
      <w:jc w:val="center"/>
      <w:outlineLvl w:val="0"/>
    </w:pPr>
    <w:rPr>
      <w:rFonts w:eastAsia="黑体"/>
      <w:b/>
      <w:bCs/>
      <w:kern w:val="44"/>
      <w:sz w:val="44"/>
      <w:szCs w:val="44"/>
    </w:rPr>
  </w:style>
  <w:style w:type="paragraph" w:styleId="3">
    <w:name w:val="heading 2"/>
    <w:basedOn w:val="1"/>
    <w:next w:val="1"/>
    <w:link w:val="44"/>
    <w:unhideWhenUsed/>
    <w:qFormat/>
    <w:uiPriority w:val="9"/>
    <w:pPr>
      <w:keepNext/>
      <w:keepLines/>
      <w:spacing w:before="260" w:after="260" w:line="416" w:lineRule="auto"/>
      <w:outlineLvl w:val="1"/>
    </w:pPr>
    <w:rPr>
      <w:rFonts w:asciiTheme="majorHAnsi" w:hAnsiTheme="majorHAnsi" w:cstheme="majorBidi"/>
      <w:b/>
      <w:bCs/>
      <w:sz w:val="32"/>
      <w:szCs w:val="32"/>
    </w:rPr>
  </w:style>
  <w:style w:type="paragraph" w:styleId="4">
    <w:name w:val="heading 3"/>
    <w:basedOn w:val="1"/>
    <w:next w:val="1"/>
    <w:link w:val="47"/>
    <w:unhideWhenUsed/>
    <w:qFormat/>
    <w:uiPriority w:val="9"/>
    <w:pPr>
      <w:keepNext/>
      <w:keepLines/>
      <w:spacing w:before="260" w:after="260" w:line="416" w:lineRule="auto"/>
      <w:outlineLvl w:val="2"/>
    </w:pPr>
    <w:rPr>
      <w:b/>
      <w:bCs/>
      <w:sz w:val="30"/>
      <w:szCs w:val="32"/>
    </w:rPr>
  </w:style>
  <w:style w:type="paragraph" w:styleId="5">
    <w:name w:val="heading 4"/>
    <w:basedOn w:val="1"/>
    <w:next w:val="1"/>
    <w:link w:val="48"/>
    <w:unhideWhenUsed/>
    <w:qFormat/>
    <w:uiPriority w:val="9"/>
    <w:pPr>
      <w:keepNext/>
      <w:keepLines/>
      <w:spacing w:before="280" w:after="290" w:line="376" w:lineRule="auto"/>
      <w:outlineLvl w:val="3"/>
    </w:pPr>
    <w:rPr>
      <w:rFonts w:asciiTheme="majorHAnsi" w:hAnsiTheme="majorHAnsi" w:cstheme="majorBidi"/>
      <w:b/>
      <w:bCs/>
      <w:sz w:val="28"/>
      <w:szCs w:val="28"/>
    </w:rPr>
  </w:style>
  <w:style w:type="paragraph" w:styleId="6">
    <w:name w:val="heading 5"/>
    <w:basedOn w:val="7"/>
    <w:next w:val="8"/>
    <w:qFormat/>
    <w:uiPriority w:val="1"/>
    <w:pPr>
      <w:tabs>
        <w:tab w:val="left" w:pos="780"/>
      </w:tabs>
      <w:ind w:left="638" w:firstLine="561"/>
      <w:outlineLvl w:val="4"/>
    </w:pPr>
    <w:rPr>
      <w:rFonts w:ascii="仿宋" w:hAnsi="仿宋" w:eastAsia="仿宋" w:cs="仿宋"/>
      <w:b/>
      <w:bCs/>
      <w:kern w:val="0"/>
      <w:sz w:val="28"/>
      <w:szCs w:val="28"/>
      <w:lang w:val="zh-CN" w:bidi="zh-CN"/>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List Number 2"/>
    <w:basedOn w:val="1"/>
    <w:semiHidden/>
    <w:unhideWhenUsed/>
    <w:qFormat/>
    <w:uiPriority w:val="99"/>
    <w:pPr>
      <w:numPr>
        <w:ilvl w:val="0"/>
        <w:numId w:val="1"/>
      </w:numPr>
    </w:pPr>
  </w:style>
  <w:style w:type="paragraph" w:styleId="8">
    <w:name w:val="Normal (Web)"/>
    <w:basedOn w:val="1"/>
    <w:qFormat/>
    <w:uiPriority w:val="99"/>
    <w:pPr>
      <w:widowControl/>
      <w:spacing w:before="100" w:beforeAutospacing="1" w:after="100" w:afterAutospacing="1"/>
    </w:pPr>
    <w:rPr>
      <w:rFonts w:cs="宋体"/>
      <w:color w:val="000000"/>
      <w:kern w:val="0"/>
      <w:szCs w:val="24"/>
    </w:rPr>
  </w:style>
  <w:style w:type="paragraph" w:styleId="9">
    <w:name w:val="toc 7"/>
    <w:basedOn w:val="1"/>
    <w:next w:val="1"/>
    <w:unhideWhenUsed/>
    <w:qFormat/>
    <w:uiPriority w:val="39"/>
    <w:pPr>
      <w:ind w:left="1440"/>
    </w:pPr>
    <w:rPr>
      <w:rFonts w:asciiTheme="minorHAnsi" w:eastAsiaTheme="minorHAnsi"/>
      <w:sz w:val="18"/>
      <w:szCs w:val="18"/>
    </w:rPr>
  </w:style>
  <w:style w:type="paragraph" w:styleId="10">
    <w:name w:val="Normal Indent"/>
    <w:basedOn w:val="1"/>
    <w:next w:val="1"/>
    <w:unhideWhenUsed/>
    <w:qFormat/>
    <w:uiPriority w:val="0"/>
    <w:pPr>
      <w:ind w:firstLine="420" w:firstLineChars="200"/>
    </w:pPr>
    <w:rPr>
      <w:rFonts w:ascii="Calibri" w:hAnsi="Calibri"/>
      <w:szCs w:val="22"/>
    </w:rPr>
  </w:style>
  <w:style w:type="paragraph" w:styleId="11">
    <w:name w:val="List Bullet"/>
    <w:basedOn w:val="1"/>
    <w:unhideWhenUsed/>
    <w:qFormat/>
    <w:uiPriority w:val="99"/>
    <w:pPr>
      <w:tabs>
        <w:tab w:val="left" w:pos="360"/>
        <w:tab w:val="left" w:pos="1134"/>
      </w:tabs>
      <w:spacing w:line="240" w:lineRule="auto"/>
      <w:ind w:left="1134" w:hanging="1134"/>
      <w:contextualSpacing/>
      <w:jc w:val="both"/>
    </w:pPr>
    <w:rPr>
      <w:rFonts w:ascii="Times New Roman" w:hAnsi="Times New Roman" w:cs="Times New Roman"/>
      <w:kern w:val="0"/>
      <w:sz w:val="20"/>
      <w:szCs w:val="20"/>
    </w:rPr>
  </w:style>
  <w:style w:type="paragraph" w:styleId="12">
    <w:name w:val="toa heading"/>
    <w:basedOn w:val="1"/>
    <w:next w:val="1"/>
    <w:qFormat/>
    <w:uiPriority w:val="99"/>
    <w:pPr>
      <w:spacing w:before="120"/>
    </w:pPr>
    <w:rPr>
      <w:rFonts w:ascii="Arial" w:hAnsi="Arial" w:eastAsia="仿宋"/>
      <w:sz w:val="24"/>
      <w:szCs w:val="20"/>
    </w:rPr>
  </w:style>
  <w:style w:type="paragraph" w:styleId="13">
    <w:name w:val="annotation text"/>
    <w:basedOn w:val="1"/>
    <w:link w:val="45"/>
    <w:qFormat/>
    <w:uiPriority w:val="0"/>
    <w:pPr>
      <w:spacing w:line="240" w:lineRule="auto"/>
    </w:pPr>
    <w:rPr>
      <w:rFonts w:eastAsiaTheme="minorEastAsia"/>
      <w:sz w:val="21"/>
      <w:szCs w:val="24"/>
    </w:rPr>
  </w:style>
  <w:style w:type="paragraph" w:styleId="14">
    <w:name w:val="Body Text"/>
    <w:basedOn w:val="1"/>
    <w:link w:val="49"/>
    <w:qFormat/>
    <w:uiPriority w:val="99"/>
    <w:pPr>
      <w:spacing w:after="120" w:line="240" w:lineRule="auto"/>
      <w:jc w:val="both"/>
    </w:pPr>
    <w:rPr>
      <w:rFonts w:eastAsiaTheme="minorEastAsia"/>
      <w:sz w:val="21"/>
      <w:szCs w:val="24"/>
    </w:rPr>
  </w:style>
  <w:style w:type="paragraph" w:styleId="15">
    <w:name w:val="Body Text Indent"/>
    <w:basedOn w:val="1"/>
    <w:unhideWhenUsed/>
    <w:qFormat/>
    <w:uiPriority w:val="0"/>
    <w:pPr>
      <w:ind w:firstLine="630"/>
    </w:pPr>
    <w:rPr>
      <w:rFonts w:eastAsia="仿宋_GB2312"/>
      <w:kern w:val="0"/>
      <w:sz w:val="32"/>
      <w:szCs w:val="20"/>
    </w:rPr>
  </w:style>
  <w:style w:type="paragraph" w:styleId="16">
    <w:name w:val="toc 5"/>
    <w:basedOn w:val="1"/>
    <w:next w:val="1"/>
    <w:unhideWhenUsed/>
    <w:qFormat/>
    <w:uiPriority w:val="39"/>
    <w:pPr>
      <w:ind w:left="960"/>
    </w:pPr>
    <w:rPr>
      <w:rFonts w:asciiTheme="minorHAnsi" w:eastAsiaTheme="minorHAnsi"/>
      <w:sz w:val="18"/>
      <w:szCs w:val="18"/>
    </w:rPr>
  </w:style>
  <w:style w:type="paragraph" w:styleId="17">
    <w:name w:val="toc 3"/>
    <w:basedOn w:val="1"/>
    <w:next w:val="1"/>
    <w:unhideWhenUsed/>
    <w:qFormat/>
    <w:uiPriority w:val="39"/>
    <w:pPr>
      <w:ind w:left="480"/>
    </w:pPr>
    <w:rPr>
      <w:rFonts w:asciiTheme="minorHAnsi" w:eastAsiaTheme="minorHAnsi"/>
      <w:i/>
      <w:iCs/>
      <w:sz w:val="20"/>
      <w:szCs w:val="20"/>
    </w:rPr>
  </w:style>
  <w:style w:type="paragraph" w:styleId="18">
    <w:name w:val="Plain Text"/>
    <w:basedOn w:val="1"/>
    <w:unhideWhenUsed/>
    <w:qFormat/>
    <w:uiPriority w:val="0"/>
    <w:rPr>
      <w:rFonts w:ascii="宋体" w:hAnsi="Courier New"/>
      <w:kern w:val="0"/>
      <w:sz w:val="20"/>
      <w:szCs w:val="20"/>
    </w:rPr>
  </w:style>
  <w:style w:type="paragraph" w:styleId="19">
    <w:name w:val="toc 8"/>
    <w:basedOn w:val="1"/>
    <w:next w:val="1"/>
    <w:unhideWhenUsed/>
    <w:qFormat/>
    <w:uiPriority w:val="39"/>
    <w:pPr>
      <w:ind w:left="1680"/>
    </w:pPr>
    <w:rPr>
      <w:rFonts w:asciiTheme="minorHAnsi" w:eastAsiaTheme="minorHAnsi"/>
      <w:sz w:val="18"/>
      <w:szCs w:val="18"/>
    </w:rPr>
  </w:style>
  <w:style w:type="paragraph" w:styleId="20">
    <w:name w:val="footer"/>
    <w:basedOn w:val="1"/>
    <w:link w:val="43"/>
    <w:unhideWhenUsed/>
    <w:qFormat/>
    <w:uiPriority w:val="99"/>
    <w:pPr>
      <w:tabs>
        <w:tab w:val="center" w:pos="4153"/>
        <w:tab w:val="right" w:pos="8306"/>
      </w:tabs>
      <w:snapToGrid w:val="0"/>
      <w:spacing w:line="240" w:lineRule="auto"/>
    </w:pPr>
    <w:rPr>
      <w:sz w:val="18"/>
      <w:szCs w:val="18"/>
    </w:rPr>
  </w:style>
  <w:style w:type="paragraph" w:styleId="21">
    <w:name w:val="header"/>
    <w:basedOn w:val="1"/>
    <w:link w:val="42"/>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2">
    <w:name w:val="toc 1"/>
    <w:basedOn w:val="1"/>
    <w:next w:val="1"/>
    <w:unhideWhenUsed/>
    <w:qFormat/>
    <w:uiPriority w:val="39"/>
    <w:pPr>
      <w:spacing w:before="120" w:after="120"/>
    </w:pPr>
    <w:rPr>
      <w:rFonts w:asciiTheme="minorHAnsi" w:eastAsiaTheme="minorHAnsi"/>
      <w:b/>
      <w:bCs/>
      <w:caps/>
      <w:sz w:val="20"/>
      <w:szCs w:val="20"/>
    </w:rPr>
  </w:style>
  <w:style w:type="paragraph" w:styleId="23">
    <w:name w:val="toc 4"/>
    <w:basedOn w:val="1"/>
    <w:next w:val="1"/>
    <w:unhideWhenUsed/>
    <w:qFormat/>
    <w:uiPriority w:val="39"/>
    <w:pPr>
      <w:ind w:left="720"/>
    </w:pPr>
    <w:rPr>
      <w:rFonts w:asciiTheme="minorHAnsi" w:eastAsiaTheme="minorHAnsi"/>
      <w:sz w:val="18"/>
      <w:szCs w:val="18"/>
    </w:rPr>
  </w:style>
  <w:style w:type="paragraph" w:styleId="24">
    <w:name w:val="footnote text"/>
    <w:basedOn w:val="1"/>
    <w:qFormat/>
    <w:uiPriority w:val="0"/>
    <w:pPr>
      <w:widowControl/>
      <w:jc w:val="left"/>
    </w:pPr>
    <w:rPr>
      <w:kern w:val="0"/>
      <w:sz w:val="20"/>
      <w:szCs w:val="20"/>
      <w:lang w:val="de-DE"/>
    </w:rPr>
  </w:style>
  <w:style w:type="paragraph" w:styleId="25">
    <w:name w:val="toc 6"/>
    <w:basedOn w:val="1"/>
    <w:next w:val="1"/>
    <w:unhideWhenUsed/>
    <w:qFormat/>
    <w:uiPriority w:val="39"/>
    <w:pPr>
      <w:ind w:left="1200"/>
    </w:pPr>
    <w:rPr>
      <w:rFonts w:asciiTheme="minorHAnsi" w:eastAsiaTheme="minorHAnsi"/>
      <w:sz w:val="18"/>
      <w:szCs w:val="18"/>
    </w:rPr>
  </w:style>
  <w:style w:type="paragraph" w:styleId="26">
    <w:name w:val="toc 2"/>
    <w:basedOn w:val="1"/>
    <w:next w:val="1"/>
    <w:unhideWhenUsed/>
    <w:qFormat/>
    <w:uiPriority w:val="39"/>
    <w:pPr>
      <w:ind w:left="240"/>
    </w:pPr>
    <w:rPr>
      <w:rFonts w:asciiTheme="minorHAnsi" w:eastAsiaTheme="minorHAnsi"/>
      <w:smallCaps/>
      <w:sz w:val="20"/>
      <w:szCs w:val="20"/>
    </w:rPr>
  </w:style>
  <w:style w:type="paragraph" w:styleId="27">
    <w:name w:val="toc 9"/>
    <w:basedOn w:val="1"/>
    <w:next w:val="1"/>
    <w:unhideWhenUsed/>
    <w:qFormat/>
    <w:uiPriority w:val="39"/>
    <w:pPr>
      <w:ind w:left="1920"/>
    </w:pPr>
    <w:rPr>
      <w:rFonts w:asciiTheme="minorHAnsi" w:eastAsiaTheme="minorHAnsi"/>
      <w:sz w:val="18"/>
      <w:szCs w:val="18"/>
    </w:rPr>
  </w:style>
  <w:style w:type="paragraph" w:styleId="28">
    <w:name w:val="annotation subject"/>
    <w:basedOn w:val="13"/>
    <w:next w:val="13"/>
    <w:link w:val="53"/>
    <w:semiHidden/>
    <w:unhideWhenUsed/>
    <w:qFormat/>
    <w:uiPriority w:val="99"/>
    <w:pPr>
      <w:spacing w:line="360" w:lineRule="auto"/>
    </w:pPr>
    <w:rPr>
      <w:rFonts w:eastAsia="宋体"/>
      <w:b/>
      <w:bCs/>
      <w:sz w:val="24"/>
      <w:szCs w:val="22"/>
    </w:rPr>
  </w:style>
  <w:style w:type="paragraph" w:styleId="29">
    <w:name w:val="Body Text First Indent 2"/>
    <w:basedOn w:val="15"/>
    <w:next w:val="1"/>
    <w:qFormat/>
    <w:uiPriority w:val="0"/>
    <w:pPr>
      <w:snapToGrid/>
      <w:spacing w:after="120" w:line="240" w:lineRule="auto"/>
      <w:ind w:left="420" w:leftChars="200" w:right="0" w:firstLine="420" w:firstLineChars="200"/>
    </w:pPr>
    <w:rPr>
      <w:rFonts w:ascii="Times New Roman" w:eastAsia="宋体"/>
      <w:spacing w:val="0"/>
      <w:sz w:val="21"/>
      <w:szCs w:val="24"/>
    </w:rPr>
  </w:style>
  <w:style w:type="table" w:styleId="31">
    <w:name w:val="Table Grid"/>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0"/>
    <w:rPr>
      <w:b/>
      <w:bCs/>
    </w:rPr>
  </w:style>
  <w:style w:type="character" w:styleId="34">
    <w:name w:val="Hyperlink"/>
    <w:basedOn w:val="32"/>
    <w:unhideWhenUsed/>
    <w:qFormat/>
    <w:uiPriority w:val="99"/>
    <w:rPr>
      <w:color w:val="0563C1" w:themeColor="hyperlink"/>
      <w:u w:val="single"/>
      <w14:textFill>
        <w14:solidFill>
          <w14:schemeClr w14:val="hlink"/>
        </w14:solidFill>
      </w14:textFill>
    </w:rPr>
  </w:style>
  <w:style w:type="character" w:styleId="35">
    <w:name w:val="annotation reference"/>
    <w:basedOn w:val="32"/>
    <w:qFormat/>
    <w:uiPriority w:val="0"/>
    <w:rPr>
      <w:sz w:val="21"/>
      <w:szCs w:val="21"/>
    </w:rPr>
  </w:style>
  <w:style w:type="paragraph" w:customStyle="1" w:styleId="36">
    <w:name w:val="表格文字2"/>
    <w:basedOn w:val="37"/>
    <w:qFormat/>
    <w:uiPriority w:val="99"/>
    <w:pPr>
      <w:jc w:val="left"/>
    </w:pPr>
    <w:rPr>
      <w:bCs/>
      <w:spacing w:val="10"/>
      <w:kern w:val="0"/>
    </w:rPr>
  </w:style>
  <w:style w:type="paragraph" w:customStyle="1" w:styleId="37">
    <w:name w:val="正文1"/>
    <w:qFormat/>
    <w:uiPriority w:val="0"/>
    <w:pPr>
      <w:widowControl w:val="0"/>
      <w:jc w:val="both"/>
    </w:pPr>
    <w:rPr>
      <w:rFonts w:ascii="Calibri" w:hAnsi="Calibri" w:eastAsia="宋体" w:cs="Times New Roman"/>
      <w:lang w:val="en-US" w:eastAsia="zh-CN" w:bidi="ar-SA"/>
    </w:rPr>
  </w:style>
  <w:style w:type="paragraph" w:customStyle="1" w:styleId="38">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9">
    <w:name w:val="正文缩进2"/>
    <w:basedOn w:val="1"/>
    <w:qFormat/>
    <w:uiPriority w:val="0"/>
    <w:pPr>
      <w:wordWrap w:val="0"/>
      <w:ind w:firstLine="480"/>
    </w:pPr>
    <w:rPr>
      <w:iCs/>
      <w:shd w:val="clear" w:color="auto" w:fill="FFFFFF" w:themeFill="background1"/>
      <w:lang w:val="zh-CN"/>
    </w:rPr>
  </w:style>
  <w:style w:type="character" w:customStyle="1" w:styleId="40">
    <w:name w:val="标题 1 字符"/>
    <w:basedOn w:val="32"/>
    <w:link w:val="2"/>
    <w:qFormat/>
    <w:uiPriority w:val="9"/>
    <w:rPr>
      <w:rFonts w:eastAsia="黑体"/>
      <w:b/>
      <w:bCs/>
      <w:kern w:val="44"/>
      <w:sz w:val="44"/>
      <w:szCs w:val="44"/>
    </w:rPr>
  </w:style>
  <w:style w:type="paragraph" w:styleId="41">
    <w:name w:val="List Paragraph"/>
    <w:basedOn w:val="1"/>
    <w:qFormat/>
    <w:uiPriority w:val="34"/>
    <w:pPr>
      <w:numPr>
        <w:ilvl w:val="0"/>
        <w:numId w:val="2"/>
      </w:numPr>
    </w:pPr>
  </w:style>
  <w:style w:type="character" w:customStyle="1" w:styleId="42">
    <w:name w:val="页眉 字符"/>
    <w:basedOn w:val="32"/>
    <w:link w:val="21"/>
    <w:qFormat/>
    <w:uiPriority w:val="99"/>
    <w:rPr>
      <w:rFonts w:eastAsia="宋体"/>
      <w:sz w:val="18"/>
      <w:szCs w:val="18"/>
    </w:rPr>
  </w:style>
  <w:style w:type="character" w:customStyle="1" w:styleId="43">
    <w:name w:val="页脚 字符"/>
    <w:basedOn w:val="32"/>
    <w:link w:val="20"/>
    <w:qFormat/>
    <w:uiPriority w:val="99"/>
    <w:rPr>
      <w:rFonts w:eastAsia="宋体"/>
      <w:sz w:val="18"/>
      <w:szCs w:val="18"/>
    </w:rPr>
  </w:style>
  <w:style w:type="character" w:customStyle="1" w:styleId="44">
    <w:name w:val="标题 2 字符"/>
    <w:basedOn w:val="32"/>
    <w:link w:val="3"/>
    <w:qFormat/>
    <w:uiPriority w:val="0"/>
    <w:rPr>
      <w:rFonts w:eastAsia="宋体" w:asciiTheme="majorHAnsi" w:hAnsiTheme="majorHAnsi" w:cstheme="majorBidi"/>
      <w:b/>
      <w:bCs/>
      <w:sz w:val="32"/>
      <w:szCs w:val="32"/>
    </w:rPr>
  </w:style>
  <w:style w:type="character" w:customStyle="1" w:styleId="45">
    <w:name w:val="批注文字 字符"/>
    <w:basedOn w:val="32"/>
    <w:link w:val="13"/>
    <w:qFormat/>
    <w:uiPriority w:val="0"/>
    <w:rPr>
      <w:szCs w:val="24"/>
    </w:rPr>
  </w:style>
  <w:style w:type="paragraph" w:customStyle="1" w:styleId="46">
    <w:name w:val="Char1 Char Char Char"/>
    <w:basedOn w:val="1"/>
    <w:qFormat/>
    <w:uiPriority w:val="0"/>
    <w:pPr>
      <w:adjustRightInd w:val="0"/>
      <w:jc w:val="both"/>
    </w:pPr>
    <w:rPr>
      <w:rFonts w:ascii="Times New Roman" w:hAnsi="Times New Roman" w:cs="Times New Roman"/>
      <w:kern w:val="0"/>
      <w:szCs w:val="20"/>
    </w:rPr>
  </w:style>
  <w:style w:type="character" w:customStyle="1" w:styleId="47">
    <w:name w:val="标题 3 字符"/>
    <w:basedOn w:val="32"/>
    <w:link w:val="4"/>
    <w:qFormat/>
    <w:uiPriority w:val="9"/>
    <w:rPr>
      <w:rFonts w:eastAsia="宋体"/>
      <w:b/>
      <w:bCs/>
      <w:sz w:val="30"/>
      <w:szCs w:val="32"/>
    </w:rPr>
  </w:style>
  <w:style w:type="character" w:customStyle="1" w:styleId="48">
    <w:name w:val="标题 4 字符"/>
    <w:basedOn w:val="32"/>
    <w:link w:val="5"/>
    <w:qFormat/>
    <w:uiPriority w:val="9"/>
    <w:rPr>
      <w:rFonts w:eastAsia="宋体" w:asciiTheme="majorHAnsi" w:hAnsiTheme="majorHAnsi" w:cstheme="majorBidi"/>
      <w:b/>
      <w:bCs/>
      <w:sz w:val="28"/>
      <w:szCs w:val="28"/>
    </w:rPr>
  </w:style>
  <w:style w:type="character" w:customStyle="1" w:styleId="49">
    <w:name w:val="正文文本 字符"/>
    <w:basedOn w:val="32"/>
    <w:link w:val="14"/>
    <w:qFormat/>
    <w:uiPriority w:val="99"/>
    <w:rPr>
      <w:szCs w:val="24"/>
    </w:rPr>
  </w:style>
  <w:style w:type="paragraph" w:customStyle="1" w:styleId="50">
    <w:name w:val="样式"/>
    <w:basedOn w:val="1"/>
    <w:qFormat/>
    <w:uiPriority w:val="0"/>
    <w:pPr>
      <w:autoSpaceDE w:val="0"/>
      <w:autoSpaceDN w:val="0"/>
      <w:snapToGrid w:val="0"/>
      <w:spacing w:before="120" w:after="120"/>
      <w:jc w:val="both"/>
    </w:pPr>
    <w:rPr>
      <w:rFonts w:hAnsi="Times New Roman" w:cs="Times New Roman"/>
      <w:kern w:val="0"/>
      <w:szCs w:val="20"/>
    </w:rPr>
  </w:style>
  <w:style w:type="paragraph" w:styleId="51">
    <w:name w:val="No Spacing"/>
    <w:qFormat/>
    <w:uiPriority w:val="1"/>
    <w:pPr>
      <w:widowControl w:val="0"/>
    </w:pPr>
    <w:rPr>
      <w:rFonts w:ascii="宋体" w:hAnsi="宋体" w:eastAsia="宋体" w:cstheme="minorBidi"/>
      <w:kern w:val="2"/>
      <w:sz w:val="24"/>
      <w:szCs w:val="22"/>
      <w:lang w:val="en-US" w:eastAsia="zh-CN" w:bidi="ar-SA"/>
    </w:rPr>
  </w:style>
  <w:style w:type="character" w:customStyle="1" w:styleId="52">
    <w:name w:val="未处理的提及1"/>
    <w:basedOn w:val="32"/>
    <w:semiHidden/>
    <w:unhideWhenUsed/>
    <w:qFormat/>
    <w:uiPriority w:val="99"/>
    <w:rPr>
      <w:color w:val="605E5C"/>
      <w:shd w:val="clear" w:color="auto" w:fill="E1DFDD"/>
    </w:rPr>
  </w:style>
  <w:style w:type="character" w:customStyle="1" w:styleId="53">
    <w:name w:val="批注主题 字符"/>
    <w:basedOn w:val="45"/>
    <w:link w:val="28"/>
    <w:semiHidden/>
    <w:qFormat/>
    <w:uiPriority w:val="99"/>
    <w:rPr>
      <w:rFonts w:ascii="宋体" w:hAnsi="宋体" w:cstheme="minorBidi"/>
      <w:b/>
      <w:bCs/>
      <w:kern w:val="2"/>
      <w:sz w:val="24"/>
      <w:szCs w:val="22"/>
    </w:rPr>
  </w:style>
  <w:style w:type="character" w:customStyle="1" w:styleId="54">
    <w:name w:val="未处理的提及2"/>
    <w:basedOn w:val="32"/>
    <w:semiHidden/>
    <w:unhideWhenUsed/>
    <w:qFormat/>
    <w:uiPriority w:val="99"/>
    <w:rPr>
      <w:color w:val="605E5C"/>
      <w:shd w:val="clear" w:color="auto" w:fill="E1DFDD"/>
    </w:rPr>
  </w:style>
  <w:style w:type="paragraph" w:customStyle="1" w:styleId="55">
    <w:name w:val="正文_2"/>
    <w:qFormat/>
    <w:uiPriority w:val="0"/>
    <w:pPr>
      <w:widowControl w:val="0"/>
      <w:jc w:val="both"/>
    </w:pPr>
    <w:rPr>
      <w:rFonts w:ascii="Calibri" w:hAnsi="Calibri" w:eastAsia="宋体" w:cs="Times New Roman"/>
      <w:lang w:val="en-US" w:eastAsia="zh-CN" w:bidi="ar-SA"/>
    </w:rPr>
  </w:style>
  <w:style w:type="paragraph" w:customStyle="1" w:styleId="56">
    <w:name w:val="Normal"/>
    <w:qFormat/>
    <w:uiPriority w:val="0"/>
    <w:pPr>
      <w:widowControl w:val="0"/>
      <w:jc w:val="both"/>
    </w:pPr>
    <w:rPr>
      <w:rFonts w:ascii="Times New Roman" w:hAnsi="Times New Roman" w:eastAsia="Times New Roman" w:cs="Times New Roman"/>
      <w:lang w:val="en-US" w:eastAsia="zh-CN" w:bidi="ar-SA"/>
    </w:rPr>
  </w:style>
  <w:style w:type="paragraph" w:customStyle="1" w:styleId="57">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8">
    <w:name w:val="正文_2_0_0"/>
    <w:qFormat/>
    <w:uiPriority w:val="99"/>
    <w:pPr>
      <w:widowControl w:val="0"/>
      <w:jc w:val="both"/>
    </w:pPr>
    <w:rPr>
      <w:rFonts w:ascii="Calibri" w:hAnsi="Calibri" w:eastAsia="宋体" w:cs="Times New Roman"/>
      <w:lang w:val="en-US" w:eastAsia="zh-CN" w:bidi="ar-SA"/>
    </w:rPr>
  </w:style>
  <w:style w:type="paragraph" w:customStyle="1" w:styleId="59">
    <w:name w:val="正文_1_1"/>
    <w:qFormat/>
    <w:uiPriority w:val="99"/>
    <w:pPr>
      <w:widowControl w:val="0"/>
      <w:jc w:val="both"/>
    </w:pPr>
    <w:rPr>
      <w:rFonts w:ascii="Calibri" w:hAnsi="Calibri" w:eastAsia="宋体" w:cs="Times New Roman"/>
      <w:kern w:val="2"/>
      <w:sz w:val="21"/>
      <w:szCs w:val="24"/>
      <w:lang w:val="en-US" w:eastAsia="zh-CN" w:bidi="ar-SA"/>
    </w:rPr>
  </w:style>
  <w:style w:type="paragraph" w:customStyle="1" w:styleId="60">
    <w:name w:val="Normal Indent1"/>
    <w:basedOn w:val="1"/>
    <w:qFormat/>
    <w:uiPriority w:val="0"/>
    <w:pPr>
      <w:ind w:firstLine="420" w:firstLineChars="200"/>
    </w:pPr>
  </w:style>
  <w:style w:type="paragraph" w:customStyle="1" w:styleId="61">
    <w:name w:val="LO-Normal"/>
    <w:qFormat/>
    <w:uiPriority w:val="0"/>
    <w:pPr>
      <w:suppressAutoHyphens/>
    </w:pPr>
    <w:rPr>
      <w:rFonts w:ascii="Times New Roman" w:hAnsi="Times New Roman" w:eastAsia="宋体" w:cs="Times New Roman"/>
      <w:sz w:val="24"/>
      <w:szCs w:val="24"/>
      <w:lang w:val="en-US" w:eastAsia="zh-CN" w:bidi="ar-SA"/>
    </w:rPr>
  </w:style>
  <w:style w:type="paragraph" w:customStyle="1" w:styleId="62">
    <w:name w:val="Normal_22"/>
    <w:qFormat/>
    <w:uiPriority w:val="0"/>
    <w:rPr>
      <w:rFonts w:ascii="Times New Roman" w:hAnsi="Times New Roman" w:eastAsia="Times New Roman" w:cs="Times New Roman"/>
      <w:sz w:val="24"/>
      <w:szCs w:val="24"/>
      <w:lang w:bidi="ar-SA"/>
    </w:rPr>
  </w:style>
  <w:style w:type="paragraph" w:customStyle="1" w:styleId="63">
    <w:name w:val="正文_6_0"/>
    <w:qFormat/>
    <w:uiPriority w:val="0"/>
    <w:pPr>
      <w:widowControl w:val="0"/>
      <w:jc w:val="both"/>
    </w:pPr>
    <w:rPr>
      <w:rFonts w:ascii="Calibri" w:hAnsi="Calibri" w:eastAsia="宋体" w:cs="Times New Roman"/>
      <w:kern w:val="2"/>
      <w:sz w:val="21"/>
      <w:szCs w:val="22"/>
      <w:lang w:val="en-US" w:eastAsia="zh-CN" w:bidi="ar-SA"/>
    </w:rPr>
  </w:style>
  <w:style w:type="character" w:customStyle="1" w:styleId="64">
    <w:name w:val="正文_0_0_0 Char"/>
    <w:link w:val="65"/>
    <w:qFormat/>
    <w:locked/>
    <w:uiPriority w:val="0"/>
    <w:rPr>
      <w:rFonts w:ascii="Calibri" w:hAnsi="Calibri" w:cs="Calibri"/>
      <w:kern w:val="2"/>
      <w:sz w:val="28"/>
      <w:szCs w:val="22"/>
      <w:lang w:val="en-US" w:eastAsia="zh-CN" w:bidi="ar-SA"/>
    </w:rPr>
  </w:style>
  <w:style w:type="paragraph" w:customStyle="1" w:styleId="65">
    <w:name w:val="正文_0_0_0_0_0"/>
    <w:link w:val="64"/>
    <w:qFormat/>
    <w:uiPriority w:val="0"/>
    <w:pPr>
      <w:spacing w:before="120" w:after="120" w:line="360" w:lineRule="auto"/>
      <w:ind w:left="1072" w:hanging="1072"/>
      <w:jc w:val="both"/>
    </w:pPr>
    <w:rPr>
      <w:rFonts w:ascii="Calibri" w:hAnsi="Calibri" w:eastAsia="宋体" w:cs="Calibri"/>
      <w:kern w:val="2"/>
      <w:sz w:val="28"/>
      <w:szCs w:val="22"/>
      <w:lang w:val="en-US" w:eastAsia="zh-CN" w:bidi="ar-SA"/>
    </w:rPr>
  </w:style>
  <w:style w:type="paragraph" w:customStyle="1" w:styleId="66">
    <w:name w:val="正文文本_0_1"/>
    <w:basedOn w:val="67"/>
    <w:qFormat/>
    <w:uiPriority w:val="99"/>
    <w:pPr>
      <w:spacing w:after="120"/>
    </w:pPr>
    <w:rPr>
      <w:rFonts w:ascii="Calibri" w:hAnsi="Calibri" w:eastAsia="宋体"/>
      <w:kern w:val="0"/>
      <w:sz w:val="24"/>
      <w:szCs w:val="20"/>
    </w:rPr>
  </w:style>
  <w:style w:type="paragraph" w:customStyle="1" w:styleId="67">
    <w:name w:val="正文_6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68">
    <w:name w:val="Table Paragraph_1"/>
    <w:basedOn w:val="67"/>
    <w:qFormat/>
    <w:uiPriority w:val="0"/>
    <w:pPr>
      <w:jc w:val="left"/>
    </w:pPr>
    <w:rPr>
      <w:rFonts w:ascii="Calibri" w:hAnsi="Calibri" w:eastAsia="宋体"/>
      <w:kern w:val="0"/>
      <w:sz w:val="22"/>
      <w:lang w:eastAsia="en-US"/>
    </w:rPr>
  </w:style>
  <w:style w:type="paragraph" w:customStyle="1" w:styleId="69">
    <w:name w:val="正文_6"/>
    <w:qFormat/>
    <w:uiPriority w:val="0"/>
    <w:pPr>
      <w:widowControl w:val="0"/>
      <w:jc w:val="both"/>
    </w:pPr>
    <w:rPr>
      <w:rFonts w:ascii="Calibri" w:hAnsi="Calibri" w:eastAsia="宋体" w:cs="Times New Roman"/>
      <w:kern w:val="2"/>
      <w:sz w:val="21"/>
      <w:szCs w:val="22"/>
      <w:lang w:val="en-US" w:eastAsia="zh-CN" w:bidi="ar-SA"/>
    </w:rPr>
  </w:style>
  <w:style w:type="paragraph" w:customStyle="1" w:styleId="70">
    <w:name w:val="列出段落1"/>
    <w:basedOn w:val="1"/>
    <w:qFormat/>
    <w:uiPriority w:val="0"/>
    <w:pPr>
      <w:ind w:firstLine="420" w:firstLineChars="200"/>
    </w:pPr>
    <w:rPr>
      <w:szCs w:val="21"/>
    </w:rPr>
  </w:style>
  <w:style w:type="paragraph" w:customStyle="1" w:styleId="71">
    <w:name w:val="xl31"/>
    <w:basedOn w:val="1"/>
    <w:qFormat/>
    <w:uiPriority w:val="0"/>
    <w:pPr>
      <w:widowControl/>
      <w:spacing w:before="100" w:beforeAutospacing="1" w:after="100" w:afterAutospacing="1"/>
      <w:jc w:val="center"/>
    </w:pPr>
    <w:rPr>
      <w:b/>
      <w:bCs/>
      <w:kern w:val="0"/>
      <w:sz w:val="28"/>
      <w:szCs w:val="28"/>
    </w:rPr>
  </w:style>
  <w:style w:type="paragraph" w:customStyle="1" w:styleId="72">
    <w:name w:val="正文2"/>
    <w:basedOn w:val="1"/>
    <w:qFormat/>
    <w:uiPriority w:val="0"/>
    <w:pPr>
      <w:spacing w:before="156" w:line="360" w:lineRule="auto"/>
      <w:ind w:firstLine="510" w:firstLineChars="200"/>
    </w:pPr>
    <w:rPr>
      <w:sz w:val="24"/>
      <w:szCs w:val="20"/>
    </w:rPr>
  </w:style>
  <w:style w:type="paragraph" w:customStyle="1" w:styleId="73">
    <w:name w:val="Char Char Char Char Char Char Char1 Char"/>
    <w:basedOn w:val="1"/>
    <w:qFormat/>
    <w:uiPriority w:val="0"/>
    <w:rPr>
      <w:rFonts w:ascii="Arial" w:hAnsi="Arial" w:eastAsia="宋体" w:cs="Arial"/>
      <w:sz w:val="24"/>
    </w:rPr>
  </w:style>
  <w:style w:type="paragraph" w:customStyle="1" w:styleId="74">
    <w:name w:val="正文缩进2格"/>
    <w:basedOn w:val="1"/>
    <w:qFormat/>
    <w:uiPriority w:val="0"/>
    <w:pPr>
      <w:spacing w:line="600" w:lineRule="exact"/>
      <w:ind w:firstLine="639" w:firstLineChars="206"/>
    </w:pPr>
    <w:rPr>
      <w:rFonts w:ascii="仿宋_GB2312" w:hAnsi="宋体" w:eastAsia="仿宋_GB2312"/>
      <w:kern w:val="0"/>
      <w:sz w:val="31"/>
      <w:szCs w:val="20"/>
    </w:rPr>
  </w:style>
  <w:style w:type="character" w:customStyle="1" w:styleId="75">
    <w:name w:val="font31"/>
    <w:basedOn w:val="32"/>
    <w:qFormat/>
    <w:uiPriority w:val="0"/>
    <w:rPr>
      <w:rFonts w:hint="eastAsia" w:ascii="宋体" w:hAnsi="宋体" w:eastAsia="宋体" w:cs="宋体"/>
      <w:color w:val="FF0000"/>
      <w:sz w:val="22"/>
      <w:szCs w:val="22"/>
      <w:u w:val="none"/>
    </w:rPr>
  </w:style>
  <w:style w:type="character" w:customStyle="1" w:styleId="76">
    <w:name w:val="font01"/>
    <w:basedOn w:val="32"/>
    <w:qFormat/>
    <w:uiPriority w:val="0"/>
    <w:rPr>
      <w:rFonts w:hint="eastAsia" w:ascii="宋体" w:hAnsi="宋体" w:eastAsia="宋体" w:cs="宋体"/>
      <w:color w:val="000000"/>
      <w:sz w:val="22"/>
      <w:szCs w:val="22"/>
      <w:u w:val="none"/>
    </w:rPr>
  </w:style>
  <w:style w:type="character" w:customStyle="1" w:styleId="77">
    <w:name w:val="font91"/>
    <w:basedOn w:val="32"/>
    <w:qFormat/>
    <w:uiPriority w:val="0"/>
    <w:rPr>
      <w:rFonts w:hint="eastAsia" w:ascii="宋体" w:hAnsi="宋体" w:eastAsia="宋体" w:cs="宋体"/>
      <w:color w:val="000000"/>
      <w:sz w:val="12"/>
      <w:szCs w:val="12"/>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header" Target="header2.xml"/><Relationship Id="rId59" Type="http://schemas.openxmlformats.org/officeDocument/2006/relationships/customXml" Target="../customXml/item1.xml"/><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139</Pages>
  <Words>28094</Words>
  <Characters>30561</Characters>
  <Lines>328</Lines>
  <Paragraphs>92</Paragraphs>
  <TotalTime>5</TotalTime>
  <ScaleCrop>false</ScaleCrop>
  <LinksUpToDate>false</LinksUpToDate>
  <CharactersWithSpaces>31584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2024-01-02T05:57:00Z</dcterms:created>
  <dc:creator>admin</dc:creator>
  <cp:lastModifiedBy>杨猫猫吖</cp:lastModifiedBy>
  <cp:lastPrinted>2026-02-02T02:46:00Z</cp:lastPrinted>
  <dcterms:modified xsi:type="dcterms:W3CDTF">2026-05-07T09:24:48Z</dcterms:modified>
  <cp:revision>425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23EE90E21DF1411AAD5BF73100EB91B0_13</vt:lpwstr>
  </property>
  <property fmtid="{D5CDD505-2E9C-101B-9397-08002B2CF9AE}" pid="4" name="KSOTemplateDocerSaveRecord">
    <vt:lpwstr>eyJoZGlkIjoiNDc4MDRjZGVhNzUwMmEzZTljZGViYjYxZjdhZDU5NDIiLCJ1c2VySWQiOiI0MDA3Nzk4MzAifQ==</vt:lpwstr>
  </property>
</Properties>
</file>