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ACC55">
      <w:pPr>
        <w:rPr>
          <w:rFonts w:hint="eastAsia"/>
          <w:highlight w:val="none"/>
          <w:lang w:val="en-US" w:eastAsia="zh-CN"/>
        </w:rPr>
      </w:pPr>
      <w:r>
        <w:rPr>
          <w:rFonts w:hint="eastAsia"/>
          <w:b/>
          <w:bCs/>
          <w:highlight w:val="none"/>
          <w:lang w:val="en-US" w:eastAsia="zh-CN"/>
        </w:rPr>
        <w:t>更正公告附件</w:t>
      </w:r>
      <w:r>
        <w:rPr>
          <w:rFonts w:hint="eastAsia"/>
          <w:highlight w:val="none"/>
          <w:lang w:val="en-US" w:eastAsia="zh-CN"/>
        </w:rPr>
        <w:t>：</w:t>
      </w:r>
    </w:p>
    <w:p w14:paraId="237EFE5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  <w:t>采购清单技术参数</w:t>
      </w:r>
    </w:p>
    <w:tbl>
      <w:tblPr>
        <w:tblStyle w:val="6"/>
        <w:tblW w:w="96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1120"/>
        <w:gridCol w:w="509"/>
        <w:gridCol w:w="476"/>
        <w:gridCol w:w="6871"/>
      </w:tblGrid>
      <w:tr w14:paraId="57069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1D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3F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B5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F8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6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47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技术参数</w:t>
            </w:r>
          </w:p>
        </w:tc>
      </w:tr>
      <w:tr w14:paraId="6EAF4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FF9FA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23A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★雷视一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体机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407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3F3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6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14A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1.有效像素≥1600万；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2.光学变倍≥20倍；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3.三镜头：5.9~135.7mm@F1.5，10-50mm@F1.38~1.56，T向-10°~5°，P向-6°~6°；4mm@F1.6，不支持转动；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4.内置高频段毫米波雷达，支持全天候环境下工作，不受雨、雾、大风、灰尘、光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照等影响；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支持多目标检测及目标可视化，不小于800m船舶抓拍与船号识别；（配合外置云台激光补光灯）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支持多目标检测，通过测量目标的速度、位置并进行分析，可输出目标ID、速度、位置等信息；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●5.设备中雷视、云台、变焦可见光机芯</w:t>
            </w: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一体化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集成；（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投标文件中提供由第三方出具的CMA检验报告证明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6.支持来向和去向及切向目标同时检测；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7.支持多种图片上传方式（云存储、FTP、SDK布防等）；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8.具有防尘、防水滴、防浪涌等功能。</w:t>
            </w:r>
          </w:p>
        </w:tc>
      </w:tr>
      <w:tr w14:paraId="31AA1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41DB4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EB2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 w:bidi="ar"/>
              </w:rPr>
              <w:t>AIS</w:t>
            </w:r>
            <w:r>
              <w:rPr>
                <w:rStyle w:val="9"/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 w:bidi="ar"/>
              </w:rPr>
              <w:t>接收机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0F4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CC3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6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684C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1.获取10km内船只AIS信息，包含AIS主机、VHF天线及馈线、GNSS天线、避雷器等；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2.频率范围：156.025~162.025MHz；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3.默认频道：CH2087、CH2088；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4.带宽：25kHz；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5.接收灵敏度：-112dBm；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6.支持对外接口开放，便于对接。</w:t>
            </w:r>
          </w:p>
        </w:tc>
      </w:tr>
      <w:tr w14:paraId="3C71D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2588A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3F5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 w:bidi="ar"/>
              </w:rPr>
              <w:t>VHF</w:t>
            </w:r>
            <w:r>
              <w:rPr>
                <w:rStyle w:val="9"/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 w:bidi="ar"/>
              </w:rPr>
              <w:t>小型基站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EF4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02A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6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61DD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1.支持联动控制、文字编辑、语音智能合成、VHF自动播发、频道选择等功能,用于向船只发送语音预警、提醒信息；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2.发射频率：156.025-157.425MHz；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接收频率：156.050-163.275MHz；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频道间隔：25kHz；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3.通信方式：PTT（单工，半双工）；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4.发射种类：无线电话：F3E（G3E），DSC/ATIS：F2B（G2B）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5.支持对外接口开放，便于对接；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●6.支持基于大模型的ASR、TTS接入，实现语音和文字的输入、输出，并具备较强的抗噪能力。（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投标文件中提供由第三方出具的CMA检验报告证明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</w:t>
            </w:r>
          </w:p>
        </w:tc>
      </w:tr>
      <w:tr w14:paraId="169A7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FE2C1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736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 w:bidi="ar"/>
              </w:rPr>
              <w:t>AR</w:t>
            </w:r>
            <w:r>
              <w:rPr>
                <w:rStyle w:val="9"/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 w:bidi="ar"/>
              </w:rPr>
              <w:t>全景球机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392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1A1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6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248A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1.不少于1600万有效像素；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2.全景通道内置4个镜头、靶面尺寸不小于1/1.8英寸的CMOS传感器，细节通道内置1个镜头，靶面尺寸不小于1/1.8英寸的CMOS传感器。可输出至少1路全景视频和1路细节视频；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全景图像分辨率不小于3632 × 1632，细节图像分辨率不小于2560x1440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【全景】0.0005Lux/F1.0（彩色），0.0001Lux/F1.0（黑白）；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【细节】星光级超低照度，0.0005Lux/F1.2（彩色），0.0001Lux/F1.2（黑白）；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3.支持不小于40倍变倍；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设备在全景拼接模式下，垂直视场角不小于110°，水平视场角不小于180°。可将4个全景视频图像进行拼接，实现不小于180°拼接画面显示，并抓拍拼接后的图片。设备内置2个雨刷器，雨刷器1可清洁全景通道镜头表面玻璃，雨刷器2可清洁细节通道镜头表面玻璃。设备具备双安装接口，一个为快速旋转安装接口，一个为多孔稳定安装接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（投标文件中提供由第三方出具的CMA检验报告证明）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设备可对全景通道、细节通道监控画面中的移动标签进行跟踪且跟踪时间、跟踪倍率可设，在跟踪过程中，移动标签始终位于画面中心位置。在细节通道上添加或删除指定标签时，全景通道的相同位置应自动添加或删除该标签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（投标文件中提供由第三方出具的CMA检验报告证明）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6.支持水平旋转范围360°连续旋转，垂直旋转范围-15°~90°；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7.支持AR功能，实时视频画面中可添加最多500个AR标签，且可实现标签与标签联动。</w:t>
            </w:r>
          </w:p>
        </w:tc>
      </w:tr>
      <w:tr w14:paraId="193A6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9388F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8A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9"/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 w:bidi="ar"/>
              </w:rPr>
              <w:t>边缘计算一体机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981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118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6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7D2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1.CPU：物理核心数不低于10核；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2.内存：不低于16GB；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3.磁盘：不低于1TB；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4.显存：不低于6GB；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5.支持端侧算力、算法部署，满足端侧的AI检测需求；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6.●支持端云互联，在端侧引入云端海量算法、大模型能力；(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投标文件中提供由第三方出具的CMA检验报告证明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7.支持AI算法类型：船舶识别、竹排识别、人员识别、拖船识别、电鱼识别、网鱼识别、垂钓识别；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8.●支持云端虚拟机在线迁移至边缘节点；(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投标文件中提供由第三方出具的CMA检验报告证明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</w:t>
            </w:r>
          </w:p>
        </w:tc>
      </w:tr>
      <w:tr w14:paraId="34603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A1AFD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6E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9"/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 w:bidi="ar"/>
              </w:rPr>
              <w:t>桥区事故风险监测预警算法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35A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E63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6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787D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1.支持船舶身份识别：自动识别进入桥区水域的船舶身份信息，包括船名、MMSI、类型、尺寸、航向、航速等；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2.支持通行状态实时监测：实时计算每艘船舶的位置、航向、航速，判断其是否在安全通航区域内；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3.支持异常行为识别：自动识别船舶的异常航行行为，包括偏航、超速、逆向行驶、异常停泊、多船交汇冲突等；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4.支持通航风险预警：根据识别的异常行为，自动触发多级预警，通知相关方并记录事件；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5.支持数据管理与回传：本地存储监测数据，并按需上传至上级平台。</w:t>
            </w:r>
          </w:p>
        </w:tc>
      </w:tr>
      <w:tr w14:paraId="51BEC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C1294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CE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9"/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 w:bidi="ar"/>
              </w:rPr>
              <w:t>水位观测球机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C9E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1C6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6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FCA8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1.支持水位监测，监测范围设备可检测范围为0.15m-40m，设备在定时休眠状态下，可通过下发的指令被唤醒，并进行视频预览及抓图，水位精度±3mm；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设备可配置低功耗模式，低功耗模式下每10秒上次1次数据，功率≤1W，设备正常上电，雷达上传数据，摄像机开启工作，电机不工作，功率≤5W，设备正常上电，雷达上传数据，摄像机开启工作，电机不工作，补光灯开启工作，功率≤10W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（投标文件中提供由第三方出具的CMA检验报告证明）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3.设备可配置低功耗模式，低功耗模式下每10秒上次1次数据，功率≤1W；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4.支持AI开放平台，内置漂浮物、船只、河岸垃圾智能算法检测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5.视频支持2560 × 1440 @30 fps高清画面输出；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支持H.265压缩算法；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6.有效补光距离不小于30米；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7.支持水位报警联动视频抓拍上报；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8.防护等级不低于IP67。</w:t>
            </w:r>
          </w:p>
        </w:tc>
      </w:tr>
      <w:tr w14:paraId="4B266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89079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12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9"/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 w:bidi="ar"/>
              </w:rPr>
              <w:t>串口服务器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0CC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6E6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6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09D5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1.网口规格：RJ45、10/100Mbps、交叉直连自适应；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2.网口数：2；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3.串口规格：RJ45；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串口数：8 * RS232/RS485/RS422；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串口波特率：300-115.2K（bps）。</w:t>
            </w:r>
          </w:p>
        </w:tc>
      </w:tr>
      <w:tr w14:paraId="494E8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FB58C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34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9"/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 w:bidi="ar"/>
              </w:rPr>
              <w:t>接入交换机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317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8D0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6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B11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1.规格：18口非网管二层交换机；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2.带宽：10/100/1000M自适应电口；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3.支持IEEE802.3、IEEE802.3u、IEEE802.3x。</w:t>
            </w:r>
          </w:p>
        </w:tc>
      </w:tr>
      <w:tr w14:paraId="4BD85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AC1C5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82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9"/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 w:bidi="ar"/>
              </w:rPr>
              <w:t>硬盘录像机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8E4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236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6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BE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1.最大接入通道数：8路；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2.解码格式：支持H.265、H.264解码；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3.硬盘容量：不少于4T。</w:t>
            </w:r>
          </w:p>
        </w:tc>
      </w:tr>
      <w:tr w14:paraId="39741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55B70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63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9"/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 w:bidi="ar"/>
              </w:rPr>
              <w:t>光纤收发器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EA2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03B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对</w:t>
            </w:r>
          </w:p>
        </w:tc>
        <w:tc>
          <w:tcPr>
            <w:tcW w:w="6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2B5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1.百兆单模单纤，A/B端配对使用，即插即用；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2.距离不少于40km；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3.支持电源、网口、接地螺丝防雷防浪涌防护；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4.工作温度-20℃~60℃。</w:t>
            </w:r>
          </w:p>
        </w:tc>
      </w:tr>
      <w:tr w14:paraId="0B9C4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314D9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AB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9"/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 w:bidi="ar"/>
              </w:rPr>
              <w:t>路由器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2B0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3A4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6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281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1.不少于千兆5端口，最大支持80台机器上网，不低于128M高速内存；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2.支持行为管理，内置防火墙，支持智能流控。（投标文件中提供平台截图证明）</w:t>
            </w:r>
          </w:p>
        </w:tc>
      </w:tr>
      <w:tr w14:paraId="63BE5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A1023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BD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防雷器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062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3A0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6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A99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1.保护设备免受感应雷、浪涌干扰；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2.类型：信号避雷器（适配RS485接口）+电源避雷器（适配DC12~24V）；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3.标称放电电流：5kA（8/20 μs波形）；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4.响应时间：≤1ns，残压≤30V。</w:t>
            </w:r>
          </w:p>
        </w:tc>
      </w:tr>
      <w:tr w14:paraId="166FB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6E179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30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9"/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 w:bidi="ar"/>
              </w:rPr>
              <w:t>抱杆机柜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03A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386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6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3C82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1200*600*600mm，Q235B冷轧钢板，厚度1.2mm，提供数据防雷、电源防雷、网络防雷，防锈工艺，耐酸碱腐蚀。</w:t>
            </w:r>
          </w:p>
        </w:tc>
      </w:tr>
      <w:tr w14:paraId="44997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DFA1B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FD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 w:bidi="ar"/>
              </w:rPr>
              <w:t>辅材及线缆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651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B8E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6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EC5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安装布线所需的电缆、网线、PVC管、支架等。</w:t>
            </w:r>
          </w:p>
        </w:tc>
      </w:tr>
      <w:tr w14:paraId="642EB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172BE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4B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 w:bidi="ar"/>
              </w:rPr>
              <w:t>立杆及基础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993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FFB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6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F48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8米镀锌钢杆及基础施工。</w:t>
            </w:r>
          </w:p>
        </w:tc>
      </w:tr>
      <w:tr w14:paraId="1758F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825A5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93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 w:bidi="ar"/>
              </w:rPr>
              <w:t>网络链路费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B78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DBA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6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49BE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运营商SDWAN智能组网专线，100Mbps ，不少于3年。</w:t>
            </w:r>
          </w:p>
        </w:tc>
      </w:tr>
      <w:tr w14:paraId="59FD4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F1B65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B51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安装调试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757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FD8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6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659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含所有设备安装施工、算法部署及人员调试。</w:t>
            </w:r>
          </w:p>
        </w:tc>
      </w:tr>
      <w:tr w14:paraId="61475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C153B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30D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9"/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 w:bidi="ar"/>
              </w:rPr>
              <w:t>后台系统集成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1CD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E88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6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26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前端设备集成至已建船寮大桥主动预警系统，事件信息可实时传输至后台系统，实现系统中对3座桥梁监测预警信息的展示、统计、分析等功能。</w:t>
            </w:r>
          </w:p>
        </w:tc>
      </w:tr>
      <w:tr w14:paraId="2F2D7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2C1F3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E95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港航桥区安全智能体定制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508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2EB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6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21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1.安全隐患图片分析智能体服务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针对目标安全检查项，支持检查人员拍摄现场照片，系统自动识别图片中的安全隐患，隐患判定规则可动态维护，支持处理多种格式、多种尺寸、多种分辨率的图片输入，隐患文字描述和整改建议生成，支持第三方平台调用、获取结构化隐患相关数据，支持对隐患图片和AI识别出的隐患问题的多轮交互问答，帮助检查人员深入追溯成因、规范依据及整改方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2.安全检查AI指引智能体服务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针对目标安全检查项提供AI指引功能，支持对安全检查项进行规范化解读，提供专业的隐患排查方法，检查项对应的法律法规依据，隐患样例图片、无隐患样例图片，对输出指引结果的多轮交互问答；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3.港航桥区安全知识问答智能体服务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1）用户可以输入各类桥区安全的专业问题，智能体自动查询后台专业知识库后，自动生成问题的答案；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2）支持对输入的图片、文本，进行多轮交互问答；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3）支持历史提问内容查询；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4）系统能自动记录用户输入的专业问题，后台能自动进行统计分析，定期整理一部分专业、高频的问题，推荐给用户。</w:t>
            </w:r>
          </w:p>
        </w:tc>
      </w:tr>
      <w:tr w14:paraId="2DBBA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6B07C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316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桥区安全大模型训练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428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B84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6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2284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基于现有青田港航数据，基于Qwen模型，二次训练桥区安全多模态大模型，作为本项目大模型底座。</w:t>
            </w:r>
          </w:p>
        </w:tc>
      </w:tr>
      <w:tr w14:paraId="62D27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1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71610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90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 w:bidi="ar"/>
              </w:rPr>
              <w:t>本地算力服务（</w:t>
            </w:r>
            <w:r>
              <w:rPr>
                <w:rStyle w:val="8"/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 w:bidi="ar"/>
              </w:rPr>
              <w:t>MaaS</w:t>
            </w:r>
            <w:r>
              <w:rPr>
                <w:rStyle w:val="10"/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 w:bidi="ar"/>
              </w:rPr>
              <w:t>）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71A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81E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6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F24C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1.算力要求：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●1）部署在项目所在地机房专网互通，兼容不少于2种智算架构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（投标文件中提供本地专网内调用截图证明）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2）具备部署不少于3种模型（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包括但不限于Qwen、DeepSeek、Gemma等系列模型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）的算力能力；（投标文件中提供模型能力平台截图证明）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2.服务时间：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3年，针对本项目所用到的算力不限tokens数量；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3.服务要求：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1）支持租户、账号纬度tokens计费、限速、限制并发；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●2）支持负载均衡、多模型级联；（投标文件中提供平台截图证明）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3）支持日志审计与回查。</w:t>
            </w:r>
          </w:p>
        </w:tc>
      </w:tr>
    </w:tbl>
    <w:p w14:paraId="393056C0">
      <w:pPr>
        <w:rPr>
          <w:rFonts w:hint="default"/>
          <w:highlight w:val="none"/>
          <w:lang w:val="en-US" w:eastAsia="zh-CN"/>
        </w:rPr>
      </w:pPr>
    </w:p>
    <w:p w14:paraId="4CCF0E56">
      <w:pPr>
        <w:pStyle w:val="2"/>
        <w:rPr>
          <w:rFonts w:hint="default"/>
          <w:highlight w:val="none"/>
          <w:lang w:val="en-US" w:eastAsia="zh-CN"/>
        </w:rPr>
      </w:pPr>
    </w:p>
    <w:p w14:paraId="5350B021">
      <w:pPr>
        <w:pStyle w:val="2"/>
        <w:rPr>
          <w:rFonts w:hint="default"/>
          <w:highlight w:val="none"/>
          <w:lang w:val="en-US" w:eastAsia="zh-CN"/>
        </w:rPr>
      </w:pPr>
    </w:p>
    <w:p w14:paraId="351AA849">
      <w:pPr>
        <w:pStyle w:val="2"/>
        <w:rPr>
          <w:rFonts w:hint="default"/>
          <w:highlight w:val="none"/>
          <w:lang w:val="en-US" w:eastAsia="zh-CN"/>
        </w:rPr>
      </w:pPr>
    </w:p>
    <w:p w14:paraId="659C1981">
      <w:pPr>
        <w:pStyle w:val="2"/>
        <w:rPr>
          <w:rFonts w:hint="default"/>
          <w:highlight w:val="none"/>
          <w:lang w:val="en-US" w:eastAsia="zh-CN"/>
        </w:rPr>
      </w:pPr>
    </w:p>
    <w:p w14:paraId="44F2CAAC">
      <w:pPr>
        <w:pStyle w:val="2"/>
        <w:rPr>
          <w:rFonts w:hint="default"/>
          <w:highlight w:val="none"/>
          <w:lang w:val="en-US" w:eastAsia="zh-CN"/>
        </w:rPr>
      </w:pPr>
    </w:p>
    <w:p w14:paraId="13A53DE9">
      <w:pPr>
        <w:pStyle w:val="2"/>
        <w:rPr>
          <w:rFonts w:hint="default"/>
          <w:highlight w:val="none"/>
          <w:lang w:val="en-US" w:eastAsia="zh-CN"/>
        </w:rPr>
      </w:pPr>
    </w:p>
    <w:p w14:paraId="10A7A433">
      <w:pPr>
        <w:pStyle w:val="2"/>
        <w:rPr>
          <w:rFonts w:hint="default"/>
          <w:highlight w:val="none"/>
          <w:lang w:val="en-US" w:eastAsia="zh-CN"/>
        </w:rPr>
      </w:pPr>
    </w:p>
    <w:p w14:paraId="05E8812A">
      <w:pPr>
        <w:pStyle w:val="2"/>
        <w:rPr>
          <w:rFonts w:hint="default"/>
          <w:highlight w:val="none"/>
          <w:lang w:val="en-US" w:eastAsia="zh-CN"/>
        </w:rPr>
      </w:pPr>
    </w:p>
    <w:p w14:paraId="4B4C521D">
      <w:pPr>
        <w:pStyle w:val="2"/>
        <w:rPr>
          <w:rFonts w:hint="default"/>
          <w:highlight w:val="none"/>
          <w:lang w:val="en-US" w:eastAsia="zh-CN"/>
        </w:rPr>
      </w:pPr>
    </w:p>
    <w:p w14:paraId="004608BA">
      <w:pPr>
        <w:pStyle w:val="2"/>
        <w:rPr>
          <w:rFonts w:hint="default"/>
          <w:highlight w:val="none"/>
          <w:lang w:val="en-US" w:eastAsia="zh-CN"/>
        </w:rPr>
      </w:pPr>
    </w:p>
    <w:p w14:paraId="5982F330">
      <w:pPr>
        <w:pStyle w:val="2"/>
        <w:rPr>
          <w:rFonts w:hint="default"/>
          <w:highlight w:val="none"/>
          <w:lang w:val="en-US" w:eastAsia="zh-CN"/>
        </w:rPr>
      </w:pPr>
    </w:p>
    <w:p w14:paraId="2E48B67D">
      <w:pPr>
        <w:pStyle w:val="2"/>
        <w:rPr>
          <w:rFonts w:hint="default"/>
          <w:highlight w:val="none"/>
          <w:lang w:val="en-US" w:eastAsia="zh-CN"/>
        </w:rPr>
      </w:pPr>
    </w:p>
    <w:p w14:paraId="2D654A4A">
      <w:pPr>
        <w:pStyle w:val="2"/>
        <w:rPr>
          <w:rFonts w:hint="default"/>
          <w:highlight w:val="none"/>
          <w:lang w:val="en-US" w:eastAsia="zh-CN"/>
        </w:rPr>
      </w:pPr>
    </w:p>
    <w:p w14:paraId="02F7C47A">
      <w:pPr>
        <w:pStyle w:val="2"/>
        <w:rPr>
          <w:rFonts w:hint="default"/>
          <w:highlight w:val="none"/>
          <w:lang w:val="en-US" w:eastAsia="zh-CN"/>
        </w:rPr>
      </w:pPr>
    </w:p>
    <w:p w14:paraId="0A75848E">
      <w:pPr>
        <w:pStyle w:val="2"/>
        <w:rPr>
          <w:rFonts w:hint="default"/>
          <w:highlight w:val="none"/>
          <w:lang w:val="en-US" w:eastAsia="zh-CN"/>
        </w:rPr>
      </w:pPr>
    </w:p>
    <w:p w14:paraId="7E0AF463">
      <w:pPr>
        <w:pStyle w:val="2"/>
        <w:rPr>
          <w:rFonts w:hint="default"/>
          <w:highlight w:val="none"/>
          <w:lang w:val="en-US" w:eastAsia="zh-CN"/>
        </w:rPr>
      </w:pPr>
    </w:p>
    <w:p w14:paraId="6165F56E">
      <w:pPr>
        <w:pStyle w:val="2"/>
        <w:rPr>
          <w:rFonts w:hint="default"/>
          <w:highlight w:val="none"/>
          <w:lang w:val="en-US" w:eastAsia="zh-CN"/>
        </w:rPr>
      </w:pPr>
    </w:p>
    <w:p w14:paraId="1C5E133C">
      <w:pPr>
        <w:pStyle w:val="2"/>
        <w:rPr>
          <w:rFonts w:hint="default"/>
          <w:highlight w:val="none"/>
          <w:lang w:val="en-US" w:eastAsia="zh-CN"/>
        </w:rPr>
      </w:pPr>
    </w:p>
    <w:p w14:paraId="33317907">
      <w:pPr>
        <w:pStyle w:val="2"/>
        <w:rPr>
          <w:rFonts w:hint="default"/>
          <w:highlight w:val="none"/>
          <w:lang w:val="en-US" w:eastAsia="zh-CN"/>
        </w:rPr>
      </w:pPr>
    </w:p>
    <w:p w14:paraId="5ACDD440">
      <w:pPr>
        <w:pStyle w:val="2"/>
        <w:rPr>
          <w:rFonts w:hint="default"/>
          <w:highlight w:val="none"/>
          <w:lang w:val="en-US" w:eastAsia="zh-CN"/>
        </w:rPr>
      </w:pPr>
    </w:p>
    <w:p w14:paraId="21B62206">
      <w:pPr>
        <w:pStyle w:val="2"/>
        <w:rPr>
          <w:rFonts w:hint="default"/>
          <w:highlight w:val="none"/>
          <w:lang w:val="en-US" w:eastAsia="zh-CN"/>
        </w:rPr>
      </w:pPr>
    </w:p>
    <w:p w14:paraId="457B17C1">
      <w:pPr>
        <w:pStyle w:val="2"/>
        <w:rPr>
          <w:rFonts w:hint="default"/>
          <w:highlight w:val="none"/>
          <w:lang w:val="en-US" w:eastAsia="zh-CN"/>
        </w:rPr>
      </w:pPr>
    </w:p>
    <w:p w14:paraId="4EA1ADA8">
      <w:pPr>
        <w:pStyle w:val="2"/>
        <w:rPr>
          <w:rFonts w:hint="default"/>
          <w:highlight w:val="none"/>
          <w:lang w:val="en-US" w:eastAsia="zh-CN"/>
        </w:rPr>
      </w:pPr>
    </w:p>
    <w:p w14:paraId="5E961D57">
      <w:pPr>
        <w:widowControl/>
        <w:spacing w:line="360" w:lineRule="auto"/>
        <w:ind w:firstLine="420"/>
        <w:rPr>
          <w:rFonts w:hint="eastAsia" w:ascii="宋体" w:hAnsi="宋体" w:eastAsia="宋体" w:cs="宋体"/>
          <w:b/>
          <w:bCs/>
          <w:color w:val="000000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  <w:highlight w:val="none"/>
        </w:rPr>
        <w:t>（一）资信商务及技术标</w:t>
      </w:r>
    </w:p>
    <w:tbl>
      <w:tblPr>
        <w:tblStyle w:val="6"/>
        <w:tblW w:w="101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176"/>
        <w:gridCol w:w="7524"/>
        <w:gridCol w:w="662"/>
      </w:tblGrid>
      <w:tr w14:paraId="344C2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769" w:type="dxa"/>
            <w:noWrap w:val="0"/>
            <w:vAlign w:val="center"/>
          </w:tcPr>
          <w:p w14:paraId="0FBA0C19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312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highlight w:val="none"/>
              </w:rPr>
            </w:pPr>
            <w:bookmarkStart w:id="0" w:name="_Hlk95842805"/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176" w:type="dxa"/>
            <w:noWrap w:val="0"/>
            <w:vAlign w:val="center"/>
          </w:tcPr>
          <w:p w14:paraId="169B4F10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312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highlight w:val="none"/>
              </w:rPr>
              <w:t>评分内容</w:t>
            </w:r>
          </w:p>
        </w:tc>
        <w:tc>
          <w:tcPr>
            <w:tcW w:w="7524" w:type="dxa"/>
            <w:noWrap w:val="0"/>
            <w:vAlign w:val="center"/>
          </w:tcPr>
          <w:p w14:paraId="3BFEC9DD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312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highlight w:val="none"/>
              </w:rPr>
              <w:t>评分细则及标准</w:t>
            </w:r>
          </w:p>
        </w:tc>
        <w:tc>
          <w:tcPr>
            <w:tcW w:w="662" w:type="dxa"/>
            <w:noWrap w:val="0"/>
            <w:vAlign w:val="center"/>
          </w:tcPr>
          <w:p w14:paraId="0F4309B5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312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highlight w:val="none"/>
                <w:lang w:val="en-US" w:eastAsia="zh-CN"/>
              </w:rPr>
              <w:t>最高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highlight w:val="none"/>
              </w:rPr>
              <w:t>分值</w:t>
            </w:r>
          </w:p>
        </w:tc>
      </w:tr>
      <w:tr w14:paraId="27C54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9" w:type="dxa"/>
            <w:noWrap w:val="0"/>
            <w:vAlign w:val="center"/>
          </w:tcPr>
          <w:p w14:paraId="7965126B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1176" w:type="dxa"/>
            <w:noWrap w:val="0"/>
            <w:vAlign w:val="center"/>
          </w:tcPr>
          <w:p w14:paraId="4F5F88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highlight w:val="none"/>
              </w:rPr>
              <w:t>类似业绩</w:t>
            </w:r>
          </w:p>
        </w:tc>
        <w:tc>
          <w:tcPr>
            <w:tcW w:w="7524" w:type="dxa"/>
            <w:noWrap w:val="0"/>
            <w:vAlign w:val="center"/>
          </w:tcPr>
          <w:p w14:paraId="7CB4B6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ind w:firstLine="440" w:firstLineChars="200"/>
              <w:textAlignment w:val="auto"/>
              <w:rPr>
                <w:rFonts w:hint="eastAsia" w:ascii="宋体" w:hAnsi="宋体" w:eastAsia="宋体" w:cs="宋体"/>
                <w:color w:val="000000"/>
                <w:highlight w:val="none"/>
                <w:lang w:val="en-US" w:eastAsia="zh-CN"/>
              </w:rPr>
            </w:pPr>
            <w:r>
              <w:rPr>
                <w:rStyle w:val="11"/>
                <w:color w:val="000000"/>
                <w:highlight w:val="none"/>
                <w:lang w:val="en-US" w:eastAsia="zh-CN" w:bidi="ar"/>
              </w:rPr>
              <w:t>投标人提供2022年1月1日以来（以签订合同时间为准）具有类似项目业绩</w:t>
            </w:r>
            <w:r>
              <w:rPr>
                <w:rStyle w:val="11"/>
                <w:rFonts w:hint="eastAsia"/>
                <w:color w:val="000000"/>
                <w:highlight w:val="none"/>
                <w:lang w:val="en-US" w:eastAsia="zh-CN" w:bidi="ar"/>
              </w:rPr>
              <w:t>（大桥主动预警系统、桥区事故风险监测预警系统）</w:t>
            </w:r>
            <w:r>
              <w:rPr>
                <w:rStyle w:val="11"/>
                <w:color w:val="000000"/>
                <w:highlight w:val="none"/>
                <w:lang w:val="en-US" w:eastAsia="zh-CN" w:bidi="ar"/>
              </w:rPr>
              <w:t>，每提供一个有效合同得1分，最高</w:t>
            </w:r>
            <w:r>
              <w:rPr>
                <w:rStyle w:val="11"/>
                <w:rFonts w:hint="eastAsia"/>
                <w:color w:val="000000"/>
                <w:highlight w:val="none"/>
                <w:lang w:val="en-US" w:eastAsia="zh-CN" w:bidi="ar"/>
              </w:rPr>
              <w:t>1</w:t>
            </w:r>
            <w:r>
              <w:rPr>
                <w:rStyle w:val="11"/>
                <w:color w:val="000000"/>
                <w:highlight w:val="none"/>
                <w:lang w:val="en-US" w:eastAsia="zh-CN" w:bidi="ar"/>
              </w:rPr>
              <w:t>分。</w:t>
            </w:r>
            <w:r>
              <w:rPr>
                <w:rFonts w:hint="eastAsia" w:ascii="宋体" w:hAnsi="宋体" w:eastAsia="宋体" w:cs="宋体"/>
                <w:b/>
                <w:color w:val="000000"/>
                <w:highlight w:val="none"/>
                <w:lang w:val="en-US" w:eastAsia="zh-CN"/>
              </w:rPr>
              <w:t>投标文件中</w:t>
            </w:r>
            <w:r>
              <w:rPr>
                <w:rFonts w:hint="eastAsia" w:ascii="宋体" w:hAnsi="宋体" w:eastAsia="宋体" w:cs="宋体"/>
                <w:b/>
                <w:color w:val="000000"/>
                <w:highlight w:val="none"/>
              </w:rPr>
              <w:t>提供合同</w:t>
            </w:r>
            <w:r>
              <w:rPr>
                <w:rFonts w:hint="eastAsia" w:ascii="宋体" w:hAnsi="宋体" w:eastAsia="宋体" w:cs="宋体"/>
                <w:b/>
                <w:color w:val="000000"/>
                <w:highlight w:val="none"/>
                <w:lang w:val="en-US" w:eastAsia="zh-CN"/>
              </w:rPr>
              <w:t>原件</w:t>
            </w:r>
            <w:r>
              <w:rPr>
                <w:rFonts w:hint="eastAsia" w:ascii="宋体" w:hAnsi="宋体" w:eastAsia="宋体" w:cs="宋体"/>
                <w:b/>
                <w:color w:val="000000"/>
                <w:highlight w:val="none"/>
              </w:rPr>
              <w:t>扫描件</w:t>
            </w:r>
            <w:r>
              <w:rPr>
                <w:rFonts w:hint="eastAsia" w:ascii="宋体" w:eastAsia="宋体" w:cs="宋体"/>
                <w:b/>
                <w:color w:val="000000"/>
                <w:szCs w:val="21"/>
                <w:highlight w:val="none"/>
              </w:rPr>
              <w:t>（</w:t>
            </w:r>
            <w:r>
              <w:rPr>
                <w:rFonts w:hint="eastAsia"/>
                <w:b/>
                <w:bCs/>
                <w:color w:val="000000"/>
                <w:highlight w:val="none"/>
              </w:rPr>
              <w:t>是否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highlight w:val="none"/>
                <w:lang w:eastAsia="zh-CN"/>
              </w:rPr>
              <w:t>属于</w:t>
            </w:r>
            <w:r>
              <w:rPr>
                <w:rFonts w:hint="eastAsia"/>
                <w:b/>
                <w:bCs/>
                <w:color w:val="000000"/>
                <w:highlight w:val="none"/>
              </w:rPr>
              <w:t>类似业绩由</w:t>
            </w:r>
            <w:r>
              <w:rPr>
                <w:rFonts w:hint="eastAsia"/>
                <w:b/>
                <w:bCs/>
                <w:color w:val="000000"/>
                <w:highlight w:val="none"/>
                <w:lang w:eastAsia="zh-CN"/>
              </w:rPr>
              <w:t>评标委员会</w:t>
            </w:r>
            <w:r>
              <w:rPr>
                <w:rFonts w:hint="eastAsia"/>
                <w:b/>
                <w:bCs/>
                <w:color w:val="000000"/>
                <w:highlight w:val="none"/>
              </w:rPr>
              <w:t>根据合同的内容、特点等与本项目的类似程度进行认定</w:t>
            </w:r>
            <w:r>
              <w:rPr>
                <w:rFonts w:hint="eastAsia" w:ascii="宋体" w:eastAsia="宋体" w:cs="宋体"/>
                <w:b/>
                <w:color w:val="000000"/>
                <w:szCs w:val="21"/>
                <w:highlight w:val="none"/>
              </w:rPr>
              <w:t>）</w:t>
            </w:r>
            <w:r>
              <w:rPr>
                <w:rFonts w:hint="eastAsia" w:ascii="宋体" w:hAnsi="宋体" w:eastAsia="宋体" w:cs="宋体"/>
                <w:b/>
                <w:color w:val="000000"/>
                <w:highlight w:val="none"/>
              </w:rPr>
              <w:t>，否则不得分。</w:t>
            </w:r>
          </w:p>
        </w:tc>
        <w:tc>
          <w:tcPr>
            <w:tcW w:w="662" w:type="dxa"/>
            <w:noWrap w:val="0"/>
            <w:vAlign w:val="center"/>
          </w:tcPr>
          <w:p w14:paraId="642E27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highlight w:val="none"/>
                <w:lang w:val="en-US" w:eastAsia="zh-CN"/>
              </w:rPr>
              <w:t>1</w:t>
            </w:r>
          </w:p>
        </w:tc>
      </w:tr>
      <w:tr w14:paraId="1A673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9" w:type="dxa"/>
            <w:noWrap w:val="0"/>
            <w:vAlign w:val="center"/>
          </w:tcPr>
          <w:p w14:paraId="6AA46E7A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1176" w:type="dxa"/>
            <w:noWrap w:val="0"/>
            <w:vAlign w:val="center"/>
          </w:tcPr>
          <w:p w14:paraId="41C54B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highlight w:val="none"/>
                <w:lang w:val="en-US" w:eastAsia="zh-CN"/>
              </w:rPr>
              <w:t>认证证书</w:t>
            </w:r>
          </w:p>
        </w:tc>
        <w:tc>
          <w:tcPr>
            <w:tcW w:w="7524" w:type="dxa"/>
            <w:noWrap w:val="0"/>
            <w:vAlign w:val="center"/>
          </w:tcPr>
          <w:p w14:paraId="42E856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ind w:firstLine="440" w:firstLineChars="200"/>
              <w:textAlignment w:val="auto"/>
              <w:rPr>
                <w:rStyle w:val="11"/>
                <w:color w:val="000000"/>
                <w:highlight w:val="none"/>
                <w:lang w:val="en-US" w:eastAsia="zh-CN" w:bidi="ar"/>
              </w:rPr>
            </w:pPr>
            <w:r>
              <w:rPr>
                <w:rStyle w:val="11"/>
                <w:color w:val="000000"/>
                <w:highlight w:val="none"/>
                <w:lang w:val="en-US" w:eastAsia="zh-CN" w:bidi="ar"/>
              </w:rPr>
              <w:t>投标人</w:t>
            </w:r>
            <w:r>
              <w:rPr>
                <w:rStyle w:val="11"/>
                <w:rFonts w:ascii="宋体" w:hAnsi="宋体" w:eastAsia="宋体" w:cs="宋体"/>
                <w:color w:val="000000"/>
                <w:highlight w:val="none"/>
                <w:lang w:val="en-US" w:eastAsia="zh-CN" w:bidi="ar"/>
              </w:rPr>
              <w:t>具有有效的</w:t>
            </w:r>
            <w:r>
              <w:rPr>
                <w:rStyle w:val="11"/>
                <w:rFonts w:hint="eastAsia" w:ascii="宋体" w:hAnsi="宋体" w:eastAsia="宋体" w:cs="宋体"/>
                <w:color w:val="000000"/>
                <w:highlight w:val="none"/>
                <w:lang w:val="en-US" w:eastAsia="zh-CN" w:bidi="ar"/>
              </w:rPr>
              <w:t>质量体系认证证书、环境管理体系认证证书、职业健康安全管理体系认证证书、信息安全管理体系认证证书、信息技术服务管理体系认证证书</w:t>
            </w:r>
            <w:r>
              <w:rPr>
                <w:rStyle w:val="11"/>
                <w:rFonts w:ascii="宋体" w:hAnsi="宋体" w:eastAsia="宋体" w:cs="宋体"/>
                <w:color w:val="000000"/>
                <w:highlight w:val="none"/>
                <w:lang w:val="en-US" w:eastAsia="zh-CN" w:bidi="ar"/>
              </w:rPr>
              <w:t>，每提供一个</w:t>
            </w:r>
            <w:r>
              <w:rPr>
                <w:rStyle w:val="11"/>
                <w:color w:val="000000"/>
                <w:highlight w:val="none"/>
                <w:lang w:val="en-US" w:eastAsia="zh-CN" w:bidi="ar"/>
              </w:rPr>
              <w:t>可得1分，最高</w:t>
            </w:r>
            <w:r>
              <w:rPr>
                <w:rStyle w:val="11"/>
                <w:rFonts w:hint="eastAsia"/>
                <w:color w:val="000000"/>
                <w:highlight w:val="none"/>
                <w:lang w:val="en-US" w:eastAsia="zh-CN" w:bidi="ar"/>
              </w:rPr>
              <w:t>5</w:t>
            </w:r>
            <w:r>
              <w:rPr>
                <w:rStyle w:val="11"/>
                <w:color w:val="000000"/>
                <w:highlight w:val="none"/>
                <w:lang w:val="en-US" w:eastAsia="zh-CN" w:bidi="ar"/>
              </w:rPr>
              <w:t>分。</w:t>
            </w:r>
          </w:p>
          <w:p w14:paraId="7F6E8E42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ind w:left="0" w:leftChars="0" w:firstLine="422" w:firstLineChars="200"/>
              <w:rPr>
                <w:rFonts w:hint="eastAsia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  <w:t>投标文件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中</w:t>
            </w:r>
            <w:r>
              <w:rPr>
                <w:rFonts w:hint="eastAsia" w:ascii="宋体" w:hAnsi="宋体" w:eastAsia="宋体" w:cs="宋体"/>
                <w:b/>
                <w:color w:val="000000"/>
                <w:highlight w:val="none"/>
                <w:lang w:val="en-US" w:eastAsia="zh-CN"/>
              </w:rPr>
              <w:t>提供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  <w:t>有效期内证书扫描件，否则不得分。</w:t>
            </w:r>
          </w:p>
        </w:tc>
        <w:tc>
          <w:tcPr>
            <w:tcW w:w="662" w:type="dxa"/>
            <w:noWrap w:val="0"/>
            <w:vAlign w:val="center"/>
          </w:tcPr>
          <w:p w14:paraId="096E1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firstLine="0" w:firstLineChars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 w14:paraId="62EB5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9" w:type="dxa"/>
            <w:noWrap w:val="0"/>
            <w:vAlign w:val="center"/>
          </w:tcPr>
          <w:p w14:paraId="0C4410E8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1176" w:type="dxa"/>
            <w:noWrap w:val="0"/>
            <w:vAlign w:val="center"/>
          </w:tcPr>
          <w:p w14:paraId="5FDB36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b/>
                <w:color w:val="00000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highlight w:val="none"/>
              </w:rPr>
              <w:t>人员配备</w:t>
            </w:r>
          </w:p>
        </w:tc>
        <w:tc>
          <w:tcPr>
            <w:tcW w:w="7524" w:type="dxa"/>
            <w:noWrap w:val="0"/>
            <w:vAlign w:val="center"/>
          </w:tcPr>
          <w:p w14:paraId="401BD7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ind w:firstLine="442" w:firstLineChars="200"/>
              <w:textAlignment w:val="auto"/>
              <w:rPr>
                <w:rStyle w:val="11"/>
                <w:rFonts w:hint="default"/>
                <w:b/>
                <w:bCs/>
                <w:color w:val="000000"/>
                <w:highlight w:val="none"/>
                <w:lang w:val="en-US" w:eastAsia="zh-CN" w:bidi="ar"/>
              </w:rPr>
            </w:pPr>
            <w:r>
              <w:rPr>
                <w:rStyle w:val="11"/>
                <w:rFonts w:hint="eastAsia"/>
                <w:b/>
                <w:bCs/>
                <w:color w:val="000000"/>
                <w:highlight w:val="none"/>
                <w:lang w:val="en-US" w:eastAsia="zh-CN" w:bidi="ar"/>
              </w:rPr>
              <w:t>（1）拟派项目负责人:</w:t>
            </w:r>
          </w:p>
          <w:p w14:paraId="76C59C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ind w:firstLine="440" w:firstLineChars="200"/>
              <w:textAlignment w:val="auto"/>
              <w:rPr>
                <w:rStyle w:val="11"/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Style w:val="11"/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 w:bidi="ar"/>
              </w:rPr>
              <w:t>拟派项目负责人具备信息系统项目管理师（高级）证书的得2分，本项最高得2分。</w:t>
            </w:r>
          </w:p>
          <w:p w14:paraId="614F25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ind w:firstLine="442" w:firstLineChars="200"/>
              <w:textAlignment w:val="auto"/>
              <w:rPr>
                <w:rStyle w:val="11"/>
                <w:rFonts w:hint="eastAsia"/>
                <w:b/>
                <w:bCs/>
                <w:color w:val="000000"/>
                <w:highlight w:val="none"/>
                <w:lang w:val="en-US" w:eastAsia="zh-CN" w:bidi="ar"/>
              </w:rPr>
            </w:pPr>
            <w:r>
              <w:rPr>
                <w:rStyle w:val="11"/>
                <w:rFonts w:hint="eastAsia"/>
                <w:b/>
                <w:bCs/>
                <w:color w:val="000000"/>
                <w:highlight w:val="none"/>
                <w:lang w:val="en-US" w:eastAsia="zh-CN" w:bidi="ar"/>
              </w:rPr>
              <w:t>（2）拟派技术负责人:</w:t>
            </w:r>
          </w:p>
          <w:p w14:paraId="0B6912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ind w:firstLine="440" w:firstLineChars="200"/>
              <w:textAlignment w:val="auto"/>
              <w:rPr>
                <w:rStyle w:val="11"/>
                <w:rFonts w:hint="eastAsia" w:ascii="宋体" w:hAnsi="宋体" w:eastAsia="宋体" w:cs="宋体"/>
                <w:color w:val="000000"/>
                <w:highlight w:val="none"/>
                <w:lang w:val="en-US" w:eastAsia="zh-CN" w:bidi="ar"/>
              </w:rPr>
            </w:pPr>
            <w:r>
              <w:rPr>
                <w:rStyle w:val="11"/>
                <w:rFonts w:hint="eastAsia" w:ascii="宋体" w:hAnsi="宋体" w:eastAsia="宋体" w:cs="宋体"/>
                <w:color w:val="000000"/>
                <w:highlight w:val="none"/>
                <w:lang w:val="en-US" w:eastAsia="zh-CN" w:bidi="ar"/>
              </w:rPr>
              <w:t>拟派技术负责人具备信息系统项目管理师</w:t>
            </w:r>
            <w:r>
              <w:rPr>
                <w:rStyle w:val="11"/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 w:bidi="ar"/>
              </w:rPr>
              <w:t>（高级）证书</w:t>
            </w:r>
            <w:r>
              <w:rPr>
                <w:rStyle w:val="11"/>
                <w:rFonts w:hint="eastAsia" w:ascii="宋体" w:hAnsi="宋体" w:eastAsia="宋体" w:cs="宋体"/>
                <w:color w:val="000000"/>
                <w:highlight w:val="none"/>
                <w:lang w:val="en-US" w:eastAsia="zh-CN" w:bidi="ar"/>
              </w:rPr>
              <w:t>或一级建造师证书（通信与广电专业）的</w:t>
            </w:r>
            <w:r>
              <w:rPr>
                <w:rStyle w:val="11"/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 w:bidi="ar"/>
              </w:rPr>
              <w:t>得2分，本项最高得2分。</w:t>
            </w:r>
          </w:p>
          <w:p w14:paraId="3674B6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ind w:firstLine="442" w:firstLineChars="200"/>
              <w:textAlignment w:val="auto"/>
              <w:rPr>
                <w:rStyle w:val="11"/>
                <w:rFonts w:hint="eastAsia" w:ascii="宋体" w:hAnsi="宋体" w:eastAsia="宋体" w:cs="宋体"/>
                <w:b/>
                <w:bCs/>
                <w:color w:val="000000"/>
                <w:highlight w:val="none"/>
                <w:lang w:val="en-US" w:eastAsia="zh-CN" w:bidi="ar"/>
              </w:rPr>
            </w:pPr>
            <w:r>
              <w:rPr>
                <w:rStyle w:val="11"/>
                <w:rFonts w:hint="eastAsia" w:ascii="宋体" w:hAnsi="宋体" w:eastAsia="宋体" w:cs="宋体"/>
                <w:b/>
                <w:bCs/>
                <w:color w:val="000000"/>
                <w:highlight w:val="none"/>
                <w:lang w:val="en-US" w:eastAsia="zh-CN" w:bidi="ar"/>
              </w:rPr>
              <w:t>（3）拟派项目组成员(项目负责人及技术负责人除外）：</w:t>
            </w:r>
          </w:p>
          <w:p w14:paraId="250556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ind w:firstLine="440" w:firstLineChars="200"/>
              <w:textAlignment w:val="auto"/>
              <w:rPr>
                <w:rStyle w:val="11"/>
                <w:rFonts w:hint="default"/>
                <w:b/>
                <w:bCs/>
                <w:color w:val="000000"/>
                <w:highlight w:val="none"/>
                <w:lang w:val="en-US" w:eastAsia="zh-CN" w:bidi="ar"/>
              </w:rPr>
            </w:pPr>
            <w:r>
              <w:rPr>
                <w:rStyle w:val="11"/>
                <w:rFonts w:hint="eastAsia" w:ascii="宋体" w:hAnsi="宋体" w:eastAsia="宋体" w:cs="宋体"/>
                <w:color w:val="000000"/>
                <w:highlight w:val="none"/>
                <w:lang w:val="en-US" w:eastAsia="zh-CN" w:bidi="ar"/>
              </w:rPr>
              <w:t>拟派项目成员（项目负责人、技术负责人除外）：具备软件设计师、网络工程师证书、注册信息安全专业人员证书（CISP）、数据库系统工程师、信息系统项目管理师</w:t>
            </w:r>
            <w:r>
              <w:rPr>
                <w:rStyle w:val="11"/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 w:bidi="ar"/>
              </w:rPr>
              <w:t>（高级）</w:t>
            </w:r>
            <w:r>
              <w:rPr>
                <w:rStyle w:val="11"/>
                <w:rFonts w:hint="eastAsia" w:ascii="宋体" w:hAnsi="宋体" w:eastAsia="宋体" w:cs="宋体"/>
                <w:color w:val="000000"/>
                <w:highlight w:val="none"/>
                <w:lang w:val="en-US" w:eastAsia="zh-CN" w:bidi="ar"/>
              </w:rPr>
              <w:t>证书的，每提供一本证书得0.5分，本项最高得3分。</w:t>
            </w:r>
            <w:r>
              <w:rPr>
                <w:rStyle w:val="11"/>
                <w:rFonts w:hint="eastAsia" w:ascii="宋体" w:hAnsi="宋体" w:eastAsia="宋体" w:cs="宋体"/>
                <w:color w:val="000000"/>
                <w:highlight w:val="none"/>
                <w:lang w:val="en-US" w:eastAsia="zh-CN" w:bidi="ar"/>
              </w:rPr>
              <w:br w:type="textWrapping"/>
            </w:r>
            <w:r>
              <w:rPr>
                <w:rStyle w:val="11"/>
                <w:rFonts w:hint="eastAsia" w:ascii="宋体" w:hAnsi="宋体" w:eastAsia="宋体" w:cs="宋体"/>
                <w:color w:val="000000"/>
                <w:highlight w:val="none"/>
                <w:lang w:val="en-US" w:eastAsia="zh-CN" w:bidi="ar"/>
              </w:rPr>
              <w:t xml:space="preserve">    </w:t>
            </w:r>
            <w:r>
              <w:rPr>
                <w:rStyle w:val="11"/>
                <w:rFonts w:hint="eastAsia"/>
                <w:b/>
                <w:bCs/>
                <w:color w:val="000000"/>
                <w:highlight w:val="none"/>
                <w:lang w:val="en-US" w:eastAsia="zh-CN" w:bidi="ar"/>
              </w:rPr>
              <w:t>同一个人员只计一次分。</w:t>
            </w:r>
          </w:p>
          <w:p w14:paraId="02C401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ind w:left="0" w:leftChars="0" w:firstLine="422" w:firstLineChars="200"/>
              <w:jc w:val="both"/>
              <w:textAlignment w:val="auto"/>
              <w:rPr>
                <w:rFonts w:hint="eastAsia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highlight w:val="none"/>
                <w:lang w:val="en-US" w:eastAsia="zh-CN"/>
              </w:rPr>
              <w:t>投标文件中</w:t>
            </w:r>
            <w:r>
              <w:rPr>
                <w:rFonts w:hint="eastAsia" w:ascii="宋体" w:hAnsi="宋体" w:cs="宋体"/>
                <w:b/>
                <w:color w:val="000000"/>
                <w:highlight w:val="none"/>
                <w:lang w:val="zh-CN" w:eastAsia="zh-CN"/>
              </w:rPr>
              <w:t>提供</w:t>
            </w:r>
            <w:r>
              <w:rPr>
                <w:rFonts w:hint="eastAsia" w:ascii="宋体" w:hAnsi="宋体" w:cs="宋体"/>
                <w:b/>
                <w:color w:val="000000"/>
                <w:highlight w:val="none"/>
                <w:lang w:val="en-US" w:eastAsia="zh-CN"/>
              </w:rPr>
              <w:t>上述人员证书扫描件，以及投标人为其缴纳的2026年1月起任意3个月社保证明，否则不得分。</w:t>
            </w:r>
          </w:p>
        </w:tc>
        <w:tc>
          <w:tcPr>
            <w:tcW w:w="662" w:type="dxa"/>
            <w:noWrap w:val="0"/>
            <w:vAlign w:val="center"/>
          </w:tcPr>
          <w:p w14:paraId="25F93B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highlight w:val="none"/>
                <w:lang w:val="en-US" w:eastAsia="zh-CN"/>
              </w:rPr>
              <w:t>7</w:t>
            </w:r>
          </w:p>
        </w:tc>
      </w:tr>
      <w:tr w14:paraId="20DA2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9" w:type="dxa"/>
            <w:noWrap w:val="0"/>
            <w:vAlign w:val="center"/>
          </w:tcPr>
          <w:p w14:paraId="58A004B8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1176" w:type="dxa"/>
            <w:noWrap w:val="0"/>
            <w:vAlign w:val="center"/>
          </w:tcPr>
          <w:p w14:paraId="1E8DA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7524" w:type="dxa"/>
            <w:noWrap w:val="0"/>
            <w:vAlign w:val="center"/>
          </w:tcPr>
          <w:p w14:paraId="567EA9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ind w:left="0" w:leftChars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评标委员会根据投标人提供的技术参数响应表，以及投标人提供产品的技术性能等详细介绍进行综合评审。投标人产品性能及技术参数不满足招标文件要求且负偏离的，标“●”指标每项扣2分，未标“●”指标每项扣1分。本项全部满足的最高可得17分，最低可得0分。</w:t>
            </w:r>
          </w:p>
          <w:p w14:paraId="767E41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36" w:lineRule="auto"/>
              <w:ind w:firstLine="410" w:firstLineChars="0"/>
              <w:rPr>
                <w:rFonts w:hint="eastAsia" w:ascii="宋体" w:hAnsi="宋体" w:cs="宋体"/>
                <w:b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Cs w:val="21"/>
                <w:highlight w:val="none"/>
                <w:lang w:val="en-US" w:eastAsia="zh-CN"/>
              </w:rPr>
              <w:t>投标人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Cs w:val="21"/>
                <w:highlight w:val="none"/>
                <w:lang w:val="en-GB" w:eastAsia="zh-CN"/>
              </w:rPr>
              <w:t>最终是否构成偏离或实质性偏离情况应由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Cs w:val="21"/>
                <w:highlight w:val="none"/>
                <w:lang w:val="zh-CN" w:eastAsia="zh-CN"/>
              </w:rPr>
              <w:t>评标委员会综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Cs w:val="21"/>
                <w:highlight w:val="none"/>
                <w:lang w:val="en-GB" w:eastAsia="zh-CN"/>
              </w:rPr>
              <w:t>合评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Cs w:val="21"/>
                <w:highlight w:val="none"/>
                <w:lang w:val="zh-CN" w:eastAsia="zh-CN"/>
              </w:rPr>
              <w:t>审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Cs w:val="21"/>
                <w:highlight w:val="none"/>
                <w:lang w:val="en-GB" w:eastAsia="zh-CN"/>
              </w:rPr>
              <w:t>为准。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Cs w:val="21"/>
                <w:highlight w:val="none"/>
                <w:lang w:val="zh-CN" w:eastAsia="zh-CN"/>
              </w:rPr>
              <w:t>本项最高可得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Cs w:val="21"/>
                <w:highlight w:val="none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Cs w:val="21"/>
                <w:highlight w:val="none"/>
                <w:lang w:val="zh-CN" w:eastAsia="zh-CN"/>
              </w:rPr>
              <w:t>分，最低可得0分。</w:t>
            </w:r>
          </w:p>
        </w:tc>
        <w:tc>
          <w:tcPr>
            <w:tcW w:w="662" w:type="dxa"/>
            <w:noWrap w:val="0"/>
            <w:vAlign w:val="center"/>
          </w:tcPr>
          <w:p w14:paraId="08A9AA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highlight w:val="none"/>
                <w:lang w:val="en-US" w:eastAsia="zh-CN"/>
              </w:rPr>
              <w:t>17</w:t>
            </w:r>
          </w:p>
        </w:tc>
      </w:tr>
      <w:tr w14:paraId="607FF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769" w:type="dxa"/>
            <w:noWrap w:val="0"/>
            <w:vAlign w:val="center"/>
          </w:tcPr>
          <w:p w14:paraId="4ECA4DCF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1176" w:type="dxa"/>
            <w:noWrap w:val="0"/>
            <w:vAlign w:val="center"/>
          </w:tcPr>
          <w:p w14:paraId="054FC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highlight w:val="none"/>
                <w:lang w:val="en-US" w:eastAsia="zh-CN"/>
              </w:rPr>
              <w:t>技术方案</w:t>
            </w:r>
          </w:p>
        </w:tc>
        <w:tc>
          <w:tcPr>
            <w:tcW w:w="7524" w:type="dxa"/>
            <w:noWrap w:val="0"/>
            <w:vAlign w:val="center"/>
          </w:tcPr>
          <w:p w14:paraId="22CCF4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ind w:firstLine="420" w:firstLineChars="20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投标人提供的针对本项目总体架构、功能设计、关键技术及对建设点位现状的了解，包括实地勘查后的建设点位和相关配套了解程度评分；技术方案（包括但不限于：安装位置的经纬度信息、基建设置安装设计、网络保障、电源保障等)内容是否具有合理性、全面性、科学性进行评审：分别给予0分，1.0分，2.0分，3.0分。</w:t>
            </w:r>
          </w:p>
        </w:tc>
        <w:tc>
          <w:tcPr>
            <w:tcW w:w="662" w:type="dxa"/>
            <w:noWrap w:val="0"/>
            <w:vAlign w:val="center"/>
          </w:tcPr>
          <w:p w14:paraId="21E165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highlight w:val="none"/>
                <w:lang w:val="en-US" w:eastAsia="zh-CN"/>
              </w:rPr>
              <w:t>3</w:t>
            </w:r>
          </w:p>
        </w:tc>
      </w:tr>
      <w:tr w14:paraId="36241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9" w:type="dxa"/>
            <w:noWrap w:val="0"/>
            <w:vAlign w:val="center"/>
          </w:tcPr>
          <w:p w14:paraId="02DF61F6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1176" w:type="dxa"/>
            <w:noWrap w:val="0"/>
            <w:vAlign w:val="center"/>
          </w:tcPr>
          <w:p w14:paraId="492A5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highlight w:val="none"/>
              </w:rPr>
              <w:t>项目实施方案</w:t>
            </w:r>
          </w:p>
        </w:tc>
        <w:tc>
          <w:tcPr>
            <w:tcW w:w="7524" w:type="dxa"/>
            <w:noWrap w:val="0"/>
            <w:vAlign w:val="center"/>
          </w:tcPr>
          <w:p w14:paraId="00A198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ind w:firstLine="420" w:firstLineChars="20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根据投标人提供的整体实施方案中组织设计、项目管理、质量管理、风险管理、文档管理等方面是否具有合理性、科学性、全面性进行评审：分别给予0分，1.0分，2.0分，3.0分。</w:t>
            </w:r>
          </w:p>
        </w:tc>
        <w:tc>
          <w:tcPr>
            <w:tcW w:w="662" w:type="dxa"/>
            <w:noWrap w:val="0"/>
            <w:vAlign w:val="center"/>
          </w:tcPr>
          <w:p w14:paraId="7B2746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highlight w:val="none"/>
                <w:lang w:val="en-US" w:eastAsia="zh-CN"/>
              </w:rPr>
              <w:t>3</w:t>
            </w:r>
          </w:p>
        </w:tc>
      </w:tr>
      <w:tr w14:paraId="5D8D0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9" w:type="dxa"/>
            <w:noWrap w:val="0"/>
            <w:vAlign w:val="center"/>
          </w:tcPr>
          <w:p w14:paraId="39141161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1176" w:type="dxa"/>
            <w:noWrap w:val="0"/>
            <w:vAlign w:val="center"/>
          </w:tcPr>
          <w:p w14:paraId="34E20A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highlight w:val="none"/>
                <w:lang w:val="en-US" w:eastAsia="zh-CN"/>
              </w:rPr>
              <w:t>大模型与算力保障方案</w:t>
            </w:r>
          </w:p>
        </w:tc>
        <w:tc>
          <w:tcPr>
            <w:tcW w:w="7524" w:type="dxa"/>
            <w:noWrap w:val="0"/>
            <w:vAlign w:val="center"/>
          </w:tcPr>
          <w:p w14:paraId="30B381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ind w:firstLine="420" w:firstLineChars="20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根据投标人提供的方案进行评审，包括如下2个内容：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（1）本项目桥区安全大模型训练方案，分别给予0分，1.0分，2.0分；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（2）本项目本地算力服务（MaaS）方案，分别给予0分，1.0分，2.0分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662" w:type="dxa"/>
            <w:noWrap w:val="0"/>
            <w:vAlign w:val="center"/>
          </w:tcPr>
          <w:p w14:paraId="1CE9C6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highlight w:val="none"/>
                <w:lang w:val="en-US" w:eastAsia="zh-CN"/>
              </w:rPr>
              <w:t>4</w:t>
            </w:r>
          </w:p>
        </w:tc>
      </w:tr>
      <w:tr w14:paraId="0CF08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9" w:type="dxa"/>
            <w:shd w:val="clear" w:color="auto" w:fill="auto"/>
            <w:noWrap w:val="0"/>
            <w:vAlign w:val="center"/>
          </w:tcPr>
          <w:p w14:paraId="491EAA1C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1176" w:type="dxa"/>
            <w:shd w:val="clear" w:color="auto" w:fill="FFFFFF"/>
            <w:noWrap w:val="0"/>
            <w:vAlign w:val="center"/>
          </w:tcPr>
          <w:p w14:paraId="4B209B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highlight w:val="none"/>
                <w:lang w:val="en-US" w:eastAsia="zh-CN"/>
              </w:rPr>
              <w:t>现有系统集成与对接方案</w:t>
            </w:r>
          </w:p>
        </w:tc>
        <w:tc>
          <w:tcPr>
            <w:tcW w:w="7524" w:type="dxa"/>
            <w:shd w:val="clear" w:color="auto" w:fill="FFFFFF"/>
            <w:noWrap w:val="0"/>
            <w:vAlign w:val="center"/>
          </w:tcPr>
          <w:p w14:paraId="514608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ind w:firstLine="420" w:firstLineChars="20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根据投标人提供的方案进行评审，包括如下3个内容：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（1）本项目集成至已建船寮大桥主动预警系统的方案，分别给予0分，0.5分，1.0分；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（2）船寮大桥主动预警系统升级改造方案，分别给予0分，0.5分，1.0分；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（3）现有港航资产（视频监控、AIS、VHF）集成接入方案，分别给予0分，0.5分，1.0分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662" w:type="dxa"/>
            <w:noWrap w:val="0"/>
            <w:vAlign w:val="center"/>
          </w:tcPr>
          <w:p w14:paraId="4F78FB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highlight w:val="none"/>
                <w:lang w:val="en-US" w:eastAsia="zh-CN"/>
              </w:rPr>
              <w:t>3</w:t>
            </w:r>
          </w:p>
        </w:tc>
      </w:tr>
      <w:tr w14:paraId="59D39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9" w:type="dxa"/>
            <w:shd w:val="clear" w:color="auto" w:fill="auto"/>
            <w:noWrap w:val="0"/>
            <w:vAlign w:val="center"/>
          </w:tcPr>
          <w:p w14:paraId="561F8E69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1176" w:type="dxa"/>
            <w:shd w:val="clear" w:color="auto" w:fill="auto"/>
            <w:noWrap w:val="0"/>
            <w:vAlign w:val="center"/>
          </w:tcPr>
          <w:p w14:paraId="4BE837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highlight w:val="none"/>
                <w:lang w:val="en-US" w:eastAsia="zh-CN"/>
              </w:rPr>
              <w:t>进度方案</w:t>
            </w:r>
          </w:p>
        </w:tc>
        <w:tc>
          <w:tcPr>
            <w:tcW w:w="7524" w:type="dxa"/>
            <w:shd w:val="clear" w:color="auto" w:fill="FFFFFF"/>
            <w:noWrap w:val="0"/>
            <w:vAlign w:val="center"/>
          </w:tcPr>
          <w:p w14:paraId="2210E8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ind w:firstLine="420" w:firstLineChars="20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投标人针对本项目的服务工作的安排、流程、进度等方面科学、合理、完整、具体、可行，进度安排与招标需求切合性，节点之间细化合理性，满足项目要求进度保障措施科学合理，进度方案科学有效性等进行评审：分别给予0分，1.0分，2.0分，3.0分。</w:t>
            </w:r>
          </w:p>
        </w:tc>
        <w:tc>
          <w:tcPr>
            <w:tcW w:w="662" w:type="dxa"/>
            <w:shd w:val="clear" w:color="auto" w:fill="FFFFFF"/>
            <w:noWrap w:val="0"/>
            <w:vAlign w:val="center"/>
          </w:tcPr>
          <w:p w14:paraId="20C23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</w:tr>
      <w:tr w14:paraId="5AA22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9" w:type="dxa"/>
            <w:shd w:val="clear" w:color="auto" w:fill="auto"/>
            <w:noWrap w:val="0"/>
            <w:vAlign w:val="center"/>
          </w:tcPr>
          <w:p w14:paraId="3636FF42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1176" w:type="dxa"/>
            <w:shd w:val="clear" w:color="auto" w:fill="auto"/>
            <w:noWrap w:val="0"/>
            <w:vAlign w:val="center"/>
          </w:tcPr>
          <w:p w14:paraId="0B315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安装调试验收方案</w:t>
            </w:r>
          </w:p>
        </w:tc>
        <w:tc>
          <w:tcPr>
            <w:tcW w:w="7524" w:type="dxa"/>
            <w:shd w:val="clear" w:color="auto" w:fill="FFFFFF"/>
            <w:noWrap w:val="0"/>
            <w:vAlign w:val="center"/>
          </w:tcPr>
          <w:p w14:paraId="0125E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根据投标人提供的安装、调试、验收方案，进度安排的科学性、严密性、合理性进行评审：分别给予0分，1.0分，2.0分，3.0分。</w:t>
            </w:r>
          </w:p>
        </w:tc>
        <w:tc>
          <w:tcPr>
            <w:tcW w:w="662" w:type="dxa"/>
            <w:shd w:val="clear" w:color="auto" w:fill="FFFFFF"/>
            <w:noWrap w:val="0"/>
            <w:vAlign w:val="center"/>
          </w:tcPr>
          <w:p w14:paraId="4D94A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</w:tr>
      <w:tr w14:paraId="5F64C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9" w:type="dxa"/>
            <w:noWrap w:val="0"/>
            <w:vAlign w:val="center"/>
          </w:tcPr>
          <w:p w14:paraId="31F60C93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highlight w:val="none"/>
                <w:lang w:eastAsia="zh-CN"/>
              </w:rPr>
            </w:pPr>
          </w:p>
        </w:tc>
        <w:tc>
          <w:tcPr>
            <w:tcW w:w="1176" w:type="dxa"/>
            <w:noWrap w:val="0"/>
            <w:vAlign w:val="center"/>
          </w:tcPr>
          <w:p w14:paraId="41EA1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应急方案</w:t>
            </w:r>
          </w:p>
        </w:tc>
        <w:tc>
          <w:tcPr>
            <w:tcW w:w="7524" w:type="dxa"/>
            <w:noWrap w:val="0"/>
            <w:vAlign w:val="center"/>
          </w:tcPr>
          <w:p w14:paraId="59F03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bCs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根据针对本项目基本情况，提供的应急响应方案的详细、条理清晰、前后逻辑一致、具有针对性和可操作性进行评审：分别给予0分，1.0分，2.0分，3.0分。</w:t>
            </w:r>
          </w:p>
        </w:tc>
        <w:tc>
          <w:tcPr>
            <w:tcW w:w="662" w:type="dxa"/>
            <w:noWrap w:val="0"/>
            <w:vAlign w:val="center"/>
          </w:tcPr>
          <w:p w14:paraId="2F4B3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</w:tr>
      <w:tr w14:paraId="20349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9" w:type="dxa"/>
            <w:shd w:val="clear" w:color="auto" w:fill="auto"/>
            <w:noWrap w:val="0"/>
            <w:vAlign w:val="center"/>
          </w:tcPr>
          <w:p w14:paraId="6C77F3FD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highlight w:val="none"/>
                <w:lang w:eastAsia="zh-CN"/>
              </w:rPr>
            </w:pPr>
          </w:p>
        </w:tc>
        <w:tc>
          <w:tcPr>
            <w:tcW w:w="1176" w:type="dxa"/>
            <w:shd w:val="clear" w:color="auto" w:fill="FFFFFF"/>
            <w:noWrap w:val="0"/>
            <w:vAlign w:val="center"/>
          </w:tcPr>
          <w:p w14:paraId="668A7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合理化建议</w:t>
            </w:r>
          </w:p>
        </w:tc>
        <w:tc>
          <w:tcPr>
            <w:tcW w:w="7524" w:type="dxa"/>
            <w:shd w:val="clear" w:color="auto" w:fill="FFFFFF"/>
            <w:noWrap w:val="0"/>
            <w:vAlign w:val="center"/>
          </w:tcPr>
          <w:p w14:paraId="220E7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根据本项目的特点和具体实际，按照招标文件的各项要求，提出有针对性的合理化建议，包括如下几个方向：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（1）如何提升视频监控在线率：分别给予0分，0.5分，1.0分；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（2）人工智能如何赋能本项目：分别给予0分，0.5分，1.0分；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（3）如何提升港航监管数智化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分别给予0分，0.5分，1.0分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662" w:type="dxa"/>
            <w:noWrap w:val="0"/>
            <w:vAlign w:val="center"/>
          </w:tcPr>
          <w:p w14:paraId="5F22A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</w:tr>
      <w:tr w14:paraId="48872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9" w:type="dxa"/>
            <w:noWrap w:val="0"/>
            <w:vAlign w:val="center"/>
          </w:tcPr>
          <w:p w14:paraId="4E40F1CF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highlight w:val="none"/>
                <w:lang w:eastAsia="zh-CN"/>
              </w:rPr>
            </w:pPr>
          </w:p>
        </w:tc>
        <w:tc>
          <w:tcPr>
            <w:tcW w:w="1176" w:type="dxa"/>
            <w:noWrap w:val="0"/>
            <w:vAlign w:val="center"/>
          </w:tcPr>
          <w:p w14:paraId="35951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售后服务方案</w:t>
            </w:r>
          </w:p>
        </w:tc>
        <w:tc>
          <w:tcPr>
            <w:tcW w:w="7524" w:type="dxa"/>
            <w:noWrap w:val="0"/>
            <w:vAlign w:val="center"/>
          </w:tcPr>
          <w:p w14:paraId="55D77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根据投标人提供的本地化服务能力、服务场地及团队介绍、售后服务承诺、售后服务流程、技术支持和维护措施、培训等是否具有全面性、合理性进行评审：分别给予0分，1.0分，2.0分，3.0分。</w:t>
            </w:r>
          </w:p>
        </w:tc>
        <w:tc>
          <w:tcPr>
            <w:tcW w:w="662" w:type="dxa"/>
            <w:noWrap w:val="0"/>
            <w:vAlign w:val="center"/>
          </w:tcPr>
          <w:p w14:paraId="6EC35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</w:tr>
      <w:tr w14:paraId="7A40F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9" w:type="dxa"/>
            <w:noWrap w:val="0"/>
            <w:vAlign w:val="center"/>
          </w:tcPr>
          <w:p w14:paraId="30A3AD95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highlight w:val="none"/>
                <w:lang w:eastAsia="zh-CN"/>
              </w:rPr>
            </w:pPr>
          </w:p>
        </w:tc>
        <w:tc>
          <w:tcPr>
            <w:tcW w:w="1176" w:type="dxa"/>
            <w:noWrap w:val="0"/>
            <w:vAlign w:val="center"/>
          </w:tcPr>
          <w:p w14:paraId="663BC3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视频演示</w:t>
            </w:r>
          </w:p>
        </w:tc>
        <w:tc>
          <w:tcPr>
            <w:tcW w:w="7524" w:type="dxa"/>
            <w:noWrap w:val="0"/>
            <w:vAlign w:val="center"/>
          </w:tcPr>
          <w:p w14:paraId="53E8AE75"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一、端云协同演示（1分）</w:t>
            </w:r>
          </w:p>
          <w:p w14:paraId="60F405C2"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（1）支持端侧算力、算法部署，满足端侧的AI检测需求；支持端云互联，在端侧引入云端海量算法、大模型能力；满足要求的得0.5分，否则不得分。</w:t>
            </w:r>
          </w:p>
          <w:p w14:paraId="147A8759"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（2）支持云端虚拟机在线迁移至边缘节点，业务不中断；满足要求的得0.5分，否则不得分。</w:t>
            </w:r>
          </w:p>
          <w:p w14:paraId="3700E1CE"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、多模态大模型演示（5分）</w:t>
            </w:r>
          </w:p>
          <w:p w14:paraId="2F6EA0D9"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（1）大模型用于预警发现</w:t>
            </w:r>
          </w:p>
          <w:p w14:paraId="2A183214"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11"/>
                <w:color w:val="000000"/>
                <w:highlight w:val="none"/>
                <w:lang w:val="en-US" w:eastAsia="zh-CN" w:bidi="ar"/>
              </w:rPr>
              <w:t>①“想法即算法”，无需重新定制模型算法，只需文字描述输入需要检测的目标，即可进行目标检测，并在页面实时弹出预警；满足要求的得1分，否则不得分。</w:t>
            </w:r>
          </w:p>
          <w:p w14:paraId="541520F3"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11"/>
                <w:color w:val="000000"/>
                <w:highlight w:val="none"/>
                <w:lang w:val="en-US" w:eastAsia="zh-CN" w:bidi="ar"/>
              </w:rPr>
              <w:t>②同时支持无人机视频画面、岸边视频监控画面、执法船上视频监控画面接入预警；满足要求的得1分，否则不得分。</w:t>
            </w:r>
          </w:p>
          <w:p w14:paraId="1A0B8A7E"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（2）大模型用于预警审核</w:t>
            </w:r>
          </w:p>
          <w:p w14:paraId="38F35301"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11"/>
                <w:color w:val="000000"/>
                <w:highlight w:val="none"/>
                <w:lang w:val="en-US" w:eastAsia="zh-CN" w:bidi="ar"/>
              </w:rPr>
              <w:t>针对预警信息支持大模型用于预警审核，灵活满足多种审核尺度、过滤类型需求；满足要求的得1分，否则不得分。</w:t>
            </w:r>
          </w:p>
          <w:p w14:paraId="783DE649"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（3）支持多种算力架构和量化模型</w:t>
            </w:r>
          </w:p>
          <w:p w14:paraId="1BFDA75C"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①模型量化runtime要求：支持不少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于两种算力架构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；满足要求的得1分，否则不得分。</w:t>
            </w:r>
          </w:p>
          <w:p w14:paraId="4665BCC1"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②支持自定义租户级别接入秘钥、具备token计费、多模型管理功能；满足要求的得1分，否则不得分。</w:t>
            </w:r>
          </w:p>
          <w:p w14:paraId="24CD3B56"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三、AI预警平台功能演示（6分）</w:t>
            </w:r>
          </w:p>
          <w:p w14:paraId="5F8B08E3"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（1）提供满足业务场景需求的PC端、手机端：</w:t>
            </w:r>
          </w:p>
          <w:p w14:paraId="45168C55"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要求在国产操作系统电脑（统信UOS、中标麒麟）上，无需安装额外插件情况下正常运行；满足要求的得1分，否则不得分。</w:t>
            </w:r>
          </w:p>
          <w:p w14:paraId="197E3677"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）PC端</w:t>
            </w:r>
          </w:p>
          <w:p w14:paraId="6CC5A5AA"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11"/>
                <w:b/>
                <w:bCs/>
                <w:color w:val="000000"/>
                <w:highlight w:val="none"/>
                <w:lang w:val="en-US" w:eastAsia="zh-CN" w:bidi="ar"/>
              </w:rPr>
              <w:t>①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预警事件模块</w:t>
            </w:r>
          </w:p>
          <w:p w14:paraId="0B8EF87E"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支持事件处置：进行处理回单，输入文字描述、上传图片反馈；支持大模型接入对预警信息进行审核，减少误告警；满足要求的得1分，否则不得分。</w:t>
            </w:r>
          </w:p>
          <w:p w14:paraId="5B064091"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视频广场模块</w:t>
            </w:r>
          </w:p>
          <w:p w14:paraId="396DC91D"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针对球机，无需额外安装其他插件或者应用，提供如下支持：</w:t>
            </w:r>
          </w:p>
          <w:p w14:paraId="28912339"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支持指点跳转：点击打开小地图，点击地图上的点，球机自动跳转到相应位置；支持一键跳转，输入P、T、Z的数值后，可以一键跳转到对应的位置；满足要求的得1分，否则不得分。</w:t>
            </w:r>
          </w:p>
          <w:p w14:paraId="0981A74D"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③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设备定位模块</w:t>
            </w:r>
          </w:p>
          <w:p w14:paraId="2C039029"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支持AIS侦测到的船舶位置接入；针对不带AIS或者未开启AIS的船只，支持激光定位云台AI检测到的船舶位置（经纬度）接入；满足要求的得1分，否则不得分。</w:t>
            </w:r>
          </w:p>
          <w:p w14:paraId="3963F628"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）手机端</w:t>
            </w:r>
          </w:p>
          <w:p w14:paraId="633F5BEF"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11"/>
                <w:b/>
                <w:bCs/>
                <w:color w:val="000000"/>
                <w:highlight w:val="none"/>
                <w:lang w:val="en-US" w:eastAsia="zh-CN" w:bidi="ar"/>
              </w:rPr>
              <w:t>①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告警点位查看功能</w:t>
            </w:r>
          </w:p>
          <w:p w14:paraId="3C4B7522"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支持手机端查看告警点位在地图上的位置，并能通过调用手机内置导航到现场；满足要求的得1分，否则不得分。</w:t>
            </w:r>
          </w:p>
          <w:p w14:paraId="421B1984"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告警展示功能</w:t>
            </w:r>
          </w:p>
          <w:p w14:paraId="72DA9A54"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支持手机小程序查看告警视频、图片（支持手机上自由缩放查看）；满足要求的得1分，否则不得分。</w:t>
            </w:r>
          </w:p>
          <w:p w14:paraId="585644DE"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注：视频要求</w:t>
            </w:r>
          </w:p>
          <w:p w14:paraId="058DCB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ind w:firstLine="210" w:firstLineChars="100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  <w:t>1.视频长度不超过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  <w:t>分钟</w:t>
            </w:r>
          </w:p>
          <w:p w14:paraId="3F90C7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ind w:left="0" w:leftChars="0" w:firstLine="422" w:firstLineChars="200"/>
              <w:jc w:val="both"/>
              <w:textAlignment w:val="auto"/>
              <w:rPr>
                <w:rFonts w:hint="eastAsia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highlight w:val="none"/>
                <w:lang w:eastAsia="zh-CN"/>
              </w:rPr>
              <w:t>投标人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highlight w:val="none"/>
              </w:rPr>
              <w:t>应将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highlight w:val="none"/>
                <w:lang w:val="en-US" w:eastAsia="zh-CN"/>
              </w:rPr>
              <w:t>演示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highlight w:val="none"/>
              </w:rPr>
              <w:t>内容提前拍摄成视频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highlight w:val="none"/>
                <w:lang w:val="en-US" w:eastAsia="zh-CN"/>
              </w:rPr>
              <w:t>等形式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highlight w:val="none"/>
              </w:rPr>
              <w:t>并压缩加密（密码由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highlight w:val="none"/>
                <w:lang w:eastAsia="zh-CN"/>
              </w:rPr>
              <w:t>投标人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highlight w:val="none"/>
              </w:rPr>
              <w:t>自行保管），并在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highlight w:val="none"/>
                <w:lang w:val="en-US" w:eastAsia="zh-CN"/>
              </w:rPr>
              <w:t>投标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highlight w:val="none"/>
                <w:lang w:eastAsia="zh-CN"/>
              </w:rPr>
              <w:t>截止时间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highlight w:val="none"/>
              </w:rPr>
              <w:t>前将加密视频文件一次性（限时内多次发送的，以最后一次为准，其余无效）发送至代理机构指定邮箱（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highlight w:val="none"/>
                <w:lang w:val="en-US" w:eastAsia="zh-CN"/>
              </w:rPr>
              <w:t>1091844807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@qq.com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highlight w:val="none"/>
              </w:rPr>
              <w:t>）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highlight w:val="none"/>
                <w:lang w:val="en-US" w:eastAsia="zh-CN"/>
              </w:rPr>
              <w:t>投标人提供的演示内容未加密的，此风险由投标人自行承担。投标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highlight w:val="none"/>
                <w:lang w:eastAsia="zh-CN"/>
              </w:rPr>
              <w:t>截止时间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highlight w:val="none"/>
              </w:rPr>
              <w:t>后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highlight w:val="none"/>
                <w:lang w:val="en-US" w:eastAsia="zh-CN"/>
              </w:rPr>
              <w:t>30分钟内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highlight w:val="none"/>
              </w:rPr>
              <w:t>，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highlight w:val="none"/>
                <w:lang w:eastAsia="zh-CN"/>
              </w:rPr>
              <w:t>投标人自行将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highlight w:val="none"/>
              </w:rPr>
              <w:t>视频密码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highlight w:val="none"/>
                <w:lang w:eastAsia="zh-CN"/>
              </w:rPr>
              <w:t>发送至代理机构上述邮箱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highlight w:val="none"/>
              </w:rPr>
              <w:t>，未在规定时间内发送讲解视频或视频无法打开的不得分。</w:t>
            </w:r>
          </w:p>
        </w:tc>
        <w:tc>
          <w:tcPr>
            <w:tcW w:w="662" w:type="dxa"/>
            <w:noWrap w:val="0"/>
            <w:vAlign w:val="center"/>
          </w:tcPr>
          <w:p w14:paraId="41B86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</w:p>
        </w:tc>
      </w:tr>
      <w:tr w14:paraId="69699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31" w:type="dxa"/>
            <w:gridSpan w:val="4"/>
            <w:noWrap w:val="0"/>
            <w:vAlign w:val="center"/>
          </w:tcPr>
          <w:p w14:paraId="78D836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ind w:firstLine="420" w:firstLineChars="20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  <w:t>注：</w:t>
            </w:r>
            <w:r>
              <w:rPr>
                <w:rFonts w:hint="eastAsia" w:ascii="宋体" w:hAnsi="宋体" w:eastAsia="宋体" w:cs="宋体"/>
                <w:color w:val="000000"/>
                <w:spacing w:val="-9"/>
                <w:w w:val="105"/>
                <w:szCs w:val="21"/>
                <w:highlight w:val="none"/>
              </w:rPr>
              <w:t>按照</w:t>
            </w:r>
            <w:r>
              <w:rPr>
                <w:rFonts w:hint="eastAsia" w:ascii="宋体" w:hAnsi="宋体" w:eastAsia="宋体" w:cs="宋体"/>
                <w:color w:val="000000"/>
                <w:spacing w:val="-9"/>
                <w:w w:val="105"/>
                <w:szCs w:val="21"/>
                <w:highlight w:val="none"/>
                <w:lang w:eastAsia="zh-CN"/>
              </w:rPr>
              <w:t>评标委员会</w:t>
            </w:r>
            <w:r>
              <w:rPr>
                <w:rFonts w:hint="eastAsia" w:ascii="宋体" w:hAnsi="宋体" w:eastAsia="宋体" w:cs="宋体"/>
                <w:color w:val="000000"/>
                <w:spacing w:val="-9"/>
                <w:w w:val="105"/>
                <w:szCs w:val="21"/>
                <w:highlight w:val="none"/>
              </w:rPr>
              <w:t>成员的独立评分结果汇总后的算术平均分计算，计算公式为：资信商务及技术分=</w:t>
            </w:r>
            <w:r>
              <w:rPr>
                <w:rFonts w:hint="eastAsia" w:ascii="宋体" w:hAnsi="宋体" w:eastAsia="宋体" w:cs="宋体"/>
                <w:color w:val="000000"/>
                <w:spacing w:val="-9"/>
                <w:w w:val="105"/>
                <w:szCs w:val="21"/>
                <w:highlight w:val="none"/>
                <w:lang w:eastAsia="zh-CN"/>
              </w:rPr>
              <w:t>评标委员会</w:t>
            </w:r>
            <w:r>
              <w:rPr>
                <w:rFonts w:hint="eastAsia" w:ascii="宋体" w:hAnsi="宋体" w:eastAsia="宋体" w:cs="宋体"/>
                <w:color w:val="000000"/>
                <w:spacing w:val="-9"/>
                <w:w w:val="105"/>
                <w:szCs w:val="21"/>
                <w:highlight w:val="none"/>
              </w:rPr>
              <w:t>所有成员评分合计数/评标委员会组成人员数。</w:t>
            </w:r>
          </w:p>
        </w:tc>
      </w:tr>
      <w:bookmarkEnd w:id="0"/>
    </w:tbl>
    <w:p w14:paraId="10B522F2">
      <w:pPr>
        <w:rPr>
          <w:highlight w:val="none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-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A03838"/>
    <w:multiLevelType w:val="singleLevel"/>
    <w:tmpl w:val="D3A03838"/>
    <w:lvl w:ilvl="0" w:tentative="0">
      <w:start w:val="1"/>
      <w:numFmt w:val="decimal"/>
      <w:suff w:val="nothing"/>
      <w:lvlText w:val="%1"/>
      <w:lvlJc w:val="left"/>
      <w:pPr>
        <w:ind w:left="425" w:hanging="425"/>
      </w:pPr>
      <w:rPr>
        <w:rFonts w:hint="default"/>
      </w:rPr>
    </w:lvl>
  </w:abstractNum>
  <w:abstractNum w:abstractNumId="1">
    <w:nsid w:val="E7DC8587"/>
    <w:multiLevelType w:val="singleLevel"/>
    <w:tmpl w:val="E7DC8587"/>
    <w:lvl w:ilvl="0" w:tentative="0">
      <w:start w:val="1"/>
      <w:numFmt w:val="decimal"/>
      <w:suff w:val="nothing"/>
      <w:lvlText w:val="%1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225D56"/>
    <w:rsid w:val="42064962"/>
    <w:rsid w:val="4D553C64"/>
    <w:rsid w:val="7322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4">
    <w:name w:val="Plain Text"/>
    <w:basedOn w:val="1"/>
    <w:next w:val="1"/>
    <w:qFormat/>
    <w:uiPriority w:val="0"/>
    <w:rPr>
      <w:rFonts w:ascii="宋体" w:hAnsi="Courier New"/>
      <w:kern w:val="0"/>
      <w:sz w:val="24"/>
      <w:szCs w:val="20"/>
    </w:rPr>
  </w:style>
  <w:style w:type="paragraph" w:styleId="5">
    <w:name w:val="Body Text First Indent 2"/>
    <w:basedOn w:val="3"/>
    <w:next w:val="1"/>
    <w:qFormat/>
    <w:uiPriority w:val="0"/>
    <w:pPr>
      <w:spacing w:after="120"/>
      <w:ind w:left="420" w:leftChars="200" w:firstLine="420"/>
    </w:pPr>
    <w:rPr>
      <w:rFonts w:cs="宋体"/>
      <w:sz w:val="21"/>
      <w:szCs w:val="21"/>
    </w:rPr>
  </w:style>
  <w:style w:type="character" w:customStyle="1" w:styleId="8">
    <w:name w:val="font5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9">
    <w:name w:val="font4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0">
    <w:name w:val="font61"/>
    <w:basedOn w:val="7"/>
    <w:qFormat/>
    <w:uiPriority w:val="0"/>
    <w:rPr>
      <w:rFonts w:hint="eastAsia" w:ascii="宋体-简" w:hAnsi="宋体-简" w:eastAsia="宋体-简" w:cs="宋体-简"/>
      <w:color w:val="000000"/>
      <w:sz w:val="20"/>
      <w:szCs w:val="20"/>
      <w:u w:val="none"/>
    </w:rPr>
  </w:style>
  <w:style w:type="character" w:customStyle="1" w:styleId="11">
    <w:name w:val="font2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2026-05-14T09:54:00Z</dcterms:created>
  <dc:creator>lala</dc:creator>
  <cp:lastModifiedBy>lala</cp:lastModifiedBy>
  <dcterms:modified xsi:type="dcterms:W3CDTF">2026-05-14T09:55:02Z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EA6808F548FF4D4B9218544E3D811BF9_11</vt:lpwstr>
  </property>
  <property fmtid="{D5CDD505-2E9C-101B-9397-08002B2CF9AE}" pid="4" name="KSOTemplateDocerSaveRecord">
    <vt:lpwstr>eyJoZGlkIjoiYjI5YTNhZDlhZDVkNWViZWU0NGMxZGFkNGY5MTI1ZTEiLCJ1c2VySWQiOiIxMDg2NDgxMzE5In0=</vt:lpwstr>
  </property>
</Properties>
</file>