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4329D">
      <w:pPr>
        <w:spacing w:line="360" w:lineRule="auto"/>
        <w:ind w:right="42" w:rightChars="20"/>
        <w:jc w:val="center"/>
        <w:rPr>
          <w:rFonts w:hint="default" w:asciiTheme="minorEastAsia" w:hAnsiTheme="minorEastAsia" w:eastAsiaTheme="minorEastAsia"/>
          <w:b/>
          <w:bCs/>
          <w:color w:val="auto"/>
          <w:sz w:val="36"/>
          <w:szCs w:val="36"/>
          <w:highlight w:val="none"/>
          <w:lang w:val="en-US" w:eastAsia="zh-CN"/>
        </w:rPr>
      </w:pPr>
      <w:r>
        <w:rPr>
          <w:rFonts w:hint="eastAsia" w:asciiTheme="minorEastAsia" w:hAnsiTheme="minorEastAsia" w:eastAsiaTheme="minorEastAsia"/>
          <w:b/>
          <w:bCs/>
          <w:color w:val="auto"/>
          <w:sz w:val="36"/>
          <w:szCs w:val="36"/>
          <w:highlight w:val="none"/>
          <w:lang w:val="en-US" w:eastAsia="zh-CN"/>
        </w:rPr>
        <w:t xml:space="preserve">              </w:t>
      </w:r>
    </w:p>
    <w:p w14:paraId="4CB837A7">
      <w:pPr>
        <w:spacing w:line="360" w:lineRule="auto"/>
        <w:ind w:right="42" w:rightChars="20"/>
        <w:jc w:val="center"/>
        <w:rPr>
          <w:rFonts w:hint="eastAsia" w:asciiTheme="minorEastAsia" w:hAnsiTheme="minorEastAsia" w:eastAsiaTheme="minorEastAsia"/>
          <w:b/>
          <w:bCs/>
          <w:color w:val="auto"/>
          <w:sz w:val="36"/>
          <w:szCs w:val="36"/>
          <w:highlight w:val="none"/>
          <w:lang w:eastAsia="zh-CN"/>
        </w:rPr>
      </w:pPr>
      <w:r>
        <w:rPr>
          <w:rFonts w:hint="eastAsia" w:asciiTheme="minorEastAsia" w:hAnsiTheme="minorEastAsia" w:eastAsiaTheme="minorEastAsia"/>
          <w:b/>
          <w:bCs/>
          <w:color w:val="auto"/>
          <w:sz w:val="36"/>
          <w:szCs w:val="36"/>
          <w:highlight w:val="none"/>
          <w:lang w:eastAsia="zh-CN"/>
        </w:rPr>
        <w:t>秀洲区2026年农作物病虫害统防统治与绿色防控项目</w:t>
      </w:r>
    </w:p>
    <w:p w14:paraId="21BCE7D4">
      <w:pPr>
        <w:spacing w:line="360" w:lineRule="auto"/>
        <w:ind w:right="42" w:rightChars="20"/>
        <w:jc w:val="center"/>
        <w:rPr>
          <w:rFonts w:asciiTheme="minorEastAsia" w:hAnsiTheme="minorEastAsia" w:eastAsiaTheme="minorEastAsia"/>
          <w:color w:val="auto"/>
          <w:sz w:val="36"/>
          <w:szCs w:val="36"/>
          <w:highlight w:val="none"/>
        </w:rPr>
      </w:pPr>
      <w:r>
        <w:rPr>
          <w:rFonts w:hint="eastAsia" w:asciiTheme="minorEastAsia" w:hAnsiTheme="minorEastAsia" w:eastAsiaTheme="minorEastAsia"/>
          <w:b/>
          <w:bCs/>
          <w:color w:val="auto"/>
          <w:sz w:val="36"/>
          <w:szCs w:val="36"/>
          <w:highlight w:val="none"/>
        </w:rPr>
        <w:t>（线上电子招投标）</w:t>
      </w:r>
    </w:p>
    <w:p w14:paraId="20B7C2EE">
      <w:pPr>
        <w:pStyle w:val="101"/>
        <w:rPr>
          <w:color w:val="auto"/>
          <w:highlight w:val="none"/>
        </w:rPr>
      </w:pPr>
    </w:p>
    <w:p w14:paraId="15536897">
      <w:pPr>
        <w:spacing w:line="360" w:lineRule="auto"/>
        <w:ind w:right="42" w:rightChars="20"/>
        <w:jc w:val="center"/>
        <w:rPr>
          <w:rFonts w:asciiTheme="minorEastAsia" w:hAnsiTheme="minorEastAsia" w:eastAsiaTheme="minorEastAsia"/>
          <w:b/>
          <w:color w:val="auto"/>
          <w:sz w:val="52"/>
          <w:szCs w:val="52"/>
          <w:highlight w:val="none"/>
        </w:rPr>
      </w:pPr>
      <w:r>
        <w:rPr>
          <w:rFonts w:hint="eastAsia" w:asciiTheme="minorEastAsia" w:hAnsiTheme="minorEastAsia" w:eastAsiaTheme="minorEastAsia"/>
          <w:b/>
          <w:color w:val="auto"/>
          <w:sz w:val="52"/>
          <w:szCs w:val="52"/>
          <w:highlight w:val="none"/>
        </w:rPr>
        <w:t>公</w:t>
      </w:r>
    </w:p>
    <w:p w14:paraId="118F355C">
      <w:pPr>
        <w:spacing w:line="360" w:lineRule="auto"/>
        <w:ind w:right="42" w:rightChars="20"/>
        <w:jc w:val="center"/>
        <w:rPr>
          <w:rFonts w:asciiTheme="minorEastAsia" w:hAnsiTheme="minorEastAsia" w:eastAsiaTheme="minorEastAsia"/>
          <w:b/>
          <w:color w:val="auto"/>
          <w:sz w:val="52"/>
          <w:szCs w:val="52"/>
          <w:highlight w:val="none"/>
        </w:rPr>
      </w:pPr>
      <w:r>
        <w:rPr>
          <w:rFonts w:hint="eastAsia" w:asciiTheme="minorEastAsia" w:hAnsiTheme="minorEastAsia" w:eastAsiaTheme="minorEastAsia"/>
          <w:b/>
          <w:color w:val="auto"/>
          <w:sz w:val="52"/>
          <w:szCs w:val="52"/>
          <w:highlight w:val="none"/>
        </w:rPr>
        <w:t>开</w:t>
      </w:r>
    </w:p>
    <w:p w14:paraId="444CEC41">
      <w:pPr>
        <w:spacing w:line="360" w:lineRule="auto"/>
        <w:ind w:right="42" w:rightChars="20"/>
        <w:jc w:val="center"/>
        <w:rPr>
          <w:rFonts w:asciiTheme="minorEastAsia" w:hAnsiTheme="minorEastAsia" w:eastAsiaTheme="minorEastAsia"/>
          <w:b/>
          <w:color w:val="auto"/>
          <w:sz w:val="52"/>
          <w:szCs w:val="52"/>
          <w:highlight w:val="none"/>
        </w:rPr>
      </w:pPr>
      <w:r>
        <w:rPr>
          <w:rFonts w:hint="eastAsia" w:asciiTheme="minorEastAsia" w:hAnsiTheme="minorEastAsia" w:eastAsiaTheme="minorEastAsia"/>
          <w:b/>
          <w:color w:val="auto"/>
          <w:sz w:val="52"/>
          <w:szCs w:val="52"/>
          <w:highlight w:val="none"/>
        </w:rPr>
        <w:t>招</w:t>
      </w:r>
    </w:p>
    <w:p w14:paraId="46304F72">
      <w:pPr>
        <w:spacing w:line="360" w:lineRule="auto"/>
        <w:ind w:right="42" w:rightChars="20"/>
        <w:jc w:val="center"/>
        <w:rPr>
          <w:rFonts w:asciiTheme="minorEastAsia" w:hAnsiTheme="minorEastAsia" w:eastAsiaTheme="minorEastAsia"/>
          <w:b/>
          <w:color w:val="auto"/>
          <w:sz w:val="52"/>
          <w:szCs w:val="52"/>
          <w:highlight w:val="none"/>
        </w:rPr>
      </w:pPr>
      <w:r>
        <w:rPr>
          <w:rFonts w:hint="eastAsia" w:asciiTheme="minorEastAsia" w:hAnsiTheme="minorEastAsia" w:eastAsiaTheme="minorEastAsia"/>
          <w:b/>
          <w:color w:val="auto"/>
          <w:sz w:val="52"/>
          <w:szCs w:val="52"/>
          <w:highlight w:val="none"/>
        </w:rPr>
        <w:t>标</w:t>
      </w:r>
    </w:p>
    <w:p w14:paraId="5579F1DF">
      <w:pPr>
        <w:spacing w:line="360" w:lineRule="auto"/>
        <w:ind w:right="42" w:rightChars="20"/>
        <w:jc w:val="center"/>
        <w:rPr>
          <w:rFonts w:asciiTheme="minorEastAsia" w:hAnsiTheme="minorEastAsia" w:eastAsiaTheme="minorEastAsia"/>
          <w:b/>
          <w:color w:val="auto"/>
          <w:sz w:val="52"/>
          <w:szCs w:val="52"/>
          <w:highlight w:val="none"/>
        </w:rPr>
      </w:pPr>
      <w:r>
        <w:rPr>
          <w:rFonts w:hint="eastAsia" w:asciiTheme="minorEastAsia" w:hAnsiTheme="minorEastAsia" w:eastAsiaTheme="minorEastAsia"/>
          <w:b/>
          <w:color w:val="auto"/>
          <w:sz w:val="52"/>
          <w:szCs w:val="52"/>
          <w:highlight w:val="none"/>
        </w:rPr>
        <w:t>文</w:t>
      </w:r>
    </w:p>
    <w:p w14:paraId="6F18B076">
      <w:pPr>
        <w:spacing w:line="360" w:lineRule="auto"/>
        <w:ind w:right="42" w:rightChars="20"/>
        <w:jc w:val="center"/>
        <w:rPr>
          <w:rFonts w:asciiTheme="minorEastAsia" w:hAnsiTheme="minorEastAsia" w:eastAsiaTheme="minorEastAsia"/>
          <w:b/>
          <w:color w:val="auto"/>
          <w:sz w:val="52"/>
          <w:szCs w:val="52"/>
          <w:highlight w:val="none"/>
        </w:rPr>
      </w:pPr>
      <w:r>
        <w:rPr>
          <w:rFonts w:hint="eastAsia" w:asciiTheme="minorEastAsia" w:hAnsiTheme="minorEastAsia" w:eastAsiaTheme="minorEastAsia"/>
          <w:b/>
          <w:color w:val="auto"/>
          <w:sz w:val="52"/>
          <w:szCs w:val="52"/>
          <w:highlight w:val="none"/>
        </w:rPr>
        <w:t>件</w:t>
      </w:r>
    </w:p>
    <w:p w14:paraId="712278A2">
      <w:pPr>
        <w:pStyle w:val="101"/>
        <w:rPr>
          <w:color w:val="auto"/>
          <w:highlight w:val="none"/>
        </w:rPr>
      </w:pPr>
    </w:p>
    <w:p w14:paraId="6E24269B">
      <w:pPr>
        <w:pStyle w:val="21"/>
        <w:spacing w:after="0" w:line="360" w:lineRule="auto"/>
        <w:ind w:right="42" w:rightChars="20"/>
        <w:rPr>
          <w:rFonts w:asciiTheme="minorEastAsia" w:hAnsiTheme="minorEastAsia" w:eastAsiaTheme="minorEastAsia"/>
          <w:color w:val="auto"/>
          <w:sz w:val="28"/>
          <w:szCs w:val="28"/>
          <w:highlight w:val="none"/>
        </w:rPr>
      </w:pPr>
    </w:p>
    <w:p w14:paraId="59EDCDE6">
      <w:pPr>
        <w:pStyle w:val="29"/>
        <w:spacing w:line="360" w:lineRule="auto"/>
        <w:ind w:right="42" w:rightChars="20" w:firstLine="1068" w:firstLineChars="400"/>
        <w:jc w:val="left"/>
        <w:rPr>
          <w:rFonts w:hint="eastAsia" w:asciiTheme="minorEastAsia" w:hAnsiTheme="minorEastAsia" w:eastAsiaTheme="minorEastAsia"/>
          <w:b/>
          <w:bCs/>
          <w:color w:val="auto"/>
          <w:w w:val="95"/>
          <w:sz w:val="28"/>
          <w:szCs w:val="28"/>
          <w:highlight w:val="none"/>
          <w:lang w:eastAsia="zh-CN"/>
        </w:rPr>
      </w:pPr>
      <w:r>
        <w:rPr>
          <w:rFonts w:hint="eastAsia" w:asciiTheme="minorEastAsia" w:hAnsiTheme="minorEastAsia" w:eastAsiaTheme="minorEastAsia"/>
          <w:b/>
          <w:bCs/>
          <w:color w:val="auto"/>
          <w:w w:val="95"/>
          <w:sz w:val="28"/>
          <w:szCs w:val="28"/>
          <w:highlight w:val="none"/>
        </w:rPr>
        <w:t>招标编号：</w:t>
      </w:r>
      <w:r>
        <w:rPr>
          <w:rFonts w:hint="eastAsia" w:asciiTheme="minorEastAsia" w:hAnsiTheme="minorEastAsia" w:eastAsiaTheme="minorEastAsia"/>
          <w:b/>
          <w:color w:val="auto"/>
          <w:sz w:val="28"/>
          <w:szCs w:val="28"/>
          <w:highlight w:val="none"/>
          <w:lang w:eastAsia="zh-CN"/>
        </w:rPr>
        <w:t>330411260350010000006-大地-DDZX-JX（2026）第22号</w:t>
      </w:r>
    </w:p>
    <w:p w14:paraId="0372AC15">
      <w:pPr>
        <w:pStyle w:val="29"/>
        <w:spacing w:line="360" w:lineRule="auto"/>
        <w:ind w:right="42" w:rightChars="20" w:firstLine="1068" w:firstLineChars="400"/>
        <w:jc w:val="left"/>
        <w:rPr>
          <w:rFonts w:asciiTheme="minorEastAsia" w:hAnsiTheme="minorEastAsia" w:eastAsiaTheme="minorEastAsia"/>
          <w:b/>
          <w:bCs/>
          <w:color w:val="auto"/>
          <w:w w:val="95"/>
          <w:sz w:val="28"/>
          <w:szCs w:val="28"/>
          <w:highlight w:val="none"/>
        </w:rPr>
      </w:pPr>
      <w:r>
        <w:rPr>
          <w:rFonts w:hint="eastAsia" w:asciiTheme="minorEastAsia" w:hAnsiTheme="minorEastAsia" w:eastAsiaTheme="minorEastAsia"/>
          <w:b/>
          <w:bCs/>
          <w:color w:val="auto"/>
          <w:w w:val="95"/>
          <w:sz w:val="28"/>
          <w:szCs w:val="28"/>
          <w:highlight w:val="none"/>
        </w:rPr>
        <w:t>采购单位：</w:t>
      </w:r>
      <w:r>
        <w:rPr>
          <w:rFonts w:hint="eastAsia" w:asciiTheme="minorEastAsia" w:hAnsiTheme="minorEastAsia" w:eastAsiaTheme="minorEastAsia"/>
          <w:b/>
          <w:color w:val="auto"/>
          <w:sz w:val="28"/>
          <w:szCs w:val="28"/>
          <w:highlight w:val="none"/>
          <w:lang w:eastAsia="zh-CN"/>
        </w:rPr>
        <w:t>嘉兴市秀洲区农业农村和水利局</w:t>
      </w:r>
      <w:r>
        <w:rPr>
          <w:rFonts w:hint="eastAsia" w:asciiTheme="minorEastAsia" w:hAnsiTheme="minorEastAsia" w:eastAsiaTheme="minorEastAsia"/>
          <w:b/>
          <w:color w:val="auto"/>
          <w:sz w:val="28"/>
          <w:szCs w:val="28"/>
          <w:highlight w:val="none"/>
        </w:rPr>
        <w:t xml:space="preserve">  </w:t>
      </w:r>
    </w:p>
    <w:p w14:paraId="2F6CE274">
      <w:pPr>
        <w:pStyle w:val="29"/>
        <w:spacing w:line="360" w:lineRule="auto"/>
        <w:ind w:right="42" w:rightChars="20" w:firstLine="1068" w:firstLineChars="400"/>
        <w:jc w:val="left"/>
        <w:rPr>
          <w:rFonts w:asciiTheme="minorEastAsia" w:hAnsiTheme="minorEastAsia" w:eastAsiaTheme="minorEastAsia"/>
          <w:b/>
          <w:bCs/>
          <w:color w:val="auto"/>
          <w:w w:val="95"/>
          <w:sz w:val="28"/>
          <w:szCs w:val="28"/>
          <w:highlight w:val="none"/>
        </w:rPr>
      </w:pPr>
      <w:r>
        <w:rPr>
          <w:rFonts w:hint="eastAsia" w:asciiTheme="minorEastAsia" w:hAnsiTheme="minorEastAsia" w:eastAsiaTheme="minorEastAsia"/>
          <w:b/>
          <w:bCs/>
          <w:color w:val="auto"/>
          <w:w w:val="95"/>
          <w:sz w:val="28"/>
          <w:szCs w:val="28"/>
          <w:highlight w:val="none"/>
        </w:rPr>
        <w:t>代理机构：大地工程咨询有限公司</w:t>
      </w:r>
    </w:p>
    <w:p w14:paraId="03329F6F">
      <w:pPr>
        <w:pStyle w:val="29"/>
        <w:spacing w:line="360" w:lineRule="auto"/>
        <w:ind w:right="42" w:rightChars="20" w:firstLine="1068" w:firstLineChars="400"/>
        <w:jc w:val="left"/>
        <w:rPr>
          <w:rFonts w:hint="eastAsia" w:asciiTheme="minorEastAsia" w:hAnsiTheme="minorEastAsia" w:eastAsiaTheme="minorEastAsia"/>
          <w:b/>
          <w:bCs/>
          <w:color w:val="auto"/>
          <w:w w:val="95"/>
          <w:sz w:val="28"/>
          <w:szCs w:val="28"/>
          <w:highlight w:val="none"/>
          <w:lang w:eastAsia="zh-CN"/>
        </w:rPr>
      </w:pPr>
      <w:r>
        <w:rPr>
          <w:rFonts w:hint="eastAsia" w:asciiTheme="minorEastAsia" w:hAnsiTheme="minorEastAsia" w:eastAsiaTheme="minorEastAsia"/>
          <w:b/>
          <w:bCs/>
          <w:color w:val="auto"/>
          <w:w w:val="95"/>
          <w:sz w:val="28"/>
          <w:szCs w:val="28"/>
          <w:highlight w:val="none"/>
        </w:rPr>
        <w:t>备案单位：</w:t>
      </w:r>
      <w:r>
        <w:rPr>
          <w:rFonts w:hint="eastAsia" w:asciiTheme="minorEastAsia" w:hAnsiTheme="minorEastAsia" w:eastAsiaTheme="minorEastAsia"/>
          <w:b/>
          <w:bCs/>
          <w:color w:val="auto"/>
          <w:w w:val="95"/>
          <w:sz w:val="28"/>
          <w:szCs w:val="28"/>
          <w:highlight w:val="none"/>
          <w:lang w:eastAsia="zh-CN"/>
        </w:rPr>
        <w:t>嘉兴市秀洲区财政局</w:t>
      </w:r>
    </w:p>
    <w:p w14:paraId="07990A8B">
      <w:pPr>
        <w:pStyle w:val="29"/>
        <w:spacing w:line="360" w:lineRule="auto"/>
        <w:ind w:right="42" w:rightChars="20" w:firstLine="1068" w:firstLineChars="400"/>
        <w:jc w:val="left"/>
        <w:rPr>
          <w:rFonts w:asciiTheme="minorEastAsia" w:hAnsiTheme="minorEastAsia" w:eastAsiaTheme="minorEastAsia"/>
          <w:b/>
          <w:bCs/>
          <w:color w:val="auto"/>
          <w:w w:val="95"/>
          <w:sz w:val="28"/>
          <w:szCs w:val="28"/>
          <w:highlight w:val="none"/>
        </w:rPr>
      </w:pPr>
    </w:p>
    <w:p w14:paraId="4B0CFA2D">
      <w:pPr>
        <w:spacing w:line="360" w:lineRule="auto"/>
        <w:ind w:right="42" w:rightChars="20" w:firstLine="534" w:firstLineChars="200"/>
        <w:jc w:val="center"/>
        <w:rPr>
          <w:rFonts w:asciiTheme="minorEastAsia" w:hAnsiTheme="minorEastAsia" w:eastAsiaTheme="minorEastAsia"/>
          <w:b/>
          <w:bCs/>
          <w:color w:val="auto"/>
          <w:w w:val="95"/>
          <w:sz w:val="28"/>
          <w:szCs w:val="28"/>
          <w:highlight w:val="none"/>
        </w:rPr>
      </w:pPr>
      <w:bookmarkStart w:id="0" w:name="_Toc427915753"/>
      <w:bookmarkStart w:id="1" w:name="_Toc493511539"/>
      <w:bookmarkStart w:id="2" w:name="_Toc50012812"/>
      <w:r>
        <w:rPr>
          <w:rFonts w:hint="eastAsia" w:asciiTheme="minorEastAsia" w:hAnsiTheme="minorEastAsia" w:eastAsiaTheme="minorEastAsia"/>
          <w:b/>
          <w:bCs/>
          <w:color w:val="auto"/>
          <w:w w:val="95"/>
          <w:sz w:val="28"/>
          <w:szCs w:val="28"/>
          <w:highlight w:val="none"/>
        </w:rPr>
        <w:t>202</w:t>
      </w:r>
      <w:r>
        <w:rPr>
          <w:rFonts w:hint="eastAsia" w:asciiTheme="minorEastAsia" w:hAnsiTheme="minorEastAsia" w:eastAsiaTheme="minorEastAsia"/>
          <w:b/>
          <w:bCs/>
          <w:color w:val="auto"/>
          <w:w w:val="95"/>
          <w:sz w:val="28"/>
          <w:szCs w:val="28"/>
          <w:highlight w:val="none"/>
          <w:lang w:val="en-US" w:eastAsia="zh-CN"/>
        </w:rPr>
        <w:t>6</w:t>
      </w:r>
      <w:r>
        <w:rPr>
          <w:rFonts w:hint="eastAsia" w:asciiTheme="minorEastAsia" w:hAnsiTheme="minorEastAsia" w:eastAsiaTheme="minorEastAsia"/>
          <w:b/>
          <w:bCs/>
          <w:color w:val="auto"/>
          <w:w w:val="95"/>
          <w:sz w:val="28"/>
          <w:szCs w:val="28"/>
          <w:highlight w:val="none"/>
        </w:rPr>
        <w:t>年</w:t>
      </w:r>
      <w:bookmarkEnd w:id="0"/>
      <w:bookmarkEnd w:id="1"/>
      <w:bookmarkEnd w:id="2"/>
      <w:r>
        <w:rPr>
          <w:rFonts w:hint="eastAsia" w:asciiTheme="minorEastAsia" w:hAnsiTheme="minorEastAsia" w:eastAsiaTheme="minorEastAsia"/>
          <w:b/>
          <w:bCs/>
          <w:color w:val="auto"/>
          <w:w w:val="95"/>
          <w:sz w:val="28"/>
          <w:szCs w:val="28"/>
          <w:highlight w:val="none"/>
          <w:lang w:val="en-US" w:eastAsia="zh-CN"/>
        </w:rPr>
        <w:t>4</w:t>
      </w:r>
      <w:r>
        <w:rPr>
          <w:rFonts w:hint="eastAsia" w:asciiTheme="minorEastAsia" w:hAnsiTheme="minorEastAsia" w:eastAsiaTheme="minorEastAsia"/>
          <w:b/>
          <w:bCs/>
          <w:color w:val="auto"/>
          <w:w w:val="95"/>
          <w:sz w:val="28"/>
          <w:szCs w:val="28"/>
          <w:highlight w:val="none"/>
        </w:rPr>
        <w:t>月</w:t>
      </w:r>
    </w:p>
    <w:p w14:paraId="728C6612">
      <w:pPr>
        <w:pStyle w:val="149"/>
        <w:spacing w:before="0" w:line="360" w:lineRule="auto"/>
        <w:ind w:right="42" w:rightChars="20" w:firstLine="422" w:firstLineChars="200"/>
        <w:rPr>
          <w:rFonts w:asciiTheme="minorEastAsia" w:hAnsiTheme="minorEastAsia" w:eastAsiaTheme="minorEastAsia"/>
          <w:color w:val="auto"/>
          <w:sz w:val="21"/>
          <w:szCs w:val="21"/>
          <w:highlight w:val="none"/>
          <w:lang w:val="zh-CN"/>
        </w:rPr>
        <w:sectPr>
          <w:footerReference r:id="rId3" w:type="default"/>
          <w:pgSz w:w="11906" w:h="16838"/>
          <w:pgMar w:top="1474" w:right="1842" w:bottom="1247" w:left="1797" w:header="851" w:footer="851" w:gutter="0"/>
          <w:pgBorders>
            <w:top w:val="none" w:sz="0" w:space="0"/>
            <w:left w:val="none" w:sz="0" w:space="0"/>
            <w:bottom w:val="none" w:sz="0" w:space="0"/>
            <w:right w:val="none" w:sz="0" w:space="0"/>
          </w:pgBorders>
          <w:cols w:space="720" w:num="1"/>
          <w:docGrid w:linePitch="312" w:charSpace="0"/>
        </w:sectPr>
      </w:pPr>
    </w:p>
    <w:p w14:paraId="7726A375">
      <w:pPr>
        <w:spacing w:line="360" w:lineRule="auto"/>
        <w:ind w:right="42" w:rightChars="20"/>
        <w:rPr>
          <w:rFonts w:asciiTheme="minorEastAsia" w:hAnsiTheme="minorEastAsia" w:eastAsiaTheme="minorEastAsia"/>
          <w:color w:val="auto"/>
          <w:highlight w:val="none"/>
        </w:rPr>
      </w:pPr>
    </w:p>
    <w:p w14:paraId="03D2E97C">
      <w:pPr>
        <w:pStyle w:val="149"/>
        <w:spacing w:before="0" w:line="360" w:lineRule="auto"/>
        <w:ind w:right="42" w:rightChars="20" w:firstLine="422" w:firstLineChars="200"/>
        <w:jc w:val="center"/>
        <w:rPr>
          <w:rFonts w:asciiTheme="minorEastAsia" w:hAnsiTheme="minorEastAsia" w:eastAsiaTheme="minorEastAsia"/>
          <w:color w:val="auto"/>
          <w:sz w:val="21"/>
          <w:szCs w:val="21"/>
          <w:highlight w:val="none"/>
        </w:rPr>
      </w:pPr>
      <w:bookmarkStart w:id="3" w:name="_Toc28810"/>
      <w:r>
        <w:rPr>
          <w:rFonts w:asciiTheme="minorEastAsia" w:hAnsiTheme="minorEastAsia" w:eastAsiaTheme="minorEastAsia"/>
          <w:color w:val="auto"/>
          <w:sz w:val="21"/>
          <w:szCs w:val="21"/>
          <w:highlight w:val="none"/>
          <w:lang w:val="zh-CN"/>
        </w:rPr>
        <w:t>目录</w:t>
      </w:r>
      <w:bookmarkEnd w:id="3"/>
    </w:p>
    <w:p w14:paraId="04C50CA9">
      <w:pPr>
        <w:pStyle w:val="37"/>
        <w:tabs>
          <w:tab w:val="right" w:leader="dot" w:pos="8312"/>
        </w:tabs>
        <w:spacing w:line="360" w:lineRule="auto"/>
        <w:ind w:right="42" w:rightChars="20"/>
        <w:rPr>
          <w:rFonts w:cs="微软雅黑" w:asciiTheme="minorEastAsia" w:hAnsiTheme="minorEastAsia" w:eastAsiaTheme="minorEastAsia"/>
          <w:color w:val="auto"/>
          <w:highlight w:val="none"/>
        </w:rPr>
      </w:pPr>
      <w:r>
        <w:rPr>
          <w:rFonts w:hint="eastAsia" w:cs="微软雅黑" w:asciiTheme="minorEastAsia" w:hAnsiTheme="minorEastAsia" w:eastAsiaTheme="minorEastAsia"/>
          <w:color w:val="auto"/>
          <w:szCs w:val="21"/>
          <w:highlight w:val="none"/>
        </w:rPr>
        <w:fldChar w:fldCharType="begin"/>
      </w:r>
      <w:r>
        <w:rPr>
          <w:rFonts w:hint="eastAsia" w:cs="微软雅黑" w:asciiTheme="minorEastAsia" w:hAnsiTheme="minorEastAsia" w:eastAsiaTheme="minorEastAsia"/>
          <w:color w:val="auto"/>
          <w:szCs w:val="21"/>
          <w:highlight w:val="none"/>
        </w:rPr>
        <w:instrText xml:space="preserve"> TOC \o "1-3" \h \z \u </w:instrText>
      </w:r>
      <w:r>
        <w:rPr>
          <w:rFonts w:hint="eastAsia" w:cs="微软雅黑" w:asciiTheme="minorEastAsia" w:hAnsiTheme="minorEastAsia" w:eastAsiaTheme="minorEastAsia"/>
          <w:color w:val="auto"/>
          <w:szCs w:val="21"/>
          <w:highlight w:val="none"/>
        </w:rPr>
        <w:fldChar w:fldCharType="separate"/>
      </w:r>
    </w:p>
    <w:p w14:paraId="5798FBE3">
      <w:pPr>
        <w:pStyle w:val="44"/>
        <w:tabs>
          <w:tab w:val="right" w:leader="dot" w:pos="8312"/>
        </w:tabs>
        <w:spacing w:line="360" w:lineRule="auto"/>
        <w:ind w:right="42" w:rightChars="20"/>
        <w:rPr>
          <w:rFonts w:cs="微软雅黑" w:asciiTheme="minorEastAsia" w:hAnsiTheme="minorEastAsia" w:eastAsiaTheme="minorEastAsia"/>
          <w:color w:val="auto"/>
          <w:highlight w:val="none"/>
        </w:rPr>
      </w:pPr>
      <w:r>
        <w:rPr>
          <w:color w:val="auto"/>
          <w:highlight w:val="none"/>
        </w:rPr>
        <w:fldChar w:fldCharType="begin"/>
      </w:r>
      <w:r>
        <w:rPr>
          <w:color w:val="auto"/>
          <w:highlight w:val="none"/>
        </w:rPr>
        <w:instrText xml:space="preserve"> HYPERLINK \l "_Toc3494" </w:instrText>
      </w:r>
      <w:r>
        <w:rPr>
          <w:color w:val="auto"/>
          <w:highlight w:val="none"/>
        </w:rPr>
        <w:fldChar w:fldCharType="separate"/>
      </w:r>
      <w:r>
        <w:rPr>
          <w:rFonts w:hint="eastAsia" w:cs="微软雅黑" w:asciiTheme="minorEastAsia" w:hAnsiTheme="minorEastAsia" w:eastAsiaTheme="minorEastAsia"/>
          <w:color w:val="auto"/>
          <w:highlight w:val="none"/>
        </w:rPr>
        <w:t>第一章  公开招标采购公告</w:t>
      </w:r>
      <w:r>
        <w:rPr>
          <w:rFonts w:hint="eastAsia" w:cs="微软雅黑" w:asciiTheme="minorEastAsia" w:hAnsiTheme="minorEastAsia" w:eastAsiaTheme="minorEastAsia"/>
          <w:color w:val="auto"/>
          <w:highlight w:val="none"/>
        </w:rPr>
        <w:tab/>
      </w:r>
      <w:r>
        <w:rPr>
          <w:rFonts w:hint="eastAsia" w:cs="微软雅黑" w:asciiTheme="minorEastAsia" w:hAnsiTheme="minorEastAsia" w:eastAsiaTheme="minorEastAsia"/>
          <w:color w:val="auto"/>
          <w:highlight w:val="none"/>
        </w:rPr>
        <w:fldChar w:fldCharType="begin"/>
      </w:r>
      <w:r>
        <w:rPr>
          <w:rFonts w:hint="eastAsia" w:cs="微软雅黑" w:asciiTheme="minorEastAsia" w:hAnsiTheme="minorEastAsia" w:eastAsiaTheme="minorEastAsia"/>
          <w:color w:val="auto"/>
          <w:highlight w:val="none"/>
        </w:rPr>
        <w:instrText xml:space="preserve"> PAGEREF _Toc3494 </w:instrText>
      </w:r>
      <w:r>
        <w:rPr>
          <w:rFonts w:hint="eastAsia" w:cs="微软雅黑" w:asciiTheme="minorEastAsia" w:hAnsiTheme="minorEastAsia" w:eastAsiaTheme="minorEastAsia"/>
          <w:color w:val="auto"/>
          <w:highlight w:val="none"/>
        </w:rPr>
        <w:fldChar w:fldCharType="separate"/>
      </w:r>
      <w:r>
        <w:rPr>
          <w:rFonts w:hint="eastAsia" w:cs="微软雅黑" w:asciiTheme="minorEastAsia" w:hAnsiTheme="minorEastAsia" w:eastAsiaTheme="minorEastAsia"/>
          <w:color w:val="auto"/>
          <w:highlight w:val="none"/>
        </w:rPr>
        <w:t>3</w:t>
      </w:r>
      <w:r>
        <w:rPr>
          <w:rFonts w:hint="eastAsia" w:cs="微软雅黑" w:asciiTheme="minorEastAsia" w:hAnsiTheme="minorEastAsia" w:eastAsiaTheme="minorEastAsia"/>
          <w:color w:val="auto"/>
          <w:highlight w:val="none"/>
        </w:rPr>
        <w:fldChar w:fldCharType="end"/>
      </w:r>
      <w:r>
        <w:rPr>
          <w:rFonts w:hint="eastAsia" w:cs="微软雅黑" w:asciiTheme="minorEastAsia" w:hAnsiTheme="minorEastAsia" w:eastAsiaTheme="minorEastAsia"/>
          <w:color w:val="auto"/>
          <w:highlight w:val="none"/>
        </w:rPr>
        <w:fldChar w:fldCharType="end"/>
      </w:r>
    </w:p>
    <w:p w14:paraId="62AFB4F5">
      <w:pPr>
        <w:pStyle w:val="44"/>
        <w:tabs>
          <w:tab w:val="right" w:leader="dot" w:pos="8312"/>
        </w:tabs>
        <w:spacing w:line="360" w:lineRule="auto"/>
        <w:ind w:right="42" w:rightChars="20"/>
        <w:rPr>
          <w:rFonts w:cs="微软雅黑" w:asciiTheme="minorEastAsia" w:hAnsiTheme="minorEastAsia" w:eastAsiaTheme="minorEastAsia"/>
          <w:color w:val="auto"/>
          <w:highlight w:val="none"/>
        </w:rPr>
      </w:pPr>
      <w:r>
        <w:rPr>
          <w:color w:val="auto"/>
          <w:highlight w:val="none"/>
        </w:rPr>
        <w:fldChar w:fldCharType="begin"/>
      </w:r>
      <w:r>
        <w:rPr>
          <w:color w:val="auto"/>
          <w:highlight w:val="none"/>
        </w:rPr>
        <w:instrText xml:space="preserve"> HYPERLINK \l "_Toc3892" </w:instrText>
      </w:r>
      <w:r>
        <w:rPr>
          <w:color w:val="auto"/>
          <w:highlight w:val="none"/>
        </w:rPr>
        <w:fldChar w:fldCharType="separate"/>
      </w:r>
      <w:r>
        <w:rPr>
          <w:rFonts w:hint="eastAsia" w:cs="微软雅黑" w:asciiTheme="minorEastAsia" w:hAnsiTheme="minorEastAsia" w:eastAsiaTheme="minorEastAsia"/>
          <w:color w:val="auto"/>
          <w:highlight w:val="none"/>
        </w:rPr>
        <w:t>第二章  采购需求</w:t>
      </w:r>
      <w:r>
        <w:rPr>
          <w:rFonts w:hint="eastAsia" w:cs="微软雅黑" w:asciiTheme="minorEastAsia" w:hAnsiTheme="minorEastAsia" w:eastAsiaTheme="minorEastAsia"/>
          <w:color w:val="auto"/>
          <w:highlight w:val="none"/>
        </w:rPr>
        <w:tab/>
      </w:r>
      <w:r>
        <w:rPr>
          <w:rFonts w:hint="eastAsia" w:cs="微软雅黑" w:asciiTheme="minorEastAsia" w:hAnsiTheme="minorEastAsia" w:eastAsiaTheme="minorEastAsia"/>
          <w:color w:val="auto"/>
          <w:highlight w:val="none"/>
        </w:rPr>
        <w:fldChar w:fldCharType="begin"/>
      </w:r>
      <w:r>
        <w:rPr>
          <w:rFonts w:hint="eastAsia" w:cs="微软雅黑" w:asciiTheme="minorEastAsia" w:hAnsiTheme="minorEastAsia" w:eastAsiaTheme="minorEastAsia"/>
          <w:color w:val="auto"/>
          <w:highlight w:val="none"/>
        </w:rPr>
        <w:instrText xml:space="preserve"> PAGEREF _Toc3892 </w:instrText>
      </w:r>
      <w:r>
        <w:rPr>
          <w:rFonts w:hint="eastAsia" w:cs="微软雅黑" w:asciiTheme="minorEastAsia" w:hAnsiTheme="minorEastAsia" w:eastAsiaTheme="minorEastAsia"/>
          <w:color w:val="auto"/>
          <w:highlight w:val="none"/>
        </w:rPr>
        <w:fldChar w:fldCharType="separate"/>
      </w:r>
      <w:r>
        <w:rPr>
          <w:rFonts w:hint="eastAsia" w:cs="微软雅黑" w:asciiTheme="minorEastAsia" w:hAnsiTheme="minorEastAsia" w:eastAsiaTheme="minorEastAsia"/>
          <w:color w:val="auto"/>
          <w:highlight w:val="none"/>
        </w:rPr>
        <w:t>3</w:t>
      </w:r>
      <w:r>
        <w:rPr>
          <w:rFonts w:hint="eastAsia" w:cs="微软雅黑" w:asciiTheme="minorEastAsia" w:hAnsiTheme="minorEastAsia" w:eastAsiaTheme="minorEastAsia"/>
          <w:color w:val="auto"/>
          <w:highlight w:val="none"/>
        </w:rPr>
        <w:fldChar w:fldCharType="end"/>
      </w:r>
      <w:r>
        <w:rPr>
          <w:rFonts w:hint="eastAsia" w:cs="微软雅黑" w:asciiTheme="minorEastAsia" w:hAnsiTheme="minorEastAsia" w:eastAsiaTheme="minorEastAsia"/>
          <w:color w:val="auto"/>
          <w:highlight w:val="none"/>
        </w:rPr>
        <w:fldChar w:fldCharType="end"/>
      </w:r>
    </w:p>
    <w:p w14:paraId="40DDF93D">
      <w:pPr>
        <w:pStyle w:val="44"/>
        <w:tabs>
          <w:tab w:val="right" w:leader="dot" w:pos="8312"/>
        </w:tabs>
        <w:spacing w:line="360" w:lineRule="auto"/>
        <w:ind w:right="42" w:rightChars="20"/>
        <w:rPr>
          <w:rFonts w:cs="微软雅黑" w:asciiTheme="minorEastAsia" w:hAnsiTheme="minorEastAsia" w:eastAsiaTheme="minorEastAsia"/>
          <w:color w:val="auto"/>
          <w:highlight w:val="none"/>
        </w:rPr>
      </w:pPr>
      <w:r>
        <w:rPr>
          <w:color w:val="auto"/>
          <w:highlight w:val="none"/>
        </w:rPr>
        <w:fldChar w:fldCharType="begin"/>
      </w:r>
      <w:r>
        <w:rPr>
          <w:color w:val="auto"/>
          <w:highlight w:val="none"/>
        </w:rPr>
        <w:instrText xml:space="preserve"> HYPERLINK \l "_Toc31093" </w:instrText>
      </w:r>
      <w:r>
        <w:rPr>
          <w:color w:val="auto"/>
          <w:highlight w:val="none"/>
        </w:rPr>
        <w:fldChar w:fldCharType="separate"/>
      </w:r>
      <w:r>
        <w:rPr>
          <w:rFonts w:hint="eastAsia" w:cs="微软雅黑" w:asciiTheme="minorEastAsia" w:hAnsiTheme="minorEastAsia" w:eastAsiaTheme="minorEastAsia"/>
          <w:color w:val="auto"/>
          <w:highlight w:val="none"/>
        </w:rPr>
        <w:t>第三章  投标人须知</w:t>
      </w:r>
      <w:r>
        <w:rPr>
          <w:rFonts w:hint="eastAsia" w:cs="微软雅黑" w:asciiTheme="minorEastAsia" w:hAnsiTheme="minorEastAsia" w:eastAsiaTheme="minorEastAsia"/>
          <w:color w:val="auto"/>
          <w:highlight w:val="none"/>
        </w:rPr>
        <w:tab/>
      </w:r>
      <w:r>
        <w:rPr>
          <w:rFonts w:hint="eastAsia" w:cs="微软雅黑" w:asciiTheme="minorEastAsia" w:hAnsiTheme="minorEastAsia" w:eastAsiaTheme="minorEastAsia"/>
          <w:color w:val="auto"/>
          <w:highlight w:val="none"/>
        </w:rPr>
        <w:fldChar w:fldCharType="begin"/>
      </w:r>
      <w:r>
        <w:rPr>
          <w:rFonts w:hint="eastAsia" w:cs="微软雅黑" w:asciiTheme="minorEastAsia" w:hAnsiTheme="minorEastAsia" w:eastAsiaTheme="minorEastAsia"/>
          <w:color w:val="auto"/>
          <w:highlight w:val="none"/>
        </w:rPr>
        <w:instrText xml:space="preserve"> PAGEREF _Toc31093 </w:instrText>
      </w:r>
      <w:r>
        <w:rPr>
          <w:rFonts w:hint="eastAsia" w:cs="微软雅黑" w:asciiTheme="minorEastAsia" w:hAnsiTheme="minorEastAsia" w:eastAsiaTheme="minorEastAsia"/>
          <w:color w:val="auto"/>
          <w:highlight w:val="none"/>
        </w:rPr>
        <w:fldChar w:fldCharType="separate"/>
      </w:r>
      <w:r>
        <w:rPr>
          <w:rFonts w:hint="eastAsia" w:cs="微软雅黑" w:asciiTheme="minorEastAsia" w:hAnsiTheme="minorEastAsia" w:eastAsiaTheme="minorEastAsia"/>
          <w:color w:val="auto"/>
          <w:highlight w:val="none"/>
        </w:rPr>
        <w:t>7</w:t>
      </w:r>
      <w:r>
        <w:rPr>
          <w:rFonts w:hint="eastAsia" w:cs="微软雅黑" w:asciiTheme="minorEastAsia" w:hAnsiTheme="minorEastAsia" w:eastAsiaTheme="minorEastAsia"/>
          <w:color w:val="auto"/>
          <w:highlight w:val="none"/>
        </w:rPr>
        <w:fldChar w:fldCharType="end"/>
      </w:r>
      <w:r>
        <w:rPr>
          <w:rFonts w:hint="eastAsia" w:cs="微软雅黑" w:asciiTheme="minorEastAsia" w:hAnsiTheme="minorEastAsia" w:eastAsiaTheme="minorEastAsia"/>
          <w:color w:val="auto"/>
          <w:highlight w:val="none"/>
        </w:rPr>
        <w:fldChar w:fldCharType="end"/>
      </w:r>
    </w:p>
    <w:p w14:paraId="370D6A5F">
      <w:pPr>
        <w:pStyle w:val="44"/>
        <w:tabs>
          <w:tab w:val="right" w:leader="dot" w:pos="8312"/>
        </w:tabs>
        <w:spacing w:line="360" w:lineRule="auto"/>
        <w:ind w:right="42" w:rightChars="20"/>
        <w:rPr>
          <w:rFonts w:cs="微软雅黑" w:asciiTheme="minorEastAsia" w:hAnsiTheme="minorEastAsia" w:eastAsiaTheme="minorEastAsia"/>
          <w:color w:val="auto"/>
          <w:highlight w:val="none"/>
        </w:rPr>
      </w:pPr>
      <w:r>
        <w:rPr>
          <w:color w:val="auto"/>
          <w:highlight w:val="none"/>
        </w:rPr>
        <w:fldChar w:fldCharType="begin"/>
      </w:r>
      <w:r>
        <w:rPr>
          <w:color w:val="auto"/>
          <w:highlight w:val="none"/>
        </w:rPr>
        <w:instrText xml:space="preserve"> HYPERLINK \l "_Toc27157" </w:instrText>
      </w:r>
      <w:r>
        <w:rPr>
          <w:color w:val="auto"/>
          <w:highlight w:val="none"/>
        </w:rPr>
        <w:fldChar w:fldCharType="separate"/>
      </w:r>
      <w:r>
        <w:rPr>
          <w:rFonts w:hint="eastAsia" w:cs="微软雅黑" w:asciiTheme="minorEastAsia" w:hAnsiTheme="minorEastAsia" w:eastAsiaTheme="minorEastAsia"/>
          <w:color w:val="auto"/>
          <w:highlight w:val="none"/>
        </w:rPr>
        <w:t>第四章  评标办法及评</w:t>
      </w:r>
      <w:bookmarkStart w:id="4" w:name="_Hlt58947581"/>
      <w:bookmarkStart w:id="5" w:name="_Hlt58947582"/>
      <w:r>
        <w:rPr>
          <w:rFonts w:hint="eastAsia" w:cs="微软雅黑" w:asciiTheme="minorEastAsia" w:hAnsiTheme="minorEastAsia" w:eastAsiaTheme="minorEastAsia"/>
          <w:color w:val="auto"/>
          <w:highlight w:val="none"/>
        </w:rPr>
        <w:t>分</w:t>
      </w:r>
      <w:bookmarkEnd w:id="4"/>
      <w:bookmarkEnd w:id="5"/>
      <w:r>
        <w:rPr>
          <w:rFonts w:hint="eastAsia" w:cs="微软雅黑" w:asciiTheme="minorEastAsia" w:hAnsiTheme="minorEastAsia" w:eastAsiaTheme="minorEastAsia"/>
          <w:color w:val="auto"/>
          <w:highlight w:val="none"/>
        </w:rPr>
        <w:t>标准</w:t>
      </w:r>
      <w:r>
        <w:rPr>
          <w:rFonts w:hint="eastAsia" w:cs="微软雅黑" w:asciiTheme="minorEastAsia" w:hAnsiTheme="minorEastAsia" w:eastAsiaTheme="minorEastAsia"/>
          <w:color w:val="auto"/>
          <w:highlight w:val="none"/>
        </w:rPr>
        <w:tab/>
      </w:r>
      <w:r>
        <w:rPr>
          <w:rFonts w:hint="eastAsia" w:cs="微软雅黑" w:asciiTheme="minorEastAsia" w:hAnsiTheme="minorEastAsia" w:eastAsiaTheme="minorEastAsia"/>
          <w:color w:val="auto"/>
          <w:highlight w:val="none"/>
        </w:rPr>
        <w:fldChar w:fldCharType="begin"/>
      </w:r>
      <w:r>
        <w:rPr>
          <w:rFonts w:hint="eastAsia" w:cs="微软雅黑" w:asciiTheme="minorEastAsia" w:hAnsiTheme="minorEastAsia" w:eastAsiaTheme="minorEastAsia"/>
          <w:color w:val="auto"/>
          <w:highlight w:val="none"/>
        </w:rPr>
        <w:instrText xml:space="preserve"> PAGEREF _Toc27157 </w:instrText>
      </w:r>
      <w:r>
        <w:rPr>
          <w:rFonts w:hint="eastAsia" w:cs="微软雅黑" w:asciiTheme="minorEastAsia" w:hAnsiTheme="minorEastAsia" w:eastAsiaTheme="minorEastAsia"/>
          <w:color w:val="auto"/>
          <w:highlight w:val="none"/>
        </w:rPr>
        <w:fldChar w:fldCharType="separate"/>
      </w:r>
      <w:r>
        <w:rPr>
          <w:rFonts w:hint="eastAsia" w:cs="微软雅黑" w:asciiTheme="minorEastAsia" w:hAnsiTheme="minorEastAsia" w:eastAsiaTheme="minorEastAsia"/>
          <w:color w:val="auto"/>
          <w:highlight w:val="none"/>
        </w:rPr>
        <w:t>26</w:t>
      </w:r>
      <w:r>
        <w:rPr>
          <w:rFonts w:hint="eastAsia" w:cs="微软雅黑" w:asciiTheme="minorEastAsia" w:hAnsiTheme="minorEastAsia" w:eastAsiaTheme="minorEastAsia"/>
          <w:color w:val="auto"/>
          <w:highlight w:val="none"/>
        </w:rPr>
        <w:fldChar w:fldCharType="end"/>
      </w:r>
      <w:r>
        <w:rPr>
          <w:rFonts w:hint="eastAsia" w:cs="微软雅黑" w:asciiTheme="minorEastAsia" w:hAnsiTheme="minorEastAsia" w:eastAsiaTheme="minorEastAsia"/>
          <w:color w:val="auto"/>
          <w:highlight w:val="none"/>
        </w:rPr>
        <w:fldChar w:fldCharType="end"/>
      </w:r>
    </w:p>
    <w:p w14:paraId="6615D98A">
      <w:pPr>
        <w:pStyle w:val="44"/>
        <w:tabs>
          <w:tab w:val="right" w:leader="dot" w:pos="8312"/>
        </w:tabs>
        <w:spacing w:line="360" w:lineRule="auto"/>
        <w:ind w:right="42" w:rightChars="20"/>
        <w:rPr>
          <w:rFonts w:cs="微软雅黑" w:asciiTheme="minorEastAsia" w:hAnsiTheme="minorEastAsia" w:eastAsiaTheme="minorEastAsia"/>
          <w:color w:val="auto"/>
          <w:highlight w:val="none"/>
        </w:rPr>
      </w:pPr>
      <w:r>
        <w:rPr>
          <w:color w:val="auto"/>
          <w:highlight w:val="none"/>
        </w:rPr>
        <w:fldChar w:fldCharType="begin"/>
      </w:r>
      <w:r>
        <w:rPr>
          <w:color w:val="auto"/>
          <w:highlight w:val="none"/>
        </w:rPr>
        <w:instrText xml:space="preserve"> HYPERLINK \l "_Toc28829" </w:instrText>
      </w:r>
      <w:r>
        <w:rPr>
          <w:color w:val="auto"/>
          <w:highlight w:val="none"/>
        </w:rPr>
        <w:fldChar w:fldCharType="separate"/>
      </w:r>
      <w:r>
        <w:rPr>
          <w:rFonts w:hint="eastAsia" w:cs="微软雅黑" w:asciiTheme="minorEastAsia" w:hAnsiTheme="minorEastAsia" w:eastAsiaTheme="minorEastAsia"/>
          <w:color w:val="auto"/>
          <w:highlight w:val="none"/>
        </w:rPr>
        <w:t>第五章  政府采购合同</w:t>
      </w:r>
      <w:r>
        <w:rPr>
          <w:rFonts w:hint="eastAsia" w:cs="微软雅黑" w:asciiTheme="minorEastAsia" w:hAnsiTheme="minorEastAsia" w:eastAsiaTheme="minorEastAsia"/>
          <w:color w:val="auto"/>
          <w:highlight w:val="none"/>
        </w:rPr>
        <w:tab/>
      </w:r>
      <w:r>
        <w:rPr>
          <w:rFonts w:hint="eastAsia" w:cs="微软雅黑" w:asciiTheme="minorEastAsia" w:hAnsiTheme="minorEastAsia" w:eastAsiaTheme="minorEastAsia"/>
          <w:color w:val="auto"/>
          <w:highlight w:val="none"/>
        </w:rPr>
        <w:fldChar w:fldCharType="begin"/>
      </w:r>
      <w:r>
        <w:rPr>
          <w:rFonts w:hint="eastAsia" w:cs="微软雅黑" w:asciiTheme="minorEastAsia" w:hAnsiTheme="minorEastAsia" w:eastAsiaTheme="minorEastAsia"/>
          <w:color w:val="auto"/>
          <w:highlight w:val="none"/>
        </w:rPr>
        <w:instrText xml:space="preserve"> PAGEREF _Toc28829 </w:instrText>
      </w:r>
      <w:r>
        <w:rPr>
          <w:rFonts w:hint="eastAsia" w:cs="微软雅黑" w:asciiTheme="minorEastAsia" w:hAnsiTheme="minorEastAsia" w:eastAsiaTheme="minorEastAsia"/>
          <w:color w:val="auto"/>
          <w:highlight w:val="none"/>
        </w:rPr>
        <w:fldChar w:fldCharType="separate"/>
      </w:r>
      <w:r>
        <w:rPr>
          <w:rFonts w:hint="eastAsia" w:cs="微软雅黑" w:asciiTheme="minorEastAsia" w:hAnsiTheme="minorEastAsia" w:eastAsiaTheme="minorEastAsia"/>
          <w:color w:val="auto"/>
          <w:highlight w:val="none"/>
        </w:rPr>
        <w:t>26</w:t>
      </w:r>
      <w:r>
        <w:rPr>
          <w:rFonts w:hint="eastAsia" w:cs="微软雅黑" w:asciiTheme="minorEastAsia" w:hAnsiTheme="minorEastAsia" w:eastAsiaTheme="minorEastAsia"/>
          <w:color w:val="auto"/>
          <w:highlight w:val="none"/>
        </w:rPr>
        <w:fldChar w:fldCharType="end"/>
      </w:r>
      <w:r>
        <w:rPr>
          <w:rFonts w:hint="eastAsia" w:cs="微软雅黑" w:asciiTheme="minorEastAsia" w:hAnsiTheme="minorEastAsia" w:eastAsiaTheme="minorEastAsia"/>
          <w:color w:val="auto"/>
          <w:highlight w:val="none"/>
        </w:rPr>
        <w:fldChar w:fldCharType="end"/>
      </w:r>
    </w:p>
    <w:p w14:paraId="42AFFE70">
      <w:pPr>
        <w:pStyle w:val="44"/>
        <w:tabs>
          <w:tab w:val="right" w:leader="dot" w:pos="8312"/>
        </w:tabs>
        <w:spacing w:line="360" w:lineRule="auto"/>
        <w:ind w:right="42" w:rightChars="20"/>
        <w:rPr>
          <w:rFonts w:cs="微软雅黑" w:asciiTheme="minorEastAsia" w:hAnsiTheme="minorEastAsia" w:eastAsiaTheme="minorEastAsia"/>
          <w:color w:val="auto"/>
          <w:highlight w:val="none"/>
        </w:rPr>
      </w:pPr>
      <w:r>
        <w:rPr>
          <w:color w:val="auto"/>
          <w:highlight w:val="none"/>
        </w:rPr>
        <w:fldChar w:fldCharType="begin"/>
      </w:r>
      <w:r>
        <w:rPr>
          <w:color w:val="auto"/>
          <w:highlight w:val="none"/>
        </w:rPr>
        <w:instrText xml:space="preserve"> HYPERLINK \l "_Toc5531" </w:instrText>
      </w:r>
      <w:r>
        <w:rPr>
          <w:color w:val="auto"/>
          <w:highlight w:val="none"/>
        </w:rPr>
        <w:fldChar w:fldCharType="separate"/>
      </w:r>
      <w:r>
        <w:rPr>
          <w:rFonts w:hint="eastAsia" w:cs="微软雅黑" w:asciiTheme="minorEastAsia" w:hAnsiTheme="minorEastAsia" w:eastAsiaTheme="minorEastAsia"/>
          <w:color w:val="auto"/>
          <w:highlight w:val="none"/>
        </w:rPr>
        <w:t>第六章　投标文件相关格式</w:t>
      </w:r>
      <w:r>
        <w:rPr>
          <w:rFonts w:hint="eastAsia" w:cs="微软雅黑" w:asciiTheme="minorEastAsia" w:hAnsiTheme="minorEastAsia" w:eastAsiaTheme="minorEastAsia"/>
          <w:color w:val="auto"/>
          <w:highlight w:val="none"/>
        </w:rPr>
        <w:tab/>
      </w:r>
      <w:r>
        <w:rPr>
          <w:rFonts w:hint="eastAsia" w:cs="微软雅黑" w:asciiTheme="minorEastAsia" w:hAnsiTheme="minorEastAsia" w:eastAsiaTheme="minorEastAsia"/>
          <w:color w:val="auto"/>
          <w:highlight w:val="none"/>
        </w:rPr>
        <w:fldChar w:fldCharType="begin"/>
      </w:r>
      <w:r>
        <w:rPr>
          <w:rFonts w:hint="eastAsia" w:cs="微软雅黑" w:asciiTheme="minorEastAsia" w:hAnsiTheme="minorEastAsia" w:eastAsiaTheme="minorEastAsia"/>
          <w:color w:val="auto"/>
          <w:highlight w:val="none"/>
        </w:rPr>
        <w:instrText xml:space="preserve"> PAGEREF _Toc5531 </w:instrText>
      </w:r>
      <w:r>
        <w:rPr>
          <w:rFonts w:hint="eastAsia" w:cs="微软雅黑" w:asciiTheme="minorEastAsia" w:hAnsiTheme="minorEastAsia" w:eastAsiaTheme="minorEastAsia"/>
          <w:color w:val="auto"/>
          <w:highlight w:val="none"/>
        </w:rPr>
        <w:fldChar w:fldCharType="separate"/>
      </w:r>
      <w:r>
        <w:rPr>
          <w:rFonts w:hint="eastAsia" w:cs="微软雅黑" w:asciiTheme="minorEastAsia" w:hAnsiTheme="minorEastAsia" w:eastAsiaTheme="minorEastAsia"/>
          <w:color w:val="auto"/>
          <w:highlight w:val="none"/>
        </w:rPr>
        <w:t>43</w:t>
      </w:r>
      <w:r>
        <w:rPr>
          <w:rFonts w:hint="eastAsia" w:cs="微软雅黑" w:asciiTheme="minorEastAsia" w:hAnsiTheme="minorEastAsia" w:eastAsiaTheme="minorEastAsia"/>
          <w:color w:val="auto"/>
          <w:highlight w:val="none"/>
        </w:rPr>
        <w:fldChar w:fldCharType="end"/>
      </w:r>
      <w:r>
        <w:rPr>
          <w:rFonts w:hint="eastAsia" w:cs="微软雅黑" w:asciiTheme="minorEastAsia" w:hAnsiTheme="minorEastAsia" w:eastAsiaTheme="minorEastAsia"/>
          <w:color w:val="auto"/>
          <w:highlight w:val="none"/>
        </w:rPr>
        <w:fldChar w:fldCharType="end"/>
      </w:r>
    </w:p>
    <w:p w14:paraId="062CF990">
      <w:pPr>
        <w:spacing w:line="360" w:lineRule="auto"/>
        <w:ind w:right="42" w:rightChars="20" w:firstLine="420" w:firstLineChars="200"/>
        <w:jc w:val="left"/>
        <w:rPr>
          <w:rFonts w:cs="微软雅黑" w:asciiTheme="minorEastAsia" w:hAnsiTheme="minorEastAsia" w:eastAsiaTheme="minorEastAsia"/>
          <w:color w:val="auto"/>
          <w:szCs w:val="21"/>
          <w:highlight w:val="none"/>
        </w:rPr>
      </w:pPr>
      <w:r>
        <w:rPr>
          <w:rFonts w:hint="eastAsia" w:cs="微软雅黑" w:asciiTheme="minorEastAsia" w:hAnsiTheme="minorEastAsia" w:eastAsiaTheme="minorEastAsia"/>
          <w:color w:val="auto"/>
          <w:szCs w:val="21"/>
          <w:highlight w:val="none"/>
        </w:rPr>
        <w:fldChar w:fldCharType="end"/>
      </w:r>
    </w:p>
    <w:p w14:paraId="2FAD107A">
      <w:pPr>
        <w:spacing w:line="360" w:lineRule="auto"/>
        <w:ind w:right="42" w:rightChars="20" w:firstLine="420" w:firstLineChars="200"/>
        <w:jc w:val="left"/>
        <w:rPr>
          <w:rFonts w:asciiTheme="minorEastAsia" w:hAnsiTheme="minorEastAsia" w:eastAsiaTheme="minorEastAsia"/>
          <w:color w:val="auto"/>
          <w:szCs w:val="21"/>
          <w:highlight w:val="none"/>
        </w:rPr>
      </w:pPr>
    </w:p>
    <w:p w14:paraId="6559805F">
      <w:pPr>
        <w:pStyle w:val="164"/>
        <w:ind w:right="42" w:rightChars="20"/>
        <w:rPr>
          <w:rFonts w:asciiTheme="minorEastAsia" w:hAnsiTheme="minorEastAsia" w:eastAsiaTheme="minorEastAsia"/>
          <w:b w:val="0"/>
          <w:color w:val="auto"/>
          <w:highlight w:val="none"/>
        </w:rPr>
      </w:pPr>
      <w:bookmarkStart w:id="6" w:name="_Toc493511540"/>
      <w:r>
        <w:rPr>
          <w:rFonts w:hint="eastAsia" w:asciiTheme="minorEastAsia" w:hAnsiTheme="minorEastAsia" w:eastAsiaTheme="minorEastAsia"/>
          <w:color w:val="auto"/>
          <w:highlight w:val="none"/>
        </w:rPr>
        <w:br w:type="page"/>
      </w:r>
      <w:bookmarkStart w:id="7" w:name="_Toc3494"/>
      <w:r>
        <w:rPr>
          <w:rStyle w:val="70"/>
          <w:rFonts w:hint="eastAsia" w:cs="微软雅黑" w:asciiTheme="minorEastAsia" w:hAnsiTheme="minorEastAsia" w:eastAsiaTheme="minorEastAsia"/>
          <w:b/>
          <w:color w:val="auto"/>
          <w:highlight w:val="none"/>
        </w:rPr>
        <w:t>第一章  公开招标采购公告</w:t>
      </w:r>
      <w:bookmarkEnd w:id="6"/>
      <w:bookmarkEnd w:id="7"/>
    </w:p>
    <w:p w14:paraId="15FE3620">
      <w:pPr>
        <w:pStyle w:val="4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1"/>
          <w:szCs w:val="21"/>
          <w:highlight w:val="none"/>
        </w:rPr>
      </w:pPr>
      <w:bookmarkStart w:id="8" w:name="_Toc493511541"/>
      <w:bookmarkStart w:id="9" w:name="_Toc3892"/>
      <w:bookmarkStart w:id="10" w:name="_Toc177870534"/>
      <w:r>
        <w:rPr>
          <w:rFonts w:hint="eastAsia" w:cs="宋体" w:asciiTheme="minorEastAsia" w:hAnsiTheme="minorEastAsia" w:eastAsiaTheme="minorEastAsia"/>
          <w:color w:val="auto"/>
          <w:sz w:val="18"/>
          <w:szCs w:val="18"/>
          <w:highlight w:val="none"/>
        </w:rPr>
        <w:t> </w:t>
      </w:r>
      <w:r>
        <w:rPr>
          <w:rFonts w:ascii="仿宋" w:hAnsi="仿宋" w:eastAsia="仿宋" w:cs="仿宋"/>
          <w:color w:val="auto"/>
          <w:sz w:val="27"/>
          <w:szCs w:val="27"/>
          <w:highlight w:val="none"/>
        </w:rPr>
        <w:t xml:space="preserve">  </w:t>
      </w:r>
      <w:r>
        <w:rPr>
          <w:rFonts w:hint="eastAsia" w:ascii="宋体" w:hAnsi="宋体" w:eastAsia="宋体" w:cs="宋体"/>
          <w:b/>
          <w:bCs/>
          <w:i w:val="0"/>
          <w:iCs w:val="0"/>
          <w:caps w:val="0"/>
          <w:color w:val="auto"/>
          <w:spacing w:val="0"/>
          <w:sz w:val="21"/>
          <w:szCs w:val="21"/>
          <w:highlight w:val="none"/>
        </w:rPr>
        <w:t>项目概况</w:t>
      </w:r>
      <w:r>
        <w:rPr>
          <w:rFonts w:hint="eastAsia" w:ascii="宋体" w:hAnsi="宋体" w:eastAsia="宋体" w:cs="宋体"/>
          <w:i w:val="0"/>
          <w:iCs w:val="0"/>
          <w:caps w:val="0"/>
          <w:color w:val="auto"/>
          <w:spacing w:val="0"/>
          <w:sz w:val="21"/>
          <w:szCs w:val="21"/>
          <w:highlight w:val="none"/>
        </w:rPr>
        <w:t>        </w:t>
      </w:r>
    </w:p>
    <w:p w14:paraId="34FFB033">
      <w:pPr>
        <w:pStyle w:val="4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1"/>
          <w:szCs w:val="21"/>
          <w:highlight w:val="none"/>
        </w:rPr>
      </w:pPr>
      <w:r>
        <w:rPr>
          <w:rFonts w:hint="eastAsia" w:cs="宋体"/>
          <w:i w:val="0"/>
          <w:iCs w:val="0"/>
          <w:caps w:val="0"/>
          <w:color w:val="auto"/>
          <w:spacing w:val="0"/>
          <w:sz w:val="21"/>
          <w:szCs w:val="21"/>
          <w:highlight w:val="none"/>
          <w:lang w:eastAsia="zh-CN"/>
        </w:rPr>
        <w:t>秀洲区2026年农作物病虫害统防统治与绿色防控项目</w:t>
      </w:r>
      <w:r>
        <w:rPr>
          <w:rFonts w:hint="eastAsia" w:ascii="宋体" w:hAnsi="宋体" w:eastAsia="宋体" w:cs="宋体"/>
          <w:i w:val="0"/>
          <w:iCs w:val="0"/>
          <w:caps w:val="0"/>
          <w:color w:val="auto"/>
          <w:spacing w:val="0"/>
          <w:sz w:val="21"/>
          <w:szCs w:val="21"/>
          <w:highlight w:val="none"/>
        </w:rPr>
        <w:t>招标项目的潜在投标人应在政采云平台线上获取（下载）招标文件，并于</w:t>
      </w:r>
      <w:r>
        <w:rPr>
          <w:rFonts w:hint="eastAsia" w:ascii="宋体" w:hAnsi="宋体" w:eastAsia="宋体" w:cs="宋体"/>
          <w:i w:val="0"/>
          <w:iCs w:val="0"/>
          <w:caps w:val="0"/>
          <w:color w:val="auto"/>
          <w:spacing w:val="0"/>
          <w:sz w:val="21"/>
          <w:szCs w:val="21"/>
          <w:highlight w:val="none"/>
        </w:rPr>
        <w:t>202</w:t>
      </w:r>
      <w:r>
        <w:rPr>
          <w:rFonts w:hint="eastAsia" w:cs="宋体"/>
          <w:i w:val="0"/>
          <w:iCs w:val="0"/>
          <w:caps w:val="0"/>
          <w:color w:val="auto"/>
          <w:spacing w:val="0"/>
          <w:sz w:val="21"/>
          <w:szCs w:val="21"/>
          <w:highlight w:val="none"/>
          <w:lang w:val="en-US" w:eastAsia="zh-CN"/>
        </w:rPr>
        <w:t>6</w:t>
      </w:r>
      <w:r>
        <w:rPr>
          <w:rFonts w:hint="eastAsia" w:ascii="宋体" w:hAnsi="宋体" w:eastAsia="宋体" w:cs="宋体"/>
          <w:i w:val="0"/>
          <w:iCs w:val="0"/>
          <w:caps w:val="0"/>
          <w:color w:val="auto"/>
          <w:spacing w:val="0"/>
          <w:sz w:val="21"/>
          <w:szCs w:val="21"/>
          <w:highlight w:val="none"/>
        </w:rPr>
        <w:t>年</w:t>
      </w:r>
      <w:r>
        <w:rPr>
          <w:rFonts w:hint="eastAsia" w:cs="宋体"/>
          <w:i w:val="0"/>
          <w:iCs w:val="0"/>
          <w:caps w:val="0"/>
          <w:color w:val="auto"/>
          <w:spacing w:val="0"/>
          <w:sz w:val="21"/>
          <w:szCs w:val="21"/>
          <w:highlight w:val="none"/>
          <w:lang w:val="en-US" w:eastAsia="zh-CN"/>
        </w:rPr>
        <w:t>5</w:t>
      </w:r>
      <w:r>
        <w:rPr>
          <w:rFonts w:hint="eastAsia" w:ascii="宋体" w:hAnsi="宋体" w:eastAsia="宋体" w:cs="宋体"/>
          <w:i w:val="0"/>
          <w:iCs w:val="0"/>
          <w:caps w:val="0"/>
          <w:color w:val="auto"/>
          <w:spacing w:val="0"/>
          <w:sz w:val="21"/>
          <w:szCs w:val="21"/>
          <w:highlight w:val="none"/>
        </w:rPr>
        <w:t>月</w:t>
      </w:r>
      <w:r>
        <w:rPr>
          <w:rFonts w:hint="eastAsia" w:cs="宋体"/>
          <w:i w:val="0"/>
          <w:iCs w:val="0"/>
          <w:caps w:val="0"/>
          <w:color w:val="auto"/>
          <w:spacing w:val="0"/>
          <w:sz w:val="21"/>
          <w:szCs w:val="21"/>
          <w:highlight w:val="none"/>
          <w:lang w:val="en-US" w:eastAsia="zh-CN"/>
        </w:rPr>
        <w:t>7</w:t>
      </w:r>
      <w:r>
        <w:rPr>
          <w:rFonts w:hint="eastAsia" w:ascii="宋体" w:hAnsi="宋体" w:eastAsia="宋体" w:cs="宋体"/>
          <w:i w:val="0"/>
          <w:iCs w:val="0"/>
          <w:caps w:val="0"/>
          <w:color w:val="auto"/>
          <w:spacing w:val="0"/>
          <w:sz w:val="21"/>
          <w:szCs w:val="21"/>
          <w:highlight w:val="none"/>
        </w:rPr>
        <w:t>日</w:t>
      </w:r>
      <w:r>
        <w:rPr>
          <w:rFonts w:hint="eastAsia" w:ascii="宋体" w:hAnsi="宋体" w:eastAsia="宋体" w:cs="宋体"/>
          <w:i w:val="0"/>
          <w:iCs w:val="0"/>
          <w:caps w:val="0"/>
          <w:color w:val="auto"/>
          <w:spacing w:val="0"/>
          <w:sz w:val="21"/>
          <w:szCs w:val="21"/>
          <w:highlight w:val="none"/>
        </w:rPr>
        <w:t xml:space="preserve"> </w:t>
      </w:r>
      <w:r>
        <w:rPr>
          <w:rFonts w:hint="eastAsia" w:cs="宋体"/>
          <w:i w:val="0"/>
          <w:iCs w:val="0"/>
          <w:caps w:val="0"/>
          <w:color w:val="auto"/>
          <w:spacing w:val="0"/>
          <w:sz w:val="21"/>
          <w:szCs w:val="21"/>
          <w:highlight w:val="none"/>
          <w:lang w:val="en-US" w:eastAsia="zh-CN"/>
        </w:rPr>
        <w:t>09</w:t>
      </w:r>
      <w:r>
        <w:rPr>
          <w:rFonts w:hint="eastAsia" w:ascii="宋体" w:hAnsi="宋体" w:eastAsia="宋体" w:cs="宋体"/>
          <w:i w:val="0"/>
          <w:iCs w:val="0"/>
          <w:caps w:val="0"/>
          <w:color w:val="auto"/>
          <w:spacing w:val="0"/>
          <w:sz w:val="21"/>
          <w:szCs w:val="21"/>
          <w:highlight w:val="none"/>
        </w:rPr>
        <w:t>:</w:t>
      </w:r>
      <w:r>
        <w:rPr>
          <w:rFonts w:hint="eastAsia" w:cs="宋体"/>
          <w:i w:val="0"/>
          <w:iCs w:val="0"/>
          <w:caps w:val="0"/>
          <w:color w:val="auto"/>
          <w:spacing w:val="0"/>
          <w:sz w:val="21"/>
          <w:szCs w:val="21"/>
          <w:highlight w:val="none"/>
          <w:lang w:val="en-US" w:eastAsia="zh-CN"/>
        </w:rPr>
        <w:t>0</w:t>
      </w:r>
      <w:r>
        <w:rPr>
          <w:rFonts w:hint="eastAsia" w:ascii="宋体" w:hAnsi="宋体" w:eastAsia="宋体" w:cs="宋体"/>
          <w:i w:val="0"/>
          <w:iCs w:val="0"/>
          <w:caps w:val="0"/>
          <w:color w:val="auto"/>
          <w:spacing w:val="0"/>
          <w:sz w:val="21"/>
          <w:szCs w:val="21"/>
          <w:highlight w:val="none"/>
        </w:rPr>
        <w:t>0（北京时间）前递交（上传）投标文件。          </w:t>
      </w:r>
    </w:p>
    <w:p w14:paraId="5AB66FAB">
      <w:pPr>
        <w:pStyle w:val="48"/>
        <w:keepNext w:val="0"/>
        <w:keepLines w:val="0"/>
        <w:pageBreakBefore w:val="0"/>
        <w:widowControl/>
        <w:suppressLineNumbers w:val="0"/>
        <w:kinsoku/>
        <w:wordWrap/>
        <w:overflowPunct/>
        <w:topLinePunct w:val="0"/>
        <w:autoSpaceDE/>
        <w:autoSpaceDN/>
        <w:bidi w:val="0"/>
        <w:adjustRightInd/>
        <w:snapToGrid/>
        <w:spacing w:before="300" w:beforeAutospacing="0" w:after="0" w:afterAutospacing="0" w:line="360" w:lineRule="auto"/>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b/>
          <w:bCs/>
          <w:i w:val="0"/>
          <w:iCs w:val="0"/>
          <w:caps w:val="0"/>
          <w:color w:val="auto"/>
          <w:spacing w:val="0"/>
          <w:sz w:val="21"/>
          <w:szCs w:val="21"/>
          <w:highlight w:val="none"/>
        </w:rPr>
        <w:t>一、项目基本情况</w:t>
      </w:r>
    </w:p>
    <w:p w14:paraId="369F5DD1">
      <w:pPr>
        <w:pStyle w:val="4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1"/>
          <w:szCs w:val="21"/>
          <w:highlight w:val="none"/>
          <w:lang w:eastAsia="zh-CN"/>
        </w:rPr>
      </w:pPr>
      <w:r>
        <w:rPr>
          <w:rFonts w:hint="eastAsia" w:ascii="宋体" w:hAnsi="宋体" w:eastAsia="宋体" w:cs="宋体"/>
          <w:i w:val="0"/>
          <w:iCs w:val="0"/>
          <w:caps w:val="0"/>
          <w:color w:val="auto"/>
          <w:spacing w:val="0"/>
          <w:sz w:val="21"/>
          <w:szCs w:val="21"/>
          <w:highlight w:val="none"/>
        </w:rPr>
        <w:t>项目编号：</w:t>
      </w:r>
      <w:r>
        <w:rPr>
          <w:rFonts w:hint="eastAsia" w:cs="宋体"/>
          <w:i w:val="0"/>
          <w:iCs w:val="0"/>
          <w:caps w:val="0"/>
          <w:color w:val="auto"/>
          <w:spacing w:val="0"/>
          <w:sz w:val="21"/>
          <w:szCs w:val="21"/>
          <w:highlight w:val="none"/>
          <w:lang w:eastAsia="zh-CN"/>
        </w:rPr>
        <w:t>330411260350010000006-大地-DDZX-JX（2026）第22号</w:t>
      </w:r>
    </w:p>
    <w:p w14:paraId="6911E537">
      <w:pPr>
        <w:pStyle w:val="4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1"/>
          <w:szCs w:val="21"/>
          <w:highlight w:val="none"/>
          <w:lang w:eastAsia="zh-CN"/>
        </w:rPr>
      </w:pPr>
      <w:r>
        <w:rPr>
          <w:rFonts w:hint="eastAsia" w:ascii="宋体" w:hAnsi="宋体" w:eastAsia="宋体" w:cs="宋体"/>
          <w:i w:val="0"/>
          <w:iCs w:val="0"/>
          <w:caps w:val="0"/>
          <w:color w:val="auto"/>
          <w:spacing w:val="0"/>
          <w:sz w:val="21"/>
          <w:szCs w:val="21"/>
          <w:highlight w:val="none"/>
        </w:rPr>
        <w:t>项目名称：</w:t>
      </w:r>
      <w:r>
        <w:rPr>
          <w:rFonts w:hint="eastAsia" w:cs="宋体"/>
          <w:i w:val="0"/>
          <w:iCs w:val="0"/>
          <w:caps w:val="0"/>
          <w:color w:val="auto"/>
          <w:spacing w:val="0"/>
          <w:sz w:val="21"/>
          <w:szCs w:val="21"/>
          <w:highlight w:val="none"/>
          <w:lang w:eastAsia="zh-CN"/>
        </w:rPr>
        <w:t>秀洲区2026年农作物病虫害统防统治与绿色防控项目</w:t>
      </w:r>
    </w:p>
    <w:p w14:paraId="00C1A19F">
      <w:pPr>
        <w:pStyle w:val="4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1"/>
          <w:szCs w:val="21"/>
          <w:highlight w:val="none"/>
          <w:lang w:eastAsia="zh-CN"/>
        </w:rPr>
      </w:pPr>
      <w:r>
        <w:rPr>
          <w:rFonts w:hint="eastAsia" w:ascii="宋体" w:hAnsi="宋体" w:eastAsia="宋体" w:cs="宋体"/>
          <w:i w:val="0"/>
          <w:iCs w:val="0"/>
          <w:caps w:val="0"/>
          <w:color w:val="auto"/>
          <w:spacing w:val="0"/>
          <w:sz w:val="21"/>
          <w:szCs w:val="21"/>
          <w:highlight w:val="none"/>
        </w:rPr>
        <w:t>预算金额（元）：</w:t>
      </w:r>
      <w:r>
        <w:rPr>
          <w:rFonts w:hint="eastAsia" w:cs="宋体"/>
          <w:i w:val="0"/>
          <w:iCs w:val="0"/>
          <w:caps w:val="0"/>
          <w:color w:val="auto"/>
          <w:spacing w:val="0"/>
          <w:sz w:val="21"/>
          <w:szCs w:val="21"/>
          <w:highlight w:val="none"/>
          <w:lang w:eastAsia="zh-CN"/>
        </w:rPr>
        <w:t>490500</w:t>
      </w:r>
    </w:p>
    <w:p w14:paraId="4F9FE34C">
      <w:pPr>
        <w:pStyle w:val="4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highlight w:val="none"/>
        </w:rPr>
        <w:t>最高限价（元）：</w:t>
      </w:r>
      <w:r>
        <w:rPr>
          <w:rFonts w:hint="eastAsia" w:cs="宋体"/>
          <w:i w:val="0"/>
          <w:iCs w:val="0"/>
          <w:caps w:val="0"/>
          <w:color w:val="auto"/>
          <w:spacing w:val="0"/>
          <w:sz w:val="21"/>
          <w:szCs w:val="21"/>
          <w:highlight w:val="none"/>
          <w:lang w:val="en-US" w:eastAsia="zh-CN"/>
        </w:rPr>
        <w:t>490500</w:t>
      </w:r>
    </w:p>
    <w:p w14:paraId="476B6078">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采购需求：  </w:t>
      </w:r>
    </w:p>
    <w:p w14:paraId="07FEDA08">
      <w:pPr>
        <w:pStyle w:val="4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auto"/>
          <w:spacing w:val="0"/>
          <w:sz w:val="21"/>
          <w:szCs w:val="21"/>
          <w:highlight w:val="none"/>
          <w:lang w:val="en-US" w:eastAsia="zh-CN"/>
        </w:rPr>
      </w:pPr>
    </w:p>
    <w:p w14:paraId="6C714296">
      <w:pPr>
        <w:pStyle w:val="4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标项名称：</w:t>
      </w:r>
      <w:r>
        <w:rPr>
          <w:rFonts w:hint="eastAsia" w:cs="宋体"/>
          <w:i w:val="0"/>
          <w:iCs w:val="0"/>
          <w:caps w:val="0"/>
          <w:color w:val="auto"/>
          <w:spacing w:val="0"/>
          <w:sz w:val="21"/>
          <w:szCs w:val="21"/>
          <w:highlight w:val="none"/>
          <w:lang w:val="en-US" w:eastAsia="zh-CN"/>
        </w:rPr>
        <w:t>秀洲区2026年农作物病虫害统防统治与绿色防控项目</w:t>
      </w:r>
      <w:r>
        <w:rPr>
          <w:rFonts w:hint="eastAsia" w:ascii="宋体" w:hAnsi="宋体" w:eastAsia="宋体" w:cs="宋体"/>
          <w:i w:val="0"/>
          <w:iCs w:val="0"/>
          <w:caps w:val="0"/>
          <w:color w:val="auto"/>
          <w:spacing w:val="0"/>
          <w:sz w:val="21"/>
          <w:szCs w:val="21"/>
          <w:highlight w:val="none"/>
        </w:rPr>
        <w:t>    </w:t>
      </w:r>
    </w:p>
    <w:p w14:paraId="46B756E0">
      <w:pPr>
        <w:pStyle w:val="4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数量：不限    </w:t>
      </w:r>
    </w:p>
    <w:p w14:paraId="0D90CF21">
      <w:pPr>
        <w:pStyle w:val="4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预算金额（元）：</w:t>
      </w:r>
      <w:r>
        <w:rPr>
          <w:rFonts w:hint="eastAsia" w:cs="宋体"/>
          <w:i w:val="0"/>
          <w:iCs w:val="0"/>
          <w:caps w:val="0"/>
          <w:color w:val="auto"/>
          <w:spacing w:val="0"/>
          <w:sz w:val="21"/>
          <w:szCs w:val="21"/>
          <w:highlight w:val="none"/>
          <w:lang w:val="en-US" w:eastAsia="zh-CN"/>
        </w:rPr>
        <w:t>490500</w:t>
      </w:r>
      <w:r>
        <w:rPr>
          <w:rFonts w:hint="eastAsia" w:ascii="宋体" w:hAnsi="宋体" w:eastAsia="宋体" w:cs="宋体"/>
          <w:i w:val="0"/>
          <w:iCs w:val="0"/>
          <w:caps w:val="0"/>
          <w:color w:val="auto"/>
          <w:spacing w:val="0"/>
          <w:sz w:val="21"/>
          <w:szCs w:val="21"/>
          <w:highlight w:val="none"/>
        </w:rPr>
        <w:t>    </w:t>
      </w:r>
    </w:p>
    <w:p w14:paraId="6156A7EF">
      <w:pPr>
        <w:pStyle w:val="4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简要规格描述或项目基本概况介绍、用途：详见采购文件    </w:t>
      </w:r>
    </w:p>
    <w:p w14:paraId="5F21D236">
      <w:pPr>
        <w:pStyle w:val="4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备注：  </w:t>
      </w:r>
    </w:p>
    <w:p w14:paraId="69F0535A">
      <w:pPr>
        <w:pStyle w:val="4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合同履约期限：标项 1，详见采购文件</w:t>
      </w:r>
    </w:p>
    <w:p w14:paraId="409CD185">
      <w:pPr>
        <w:pStyle w:val="4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本项目（否）接受联合体投标。</w:t>
      </w:r>
    </w:p>
    <w:p w14:paraId="56BB5AD0">
      <w:pPr>
        <w:pStyle w:val="48"/>
        <w:keepNext w:val="0"/>
        <w:keepLines w:val="0"/>
        <w:pageBreakBefore w:val="0"/>
        <w:widowControl/>
        <w:suppressLineNumbers w:val="0"/>
        <w:kinsoku/>
        <w:wordWrap/>
        <w:overflowPunct/>
        <w:topLinePunct w:val="0"/>
        <w:autoSpaceDE/>
        <w:autoSpaceDN/>
        <w:bidi w:val="0"/>
        <w:adjustRightInd/>
        <w:snapToGrid/>
        <w:spacing w:before="300" w:beforeAutospacing="0" w:after="0" w:afterAutospacing="0" w:line="360" w:lineRule="auto"/>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b/>
          <w:bCs/>
          <w:i w:val="0"/>
          <w:iCs w:val="0"/>
          <w:caps w:val="0"/>
          <w:color w:val="auto"/>
          <w:spacing w:val="0"/>
          <w:sz w:val="21"/>
          <w:szCs w:val="21"/>
          <w:highlight w:val="none"/>
        </w:rPr>
        <w:t>二、申请人的资格要求：</w:t>
      </w:r>
    </w:p>
    <w:p w14:paraId="493580D1">
      <w:pPr>
        <w:pStyle w:val="4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1.满足《中华人民共和国政府采购法》第二十二条规定；未被“信用中国”（www.creditchina.gov.cn)、中国政府采购网（www.ccgp.gov.cn）列入失信被执行人、重大税收违法失信主体、政府采购严重违法失信行为记录名单。</w:t>
      </w:r>
    </w:p>
    <w:p w14:paraId="03B2E6F9">
      <w:pPr>
        <w:pStyle w:val="4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cs="宋体"/>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1"/>
          <w:szCs w:val="21"/>
          <w:highlight w:val="none"/>
        </w:rPr>
        <w:t>2.落实政府采购政策需满足的资格要求：</w:t>
      </w:r>
      <w:r>
        <w:rPr>
          <w:rFonts w:hint="eastAsia" w:cs="宋体"/>
          <w:i w:val="0"/>
          <w:iCs w:val="0"/>
          <w:caps w:val="0"/>
          <w:color w:val="auto"/>
          <w:spacing w:val="0"/>
          <w:sz w:val="21"/>
          <w:szCs w:val="21"/>
          <w:highlight w:val="none"/>
          <w:lang w:val="en-US" w:eastAsia="zh-CN"/>
        </w:rPr>
        <w:t>供应商应符合中小企业，请根据要求上传《中小企业声明函》，格式以采购文件要求为准；</w:t>
      </w:r>
    </w:p>
    <w:p w14:paraId="7321B939">
      <w:pPr>
        <w:pStyle w:val="4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3.本项目的特定资格要求：无</w:t>
      </w:r>
    </w:p>
    <w:p w14:paraId="2AC24861">
      <w:pPr>
        <w:pStyle w:val="48"/>
        <w:keepNext w:val="0"/>
        <w:keepLines w:val="0"/>
        <w:pageBreakBefore w:val="0"/>
        <w:widowControl/>
        <w:suppressLineNumbers w:val="0"/>
        <w:kinsoku/>
        <w:wordWrap/>
        <w:overflowPunct/>
        <w:topLinePunct w:val="0"/>
        <w:autoSpaceDE/>
        <w:autoSpaceDN/>
        <w:bidi w:val="0"/>
        <w:adjustRightInd/>
        <w:snapToGrid/>
        <w:spacing w:before="300" w:beforeAutospacing="0" w:after="0" w:afterAutospacing="0" w:line="360" w:lineRule="auto"/>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b/>
          <w:bCs/>
          <w:i w:val="0"/>
          <w:iCs w:val="0"/>
          <w:caps w:val="0"/>
          <w:color w:val="auto"/>
          <w:spacing w:val="0"/>
          <w:sz w:val="21"/>
          <w:szCs w:val="21"/>
          <w:highlight w:val="none"/>
        </w:rPr>
        <w:t>三、获取招标文件</w:t>
      </w:r>
    </w:p>
    <w:p w14:paraId="43F31CE4">
      <w:pPr>
        <w:pStyle w:val="4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时间：/至</w:t>
      </w:r>
      <w:r>
        <w:rPr>
          <w:rFonts w:hint="eastAsia" w:ascii="宋体" w:hAnsi="宋体" w:eastAsia="宋体" w:cs="宋体"/>
          <w:i w:val="0"/>
          <w:iCs w:val="0"/>
          <w:caps w:val="0"/>
          <w:color w:val="auto"/>
          <w:spacing w:val="0"/>
          <w:sz w:val="21"/>
          <w:szCs w:val="21"/>
          <w:highlight w:val="none"/>
        </w:rPr>
        <w:t>202</w:t>
      </w:r>
      <w:r>
        <w:rPr>
          <w:rFonts w:hint="eastAsia" w:cs="宋体"/>
          <w:i w:val="0"/>
          <w:iCs w:val="0"/>
          <w:caps w:val="0"/>
          <w:color w:val="auto"/>
          <w:spacing w:val="0"/>
          <w:sz w:val="21"/>
          <w:szCs w:val="21"/>
          <w:highlight w:val="none"/>
          <w:lang w:val="en-US" w:eastAsia="zh-CN"/>
        </w:rPr>
        <w:t>6</w:t>
      </w:r>
      <w:r>
        <w:rPr>
          <w:rFonts w:hint="eastAsia" w:ascii="宋体" w:hAnsi="宋体" w:eastAsia="宋体" w:cs="宋体"/>
          <w:i w:val="0"/>
          <w:iCs w:val="0"/>
          <w:caps w:val="0"/>
          <w:color w:val="auto"/>
          <w:spacing w:val="0"/>
          <w:sz w:val="21"/>
          <w:szCs w:val="21"/>
          <w:highlight w:val="none"/>
        </w:rPr>
        <w:t>年</w:t>
      </w:r>
      <w:r>
        <w:rPr>
          <w:rFonts w:hint="eastAsia" w:cs="宋体"/>
          <w:i w:val="0"/>
          <w:iCs w:val="0"/>
          <w:caps w:val="0"/>
          <w:color w:val="auto"/>
          <w:spacing w:val="0"/>
          <w:sz w:val="21"/>
          <w:szCs w:val="21"/>
          <w:highlight w:val="none"/>
          <w:lang w:val="en-US" w:eastAsia="zh-CN"/>
        </w:rPr>
        <w:t>5</w:t>
      </w:r>
      <w:r>
        <w:rPr>
          <w:rFonts w:hint="eastAsia" w:ascii="宋体" w:hAnsi="宋体" w:eastAsia="宋体" w:cs="宋体"/>
          <w:i w:val="0"/>
          <w:iCs w:val="0"/>
          <w:caps w:val="0"/>
          <w:color w:val="auto"/>
          <w:spacing w:val="0"/>
          <w:sz w:val="21"/>
          <w:szCs w:val="21"/>
          <w:highlight w:val="none"/>
        </w:rPr>
        <w:t>月</w:t>
      </w:r>
      <w:r>
        <w:rPr>
          <w:rFonts w:hint="eastAsia" w:cs="宋体"/>
          <w:i w:val="0"/>
          <w:iCs w:val="0"/>
          <w:caps w:val="0"/>
          <w:color w:val="auto"/>
          <w:spacing w:val="0"/>
          <w:sz w:val="21"/>
          <w:szCs w:val="21"/>
          <w:highlight w:val="none"/>
          <w:lang w:val="en-US" w:eastAsia="zh-CN"/>
        </w:rPr>
        <w:t>7</w:t>
      </w:r>
      <w:r>
        <w:rPr>
          <w:rFonts w:hint="eastAsia" w:ascii="宋体" w:hAnsi="宋体" w:eastAsia="宋体" w:cs="宋体"/>
          <w:i w:val="0"/>
          <w:iCs w:val="0"/>
          <w:caps w:val="0"/>
          <w:color w:val="auto"/>
          <w:spacing w:val="0"/>
          <w:sz w:val="21"/>
          <w:szCs w:val="21"/>
          <w:highlight w:val="none"/>
        </w:rPr>
        <w:t>日</w:t>
      </w:r>
      <w:r>
        <w:rPr>
          <w:rFonts w:hint="eastAsia" w:ascii="宋体" w:hAnsi="宋体" w:eastAsia="宋体" w:cs="宋体"/>
          <w:i w:val="0"/>
          <w:iCs w:val="0"/>
          <w:caps w:val="0"/>
          <w:color w:val="auto"/>
          <w:spacing w:val="0"/>
          <w:sz w:val="21"/>
          <w:szCs w:val="21"/>
          <w:highlight w:val="none"/>
        </w:rPr>
        <w:t xml:space="preserve"> ，每天上午00:00至12:00 ，下午12:00至23:59（北京时间，线上获取法定节假日均可，线下获取文件法定节假日除外）</w:t>
      </w:r>
    </w:p>
    <w:p w14:paraId="44246C1E">
      <w:pPr>
        <w:pStyle w:val="4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地点（网址）：政采云平台线上获取</w:t>
      </w:r>
    </w:p>
    <w:p w14:paraId="67BBD016">
      <w:pPr>
        <w:pStyle w:val="4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方式：供应商登录政采云平台https://www.zcygov.cn/在线申请获取采购文件（进入“项目采购”应用，在获取采购文件菜单中选择项目，申请获取采购文件）</w:t>
      </w:r>
    </w:p>
    <w:p w14:paraId="39A21903">
      <w:pPr>
        <w:pStyle w:val="4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售价（元）：0</w:t>
      </w:r>
    </w:p>
    <w:p w14:paraId="6444557F">
      <w:pPr>
        <w:pStyle w:val="48"/>
        <w:keepNext w:val="0"/>
        <w:keepLines w:val="0"/>
        <w:pageBreakBefore w:val="0"/>
        <w:widowControl/>
        <w:suppressLineNumbers w:val="0"/>
        <w:kinsoku/>
        <w:wordWrap/>
        <w:overflowPunct/>
        <w:topLinePunct w:val="0"/>
        <w:autoSpaceDE/>
        <w:autoSpaceDN/>
        <w:bidi w:val="0"/>
        <w:adjustRightInd/>
        <w:snapToGrid/>
        <w:spacing w:before="300" w:beforeAutospacing="0" w:after="0" w:afterAutospacing="0" w:line="360" w:lineRule="auto"/>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b/>
          <w:bCs/>
          <w:i w:val="0"/>
          <w:iCs w:val="0"/>
          <w:caps w:val="0"/>
          <w:color w:val="auto"/>
          <w:spacing w:val="0"/>
          <w:sz w:val="21"/>
          <w:szCs w:val="21"/>
          <w:highlight w:val="none"/>
        </w:rPr>
        <w:t>四、提交投标文件截止时间、开标时间和地点</w:t>
      </w:r>
    </w:p>
    <w:p w14:paraId="069ED2E3">
      <w:pPr>
        <w:pStyle w:val="4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提交投标文件截止时间：</w:t>
      </w:r>
      <w:r>
        <w:rPr>
          <w:rFonts w:hint="eastAsia" w:ascii="宋体" w:hAnsi="宋体" w:eastAsia="宋体" w:cs="宋体"/>
          <w:i w:val="0"/>
          <w:iCs w:val="0"/>
          <w:caps w:val="0"/>
          <w:color w:val="auto"/>
          <w:spacing w:val="0"/>
          <w:sz w:val="21"/>
          <w:szCs w:val="21"/>
          <w:highlight w:val="none"/>
        </w:rPr>
        <w:t>202</w:t>
      </w:r>
      <w:r>
        <w:rPr>
          <w:rFonts w:hint="eastAsia" w:cs="宋体"/>
          <w:i w:val="0"/>
          <w:iCs w:val="0"/>
          <w:caps w:val="0"/>
          <w:color w:val="auto"/>
          <w:spacing w:val="0"/>
          <w:sz w:val="21"/>
          <w:szCs w:val="21"/>
          <w:highlight w:val="none"/>
          <w:lang w:val="en-US" w:eastAsia="zh-CN"/>
        </w:rPr>
        <w:t>6</w:t>
      </w:r>
      <w:r>
        <w:rPr>
          <w:rFonts w:hint="eastAsia" w:ascii="宋体" w:hAnsi="宋体" w:eastAsia="宋体" w:cs="宋体"/>
          <w:i w:val="0"/>
          <w:iCs w:val="0"/>
          <w:caps w:val="0"/>
          <w:color w:val="auto"/>
          <w:spacing w:val="0"/>
          <w:sz w:val="21"/>
          <w:szCs w:val="21"/>
          <w:highlight w:val="none"/>
        </w:rPr>
        <w:t>年</w:t>
      </w:r>
      <w:r>
        <w:rPr>
          <w:rFonts w:hint="eastAsia" w:cs="宋体"/>
          <w:i w:val="0"/>
          <w:iCs w:val="0"/>
          <w:caps w:val="0"/>
          <w:color w:val="auto"/>
          <w:spacing w:val="0"/>
          <w:sz w:val="21"/>
          <w:szCs w:val="21"/>
          <w:highlight w:val="none"/>
          <w:lang w:val="en-US" w:eastAsia="zh-CN"/>
        </w:rPr>
        <w:t>5</w:t>
      </w:r>
      <w:r>
        <w:rPr>
          <w:rFonts w:hint="eastAsia" w:ascii="宋体" w:hAnsi="宋体" w:eastAsia="宋体" w:cs="宋体"/>
          <w:i w:val="0"/>
          <w:iCs w:val="0"/>
          <w:caps w:val="0"/>
          <w:color w:val="auto"/>
          <w:spacing w:val="0"/>
          <w:sz w:val="21"/>
          <w:szCs w:val="21"/>
          <w:highlight w:val="none"/>
        </w:rPr>
        <w:t>月</w:t>
      </w:r>
      <w:r>
        <w:rPr>
          <w:rFonts w:hint="eastAsia" w:cs="宋体"/>
          <w:i w:val="0"/>
          <w:iCs w:val="0"/>
          <w:caps w:val="0"/>
          <w:color w:val="auto"/>
          <w:spacing w:val="0"/>
          <w:sz w:val="21"/>
          <w:szCs w:val="21"/>
          <w:highlight w:val="none"/>
          <w:lang w:val="en-US" w:eastAsia="zh-CN"/>
        </w:rPr>
        <w:t>7</w:t>
      </w:r>
      <w:r>
        <w:rPr>
          <w:rFonts w:hint="eastAsia" w:ascii="宋体" w:hAnsi="宋体" w:eastAsia="宋体" w:cs="宋体"/>
          <w:i w:val="0"/>
          <w:iCs w:val="0"/>
          <w:caps w:val="0"/>
          <w:color w:val="auto"/>
          <w:spacing w:val="0"/>
          <w:sz w:val="21"/>
          <w:szCs w:val="21"/>
          <w:highlight w:val="none"/>
        </w:rPr>
        <w:t>日</w:t>
      </w:r>
      <w:r>
        <w:rPr>
          <w:rFonts w:hint="eastAsia" w:ascii="宋体" w:hAnsi="宋体" w:eastAsia="宋体" w:cs="宋体"/>
          <w:i w:val="0"/>
          <w:iCs w:val="0"/>
          <w:caps w:val="0"/>
          <w:color w:val="auto"/>
          <w:spacing w:val="0"/>
          <w:sz w:val="21"/>
          <w:szCs w:val="21"/>
          <w:highlight w:val="none"/>
        </w:rPr>
        <w:t xml:space="preserve"> </w:t>
      </w:r>
      <w:r>
        <w:rPr>
          <w:rFonts w:hint="eastAsia" w:cs="宋体"/>
          <w:i w:val="0"/>
          <w:iCs w:val="0"/>
          <w:caps w:val="0"/>
          <w:color w:val="auto"/>
          <w:spacing w:val="0"/>
          <w:sz w:val="21"/>
          <w:szCs w:val="21"/>
          <w:highlight w:val="none"/>
          <w:lang w:val="en-US" w:eastAsia="zh-CN"/>
        </w:rPr>
        <w:t>09</w:t>
      </w:r>
      <w:r>
        <w:rPr>
          <w:rFonts w:hint="eastAsia" w:ascii="宋体" w:hAnsi="宋体" w:eastAsia="宋体" w:cs="宋体"/>
          <w:i w:val="0"/>
          <w:iCs w:val="0"/>
          <w:caps w:val="0"/>
          <w:color w:val="auto"/>
          <w:spacing w:val="0"/>
          <w:sz w:val="21"/>
          <w:szCs w:val="21"/>
          <w:highlight w:val="none"/>
        </w:rPr>
        <w:t>:</w:t>
      </w:r>
      <w:r>
        <w:rPr>
          <w:rFonts w:hint="eastAsia" w:cs="宋体"/>
          <w:i w:val="0"/>
          <w:iCs w:val="0"/>
          <w:caps w:val="0"/>
          <w:color w:val="auto"/>
          <w:spacing w:val="0"/>
          <w:sz w:val="21"/>
          <w:szCs w:val="21"/>
          <w:highlight w:val="none"/>
          <w:lang w:val="en-US" w:eastAsia="zh-CN"/>
        </w:rPr>
        <w:t>0</w:t>
      </w:r>
      <w:r>
        <w:rPr>
          <w:rFonts w:hint="eastAsia" w:ascii="宋体" w:hAnsi="宋体" w:eastAsia="宋体" w:cs="宋体"/>
          <w:i w:val="0"/>
          <w:iCs w:val="0"/>
          <w:caps w:val="0"/>
          <w:color w:val="auto"/>
          <w:spacing w:val="0"/>
          <w:sz w:val="21"/>
          <w:szCs w:val="21"/>
          <w:highlight w:val="none"/>
        </w:rPr>
        <w:t>0（北京时间）</w:t>
      </w:r>
    </w:p>
    <w:p w14:paraId="2575B896">
      <w:pPr>
        <w:pStyle w:val="4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投标地点（网址）：请登录政采云投标客户端投标</w:t>
      </w:r>
    </w:p>
    <w:p w14:paraId="604218BE">
      <w:pPr>
        <w:pStyle w:val="4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开标时间：</w:t>
      </w:r>
      <w:r>
        <w:rPr>
          <w:rFonts w:hint="eastAsia" w:ascii="宋体" w:hAnsi="宋体" w:eastAsia="宋体" w:cs="宋体"/>
          <w:i w:val="0"/>
          <w:iCs w:val="0"/>
          <w:caps w:val="0"/>
          <w:color w:val="auto"/>
          <w:spacing w:val="0"/>
          <w:sz w:val="21"/>
          <w:szCs w:val="21"/>
          <w:highlight w:val="none"/>
        </w:rPr>
        <w:t>202</w:t>
      </w:r>
      <w:r>
        <w:rPr>
          <w:rFonts w:hint="eastAsia" w:cs="宋体"/>
          <w:i w:val="0"/>
          <w:iCs w:val="0"/>
          <w:caps w:val="0"/>
          <w:color w:val="auto"/>
          <w:spacing w:val="0"/>
          <w:sz w:val="21"/>
          <w:szCs w:val="21"/>
          <w:highlight w:val="none"/>
          <w:lang w:val="en-US" w:eastAsia="zh-CN"/>
        </w:rPr>
        <w:t>6</w:t>
      </w:r>
      <w:r>
        <w:rPr>
          <w:rFonts w:hint="eastAsia" w:ascii="宋体" w:hAnsi="宋体" w:eastAsia="宋体" w:cs="宋体"/>
          <w:i w:val="0"/>
          <w:iCs w:val="0"/>
          <w:caps w:val="0"/>
          <w:color w:val="auto"/>
          <w:spacing w:val="0"/>
          <w:sz w:val="21"/>
          <w:szCs w:val="21"/>
          <w:highlight w:val="none"/>
        </w:rPr>
        <w:t>年</w:t>
      </w:r>
      <w:r>
        <w:rPr>
          <w:rFonts w:hint="eastAsia" w:cs="宋体"/>
          <w:i w:val="0"/>
          <w:iCs w:val="0"/>
          <w:caps w:val="0"/>
          <w:color w:val="auto"/>
          <w:spacing w:val="0"/>
          <w:sz w:val="21"/>
          <w:szCs w:val="21"/>
          <w:highlight w:val="none"/>
          <w:lang w:val="en-US" w:eastAsia="zh-CN"/>
        </w:rPr>
        <w:t>5</w:t>
      </w:r>
      <w:r>
        <w:rPr>
          <w:rFonts w:hint="eastAsia" w:ascii="宋体" w:hAnsi="宋体" w:eastAsia="宋体" w:cs="宋体"/>
          <w:i w:val="0"/>
          <w:iCs w:val="0"/>
          <w:caps w:val="0"/>
          <w:color w:val="auto"/>
          <w:spacing w:val="0"/>
          <w:sz w:val="21"/>
          <w:szCs w:val="21"/>
          <w:highlight w:val="none"/>
        </w:rPr>
        <w:t>月</w:t>
      </w:r>
      <w:r>
        <w:rPr>
          <w:rFonts w:hint="eastAsia" w:cs="宋体"/>
          <w:i w:val="0"/>
          <w:iCs w:val="0"/>
          <w:caps w:val="0"/>
          <w:color w:val="auto"/>
          <w:spacing w:val="0"/>
          <w:sz w:val="21"/>
          <w:szCs w:val="21"/>
          <w:highlight w:val="none"/>
          <w:lang w:val="en-US" w:eastAsia="zh-CN"/>
        </w:rPr>
        <w:t>7</w:t>
      </w:r>
      <w:r>
        <w:rPr>
          <w:rFonts w:hint="eastAsia" w:ascii="宋体" w:hAnsi="宋体" w:eastAsia="宋体" w:cs="宋体"/>
          <w:i w:val="0"/>
          <w:iCs w:val="0"/>
          <w:caps w:val="0"/>
          <w:color w:val="auto"/>
          <w:spacing w:val="0"/>
          <w:sz w:val="21"/>
          <w:szCs w:val="21"/>
          <w:highlight w:val="none"/>
        </w:rPr>
        <w:t>日</w:t>
      </w:r>
      <w:r>
        <w:rPr>
          <w:rFonts w:hint="eastAsia" w:ascii="宋体" w:hAnsi="宋体" w:eastAsia="宋体" w:cs="宋体"/>
          <w:i w:val="0"/>
          <w:iCs w:val="0"/>
          <w:caps w:val="0"/>
          <w:color w:val="auto"/>
          <w:spacing w:val="0"/>
          <w:sz w:val="21"/>
          <w:szCs w:val="21"/>
          <w:highlight w:val="none"/>
        </w:rPr>
        <w:t xml:space="preserve"> </w:t>
      </w:r>
      <w:r>
        <w:rPr>
          <w:rFonts w:hint="eastAsia" w:cs="宋体"/>
          <w:i w:val="0"/>
          <w:iCs w:val="0"/>
          <w:caps w:val="0"/>
          <w:color w:val="auto"/>
          <w:spacing w:val="0"/>
          <w:sz w:val="21"/>
          <w:szCs w:val="21"/>
          <w:highlight w:val="none"/>
          <w:lang w:val="en-US" w:eastAsia="zh-CN"/>
        </w:rPr>
        <w:t>09</w:t>
      </w:r>
      <w:r>
        <w:rPr>
          <w:rFonts w:hint="eastAsia" w:ascii="宋体" w:hAnsi="宋体" w:eastAsia="宋体" w:cs="宋体"/>
          <w:i w:val="0"/>
          <w:iCs w:val="0"/>
          <w:caps w:val="0"/>
          <w:color w:val="auto"/>
          <w:spacing w:val="0"/>
          <w:sz w:val="21"/>
          <w:szCs w:val="21"/>
          <w:highlight w:val="none"/>
        </w:rPr>
        <w:t>:</w:t>
      </w:r>
      <w:r>
        <w:rPr>
          <w:rFonts w:hint="eastAsia" w:cs="宋体"/>
          <w:i w:val="0"/>
          <w:iCs w:val="0"/>
          <w:caps w:val="0"/>
          <w:color w:val="auto"/>
          <w:spacing w:val="0"/>
          <w:sz w:val="21"/>
          <w:szCs w:val="21"/>
          <w:highlight w:val="none"/>
          <w:lang w:val="en-US" w:eastAsia="zh-CN"/>
        </w:rPr>
        <w:t>0</w:t>
      </w:r>
      <w:r>
        <w:rPr>
          <w:rFonts w:hint="eastAsia" w:ascii="宋体" w:hAnsi="宋体" w:eastAsia="宋体" w:cs="宋体"/>
          <w:i w:val="0"/>
          <w:iCs w:val="0"/>
          <w:caps w:val="0"/>
          <w:color w:val="auto"/>
          <w:spacing w:val="0"/>
          <w:sz w:val="21"/>
          <w:szCs w:val="21"/>
          <w:highlight w:val="none"/>
        </w:rPr>
        <w:t>0</w:t>
      </w:r>
    </w:p>
    <w:p w14:paraId="02D8229D">
      <w:pPr>
        <w:pStyle w:val="4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开标地点（网址）：“政采云”平台电子投标（线上）</w:t>
      </w:r>
    </w:p>
    <w:p w14:paraId="3BB557A1">
      <w:pPr>
        <w:pStyle w:val="48"/>
        <w:keepNext w:val="0"/>
        <w:keepLines w:val="0"/>
        <w:pageBreakBefore w:val="0"/>
        <w:widowControl/>
        <w:suppressLineNumbers w:val="0"/>
        <w:kinsoku/>
        <w:wordWrap/>
        <w:overflowPunct/>
        <w:topLinePunct w:val="0"/>
        <w:autoSpaceDE/>
        <w:autoSpaceDN/>
        <w:bidi w:val="0"/>
        <w:adjustRightInd/>
        <w:snapToGrid/>
        <w:spacing w:before="300" w:beforeAutospacing="0" w:after="0" w:afterAutospacing="0" w:line="360" w:lineRule="auto"/>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b/>
          <w:bCs/>
          <w:i w:val="0"/>
          <w:iCs w:val="0"/>
          <w:caps w:val="0"/>
          <w:color w:val="auto"/>
          <w:spacing w:val="0"/>
          <w:sz w:val="21"/>
          <w:szCs w:val="21"/>
          <w:highlight w:val="none"/>
        </w:rPr>
        <w:t>五、公告期限</w:t>
      </w:r>
    </w:p>
    <w:p w14:paraId="27BA3722">
      <w:pPr>
        <w:pStyle w:val="4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自本公告发布之日起5个工作日。</w:t>
      </w:r>
    </w:p>
    <w:p w14:paraId="59952868">
      <w:pPr>
        <w:pStyle w:val="48"/>
        <w:keepNext w:val="0"/>
        <w:keepLines w:val="0"/>
        <w:pageBreakBefore w:val="0"/>
        <w:widowControl/>
        <w:suppressLineNumbers w:val="0"/>
        <w:kinsoku/>
        <w:wordWrap/>
        <w:overflowPunct/>
        <w:topLinePunct w:val="0"/>
        <w:autoSpaceDE/>
        <w:autoSpaceDN/>
        <w:bidi w:val="0"/>
        <w:adjustRightInd/>
        <w:snapToGrid/>
        <w:spacing w:before="300" w:beforeAutospacing="0" w:after="0" w:afterAutospacing="0" w:line="360" w:lineRule="auto"/>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b/>
          <w:bCs/>
          <w:i w:val="0"/>
          <w:iCs w:val="0"/>
          <w:caps w:val="0"/>
          <w:color w:val="auto"/>
          <w:spacing w:val="0"/>
          <w:sz w:val="21"/>
          <w:szCs w:val="21"/>
          <w:highlight w:val="none"/>
        </w:rPr>
        <w:t>六、其他补充事宜</w:t>
      </w:r>
    </w:p>
    <w:p w14:paraId="106B1ED6">
      <w:pPr>
        <w:spacing w:line="360" w:lineRule="auto"/>
        <w:ind w:firstLine="420" w:firstLineChars="200"/>
        <w:rPr>
          <w:rFonts w:hint="eastAsia"/>
          <w:color w:val="auto"/>
          <w:highlight w:val="none"/>
        </w:rPr>
      </w:pPr>
      <w:r>
        <w:rPr>
          <w:rFonts w:hint="eastAsia" w:ascii="宋体" w:hAnsi="宋体" w:eastAsia="宋体" w:cs="宋体"/>
          <w:i w:val="0"/>
          <w:iCs w:val="0"/>
          <w:caps w:val="0"/>
          <w:color w:val="auto"/>
          <w:spacing w:val="0"/>
          <w:sz w:val="21"/>
          <w:szCs w:val="21"/>
          <w:highlight w:val="none"/>
        </w:rPr>
        <w:t>​</w:t>
      </w:r>
      <w:r>
        <w:rPr>
          <w:rFonts w:hint="eastAsia"/>
          <w:color w:val="auto"/>
          <w:highlight w:val="none"/>
        </w:rPr>
        <w:t>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215BD73C">
      <w:pPr>
        <w:spacing w:line="360" w:lineRule="auto"/>
        <w:ind w:firstLine="420" w:firstLineChars="200"/>
        <w:rPr>
          <w:rFonts w:hint="eastAsia"/>
          <w:color w:val="auto"/>
          <w:highlight w:val="none"/>
        </w:rPr>
      </w:pPr>
      <w:r>
        <w:rPr>
          <w:rFonts w:hint="eastAsia"/>
          <w:color w:val="auto"/>
          <w:highlight w:val="none"/>
        </w:rPr>
        <w:t>2.根据《浙江省财政厅关于进一步促进政府采购公平竞争打造最优营商环境的通知》（浙财采监（2021）22号）文件关于“健全行政裁决机制”要求，鼓励投标人在线提起询问，路径为：政采云-项目采购-询问质疑投诉-询问列表:鼓励投标人在线提起质疑，路径为：政采云-项目采购-询问质疑投诉-质疑列表。质疑投标人对在线质疑答复不满意的，可在线提起投诉，路径为：浙江政府服务网-政府采购投诉处理-在线办理。</w:t>
      </w:r>
    </w:p>
    <w:p w14:paraId="4C82D3B3">
      <w:pPr>
        <w:spacing w:line="360" w:lineRule="auto"/>
        <w:ind w:firstLine="420" w:firstLineChars="200"/>
        <w:rPr>
          <w:rFonts w:hint="eastAsia"/>
          <w:color w:val="auto"/>
          <w:highlight w:val="none"/>
        </w:rPr>
      </w:pPr>
      <w:r>
        <w:rPr>
          <w:rFonts w:hint="eastAsia"/>
          <w:color w:val="auto"/>
          <w:highlight w:val="none"/>
        </w:rPr>
        <w:t>3.投标人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投标人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678AD85E">
      <w:pPr>
        <w:spacing w:line="360" w:lineRule="auto"/>
        <w:rPr>
          <w:rFonts w:hint="eastAsia"/>
          <w:color w:val="auto"/>
          <w:highlight w:val="none"/>
        </w:rPr>
      </w:pPr>
      <w:r>
        <w:rPr>
          <w:rFonts w:hint="eastAsia"/>
          <w:color w:val="auto"/>
          <w:highlight w:val="none"/>
        </w:rPr>
        <w:t>4.其他事项：（1）为支持和促进中小企业发展，进一步发挥政府采购政策功能，鼓励供应商使用保险/保函替代保证金及进行预付款增信，支持供应商基于中标项目进行应收账款融资。中标供应商若想了解或使用相关服务，可通过政采云平台或其他渠道进行咨询。政采云金融热线400-903-9583，也可登录政采云平台查看相应政策文件及各相关服务方案∶</w:t>
      </w:r>
    </w:p>
    <w:p w14:paraId="137D4E43">
      <w:pPr>
        <w:spacing w:line="360" w:lineRule="auto"/>
        <w:rPr>
          <w:rFonts w:hint="eastAsia"/>
          <w:color w:val="auto"/>
          <w:highlight w:val="none"/>
        </w:rPr>
      </w:pPr>
      <w:r>
        <w:rPr>
          <w:rFonts w:hint="eastAsia"/>
          <w:color w:val="auto"/>
          <w:highlight w:val="none"/>
        </w:rPr>
        <w:t>https://jinrong.zcygov.cn/finance-service/#/home</w:t>
      </w:r>
    </w:p>
    <w:p w14:paraId="2269A1BF">
      <w:pPr>
        <w:spacing w:line="360" w:lineRule="auto"/>
        <w:rPr>
          <w:rFonts w:hint="eastAsia"/>
          <w:color w:val="auto"/>
          <w:highlight w:val="none"/>
        </w:rPr>
      </w:pPr>
      <w:r>
        <w:rPr>
          <w:rFonts w:hint="eastAsia"/>
          <w:color w:val="auto"/>
          <w:highlight w:val="none"/>
        </w:rPr>
        <w:t>（2）采购项目需要落实的政府采购政策：《政府采购促进中小企业发展管理办法》（财库﹝2020﹞46号）、《关于促进残疾人就业政府采购政策的通知》（财库〔2017〕141号）、《关于政府采购支持监狱企业发展有关问题的通知》（财库[2014]68号）、《关于调整优化节能产品环境标志产品政府采购执行机制的通知》（财库[2019]9号）。</w:t>
      </w:r>
    </w:p>
    <w:p w14:paraId="0C3FB2C5">
      <w:pPr>
        <w:spacing w:line="360" w:lineRule="auto"/>
        <w:rPr>
          <w:rFonts w:hint="eastAsia"/>
          <w:color w:val="auto"/>
          <w:highlight w:val="none"/>
        </w:rPr>
      </w:pPr>
      <w:r>
        <w:rPr>
          <w:rFonts w:hint="eastAsia"/>
          <w:color w:val="auto"/>
          <w:highlight w:val="none"/>
        </w:rPr>
        <w:t>（3）根据《浙江省财政厅关于规范政府采购供应商资格设定及资格审查的通知》（浙财采监[2013]24号）第6条规定接受金融、保险、通讯等特定行业的全国性企业所设立的区域性分支机构，以及个体工商户、个人独资企业、合伙企业，且已经依法办理了工商、税务和社保登记手续，并且获得总机构授权或能够提供房产权证或其他有效财产证明材料，证明其具备实际承担责任的能力和法定的缔结合同能力。</w:t>
      </w:r>
    </w:p>
    <w:p w14:paraId="74617D67">
      <w:pPr>
        <w:spacing w:line="360" w:lineRule="auto"/>
        <w:rPr>
          <w:rFonts w:hint="eastAsia"/>
          <w:color w:val="auto"/>
          <w:highlight w:val="none"/>
        </w:rPr>
      </w:pPr>
      <w:r>
        <w:rPr>
          <w:rFonts w:hint="eastAsia"/>
          <w:color w:val="auto"/>
          <w:highlight w:val="none"/>
        </w:rPr>
        <w:t>（4）单位负责人为同一人或者存在直接控股、管理关系的不同供应商，不得同时参加同一合同项下的投标。</w:t>
      </w:r>
    </w:p>
    <w:p w14:paraId="2233A7D0">
      <w:pPr>
        <w:spacing w:line="360" w:lineRule="auto"/>
        <w:rPr>
          <w:rFonts w:hint="eastAsia"/>
          <w:color w:val="auto"/>
          <w:highlight w:val="none"/>
        </w:rPr>
      </w:pPr>
      <w:r>
        <w:rPr>
          <w:rFonts w:hint="eastAsia"/>
          <w:color w:val="auto"/>
          <w:highlight w:val="none"/>
        </w:rPr>
        <w:t>（5）为项目提供整体设计、规范编制或者项目管理、监理、检测等服务的供应商，不得参加该项目的投标。</w:t>
      </w:r>
    </w:p>
    <w:p w14:paraId="2FC09D2A">
      <w:pPr>
        <w:spacing w:line="360" w:lineRule="auto"/>
        <w:rPr>
          <w:color w:val="auto"/>
          <w:highlight w:val="none"/>
        </w:rPr>
      </w:pPr>
      <w:r>
        <w:rPr>
          <w:rFonts w:hint="eastAsia"/>
          <w:color w:val="auto"/>
          <w:highlight w:val="none"/>
        </w:rPr>
        <w:t>（6）本项目采购文件公告期限为本公告发布之日起5个工作日。</w:t>
      </w:r>
    </w:p>
    <w:p w14:paraId="353F47F8">
      <w:pPr>
        <w:spacing w:line="360" w:lineRule="auto"/>
        <w:ind w:firstLine="420" w:firstLineChars="200"/>
        <w:rPr>
          <w:rFonts w:hint="eastAsia" w:ascii="宋体" w:hAnsi="宋体" w:cs="宋体"/>
          <w:color w:val="auto"/>
          <w:highlight w:val="none"/>
        </w:rPr>
      </w:pPr>
      <w:r>
        <w:rPr>
          <w:rFonts w:hint="eastAsia"/>
          <w:color w:val="auto"/>
          <w:highlight w:val="none"/>
        </w:rPr>
        <w:t>5.</w:t>
      </w:r>
      <w:r>
        <w:rPr>
          <w:rFonts w:hint="eastAsia" w:ascii="宋体" w:hAnsi="宋体" w:cs="宋体"/>
          <w:color w:val="auto"/>
          <w:highlight w:val="none"/>
        </w:rPr>
        <w:t>本项目采取电子招投标，电子招投标有关事项说明：</w:t>
      </w:r>
    </w:p>
    <w:p w14:paraId="3205186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A.本项目通过“浙江政府采购网（http://zfcg.czt.zj.gov.cn）”实行电子投标，投标人须安装客户端软件，并按照采购文件和电子交易平台的要求制作投标文件。</w:t>
      </w:r>
    </w:p>
    <w:p w14:paraId="5DEAC86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客户端软件下载方式：投标人可通过“浙江政府采购网-下载专区-电子交易客户端”进行下载。</w:t>
      </w:r>
    </w:p>
    <w:p w14:paraId="63B3DC3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B.投标人须申领CA，并在浙江政府采购网完成绑定方可进行投标文件的编制，CA相关操作可参考“浙江政府采购网-下载专区-电子交易客户端-CA驱动和申领流程”。</w:t>
      </w:r>
    </w:p>
    <w:p w14:paraId="7CCD226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若对项目采购电子交易系统操作有疑问，可登录政采云。</w:t>
      </w:r>
    </w:p>
    <w:p w14:paraId="2A810989">
      <w:pPr>
        <w:spacing w:line="360" w:lineRule="auto"/>
        <w:ind w:firstLine="420" w:firstLineChars="200"/>
        <w:rPr>
          <w:rFonts w:hint="eastAsia" w:ascii="宋体" w:hAnsi="宋体" w:cs="宋体"/>
          <w:color w:val="auto"/>
          <w:highlight w:val="none"/>
        </w:rPr>
      </w:pPr>
    </w:p>
    <w:p w14:paraId="65A49A07">
      <w:pPr>
        <w:pStyle w:val="48"/>
        <w:keepNext w:val="0"/>
        <w:keepLines w:val="0"/>
        <w:pageBreakBefore w:val="0"/>
        <w:widowControl/>
        <w:suppressLineNumbers w:val="0"/>
        <w:kinsoku/>
        <w:wordWrap/>
        <w:overflowPunct/>
        <w:topLinePunct w:val="0"/>
        <w:autoSpaceDE/>
        <w:autoSpaceDN/>
        <w:bidi w:val="0"/>
        <w:adjustRightInd/>
        <w:snapToGrid/>
        <w:spacing w:before="300" w:beforeAutospacing="0" w:after="0" w:afterAutospacing="0" w:line="360" w:lineRule="auto"/>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b/>
          <w:bCs/>
          <w:i w:val="0"/>
          <w:iCs w:val="0"/>
          <w:caps w:val="0"/>
          <w:color w:val="auto"/>
          <w:spacing w:val="0"/>
          <w:sz w:val="21"/>
          <w:szCs w:val="21"/>
          <w:highlight w:val="none"/>
        </w:rPr>
        <w:t>七、对本次采购提出询问、质疑、投诉，请按以下方式联系</w:t>
      </w:r>
    </w:p>
    <w:p w14:paraId="32F89D59">
      <w:pPr>
        <w:pStyle w:val="4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1.采购人信息</w:t>
      </w:r>
    </w:p>
    <w:p w14:paraId="21409ED9">
      <w:pPr>
        <w:pStyle w:val="4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rPr>
        <w:t>名    称：</w:t>
      </w:r>
      <w:r>
        <w:rPr>
          <w:rFonts w:hint="eastAsia" w:cs="宋体"/>
          <w:i w:val="0"/>
          <w:iCs w:val="0"/>
          <w:caps w:val="0"/>
          <w:color w:val="auto"/>
          <w:spacing w:val="0"/>
          <w:sz w:val="21"/>
          <w:szCs w:val="21"/>
          <w:highlight w:val="none"/>
          <w:lang w:eastAsia="zh-CN"/>
        </w:rPr>
        <w:t>嘉兴市秀洲区农业农村和水利局</w:t>
      </w:r>
    </w:p>
    <w:p w14:paraId="497A3CB0">
      <w:pPr>
        <w:pStyle w:val="4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地    址：</w:t>
      </w:r>
      <w:r>
        <w:rPr>
          <w:rFonts w:hint="eastAsia" w:cs="宋体"/>
          <w:color w:val="auto"/>
          <w:sz w:val="21"/>
          <w:szCs w:val="21"/>
          <w:highlight w:val="none"/>
          <w:lang w:eastAsia="zh-CN"/>
        </w:rPr>
        <w:t>嘉兴市三塔路239号</w:t>
      </w:r>
      <w:r>
        <w:rPr>
          <w:rFonts w:hint="eastAsia" w:ascii="宋体" w:hAnsi="宋体" w:eastAsia="宋体" w:cs="宋体"/>
          <w:i w:val="0"/>
          <w:iCs w:val="0"/>
          <w:caps w:val="0"/>
          <w:color w:val="auto"/>
          <w:spacing w:val="0"/>
          <w:sz w:val="21"/>
          <w:szCs w:val="21"/>
          <w:highlight w:val="none"/>
        </w:rPr>
        <w:t>          </w:t>
      </w:r>
    </w:p>
    <w:p w14:paraId="3D94262F">
      <w:pPr>
        <w:pStyle w:val="4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传    真：          </w:t>
      </w:r>
    </w:p>
    <w:p w14:paraId="2A36C7A4">
      <w:pPr>
        <w:pStyle w:val="4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 xml:space="preserve">项目联系人（询问）：侯女士 </w:t>
      </w:r>
    </w:p>
    <w:p w14:paraId="21ED7FF7">
      <w:pPr>
        <w:pStyle w:val="4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 xml:space="preserve">项目联系方式（询问）：0573-83675852 </w:t>
      </w:r>
    </w:p>
    <w:p w14:paraId="039F0363">
      <w:pPr>
        <w:pStyle w:val="4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 xml:space="preserve">质疑联系人：赵女士 </w:t>
      </w:r>
    </w:p>
    <w:p w14:paraId="4C533202">
      <w:pPr>
        <w:pStyle w:val="4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1"/>
          <w:szCs w:val="21"/>
          <w:highlight w:val="none"/>
          <w:lang w:eastAsia="zh-CN"/>
        </w:rPr>
      </w:pPr>
      <w:r>
        <w:rPr>
          <w:rFonts w:hint="eastAsia" w:ascii="宋体" w:hAnsi="宋体" w:eastAsia="宋体" w:cs="宋体"/>
          <w:i w:val="0"/>
          <w:iCs w:val="0"/>
          <w:caps w:val="0"/>
          <w:color w:val="auto"/>
          <w:spacing w:val="0"/>
          <w:sz w:val="21"/>
          <w:szCs w:val="21"/>
          <w:highlight w:val="none"/>
        </w:rPr>
        <w:t xml:space="preserve">质疑联系方式：0573-83675852  </w:t>
      </w:r>
      <w:r>
        <w:rPr>
          <w:rFonts w:hint="eastAsia" w:cs="宋体"/>
          <w:i w:val="0"/>
          <w:iCs w:val="0"/>
          <w:caps w:val="0"/>
          <w:color w:val="auto"/>
          <w:spacing w:val="0"/>
          <w:sz w:val="21"/>
          <w:szCs w:val="21"/>
          <w:highlight w:val="none"/>
          <w:lang w:val="en-US" w:eastAsia="zh-CN"/>
        </w:rPr>
        <w:t xml:space="preserve"> </w:t>
      </w:r>
    </w:p>
    <w:p w14:paraId="11A61DAB">
      <w:pPr>
        <w:pStyle w:val="4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2.采购代理机构信息</w:t>
      </w:r>
    </w:p>
    <w:p w14:paraId="17979F39">
      <w:pPr>
        <w:pStyle w:val="4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名    称：大地工程咨询有限公司</w:t>
      </w:r>
    </w:p>
    <w:p w14:paraId="674A7FAB">
      <w:pPr>
        <w:pStyle w:val="4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地    址：嘉兴市秀洲区洪波路1200号万豪广场12楼1204</w:t>
      </w:r>
    </w:p>
    <w:p w14:paraId="0E0D655A">
      <w:pPr>
        <w:pStyle w:val="4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传    真：</w:t>
      </w:r>
    </w:p>
    <w:p w14:paraId="6E01BF78">
      <w:pPr>
        <w:pStyle w:val="4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项目联系人（询问）：杨丽莉</w:t>
      </w:r>
    </w:p>
    <w:p w14:paraId="1C01D690">
      <w:pPr>
        <w:pStyle w:val="4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项目联系方式（询问）：0573-82133572</w:t>
      </w:r>
    </w:p>
    <w:p w14:paraId="5E803FED">
      <w:pPr>
        <w:pStyle w:val="4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质疑联系人：李斌</w:t>
      </w:r>
    </w:p>
    <w:p w14:paraId="36C3EE9A">
      <w:pPr>
        <w:pStyle w:val="4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质疑联系方式：0573-82133572</w:t>
      </w:r>
    </w:p>
    <w:p w14:paraId="2030D050">
      <w:pPr>
        <w:pStyle w:val="4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3.</w:t>
      </w:r>
      <w:r>
        <w:rPr>
          <w:rStyle w:val="62"/>
          <w:rFonts w:hint="eastAsia" w:ascii="宋体" w:hAnsi="宋体" w:eastAsia="宋体" w:cs="宋体"/>
          <w:i w:val="0"/>
          <w:iCs w:val="0"/>
          <w:caps w:val="0"/>
          <w:color w:val="auto"/>
          <w:spacing w:val="0"/>
          <w:sz w:val="21"/>
          <w:szCs w:val="21"/>
          <w:highlight w:val="none"/>
        </w:rPr>
        <w:t>同级政府采购监督管理部门</w:t>
      </w:r>
    </w:p>
    <w:p w14:paraId="4294607B">
      <w:pPr>
        <w:pStyle w:val="4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名    称：嘉兴市秀洲区财政局</w:t>
      </w:r>
    </w:p>
    <w:p w14:paraId="09716531">
      <w:pPr>
        <w:pStyle w:val="4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地    址：嘉兴市秀洲区洪兴路1765号</w:t>
      </w:r>
    </w:p>
    <w:p w14:paraId="14AC32FA">
      <w:pPr>
        <w:pStyle w:val="4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传    真：</w:t>
      </w:r>
    </w:p>
    <w:p w14:paraId="4BCDF8EB">
      <w:pPr>
        <w:pStyle w:val="4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联 系 人：方先生</w:t>
      </w:r>
    </w:p>
    <w:p w14:paraId="196B21D6">
      <w:pPr>
        <w:pStyle w:val="4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监督投诉电话：0573-82720085</w:t>
      </w:r>
    </w:p>
    <w:p w14:paraId="717FAA58">
      <w:pPr>
        <w:keepNext w:val="0"/>
        <w:keepLines w:val="0"/>
        <w:pageBreakBefore w:val="0"/>
        <w:widowControl/>
        <w:suppressLineNumbers w:val="0"/>
        <w:kinsoku/>
        <w:wordWrap/>
        <w:overflowPunct/>
        <w:topLinePunct w:val="0"/>
        <w:autoSpaceDE/>
        <w:autoSpaceDN/>
        <w:bidi w:val="0"/>
        <w:adjustRightInd/>
        <w:snapToGrid/>
        <w:spacing w:line="360" w:lineRule="auto"/>
        <w:ind w:left="0" w:firstLine="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 </w:t>
      </w:r>
    </w:p>
    <w:p w14:paraId="22F04043">
      <w:pPr>
        <w:pStyle w:val="4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150"/>
        <w:textAlignment w:val="auto"/>
        <w:rPr>
          <w:rFonts w:hint="eastAsia" w:ascii="宋体" w:hAnsi="宋体" w:eastAsia="宋体" w:cs="宋体"/>
          <w:color w:val="auto"/>
          <w:sz w:val="21"/>
          <w:szCs w:val="21"/>
          <w:highlight w:val="none"/>
        </w:rPr>
      </w:pPr>
    </w:p>
    <w:p w14:paraId="7DEA159A">
      <w:pPr>
        <w:spacing w:line="360" w:lineRule="auto"/>
        <w:ind w:firstLine="420" w:firstLineChars="200"/>
        <w:rPr>
          <w:rFonts w:hint="eastAsia"/>
          <w:color w:val="auto"/>
          <w:highlight w:val="none"/>
        </w:rPr>
      </w:pPr>
      <w:r>
        <w:rPr>
          <w:rFonts w:hint="eastAsia"/>
          <w:color w:val="auto"/>
          <w:highlight w:val="none"/>
        </w:rPr>
        <w:t>若对项目采购电子交易系统操作有疑问，可登录政采云（https://www.zcygov.cn/），点击右侧咨询小采，获取采小蜜智能服务管家帮助，或拨打政采云服务热线400-881-7190获取热线服务帮助。</w:t>
      </w:r>
    </w:p>
    <w:p w14:paraId="32DB5E37">
      <w:pPr>
        <w:pStyle w:val="4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color w:val="auto"/>
          <w:highlight w:val="none"/>
        </w:rPr>
        <w:t>CA问题联系电话（人工）：汇信CA 400-888-4636；天谷CA 400-087-8198。</w:t>
      </w:r>
      <w:r>
        <w:rPr>
          <w:rFonts w:hint="eastAsia" w:ascii="宋体" w:hAnsi="宋体" w:eastAsia="宋体" w:cs="宋体"/>
          <w:i w:val="0"/>
          <w:iCs w:val="0"/>
          <w:caps w:val="0"/>
          <w:color w:val="auto"/>
          <w:spacing w:val="0"/>
          <w:sz w:val="21"/>
          <w:szCs w:val="21"/>
          <w:highlight w:val="none"/>
        </w:rPr>
        <w:t>。</w:t>
      </w:r>
    </w:p>
    <w:p w14:paraId="594A95D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val="en-US" w:eastAsia="zh-CN" w:bidi="ar"/>
        </w:rPr>
        <w:sectPr>
          <w:headerReference r:id="rId4" w:type="default"/>
          <w:pgSz w:w="11905" w:h="16838"/>
          <w:pgMar w:top="1440" w:right="1803" w:bottom="1440" w:left="1803" w:header="851" w:footer="992" w:gutter="0"/>
          <w:pgBorders>
            <w:top w:val="none" w:sz="0" w:space="0"/>
            <w:left w:val="none" w:sz="0" w:space="0"/>
            <w:bottom w:val="none" w:sz="0" w:space="0"/>
            <w:right w:val="none" w:sz="0" w:space="0"/>
          </w:pgBorders>
          <w:cols w:space="0" w:num="1"/>
          <w:docGrid w:type="lines" w:linePitch="319" w:charSpace="0"/>
        </w:sectPr>
      </w:pPr>
    </w:p>
    <w:p w14:paraId="369F75F9">
      <w:pPr>
        <w:pStyle w:val="14"/>
        <w:ind w:left="0" w:leftChars="0" w:firstLine="0" w:firstLineChars="0"/>
        <w:rPr>
          <w:color w:val="auto"/>
          <w:highlight w:val="none"/>
        </w:rPr>
      </w:pPr>
      <w:r>
        <w:rPr>
          <w:rFonts w:hint="eastAsia"/>
          <w:color w:val="auto"/>
          <w:highlight w:val="none"/>
        </w:rPr>
        <w:t xml:space="preserve">        </w:t>
      </w:r>
    </w:p>
    <w:bookmarkEnd w:id="8"/>
    <w:bookmarkEnd w:id="9"/>
    <w:p w14:paraId="0CFBA866">
      <w:pPr>
        <w:pStyle w:val="48"/>
        <w:numPr>
          <w:ilvl w:val="0"/>
          <w:numId w:val="2"/>
        </w:numPr>
        <w:spacing w:before="0" w:beforeAutospacing="0" w:after="0" w:afterAutospacing="0" w:line="360" w:lineRule="auto"/>
        <w:ind w:right="42" w:rightChars="20"/>
        <w:jc w:val="center"/>
        <w:rPr>
          <w:rFonts w:asciiTheme="minorEastAsia" w:hAnsiTheme="minorEastAsia" w:eastAsiaTheme="minorEastAsia"/>
          <w:b/>
          <w:bCs/>
          <w:color w:val="auto"/>
          <w:kern w:val="2"/>
          <w:szCs w:val="52"/>
          <w:highlight w:val="none"/>
        </w:rPr>
      </w:pPr>
      <w:bookmarkStart w:id="11" w:name="_Toc493511542"/>
      <w:bookmarkStart w:id="12" w:name="_Toc31093"/>
      <w:r>
        <w:rPr>
          <w:rFonts w:hint="eastAsia" w:asciiTheme="minorEastAsia" w:hAnsiTheme="minorEastAsia" w:eastAsiaTheme="minorEastAsia"/>
          <w:b/>
          <w:bCs/>
          <w:color w:val="auto"/>
          <w:kern w:val="2"/>
          <w:szCs w:val="52"/>
          <w:highlight w:val="none"/>
        </w:rPr>
        <w:t xml:space="preserve"> 采购需求</w:t>
      </w:r>
    </w:p>
    <w:p w14:paraId="25B59BED">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outlineLvl w:val="9"/>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一、服务内容</w:t>
      </w:r>
    </w:p>
    <w:p w14:paraId="01B50BAA">
      <w:pPr>
        <w:keepNext w:val="0"/>
        <w:keepLines w:val="0"/>
        <w:pageBreakBefore w:val="0"/>
        <w:kinsoku/>
        <w:wordWrap/>
        <w:overflowPunct/>
        <w:topLinePunct w:val="0"/>
        <w:autoSpaceDE/>
        <w:autoSpaceDN/>
        <w:bidi w:val="0"/>
        <w:snapToGrid/>
        <w:spacing w:line="360" w:lineRule="auto"/>
        <w:ind w:left="0" w:leftChars="0"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z w:val="21"/>
          <w:szCs w:val="21"/>
          <w:highlight w:val="none"/>
          <w:lang w:val="en-US" w:eastAsia="zh-CN"/>
        </w:rPr>
        <w:t>水稻统防统治整建制建设。项目实施区域水稻种植面积不小于5000亩并连片种植，便于农事操作。统防统治服务要根据区农业种植业推广总站发布的水稻《病虫情报》开展2次带药飞防。防治时间分别在水稻分蘖期、破口期。分蘖期防治对象：纹枯病、稻纵卷叶螟、稻飞虱，防治药剂为阿维·氯苯酰、苯甲·嘧菌酯、三氟苯嘧啶3种药剂；破口期防治对象：稻曲病、稻纵卷叶螟、稻飞虱，用药甲维·茚虫威、啶氧·戊唑醇、烯啶·吡蚜酮3种药剂</w:t>
      </w:r>
      <w:r>
        <w:rPr>
          <w:rFonts w:hint="eastAsia" w:asciiTheme="minorEastAsia" w:hAnsiTheme="minorEastAsia" w:eastAsiaTheme="minorEastAsia" w:cstheme="minorEastAsia"/>
          <w:color w:val="auto"/>
          <w:sz w:val="21"/>
          <w:szCs w:val="21"/>
          <w:highlight w:val="none"/>
          <w:lang w:eastAsia="zh-CN"/>
        </w:rPr>
        <w:t>。</w:t>
      </w:r>
    </w:p>
    <w:p w14:paraId="5D75B579">
      <w:pPr>
        <w:keepNext w:val="0"/>
        <w:keepLines w:val="0"/>
        <w:pageBreakBefore w:val="0"/>
        <w:kinsoku/>
        <w:wordWrap/>
        <w:overflowPunct/>
        <w:topLinePunct w:val="0"/>
        <w:autoSpaceDE/>
        <w:autoSpaceDN/>
        <w:bidi w:val="0"/>
        <w:snapToGrid/>
        <w:spacing w:line="360" w:lineRule="auto"/>
        <w:ind w:left="0" w:leftChars="0"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2、农药使用量样本户调查。对秀洲区共计60户样本户种植的不同品种农作物生长周期内使用的农药品种和用量进行现场调查。</w:t>
      </w:r>
    </w:p>
    <w:p w14:paraId="14AD7795">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outlineLvl w:val="9"/>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二、服务要求</w:t>
      </w:r>
    </w:p>
    <w:p w14:paraId="3EF36730">
      <w:pPr>
        <w:pageBreakBefore w:val="0"/>
        <w:widowControl w:val="0"/>
        <w:kinsoku/>
        <w:wordWrap w:val="0"/>
        <w:overflowPunct/>
        <w:topLinePunct w:val="0"/>
        <w:autoSpaceDE/>
        <w:autoSpaceDN/>
        <w:bidi w:val="0"/>
        <w:snapToGrid/>
        <w:spacing w:line="360" w:lineRule="auto"/>
        <w:ind w:firstLine="420" w:firstLineChars="200"/>
        <w:jc w:val="both"/>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1、中标单位需具备农业机械服务、农作物病虫害防治服务的能力。</w:t>
      </w:r>
    </w:p>
    <w:p w14:paraId="69F9A33E">
      <w:pPr>
        <w:pageBreakBefore w:val="0"/>
        <w:widowControl w:val="0"/>
        <w:kinsoku/>
        <w:wordWrap w:val="0"/>
        <w:overflowPunct/>
        <w:topLinePunct w:val="0"/>
        <w:autoSpaceDE/>
        <w:autoSpaceDN/>
        <w:bidi w:val="0"/>
        <w:snapToGrid/>
        <w:spacing w:line="360" w:lineRule="auto"/>
        <w:ind w:firstLine="420" w:firstLineChars="200"/>
        <w:jc w:val="both"/>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2、每项服务内容服务完成后30天内分别出具电子版和纸质版项目总结,且成果归版权归采购方所有。</w:t>
      </w:r>
    </w:p>
    <w:p w14:paraId="3297F04E">
      <w:pPr>
        <w:pageBreakBefore w:val="0"/>
        <w:widowControl w:val="0"/>
        <w:kinsoku/>
        <w:wordWrap w:val="0"/>
        <w:overflowPunct/>
        <w:topLinePunct w:val="0"/>
        <w:autoSpaceDE/>
        <w:autoSpaceDN/>
        <w:bidi w:val="0"/>
        <w:snapToGrid/>
        <w:spacing w:line="360" w:lineRule="auto"/>
        <w:ind w:firstLine="420" w:firstLineChars="200"/>
        <w:jc w:val="both"/>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中标单位需保障项目实施的安全性、真实性和科学性。因中标单位主观错误或故意造成调查结果不实的，每发现1次扣除合同价款的5%，以此类推扣完为止。因中标单位操作错误等原因造成安全事故的，各项损失由中标单位自行承担。</w:t>
      </w:r>
    </w:p>
    <w:p w14:paraId="1999FEA4">
      <w:pPr>
        <w:pageBreakBefore w:val="0"/>
        <w:widowControl w:val="0"/>
        <w:kinsoku/>
        <w:wordWrap w:val="0"/>
        <w:overflowPunct/>
        <w:topLinePunct w:val="0"/>
        <w:autoSpaceDE/>
        <w:autoSpaceDN/>
        <w:bidi w:val="0"/>
        <w:snapToGrid/>
        <w:spacing w:line="360" w:lineRule="auto"/>
        <w:ind w:firstLine="420" w:firstLineChars="200"/>
        <w:jc w:val="both"/>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4、中标单位拟投入人员需具有本项目相关专业能力，拟配人员数需满足本项目需求。</w:t>
      </w:r>
    </w:p>
    <w:p w14:paraId="7AF6862D">
      <w:pPr>
        <w:pageBreakBefore w:val="0"/>
        <w:widowControl w:val="0"/>
        <w:kinsoku/>
        <w:wordWrap w:val="0"/>
        <w:overflowPunct/>
        <w:topLinePunct w:val="0"/>
        <w:autoSpaceDE/>
        <w:autoSpaceDN/>
        <w:bidi w:val="0"/>
        <w:snapToGrid/>
        <w:spacing w:line="360" w:lineRule="auto"/>
        <w:ind w:firstLine="420" w:firstLineChars="200"/>
        <w:jc w:val="both"/>
        <w:textAlignment w:val="auto"/>
        <w:outlineLvl w:val="9"/>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5、中标人需自备完成本项目的所有设备、设施、做好周边环境调查等工作，做好质量控制及人员培训工作。</w:t>
      </w:r>
    </w:p>
    <w:p w14:paraId="5EBEDCCC">
      <w:pPr>
        <w:pageBreakBefore w:val="0"/>
        <w:widowControl w:val="0"/>
        <w:kinsoku/>
        <w:wordWrap w:val="0"/>
        <w:overflowPunct/>
        <w:topLinePunct w:val="0"/>
        <w:autoSpaceDE/>
        <w:autoSpaceDN/>
        <w:bidi w:val="0"/>
        <w:snapToGrid/>
        <w:spacing w:line="360" w:lineRule="auto"/>
        <w:jc w:val="both"/>
        <w:textAlignment w:val="auto"/>
        <w:outlineLvl w:val="9"/>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b/>
          <w:bCs/>
          <w:color w:val="auto"/>
          <w:sz w:val="21"/>
          <w:szCs w:val="21"/>
          <w:highlight w:val="none"/>
          <w:lang w:val="en-US" w:eastAsia="zh-CN"/>
        </w:rPr>
        <w:t>三</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bCs/>
          <w:color w:val="auto"/>
          <w:sz w:val="21"/>
          <w:szCs w:val="21"/>
          <w:highlight w:val="none"/>
          <w:lang w:val="en-US" w:eastAsia="zh-CN"/>
        </w:rPr>
        <w:t>商务条款</w:t>
      </w:r>
    </w:p>
    <w:tbl>
      <w:tblPr>
        <w:tblStyle w:val="52"/>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8"/>
        <w:gridCol w:w="7455"/>
      </w:tblGrid>
      <w:tr w14:paraId="15B39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58" w:type="dxa"/>
            <w:vAlign w:val="center"/>
          </w:tcPr>
          <w:p w14:paraId="1DD41035">
            <w:pPr>
              <w:keepNext w:val="0"/>
              <w:keepLines w:val="0"/>
              <w:pageBreakBefore w:val="0"/>
              <w:widowControl w:val="0"/>
              <w:suppressLineNumbers w:val="0"/>
              <w:kinsoku/>
              <w:wordWrap/>
              <w:overflowPunct/>
              <w:topLinePunct w:val="0"/>
              <w:bidi w:val="0"/>
              <w:spacing w:before="0" w:beforeLines="50" w:beforeAutospacing="0" w:after="0" w:afterAutospacing="0" w:line="360" w:lineRule="auto"/>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服务</w:t>
            </w:r>
            <w:r>
              <w:rPr>
                <w:rFonts w:hint="eastAsia" w:asciiTheme="minorEastAsia" w:hAnsiTheme="minorEastAsia" w:eastAsiaTheme="minorEastAsia" w:cstheme="minorEastAsia"/>
                <w:color w:val="auto"/>
                <w:sz w:val="21"/>
                <w:szCs w:val="21"/>
                <w:highlight w:val="none"/>
              </w:rPr>
              <w:t>期限</w:t>
            </w:r>
          </w:p>
        </w:tc>
        <w:tc>
          <w:tcPr>
            <w:tcW w:w="7455" w:type="dxa"/>
            <w:vAlign w:val="center"/>
          </w:tcPr>
          <w:p w14:paraId="4A1A36E6">
            <w:pPr>
              <w:keepNext w:val="0"/>
              <w:keepLines w:val="0"/>
              <w:pageBreakBefore w:val="0"/>
              <w:widowControl w:val="0"/>
              <w:suppressLineNumbers w:val="0"/>
              <w:kinsoku/>
              <w:wordWrap/>
              <w:overflowPunct/>
              <w:topLinePunct w:val="0"/>
              <w:autoSpaceDE/>
              <w:autoSpaceDN/>
              <w:bidi w:val="0"/>
              <w:adjustRightInd/>
              <w:snapToGrid/>
              <w:spacing w:before="0" w:beforeLines="50" w:beforeAutospacing="0" w:after="0" w:afterAutospacing="0" w:line="360" w:lineRule="auto"/>
              <w:ind w:left="0" w:right="0"/>
              <w:jc w:val="left"/>
              <w:textAlignment w:val="auto"/>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自合同签订生效之日起至2026年10月31日</w:t>
            </w:r>
            <w:r>
              <w:rPr>
                <w:rFonts w:hint="eastAsia" w:asciiTheme="minorEastAsia" w:hAnsiTheme="minorEastAsia" w:eastAsiaTheme="minorEastAsia" w:cstheme="minorEastAsia"/>
                <w:color w:val="auto"/>
                <w:sz w:val="21"/>
                <w:szCs w:val="21"/>
                <w:highlight w:val="none"/>
              </w:rPr>
              <w:t>。</w:t>
            </w:r>
          </w:p>
        </w:tc>
      </w:tr>
      <w:tr w14:paraId="38381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8" w:type="dxa"/>
            <w:vAlign w:val="center"/>
          </w:tcPr>
          <w:p w14:paraId="395EFE28">
            <w:pPr>
              <w:keepNext w:val="0"/>
              <w:keepLines w:val="0"/>
              <w:pageBreakBefore w:val="0"/>
              <w:widowControl w:val="0"/>
              <w:suppressLineNumbers w:val="0"/>
              <w:kinsoku/>
              <w:wordWrap/>
              <w:overflowPunct/>
              <w:topLinePunct w:val="0"/>
              <w:bidi w:val="0"/>
              <w:spacing w:before="0" w:beforeLines="50" w:beforeAutospacing="0" w:after="0" w:afterAutospacing="0" w:line="360" w:lineRule="auto"/>
              <w:ind w:left="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付款方式</w:t>
            </w:r>
          </w:p>
        </w:tc>
        <w:tc>
          <w:tcPr>
            <w:tcW w:w="7455" w:type="dxa"/>
            <w:vAlign w:val="center"/>
          </w:tcPr>
          <w:p w14:paraId="5F9131A0">
            <w:pPr>
              <w:keepNext w:val="0"/>
              <w:keepLines w:val="0"/>
              <w:pageBreakBefore w:val="0"/>
              <w:widowControl w:val="0"/>
              <w:kinsoku/>
              <w:wordWrap/>
              <w:overflowPunct/>
              <w:topLinePunct w:val="0"/>
              <w:autoSpaceDE/>
              <w:autoSpaceDN/>
              <w:bidi w:val="0"/>
              <w:adjustRightInd w:val="0"/>
              <w:snapToGrid/>
              <w:spacing w:before="0" w:beforeLines="50" w:line="360" w:lineRule="auto"/>
              <w:textAlignment w:val="auto"/>
              <w:rPr>
                <w:rFonts w:hint="eastAsia" w:ascii="宋体" w:hAnsi="宋体" w:eastAsia="宋体" w:cs="宋体"/>
                <w:color w:val="auto"/>
                <w:sz w:val="21"/>
                <w:szCs w:val="21"/>
                <w:highlight w:val="none"/>
              </w:rPr>
            </w:pPr>
            <w:bookmarkStart w:id="13" w:name="_Toc13838"/>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合同生效以及具备实施条件后7个工作日内</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采购人向中标人支付合同</w:t>
            </w:r>
            <w:r>
              <w:rPr>
                <w:rFonts w:hint="eastAsia" w:ascii="宋体" w:hAnsi="宋体" w:eastAsia="宋体" w:cs="宋体"/>
                <w:color w:val="auto"/>
                <w:sz w:val="21"/>
                <w:szCs w:val="21"/>
                <w:highlight w:val="none"/>
                <w:lang w:val="en-US" w:eastAsia="zh-CN"/>
              </w:rPr>
              <w:t>总价</w:t>
            </w:r>
            <w:r>
              <w:rPr>
                <w:rFonts w:hint="eastAsia" w:ascii="宋体" w:hAnsi="宋体" w:eastAsia="宋体" w:cs="宋体"/>
                <w:color w:val="auto"/>
                <w:sz w:val="21"/>
                <w:szCs w:val="21"/>
                <w:highlight w:val="none"/>
              </w:rPr>
              <w:t>的</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0%作为预付款；</w:t>
            </w:r>
          </w:p>
          <w:bookmarkEnd w:id="13"/>
          <w:p w14:paraId="5D9E279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textAlignment w:val="auto"/>
              <w:rPr>
                <w:rFonts w:hint="eastAsia" w:asciiTheme="minorEastAsia" w:hAnsiTheme="minorEastAsia" w:eastAsiaTheme="minorEastAsia" w:cstheme="minorEastAsia"/>
                <w:color w:val="auto"/>
                <w:sz w:val="21"/>
                <w:szCs w:val="21"/>
                <w:highlight w:val="none"/>
                <w:lang w:val="en-US" w:eastAsia="zh-CN"/>
              </w:rPr>
            </w:pPr>
            <w:bookmarkStart w:id="14" w:name="_Toc26078"/>
            <w:bookmarkStart w:id="15" w:name="_Toc6062"/>
            <w:r>
              <w:rPr>
                <w:rFonts w:hint="eastAsia" w:asciiTheme="minorEastAsia" w:hAnsiTheme="minorEastAsia" w:eastAsiaTheme="minorEastAsia" w:cstheme="minorEastAsia"/>
                <w:color w:val="auto"/>
                <w:kern w:val="0"/>
                <w:sz w:val="21"/>
                <w:szCs w:val="21"/>
                <w:highlight w:val="none"/>
                <w:lang w:val="en-US" w:eastAsia="zh-CN"/>
              </w:rPr>
              <w:t>2</w:t>
            </w:r>
            <w:bookmarkEnd w:id="14"/>
            <w:bookmarkEnd w:id="15"/>
            <w:r>
              <w:rPr>
                <w:rFonts w:hint="eastAsia" w:asciiTheme="minorEastAsia" w:hAnsiTheme="minorEastAsia" w:eastAsiaTheme="minorEastAsia" w:cstheme="minorEastAsia"/>
                <w:color w:val="auto"/>
                <w:kern w:val="0"/>
                <w:sz w:val="21"/>
                <w:szCs w:val="21"/>
                <w:highlight w:val="none"/>
                <w:lang w:val="en-US" w:eastAsia="zh-CN"/>
              </w:rPr>
              <w:t>、剩余款项待服务期满后一次性付清。</w:t>
            </w:r>
          </w:p>
        </w:tc>
      </w:tr>
      <w:tr w14:paraId="2EB5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8" w:type="dxa"/>
            <w:vAlign w:val="center"/>
          </w:tcPr>
          <w:p w14:paraId="09FC26AD">
            <w:pPr>
              <w:keepNext w:val="0"/>
              <w:keepLines w:val="0"/>
              <w:pageBreakBefore w:val="0"/>
              <w:widowControl w:val="0"/>
              <w:suppressLineNumbers w:val="0"/>
              <w:kinsoku/>
              <w:wordWrap/>
              <w:overflowPunct/>
              <w:topLinePunct w:val="0"/>
              <w:bidi w:val="0"/>
              <w:snapToGrid w:val="0"/>
              <w:spacing w:before="0" w:beforeLines="50" w:beforeAutospacing="0" w:after="0" w:afterAutospacing="0" w:line="360" w:lineRule="auto"/>
              <w:ind w:left="0" w:right="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投标报价</w:t>
            </w:r>
          </w:p>
        </w:tc>
        <w:tc>
          <w:tcPr>
            <w:tcW w:w="7455" w:type="dxa"/>
            <w:vAlign w:val="center"/>
          </w:tcPr>
          <w:p w14:paraId="01EC44EA">
            <w:pPr>
              <w:keepNext w:val="0"/>
              <w:keepLines w:val="0"/>
              <w:pageBreakBefore w:val="0"/>
              <w:widowControl w:val="0"/>
              <w:suppressLineNumbers w:val="0"/>
              <w:kinsoku/>
              <w:wordWrap/>
              <w:overflowPunct/>
              <w:topLinePunct w:val="0"/>
              <w:bidi w:val="0"/>
              <w:snapToGrid w:val="0"/>
              <w:spacing w:before="0" w:beforeLines="50" w:beforeAutospacing="0" w:after="0" w:afterAutospacing="0" w:line="360" w:lineRule="auto"/>
              <w:ind w:left="0" w:right="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投标报价是履行合同的最终价格，完成合同所需的一切本身和不可或缺的所有工作开支、政策性文件规定及合同包含的所有风险、责任等各项全部费用并承担一切风险责任。</w:t>
            </w:r>
          </w:p>
        </w:tc>
      </w:tr>
      <w:tr w14:paraId="69204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8" w:type="dxa"/>
            <w:vAlign w:val="center"/>
          </w:tcPr>
          <w:p w14:paraId="23B534FE">
            <w:pPr>
              <w:pStyle w:val="4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安全生产责任</w:t>
            </w:r>
          </w:p>
        </w:tc>
        <w:tc>
          <w:tcPr>
            <w:tcW w:w="7455" w:type="dxa"/>
            <w:vAlign w:val="center"/>
          </w:tcPr>
          <w:p w14:paraId="40B779E4">
            <w:pPr>
              <w:pStyle w:val="4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leftChars="0" w:right="0" w:rightChars="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中标人应自行承担项目实施过程中安全生产责任，采购人任何情况下均不承担因此产生的任何法律责任和经济责任。</w:t>
            </w:r>
          </w:p>
        </w:tc>
      </w:tr>
      <w:tr w14:paraId="7D723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58" w:type="dxa"/>
            <w:vAlign w:val="center"/>
          </w:tcPr>
          <w:p w14:paraId="68A501C5">
            <w:pPr>
              <w:keepNext w:val="0"/>
              <w:keepLines w:val="0"/>
              <w:pageBreakBefore w:val="0"/>
              <w:widowControl w:val="0"/>
              <w:suppressLineNumbers w:val="0"/>
              <w:kinsoku/>
              <w:wordWrap/>
              <w:overflowPunct/>
              <w:topLinePunct w:val="0"/>
              <w:bidi w:val="0"/>
              <w:snapToGrid w:val="0"/>
              <w:spacing w:before="0" w:beforeLines="50" w:beforeAutospacing="0" w:after="0" w:afterAutospacing="0" w:line="360" w:lineRule="auto"/>
              <w:ind w:left="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履约保证金</w:t>
            </w:r>
          </w:p>
        </w:tc>
        <w:tc>
          <w:tcPr>
            <w:tcW w:w="7455" w:type="dxa"/>
            <w:vAlign w:val="center"/>
          </w:tcPr>
          <w:p w14:paraId="47A8952D">
            <w:pPr>
              <w:keepNext w:val="0"/>
              <w:keepLines w:val="0"/>
              <w:pageBreakBefore w:val="0"/>
              <w:widowControl w:val="0"/>
              <w:suppressLineNumbers w:val="0"/>
              <w:kinsoku/>
              <w:wordWrap/>
              <w:overflowPunct/>
              <w:topLinePunct w:val="0"/>
              <w:bidi w:val="0"/>
              <w:snapToGrid w:val="0"/>
              <w:spacing w:before="0" w:beforeLines="50" w:beforeAutospacing="0" w:after="0" w:afterAutospacing="0" w:line="360" w:lineRule="auto"/>
              <w:ind w:left="0" w:right="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本项目不设置。</w:t>
            </w:r>
          </w:p>
        </w:tc>
      </w:tr>
    </w:tbl>
    <w:p w14:paraId="27FBF74A">
      <w:pPr>
        <w:rPr>
          <w:color w:val="auto"/>
          <w:sz w:val="21"/>
          <w:szCs w:val="21"/>
          <w:highlight w:val="none"/>
        </w:rPr>
      </w:pPr>
    </w:p>
    <w:p w14:paraId="7268EAC8">
      <w:pPr>
        <w:pageBreakBefore w:val="0"/>
        <w:widowControl w:val="0"/>
        <w:kinsoku/>
        <w:wordWrap w:val="0"/>
        <w:overflowPunct/>
        <w:topLinePunct w:val="0"/>
        <w:autoSpaceDE/>
        <w:autoSpaceDN/>
        <w:bidi w:val="0"/>
        <w:snapToGrid/>
        <w:spacing w:line="360" w:lineRule="auto"/>
        <w:jc w:val="both"/>
        <w:textAlignment w:val="auto"/>
        <w:outlineLvl w:val="9"/>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四、其他要求</w:t>
      </w:r>
    </w:p>
    <w:p w14:paraId="02469A10">
      <w:pPr>
        <w:pStyle w:val="4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leftChars="0" w:right="0" w:rightChars="0"/>
        <w:textAlignment w:val="auto"/>
        <w:rPr>
          <w:rFonts w:hint="eastAsia" w:asciiTheme="minorEastAsia" w:hAnsiTheme="minorEastAsia" w:eastAsiaTheme="minorEastAsia" w:cstheme="minorEastAsia"/>
          <w:color w:val="auto"/>
          <w:kern w:val="2"/>
          <w:sz w:val="21"/>
          <w:szCs w:val="21"/>
          <w:highlight w:val="none"/>
          <w:lang w:val="en-US" w:eastAsia="zh-CN" w:bidi="ar-SA"/>
        </w:rPr>
        <w:sectPr>
          <w:pgSz w:w="11905" w:h="16838"/>
          <w:pgMar w:top="1440" w:right="1803" w:bottom="1440" w:left="1803" w:header="851" w:footer="992" w:gutter="0"/>
          <w:pgBorders>
            <w:top w:val="none" w:sz="0" w:space="0"/>
            <w:left w:val="none" w:sz="0" w:space="0"/>
            <w:bottom w:val="none" w:sz="0" w:space="0"/>
            <w:right w:val="none" w:sz="0" w:space="0"/>
          </w:pgBorders>
          <w:cols w:space="0" w:num="1"/>
          <w:docGrid w:type="lines" w:linePitch="319" w:charSpace="0"/>
        </w:sectPr>
      </w:pPr>
      <w:r>
        <w:rPr>
          <w:rFonts w:hint="eastAsia" w:asciiTheme="minorEastAsia" w:hAnsiTheme="minorEastAsia" w:eastAsiaTheme="minorEastAsia" w:cstheme="minorEastAsia"/>
          <w:color w:val="auto"/>
          <w:kern w:val="2"/>
          <w:sz w:val="21"/>
          <w:szCs w:val="21"/>
          <w:highlight w:val="none"/>
          <w:lang w:val="en-US" w:eastAsia="zh-CN" w:bidi="ar-SA"/>
        </w:rPr>
        <w:t>▲1、列入不良行为记录名单的供应商参加浙江政府采购活动须按照《中华人民共和国政府采购法实施条例》第三十三条、第四十八条规定缴纳投标保证金（投标保证金金额：预算金额的2%）、履约保证金（履约保证金金额：合同金额的10%）。</w:t>
      </w:r>
    </w:p>
    <w:p w14:paraId="02B77917">
      <w:pPr>
        <w:pStyle w:val="15"/>
        <w:rPr>
          <w:rFonts w:hAnsi="宋体" w:cs="宋体"/>
          <w:color w:val="auto"/>
          <w:szCs w:val="21"/>
          <w:highlight w:val="none"/>
          <w:lang w:bidi="ar"/>
        </w:rPr>
      </w:pPr>
    </w:p>
    <w:p w14:paraId="71742D22">
      <w:pPr>
        <w:pStyle w:val="164"/>
        <w:ind w:right="42" w:rightChars="20"/>
        <w:rPr>
          <w:rFonts w:cs="微软雅黑" w:asciiTheme="minorEastAsia" w:hAnsiTheme="minorEastAsia" w:eastAsiaTheme="minorEastAsia"/>
          <w:color w:val="auto"/>
          <w:sz w:val="36"/>
          <w:highlight w:val="none"/>
        </w:rPr>
      </w:pPr>
      <w:r>
        <w:rPr>
          <w:rFonts w:hint="eastAsia" w:asciiTheme="minorEastAsia" w:hAnsiTheme="minorEastAsia" w:eastAsiaTheme="minorEastAsia"/>
          <w:color w:val="auto"/>
          <w:highlight w:val="none"/>
        </w:rPr>
        <w:t>第三章  投标人须知</w:t>
      </w:r>
      <w:bookmarkEnd w:id="10"/>
      <w:bookmarkEnd w:id="11"/>
      <w:bookmarkEnd w:id="12"/>
    </w:p>
    <w:p w14:paraId="6771A122">
      <w:pPr>
        <w:spacing w:line="360" w:lineRule="auto"/>
        <w:ind w:right="42" w:rightChars="20" w:firstLine="562" w:firstLineChars="200"/>
        <w:jc w:val="center"/>
        <w:rPr>
          <w:rFonts w:asciiTheme="minorEastAsia" w:hAnsiTheme="minorEastAsia" w:eastAsiaTheme="minorEastAsia"/>
          <w:b/>
          <w:bCs/>
          <w:color w:val="auto"/>
          <w:sz w:val="28"/>
          <w:szCs w:val="28"/>
          <w:highlight w:val="none"/>
        </w:rPr>
      </w:pPr>
      <w:bookmarkStart w:id="16" w:name="_Toc50012816"/>
      <w:bookmarkStart w:id="17" w:name="_Toc493511543"/>
      <w:bookmarkStart w:id="18" w:name="_Toc17413"/>
      <w:bookmarkStart w:id="19" w:name="_Toc177870535"/>
      <w:r>
        <w:rPr>
          <w:rFonts w:hint="eastAsia" w:cs="宋体" w:asciiTheme="minorEastAsia" w:hAnsiTheme="minorEastAsia" w:eastAsiaTheme="minorEastAsia"/>
          <w:b/>
          <w:bCs/>
          <w:color w:val="auto"/>
          <w:sz w:val="28"/>
          <w:szCs w:val="28"/>
          <w:highlight w:val="none"/>
        </w:rPr>
        <w:t>电子交易注意事项</w:t>
      </w:r>
    </w:p>
    <w:p w14:paraId="1E30B46D">
      <w:pPr>
        <w:spacing w:line="360" w:lineRule="auto"/>
        <w:ind w:right="42" w:rightChars="20" w:firstLine="210" w:firstLineChars="100"/>
        <w:jc w:val="left"/>
        <w:rPr>
          <w:rFonts w:asciiTheme="minorEastAsia" w:hAnsiTheme="minorEastAsia" w:eastAsiaTheme="minorEastAsia"/>
          <w:color w:val="auto"/>
          <w:szCs w:val="21"/>
          <w:highlight w:val="none"/>
          <w:shd w:val="clear" w:color="auto" w:fill="FFFFFF"/>
        </w:rPr>
      </w:pPr>
      <w:r>
        <w:rPr>
          <w:rFonts w:hint="eastAsia" w:cs="宋体" w:asciiTheme="minorEastAsia" w:hAnsiTheme="minorEastAsia" w:eastAsiaTheme="minorEastAsia"/>
          <w:color w:val="auto"/>
          <w:szCs w:val="21"/>
          <w:highlight w:val="none"/>
          <w:shd w:val="clear" w:color="auto" w:fill="FFFFFF"/>
        </w:rPr>
        <w:t>　政府采购项目电子交易活动适用《浙江省政府采购项目电子交易管理暂行办法》，现将相关注意事项告知如下：</w:t>
      </w:r>
    </w:p>
    <w:p w14:paraId="485C252A">
      <w:pPr>
        <w:spacing w:line="360" w:lineRule="auto"/>
        <w:ind w:right="42" w:rightChars="20" w:firstLine="210" w:firstLineChars="100"/>
        <w:jc w:val="left"/>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　1.集中采购机构按照招标文件规定的时间通过电子交易平台组织开标、开启投标文件、开启报价文件，所有投标人均应当准时在线参加，直至评审结束。</w:t>
      </w:r>
    </w:p>
    <w:p w14:paraId="17693D5E">
      <w:pPr>
        <w:pStyle w:val="48"/>
        <w:spacing w:beforeAutospacing="0" w:afterAutospacing="0" w:line="360" w:lineRule="auto"/>
        <w:ind w:right="42" w:rightChars="20" w:firstLine="210" w:firstLineChars="100"/>
        <w:rPr>
          <w:rFonts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　2. 投标文件未按时解密，投标人如提供备份投标文件的，以符合要求的备份投标文件作为依据，否则视为投标文件撤回。投标文件已按时解密的，备份投标文件自动失效。</w:t>
      </w:r>
    </w:p>
    <w:p w14:paraId="423BAEB7">
      <w:pPr>
        <w:pStyle w:val="48"/>
        <w:spacing w:beforeAutospacing="0" w:afterAutospacing="0" w:line="360" w:lineRule="auto"/>
        <w:ind w:right="42" w:rightChars="20" w:firstLine="210" w:firstLineChars="100"/>
        <w:rPr>
          <w:rFonts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　3. 采购过程中出现以下情形，导致电子交易平台无法正常运行，或者无法保证电子交易的公平、公正和安全时，集中采购机构可中止电子交易活动：</w:t>
      </w:r>
    </w:p>
    <w:p w14:paraId="644D1F4A">
      <w:pPr>
        <w:pStyle w:val="48"/>
        <w:spacing w:beforeAutospacing="0" w:afterAutospacing="0" w:line="360" w:lineRule="auto"/>
        <w:ind w:right="42" w:rightChars="20" w:firstLine="645"/>
        <w:rPr>
          <w:rFonts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（一）电子交易平台发生故障而无法登录访问的； </w:t>
      </w:r>
    </w:p>
    <w:p w14:paraId="27431F66">
      <w:pPr>
        <w:pStyle w:val="48"/>
        <w:spacing w:beforeAutospacing="0" w:afterAutospacing="0" w:line="360" w:lineRule="auto"/>
        <w:ind w:right="42" w:rightChars="20" w:firstLine="645"/>
        <w:rPr>
          <w:rFonts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（二）电子交易平台应用或数据库出现错误，不能进行正常操作的；</w:t>
      </w:r>
    </w:p>
    <w:p w14:paraId="5E6BF8D5">
      <w:pPr>
        <w:pStyle w:val="48"/>
        <w:spacing w:beforeAutospacing="0" w:afterAutospacing="0" w:line="360" w:lineRule="auto"/>
        <w:ind w:right="42" w:rightChars="20" w:firstLine="645"/>
        <w:rPr>
          <w:rFonts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（三）电子交易平台发现严重安全漏洞，有潜在泄密危险的；</w:t>
      </w:r>
    </w:p>
    <w:p w14:paraId="3B362AFB">
      <w:pPr>
        <w:pStyle w:val="48"/>
        <w:spacing w:beforeAutospacing="0" w:afterAutospacing="0" w:line="360" w:lineRule="auto"/>
        <w:ind w:right="42" w:rightChars="20" w:firstLine="645"/>
        <w:rPr>
          <w:rFonts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（四）病毒发作导致不能进行正常操作的； </w:t>
      </w:r>
    </w:p>
    <w:p w14:paraId="3EA4D135">
      <w:pPr>
        <w:pStyle w:val="48"/>
        <w:spacing w:beforeAutospacing="0" w:afterAutospacing="0" w:line="360" w:lineRule="auto"/>
        <w:ind w:right="42" w:rightChars="20" w:firstLine="645"/>
        <w:rPr>
          <w:rFonts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（五）其他无法保证电子交易的公平、公正和安全的情况。</w:t>
      </w:r>
    </w:p>
    <w:p w14:paraId="71423518">
      <w:pPr>
        <w:pStyle w:val="48"/>
        <w:spacing w:beforeAutospacing="0" w:afterAutospacing="0" w:line="360" w:lineRule="auto"/>
        <w:ind w:right="42" w:rightChars="20" w:firstLine="210"/>
        <w:rPr>
          <w:rFonts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出现前款规定情形，不影响采购公平、公正性的，集中采购机构可以待上述情形消除后继续组织电子交易活动，也可以决定某些环节以纸质形式进行；影响或可能影响采购公平、公正性的，应当重新采购。</w:t>
      </w:r>
    </w:p>
    <w:p w14:paraId="180F7E68">
      <w:pPr>
        <w:spacing w:line="360" w:lineRule="auto"/>
        <w:ind w:right="42" w:rightChars="20" w:firstLine="420" w:firstLineChars="200"/>
        <w:jc w:val="left"/>
        <w:outlineLvl w:val="1"/>
        <w:rPr>
          <w:rFonts w:cs="宋体" w:asciiTheme="minorEastAsia" w:hAnsiTheme="minorEastAsia" w:eastAsiaTheme="minorEastAsia"/>
          <w:color w:val="auto"/>
          <w:szCs w:val="21"/>
          <w:highlight w:val="none"/>
          <w:shd w:val="clear" w:color="auto" w:fill="FFFFFF"/>
        </w:rPr>
      </w:pPr>
      <w:r>
        <w:rPr>
          <w:rFonts w:hint="eastAsia" w:cs="宋体" w:asciiTheme="minorEastAsia" w:hAnsiTheme="minorEastAsia" w:eastAsiaTheme="minorEastAsia"/>
          <w:color w:val="auto"/>
          <w:szCs w:val="21"/>
          <w:highlight w:val="none"/>
          <w:shd w:val="clear" w:color="auto" w:fill="FFFFFF"/>
        </w:rPr>
        <w:t>4.评审中需要投标人对投标文件作出澄清、说明或者补正的，评审小组和投标人应当通过电子交易平台交换数据电文。投标人需在半小时内提交澄清说明或补正，投标人已经明确表示澄清说明或补正完毕的除外。</w:t>
      </w:r>
    </w:p>
    <w:p w14:paraId="713B21DD">
      <w:pPr>
        <w:spacing w:line="360" w:lineRule="auto"/>
        <w:ind w:right="42" w:rightChars="20" w:firstLine="422" w:firstLineChars="200"/>
        <w:jc w:val="left"/>
        <w:outlineLvl w:val="1"/>
        <w:rPr>
          <w:rFonts w:cs="宋体" w:asciiTheme="minorEastAsia" w:hAnsiTheme="minorEastAsia" w:eastAsiaTheme="minorEastAsia"/>
          <w:color w:val="auto"/>
          <w:szCs w:val="21"/>
          <w:highlight w:val="none"/>
          <w:shd w:val="clear" w:color="auto" w:fill="FFFFFF"/>
        </w:rPr>
      </w:pPr>
      <w:r>
        <w:rPr>
          <w:rFonts w:hint="eastAsia" w:ascii="微软雅黑" w:hAnsi="微软雅黑" w:cs="宋体"/>
          <w:b/>
          <w:color w:val="auto"/>
          <w:kern w:val="0"/>
          <w:szCs w:val="21"/>
          <w:highlight w:val="none"/>
          <w:shd w:val="clear" w:color="auto" w:fill="FFFFFF"/>
        </w:rPr>
        <w:t>5.供应商须在代理机构宣布评审结束、产生中标候选人期间时刻关注项目政采云，配合专家组工作，如有询标（澄清、质疑），在30分钟内（具体时间以询标函上规定的时间为准备）通过ＣＡ进行回复。过期不按要求回复，视为默认原投标文件内容。</w:t>
      </w:r>
    </w:p>
    <w:p w14:paraId="6BF31CD6">
      <w:pPr>
        <w:pStyle w:val="101"/>
        <w:rPr>
          <w:color w:val="auto"/>
          <w:highlight w:val="none"/>
        </w:rPr>
      </w:pPr>
    </w:p>
    <w:p w14:paraId="3581AFED">
      <w:pPr>
        <w:pStyle w:val="101"/>
        <w:rPr>
          <w:color w:val="auto"/>
          <w:highlight w:val="none"/>
        </w:rPr>
      </w:pPr>
    </w:p>
    <w:p w14:paraId="469A64BC">
      <w:pPr>
        <w:spacing w:line="360" w:lineRule="auto"/>
        <w:ind w:right="42" w:rightChars="20" w:firstLine="422" w:firstLineChars="200"/>
        <w:jc w:val="center"/>
        <w:outlineLvl w:val="1"/>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前附表</w:t>
      </w:r>
      <w:bookmarkEnd w:id="16"/>
      <w:bookmarkEnd w:id="17"/>
      <w:bookmarkEnd w:id="18"/>
      <w:bookmarkEnd w:id="19"/>
    </w:p>
    <w:tbl>
      <w:tblPr>
        <w:tblStyle w:val="52"/>
        <w:tblW w:w="9288" w:type="dxa"/>
        <w:tblInd w:w="-10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7"/>
        <w:gridCol w:w="8511"/>
      </w:tblGrid>
      <w:tr w14:paraId="677034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 w:hRule="atLeast"/>
        </w:trPr>
        <w:tc>
          <w:tcPr>
            <w:tcW w:w="777" w:type="dxa"/>
            <w:tcBorders>
              <w:top w:val="single" w:color="auto" w:sz="4" w:space="0"/>
              <w:left w:val="single" w:color="auto" w:sz="4" w:space="0"/>
              <w:bottom w:val="single" w:color="auto" w:sz="4" w:space="0"/>
              <w:right w:val="single" w:color="auto" w:sz="4" w:space="0"/>
            </w:tcBorders>
            <w:vAlign w:val="center"/>
          </w:tcPr>
          <w:p w14:paraId="499F3AE4">
            <w:pPr>
              <w:snapToGrid w:val="0"/>
              <w:spacing w:line="360" w:lineRule="auto"/>
              <w:ind w:right="42" w:rightChars="20"/>
              <w:jc w:val="center"/>
              <w:rPr>
                <w:rFonts w:cs="微软雅黑" w:asciiTheme="minorEastAsia" w:hAnsiTheme="minorEastAsia" w:eastAsiaTheme="minorEastAsia"/>
                <w:color w:val="auto"/>
                <w:szCs w:val="21"/>
                <w:highlight w:val="none"/>
              </w:rPr>
            </w:pPr>
            <w:r>
              <w:rPr>
                <w:rFonts w:hint="eastAsia" w:cs="微软雅黑" w:asciiTheme="minorEastAsia" w:hAnsiTheme="minorEastAsia" w:eastAsiaTheme="minorEastAsia"/>
                <w:color w:val="auto"/>
                <w:szCs w:val="21"/>
                <w:highlight w:val="none"/>
              </w:rPr>
              <w:t>序号</w:t>
            </w:r>
          </w:p>
        </w:tc>
        <w:tc>
          <w:tcPr>
            <w:tcW w:w="8511" w:type="dxa"/>
            <w:tcBorders>
              <w:top w:val="single" w:color="auto" w:sz="4" w:space="0"/>
              <w:left w:val="single" w:color="auto" w:sz="4" w:space="0"/>
              <w:bottom w:val="single" w:color="auto" w:sz="4" w:space="0"/>
              <w:right w:val="single" w:color="auto" w:sz="4" w:space="0"/>
            </w:tcBorders>
            <w:vAlign w:val="center"/>
          </w:tcPr>
          <w:p w14:paraId="133A310E">
            <w:pPr>
              <w:snapToGrid w:val="0"/>
              <w:spacing w:line="360" w:lineRule="auto"/>
              <w:ind w:right="42" w:rightChars="20"/>
              <w:jc w:val="left"/>
              <w:rPr>
                <w:rFonts w:cs="微软雅黑" w:asciiTheme="minorEastAsia" w:hAnsiTheme="minorEastAsia" w:eastAsiaTheme="minorEastAsia"/>
                <w:color w:val="auto"/>
                <w:szCs w:val="21"/>
                <w:highlight w:val="none"/>
              </w:rPr>
            </w:pPr>
            <w:r>
              <w:rPr>
                <w:rFonts w:hint="eastAsia" w:cs="微软雅黑" w:asciiTheme="minorEastAsia" w:hAnsiTheme="minorEastAsia" w:eastAsiaTheme="minorEastAsia"/>
                <w:color w:val="auto"/>
                <w:szCs w:val="21"/>
                <w:highlight w:val="none"/>
              </w:rPr>
              <w:t>内容、要求</w:t>
            </w:r>
          </w:p>
        </w:tc>
      </w:tr>
      <w:tr w14:paraId="79D43C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 w:hRule="atLeast"/>
        </w:trPr>
        <w:tc>
          <w:tcPr>
            <w:tcW w:w="777" w:type="dxa"/>
            <w:tcBorders>
              <w:top w:val="single" w:color="auto" w:sz="4" w:space="0"/>
              <w:left w:val="single" w:color="auto" w:sz="4" w:space="0"/>
              <w:bottom w:val="single" w:color="auto" w:sz="4" w:space="0"/>
              <w:right w:val="single" w:color="auto" w:sz="4" w:space="0"/>
            </w:tcBorders>
            <w:vAlign w:val="center"/>
          </w:tcPr>
          <w:p w14:paraId="6F2497CD">
            <w:pPr>
              <w:snapToGrid w:val="0"/>
              <w:spacing w:line="360" w:lineRule="auto"/>
              <w:ind w:right="42" w:rightChars="20"/>
              <w:jc w:val="center"/>
              <w:rPr>
                <w:rFonts w:cs="微软雅黑" w:asciiTheme="minorEastAsia" w:hAnsiTheme="minorEastAsia" w:eastAsiaTheme="minorEastAsia"/>
                <w:color w:val="auto"/>
                <w:szCs w:val="21"/>
                <w:highlight w:val="none"/>
              </w:rPr>
            </w:pPr>
            <w:r>
              <w:rPr>
                <w:rFonts w:hint="eastAsia" w:cs="微软雅黑" w:asciiTheme="minorEastAsia" w:hAnsiTheme="minorEastAsia" w:eastAsiaTheme="minorEastAsia"/>
                <w:color w:val="auto"/>
                <w:szCs w:val="21"/>
                <w:highlight w:val="none"/>
              </w:rPr>
              <w:t>1</w:t>
            </w:r>
          </w:p>
        </w:tc>
        <w:tc>
          <w:tcPr>
            <w:tcW w:w="8511" w:type="dxa"/>
            <w:tcBorders>
              <w:top w:val="single" w:color="auto" w:sz="4" w:space="0"/>
              <w:left w:val="single" w:color="auto" w:sz="4" w:space="0"/>
              <w:bottom w:val="single" w:color="auto" w:sz="4" w:space="0"/>
              <w:right w:val="single" w:color="auto" w:sz="4" w:space="0"/>
            </w:tcBorders>
            <w:vAlign w:val="center"/>
          </w:tcPr>
          <w:p w14:paraId="36C95CFC">
            <w:pPr>
              <w:snapToGrid w:val="0"/>
              <w:spacing w:line="360" w:lineRule="auto"/>
              <w:ind w:right="42" w:rightChars="20"/>
              <w:jc w:val="left"/>
              <w:rPr>
                <w:rFonts w:hint="eastAsia" w:cs="微软雅黑" w:asciiTheme="minorEastAsia" w:hAnsiTheme="minorEastAsia" w:eastAsiaTheme="minorEastAsia"/>
                <w:color w:val="auto"/>
                <w:szCs w:val="21"/>
                <w:highlight w:val="none"/>
                <w:lang w:eastAsia="zh-CN"/>
              </w:rPr>
            </w:pPr>
            <w:r>
              <w:rPr>
                <w:rFonts w:hint="eastAsia" w:cs="微软雅黑" w:asciiTheme="minorEastAsia" w:hAnsiTheme="minorEastAsia" w:eastAsiaTheme="minorEastAsia"/>
                <w:color w:val="auto"/>
                <w:szCs w:val="21"/>
                <w:highlight w:val="none"/>
              </w:rPr>
              <w:t>项目名称：</w:t>
            </w:r>
            <w:r>
              <w:rPr>
                <w:rFonts w:hint="eastAsia" w:cs="微软雅黑" w:asciiTheme="minorEastAsia" w:hAnsiTheme="minorEastAsia" w:eastAsiaTheme="minorEastAsia"/>
                <w:b/>
                <w:color w:val="auto"/>
                <w:szCs w:val="21"/>
                <w:highlight w:val="none"/>
                <w:lang w:eastAsia="zh-CN"/>
              </w:rPr>
              <w:t>秀洲区2026年农作物病虫害统防统治与绿色防控项目</w:t>
            </w:r>
          </w:p>
        </w:tc>
      </w:tr>
      <w:tr w14:paraId="18C28A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777" w:type="dxa"/>
            <w:tcBorders>
              <w:top w:val="single" w:color="auto" w:sz="4" w:space="0"/>
              <w:left w:val="single" w:color="auto" w:sz="4" w:space="0"/>
              <w:bottom w:val="single" w:color="auto" w:sz="4" w:space="0"/>
              <w:right w:val="single" w:color="auto" w:sz="4" w:space="0"/>
            </w:tcBorders>
            <w:vAlign w:val="center"/>
          </w:tcPr>
          <w:p w14:paraId="3D924A9C">
            <w:pPr>
              <w:snapToGrid w:val="0"/>
              <w:spacing w:line="360" w:lineRule="auto"/>
              <w:ind w:right="42" w:rightChars="20"/>
              <w:jc w:val="center"/>
              <w:rPr>
                <w:rFonts w:cs="微软雅黑" w:asciiTheme="minorEastAsia" w:hAnsiTheme="minorEastAsia" w:eastAsiaTheme="minorEastAsia"/>
                <w:color w:val="auto"/>
                <w:szCs w:val="21"/>
                <w:highlight w:val="none"/>
              </w:rPr>
            </w:pPr>
            <w:r>
              <w:rPr>
                <w:rFonts w:hint="eastAsia" w:cs="微软雅黑" w:asciiTheme="minorEastAsia" w:hAnsiTheme="minorEastAsia" w:eastAsiaTheme="minorEastAsia"/>
                <w:color w:val="auto"/>
                <w:szCs w:val="21"/>
                <w:highlight w:val="none"/>
              </w:rPr>
              <w:t>2</w:t>
            </w:r>
          </w:p>
        </w:tc>
        <w:tc>
          <w:tcPr>
            <w:tcW w:w="8511" w:type="dxa"/>
            <w:tcBorders>
              <w:top w:val="single" w:color="auto" w:sz="4" w:space="0"/>
              <w:left w:val="single" w:color="auto" w:sz="4" w:space="0"/>
              <w:bottom w:val="single" w:color="auto" w:sz="4" w:space="0"/>
              <w:right w:val="single" w:color="auto" w:sz="4" w:space="0"/>
            </w:tcBorders>
            <w:vAlign w:val="center"/>
          </w:tcPr>
          <w:p w14:paraId="2C5FF9B9">
            <w:pPr>
              <w:snapToGrid w:val="0"/>
              <w:spacing w:line="360" w:lineRule="auto"/>
              <w:ind w:right="42" w:rightChars="20"/>
              <w:jc w:val="left"/>
              <w:rPr>
                <w:rFonts w:hint="eastAsia" w:cs="微软雅黑" w:asciiTheme="minorEastAsia" w:hAnsiTheme="minorEastAsia" w:eastAsiaTheme="minorEastAsia"/>
                <w:color w:val="auto"/>
                <w:szCs w:val="21"/>
                <w:highlight w:val="none"/>
                <w:lang w:eastAsia="zh-CN"/>
              </w:rPr>
            </w:pPr>
            <w:r>
              <w:rPr>
                <w:rFonts w:hint="eastAsia" w:cs="微软雅黑" w:asciiTheme="minorEastAsia" w:hAnsiTheme="minorEastAsia" w:eastAsiaTheme="minorEastAsia"/>
                <w:color w:val="auto"/>
                <w:szCs w:val="21"/>
                <w:highlight w:val="none"/>
              </w:rPr>
              <w:t>招标编号：</w:t>
            </w:r>
            <w:r>
              <w:rPr>
                <w:rFonts w:hint="eastAsia" w:cs="微软雅黑" w:asciiTheme="minorEastAsia" w:hAnsiTheme="minorEastAsia" w:eastAsiaTheme="minorEastAsia"/>
                <w:color w:val="auto"/>
                <w:szCs w:val="21"/>
                <w:highlight w:val="none"/>
                <w:lang w:eastAsia="zh-CN"/>
              </w:rPr>
              <w:t>330411260350010000006-大地-DDZX-JX（2026）第22号   采购计划文号：[2026]439号</w:t>
            </w:r>
          </w:p>
        </w:tc>
      </w:tr>
      <w:tr w14:paraId="22A752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777" w:type="dxa"/>
            <w:tcBorders>
              <w:top w:val="single" w:color="auto" w:sz="4" w:space="0"/>
              <w:left w:val="single" w:color="auto" w:sz="4" w:space="0"/>
              <w:bottom w:val="single" w:color="auto" w:sz="4" w:space="0"/>
              <w:right w:val="single" w:color="auto" w:sz="4" w:space="0"/>
            </w:tcBorders>
            <w:vAlign w:val="center"/>
          </w:tcPr>
          <w:p w14:paraId="30868E45">
            <w:pPr>
              <w:snapToGrid w:val="0"/>
              <w:spacing w:line="360" w:lineRule="auto"/>
              <w:ind w:right="42" w:rightChars="20"/>
              <w:jc w:val="center"/>
              <w:rPr>
                <w:rFonts w:cs="微软雅黑" w:asciiTheme="minorEastAsia" w:hAnsiTheme="minorEastAsia" w:eastAsiaTheme="minorEastAsia"/>
                <w:color w:val="auto"/>
                <w:szCs w:val="21"/>
                <w:highlight w:val="none"/>
              </w:rPr>
            </w:pPr>
            <w:r>
              <w:rPr>
                <w:rFonts w:hint="eastAsia" w:cs="微软雅黑" w:asciiTheme="minorEastAsia" w:hAnsiTheme="minorEastAsia" w:eastAsiaTheme="minorEastAsia"/>
                <w:color w:val="auto"/>
                <w:szCs w:val="21"/>
                <w:highlight w:val="none"/>
              </w:rPr>
              <w:t>3</w:t>
            </w:r>
          </w:p>
        </w:tc>
        <w:tc>
          <w:tcPr>
            <w:tcW w:w="8511" w:type="dxa"/>
            <w:tcBorders>
              <w:top w:val="single" w:color="auto" w:sz="4" w:space="0"/>
              <w:left w:val="single" w:color="auto" w:sz="4" w:space="0"/>
              <w:bottom w:val="single" w:color="auto" w:sz="4" w:space="0"/>
              <w:right w:val="single" w:color="auto" w:sz="4" w:space="0"/>
            </w:tcBorders>
            <w:vAlign w:val="center"/>
          </w:tcPr>
          <w:p w14:paraId="006D6E07">
            <w:pPr>
              <w:snapToGrid w:val="0"/>
              <w:spacing w:line="360" w:lineRule="auto"/>
              <w:ind w:right="42" w:rightChars="20"/>
              <w:jc w:val="left"/>
              <w:rPr>
                <w:rFonts w:cs="微软雅黑" w:asciiTheme="minorEastAsia" w:hAnsiTheme="minorEastAsia" w:eastAsiaTheme="minorEastAsia"/>
                <w:color w:val="auto"/>
                <w:szCs w:val="21"/>
                <w:highlight w:val="none"/>
              </w:rPr>
            </w:pPr>
            <w:r>
              <w:rPr>
                <w:rFonts w:hint="eastAsia" w:cs="微软雅黑" w:asciiTheme="minorEastAsia" w:hAnsiTheme="minorEastAsia" w:eastAsiaTheme="minorEastAsia"/>
                <w:color w:val="auto"/>
                <w:szCs w:val="21"/>
                <w:highlight w:val="none"/>
              </w:rPr>
              <w:t>投标报价及费用：1、本项目投标应以人民币报价；2、不论投标结果如何，投标人均应自行承担所有与投标有关的全部费用。</w:t>
            </w:r>
          </w:p>
        </w:tc>
      </w:tr>
      <w:tr w14:paraId="35884B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777" w:type="dxa"/>
            <w:tcBorders>
              <w:top w:val="single" w:color="auto" w:sz="4" w:space="0"/>
              <w:left w:val="single" w:color="auto" w:sz="4" w:space="0"/>
              <w:bottom w:val="single" w:color="auto" w:sz="4" w:space="0"/>
              <w:right w:val="single" w:color="auto" w:sz="4" w:space="0"/>
            </w:tcBorders>
            <w:vAlign w:val="center"/>
          </w:tcPr>
          <w:p w14:paraId="4EAFF507">
            <w:pPr>
              <w:snapToGrid w:val="0"/>
              <w:spacing w:line="360" w:lineRule="auto"/>
              <w:ind w:right="42" w:rightChars="20"/>
              <w:jc w:val="center"/>
              <w:rPr>
                <w:rFonts w:cs="微软雅黑" w:asciiTheme="minorEastAsia" w:hAnsiTheme="minorEastAsia" w:eastAsiaTheme="minorEastAsia"/>
                <w:color w:val="auto"/>
                <w:szCs w:val="21"/>
                <w:highlight w:val="none"/>
              </w:rPr>
            </w:pPr>
            <w:r>
              <w:rPr>
                <w:rFonts w:hint="eastAsia" w:cs="微软雅黑" w:asciiTheme="minorEastAsia" w:hAnsiTheme="minorEastAsia" w:eastAsiaTheme="minorEastAsia"/>
                <w:color w:val="auto"/>
                <w:szCs w:val="21"/>
                <w:highlight w:val="none"/>
              </w:rPr>
              <w:t>4</w:t>
            </w:r>
          </w:p>
        </w:tc>
        <w:tc>
          <w:tcPr>
            <w:tcW w:w="8511" w:type="dxa"/>
            <w:tcBorders>
              <w:top w:val="single" w:color="auto" w:sz="4" w:space="0"/>
              <w:left w:val="single" w:color="auto" w:sz="4" w:space="0"/>
              <w:bottom w:val="single" w:color="auto" w:sz="4" w:space="0"/>
              <w:right w:val="single" w:color="auto" w:sz="4" w:space="0"/>
            </w:tcBorders>
            <w:vAlign w:val="center"/>
          </w:tcPr>
          <w:p w14:paraId="51AC9D2A">
            <w:pPr>
              <w:spacing w:line="360" w:lineRule="auto"/>
              <w:contextualSpacing/>
              <w:rPr>
                <w:rFonts w:cs="微软雅黑" w:asciiTheme="minorEastAsia" w:hAnsiTheme="minorEastAsia" w:eastAsiaTheme="minorEastAsia"/>
                <w:color w:val="auto"/>
                <w:szCs w:val="21"/>
                <w:highlight w:val="none"/>
              </w:rPr>
            </w:pPr>
            <w:r>
              <w:rPr>
                <w:rFonts w:hint="eastAsia" w:cs="微软雅黑" w:asciiTheme="minorEastAsia" w:hAnsiTheme="minorEastAsia" w:eastAsiaTheme="minorEastAsia"/>
                <w:color w:val="auto"/>
                <w:szCs w:val="21"/>
                <w:highlight w:val="none"/>
              </w:rPr>
              <w:t>▲</w:t>
            </w:r>
            <w:r>
              <w:rPr>
                <w:rFonts w:hint="eastAsia" w:asciiTheme="minorEastAsia" w:hAnsiTheme="minorEastAsia" w:eastAsiaTheme="minorEastAsia"/>
                <w:b/>
                <w:bCs/>
                <w:color w:val="auto"/>
                <w:szCs w:val="21"/>
                <w:highlight w:val="none"/>
                <w:lang w:val="en-US" w:eastAsia="zh-CN"/>
              </w:rPr>
              <w:t>预算金额：490500元，最高限价：490500元，投标报价超过限价（单价及总价）的作无效标处理。</w:t>
            </w:r>
          </w:p>
        </w:tc>
      </w:tr>
      <w:tr w14:paraId="714184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9" w:hRule="atLeast"/>
        </w:trPr>
        <w:tc>
          <w:tcPr>
            <w:tcW w:w="777" w:type="dxa"/>
            <w:tcBorders>
              <w:top w:val="single" w:color="auto" w:sz="4" w:space="0"/>
              <w:left w:val="single" w:color="auto" w:sz="4" w:space="0"/>
              <w:bottom w:val="single" w:color="auto" w:sz="4" w:space="0"/>
              <w:right w:val="single" w:color="auto" w:sz="4" w:space="0"/>
            </w:tcBorders>
            <w:vAlign w:val="center"/>
          </w:tcPr>
          <w:p w14:paraId="70D24854">
            <w:pPr>
              <w:snapToGrid w:val="0"/>
              <w:spacing w:line="360" w:lineRule="auto"/>
              <w:ind w:right="42" w:rightChars="20"/>
              <w:jc w:val="center"/>
              <w:rPr>
                <w:rFonts w:cs="微软雅黑" w:asciiTheme="minorEastAsia" w:hAnsiTheme="minorEastAsia" w:eastAsiaTheme="minorEastAsia"/>
                <w:color w:val="auto"/>
                <w:szCs w:val="21"/>
                <w:highlight w:val="none"/>
              </w:rPr>
            </w:pPr>
            <w:r>
              <w:rPr>
                <w:rFonts w:hint="eastAsia" w:cs="微软雅黑" w:asciiTheme="minorEastAsia" w:hAnsiTheme="minorEastAsia" w:eastAsiaTheme="minorEastAsia"/>
                <w:color w:val="auto"/>
                <w:szCs w:val="21"/>
                <w:highlight w:val="none"/>
              </w:rPr>
              <w:t>5</w:t>
            </w:r>
          </w:p>
        </w:tc>
        <w:tc>
          <w:tcPr>
            <w:tcW w:w="8511" w:type="dxa"/>
            <w:tcBorders>
              <w:top w:val="single" w:color="auto" w:sz="4" w:space="0"/>
              <w:left w:val="single" w:color="auto" w:sz="4" w:space="0"/>
              <w:bottom w:val="single" w:color="auto" w:sz="4" w:space="0"/>
              <w:right w:val="single" w:color="auto" w:sz="4" w:space="0"/>
            </w:tcBorders>
            <w:vAlign w:val="center"/>
          </w:tcPr>
          <w:p w14:paraId="558E4238">
            <w:pPr>
              <w:snapToGrid w:val="0"/>
              <w:spacing w:line="360" w:lineRule="auto"/>
              <w:ind w:right="42" w:rightChars="20"/>
              <w:jc w:val="left"/>
              <w:rPr>
                <w:rFonts w:cs="微软雅黑" w:asciiTheme="minorEastAsia" w:hAnsiTheme="minorEastAsia" w:eastAsiaTheme="minorEastAsia"/>
                <w:color w:val="auto"/>
                <w:szCs w:val="21"/>
                <w:highlight w:val="none"/>
              </w:rPr>
            </w:pPr>
            <w:r>
              <w:rPr>
                <w:rFonts w:hint="eastAsia" w:cs="微软雅黑" w:asciiTheme="minorEastAsia" w:hAnsiTheme="minorEastAsia" w:eastAsiaTheme="minorEastAsia"/>
                <w:color w:val="auto"/>
                <w:szCs w:val="21"/>
                <w:highlight w:val="none"/>
              </w:rPr>
              <w:t>投标保证金：无</w:t>
            </w:r>
          </w:p>
        </w:tc>
      </w:tr>
      <w:tr w14:paraId="42D52A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777" w:type="dxa"/>
            <w:tcBorders>
              <w:top w:val="single" w:color="auto" w:sz="4" w:space="0"/>
              <w:left w:val="single" w:color="auto" w:sz="4" w:space="0"/>
              <w:bottom w:val="single" w:color="auto" w:sz="4" w:space="0"/>
              <w:right w:val="single" w:color="auto" w:sz="4" w:space="0"/>
            </w:tcBorders>
            <w:vAlign w:val="center"/>
          </w:tcPr>
          <w:p w14:paraId="69E82050">
            <w:pPr>
              <w:snapToGrid w:val="0"/>
              <w:spacing w:line="360" w:lineRule="auto"/>
              <w:ind w:right="42" w:rightChars="20"/>
              <w:jc w:val="center"/>
              <w:rPr>
                <w:rFonts w:cs="微软雅黑" w:asciiTheme="minorEastAsia" w:hAnsiTheme="minorEastAsia" w:eastAsiaTheme="minorEastAsia"/>
                <w:color w:val="auto"/>
                <w:szCs w:val="21"/>
                <w:highlight w:val="none"/>
              </w:rPr>
            </w:pPr>
            <w:r>
              <w:rPr>
                <w:rFonts w:hint="eastAsia" w:cs="微软雅黑" w:asciiTheme="minorEastAsia" w:hAnsiTheme="minorEastAsia" w:eastAsiaTheme="minorEastAsia"/>
                <w:color w:val="auto"/>
                <w:szCs w:val="21"/>
                <w:highlight w:val="none"/>
              </w:rPr>
              <w:t>6</w:t>
            </w:r>
          </w:p>
        </w:tc>
        <w:tc>
          <w:tcPr>
            <w:tcW w:w="8511" w:type="dxa"/>
            <w:tcBorders>
              <w:top w:val="single" w:color="auto" w:sz="4" w:space="0"/>
              <w:left w:val="single" w:color="auto" w:sz="4" w:space="0"/>
              <w:bottom w:val="single" w:color="auto" w:sz="4" w:space="0"/>
              <w:right w:val="single" w:color="auto" w:sz="4" w:space="0"/>
            </w:tcBorders>
            <w:vAlign w:val="center"/>
          </w:tcPr>
          <w:p w14:paraId="57FD9A84">
            <w:pPr>
              <w:snapToGrid w:val="0"/>
              <w:spacing w:line="360" w:lineRule="auto"/>
              <w:ind w:right="42" w:rightChars="20"/>
              <w:jc w:val="left"/>
              <w:rPr>
                <w:rFonts w:cs="微软雅黑" w:asciiTheme="minorEastAsia" w:hAnsiTheme="minorEastAsia" w:eastAsiaTheme="minorEastAsia"/>
                <w:color w:val="auto"/>
                <w:szCs w:val="21"/>
                <w:highlight w:val="none"/>
              </w:rPr>
            </w:pPr>
            <w:r>
              <w:rPr>
                <w:rFonts w:hint="eastAsia" w:cs="微软雅黑" w:asciiTheme="minorEastAsia" w:hAnsiTheme="minorEastAsia" w:eastAsiaTheme="minorEastAsia"/>
                <w:color w:val="auto"/>
                <w:szCs w:val="21"/>
                <w:highlight w:val="none"/>
              </w:rPr>
              <w:t>现场踏勘：自行踏勘（费用自理）</w:t>
            </w:r>
          </w:p>
        </w:tc>
      </w:tr>
      <w:tr w14:paraId="5FADCB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9" w:hRule="atLeast"/>
        </w:trPr>
        <w:tc>
          <w:tcPr>
            <w:tcW w:w="777" w:type="dxa"/>
            <w:tcBorders>
              <w:top w:val="single" w:color="auto" w:sz="4" w:space="0"/>
              <w:left w:val="single" w:color="auto" w:sz="4" w:space="0"/>
              <w:bottom w:val="single" w:color="auto" w:sz="4" w:space="0"/>
              <w:right w:val="single" w:color="auto" w:sz="4" w:space="0"/>
            </w:tcBorders>
            <w:vAlign w:val="center"/>
          </w:tcPr>
          <w:p w14:paraId="0BA140D3">
            <w:pPr>
              <w:snapToGrid w:val="0"/>
              <w:spacing w:line="360" w:lineRule="auto"/>
              <w:ind w:right="42" w:rightChars="20"/>
              <w:jc w:val="center"/>
              <w:rPr>
                <w:rFonts w:cs="微软雅黑" w:asciiTheme="minorEastAsia" w:hAnsiTheme="minorEastAsia" w:eastAsiaTheme="minorEastAsia"/>
                <w:color w:val="auto"/>
                <w:szCs w:val="21"/>
                <w:highlight w:val="none"/>
              </w:rPr>
            </w:pPr>
            <w:r>
              <w:rPr>
                <w:rFonts w:hint="eastAsia" w:cs="微软雅黑" w:asciiTheme="minorEastAsia" w:hAnsiTheme="minorEastAsia" w:eastAsiaTheme="minorEastAsia"/>
                <w:color w:val="auto"/>
                <w:szCs w:val="21"/>
                <w:highlight w:val="none"/>
              </w:rPr>
              <w:t>7</w:t>
            </w:r>
          </w:p>
        </w:tc>
        <w:tc>
          <w:tcPr>
            <w:tcW w:w="8511" w:type="dxa"/>
            <w:tcBorders>
              <w:top w:val="single" w:color="auto" w:sz="4" w:space="0"/>
              <w:left w:val="single" w:color="auto" w:sz="4" w:space="0"/>
              <w:bottom w:val="single" w:color="auto" w:sz="4" w:space="0"/>
              <w:right w:val="single" w:color="auto" w:sz="4" w:space="0"/>
            </w:tcBorders>
            <w:vAlign w:val="center"/>
          </w:tcPr>
          <w:p w14:paraId="4DD0BE40">
            <w:pPr>
              <w:snapToGrid w:val="0"/>
              <w:spacing w:line="360" w:lineRule="auto"/>
              <w:rPr>
                <w:rFonts w:hint="eastAsia" w:cs="微软雅黑" w:asciiTheme="minorEastAsia" w:hAnsiTheme="minorEastAsia" w:eastAsiaTheme="minorEastAsia"/>
                <w:color w:val="auto"/>
                <w:szCs w:val="21"/>
                <w:highlight w:val="none"/>
                <w:lang w:eastAsia="zh-CN"/>
              </w:rPr>
            </w:pPr>
            <w:r>
              <w:rPr>
                <w:rFonts w:hint="eastAsia" w:cs="微软雅黑" w:asciiTheme="minorEastAsia" w:hAnsiTheme="minorEastAsia" w:eastAsiaTheme="minorEastAsia"/>
                <w:color w:val="auto"/>
                <w:szCs w:val="21"/>
                <w:highlight w:val="none"/>
              </w:rPr>
              <w:t>演示及样品：</w:t>
            </w:r>
            <w:r>
              <w:rPr>
                <w:rFonts w:hint="eastAsia" w:ascii="宋体" w:hAnsi="宋体" w:cs="微软雅黑" w:eastAsiaTheme="minorEastAsia"/>
                <w:color w:val="auto"/>
                <w:szCs w:val="21"/>
                <w:highlight w:val="none"/>
                <w:lang w:val="en-US" w:eastAsia="zh-CN"/>
              </w:rPr>
              <w:t>无</w:t>
            </w:r>
          </w:p>
          <w:p w14:paraId="5F708BAD">
            <w:pPr>
              <w:snapToGrid w:val="0"/>
              <w:spacing w:line="360" w:lineRule="auto"/>
              <w:ind w:right="42" w:rightChars="20"/>
              <w:rPr>
                <w:rFonts w:cs="微软雅黑" w:asciiTheme="minorEastAsia" w:hAnsiTheme="minorEastAsia"/>
                <w:color w:val="auto"/>
                <w:szCs w:val="21"/>
                <w:highlight w:val="none"/>
              </w:rPr>
            </w:pPr>
            <w:r>
              <w:rPr>
                <w:rFonts w:hint="eastAsia" w:ascii="宋体" w:hAnsi="宋体" w:cs="微软雅黑"/>
                <w:color w:val="auto"/>
                <w:szCs w:val="21"/>
                <w:highlight w:val="none"/>
              </w:rPr>
              <w:t>演示时间及地点：无</w:t>
            </w:r>
          </w:p>
        </w:tc>
      </w:tr>
      <w:tr w14:paraId="7A45A6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 w:hRule="atLeast"/>
        </w:trPr>
        <w:tc>
          <w:tcPr>
            <w:tcW w:w="777" w:type="dxa"/>
            <w:tcBorders>
              <w:top w:val="single" w:color="auto" w:sz="4" w:space="0"/>
              <w:left w:val="single" w:color="auto" w:sz="4" w:space="0"/>
              <w:bottom w:val="single" w:color="auto" w:sz="4" w:space="0"/>
              <w:right w:val="single" w:color="auto" w:sz="4" w:space="0"/>
            </w:tcBorders>
            <w:vAlign w:val="center"/>
          </w:tcPr>
          <w:p w14:paraId="371A4728">
            <w:pPr>
              <w:snapToGrid w:val="0"/>
              <w:spacing w:line="360" w:lineRule="auto"/>
              <w:ind w:right="42" w:rightChars="20"/>
              <w:jc w:val="center"/>
              <w:rPr>
                <w:rFonts w:cs="微软雅黑" w:asciiTheme="minorEastAsia" w:hAnsiTheme="minorEastAsia" w:eastAsiaTheme="minorEastAsia"/>
                <w:color w:val="auto"/>
                <w:szCs w:val="21"/>
                <w:highlight w:val="none"/>
              </w:rPr>
            </w:pPr>
            <w:r>
              <w:rPr>
                <w:rFonts w:hint="eastAsia" w:cs="微软雅黑" w:asciiTheme="minorEastAsia" w:hAnsiTheme="minorEastAsia" w:eastAsiaTheme="minorEastAsia"/>
                <w:color w:val="auto"/>
                <w:szCs w:val="21"/>
                <w:highlight w:val="none"/>
              </w:rPr>
              <w:t>8</w:t>
            </w:r>
          </w:p>
        </w:tc>
        <w:tc>
          <w:tcPr>
            <w:tcW w:w="8511" w:type="dxa"/>
            <w:tcBorders>
              <w:top w:val="single" w:color="auto" w:sz="4" w:space="0"/>
              <w:left w:val="single" w:color="auto" w:sz="4" w:space="0"/>
              <w:bottom w:val="single" w:color="auto" w:sz="4" w:space="0"/>
              <w:right w:val="single" w:color="auto" w:sz="4" w:space="0"/>
            </w:tcBorders>
            <w:vAlign w:val="center"/>
          </w:tcPr>
          <w:p w14:paraId="54093DB9">
            <w:pPr>
              <w:snapToGrid w:val="0"/>
              <w:spacing w:line="360" w:lineRule="auto"/>
              <w:ind w:right="42" w:rightChars="20"/>
              <w:jc w:val="left"/>
              <w:rPr>
                <w:rFonts w:cs="微软雅黑" w:asciiTheme="minorEastAsia" w:hAnsiTheme="minorEastAsia" w:eastAsiaTheme="minorEastAsia"/>
                <w:color w:val="auto"/>
                <w:szCs w:val="21"/>
                <w:highlight w:val="none"/>
              </w:rPr>
            </w:pPr>
            <w:r>
              <w:rPr>
                <w:rFonts w:hint="eastAsia" w:cs="微软雅黑" w:asciiTheme="minorEastAsia" w:hAnsiTheme="minorEastAsia" w:eastAsiaTheme="minorEastAsia"/>
                <w:color w:val="auto"/>
                <w:szCs w:val="21"/>
                <w:highlight w:val="none"/>
              </w:rPr>
              <w:t>答疑与澄清：无</w:t>
            </w:r>
          </w:p>
        </w:tc>
      </w:tr>
      <w:tr w14:paraId="179E94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777" w:type="dxa"/>
            <w:tcBorders>
              <w:top w:val="single" w:color="auto" w:sz="4" w:space="0"/>
              <w:left w:val="single" w:color="auto" w:sz="4" w:space="0"/>
              <w:bottom w:val="single" w:color="auto" w:sz="4" w:space="0"/>
              <w:right w:val="single" w:color="auto" w:sz="4" w:space="0"/>
            </w:tcBorders>
            <w:vAlign w:val="center"/>
          </w:tcPr>
          <w:p w14:paraId="1386BEC2">
            <w:pPr>
              <w:snapToGrid w:val="0"/>
              <w:spacing w:line="360" w:lineRule="auto"/>
              <w:ind w:right="42" w:rightChars="20"/>
              <w:jc w:val="center"/>
              <w:rPr>
                <w:rFonts w:cs="微软雅黑" w:asciiTheme="minorEastAsia" w:hAnsiTheme="minorEastAsia" w:eastAsiaTheme="minorEastAsia"/>
                <w:color w:val="auto"/>
                <w:szCs w:val="21"/>
                <w:highlight w:val="none"/>
              </w:rPr>
            </w:pPr>
            <w:r>
              <w:rPr>
                <w:rFonts w:hint="eastAsia" w:cs="微软雅黑" w:asciiTheme="minorEastAsia" w:hAnsiTheme="minorEastAsia" w:eastAsiaTheme="minorEastAsia"/>
                <w:color w:val="auto"/>
                <w:szCs w:val="21"/>
                <w:highlight w:val="none"/>
              </w:rPr>
              <w:t>9</w:t>
            </w:r>
          </w:p>
        </w:tc>
        <w:tc>
          <w:tcPr>
            <w:tcW w:w="8511" w:type="dxa"/>
            <w:tcBorders>
              <w:top w:val="single" w:color="auto" w:sz="4" w:space="0"/>
              <w:left w:val="single" w:color="auto" w:sz="4" w:space="0"/>
              <w:bottom w:val="single" w:color="auto" w:sz="4" w:space="0"/>
              <w:right w:val="single" w:color="auto" w:sz="4" w:space="0"/>
            </w:tcBorders>
            <w:vAlign w:val="center"/>
          </w:tcPr>
          <w:p w14:paraId="72C42CD5">
            <w:pPr>
              <w:autoSpaceDE w:val="0"/>
              <w:autoSpaceDN w:val="0"/>
              <w:snapToGrid w:val="0"/>
              <w:spacing w:line="360" w:lineRule="auto"/>
              <w:ind w:right="42" w:rightChars="20"/>
              <w:jc w:val="left"/>
              <w:textAlignment w:val="bottom"/>
              <w:rPr>
                <w:rFonts w:hint="eastAsia" w:cs="微软雅黑" w:asciiTheme="minorEastAsia" w:hAnsiTheme="minorEastAsia" w:eastAsiaTheme="minorEastAsia"/>
                <w:color w:val="auto"/>
                <w:szCs w:val="21"/>
                <w:highlight w:val="none"/>
                <w:lang w:eastAsia="zh-CN"/>
              </w:rPr>
            </w:pPr>
            <w:r>
              <w:rPr>
                <w:rFonts w:hint="eastAsia" w:cs="微软雅黑" w:asciiTheme="minorEastAsia" w:hAnsiTheme="minorEastAsia" w:eastAsiaTheme="minorEastAsia"/>
                <w:color w:val="auto"/>
                <w:szCs w:val="21"/>
                <w:highlight w:val="none"/>
              </w:rPr>
              <w:t>投标文件组成：</w:t>
            </w:r>
            <w:r>
              <w:rPr>
                <w:rFonts w:hint="eastAsia" w:cs="微软雅黑" w:asciiTheme="minorEastAsia" w:hAnsiTheme="minorEastAsia" w:eastAsiaTheme="minorEastAsia"/>
                <w:bCs/>
                <w:color w:val="auto"/>
                <w:szCs w:val="21"/>
                <w:highlight w:val="none"/>
              </w:rPr>
              <w:t>完整的《投标文件》由</w:t>
            </w:r>
            <w:r>
              <w:rPr>
                <w:rFonts w:hint="eastAsia" w:cs="微软雅黑" w:asciiTheme="minorEastAsia" w:hAnsiTheme="minorEastAsia" w:eastAsiaTheme="minorEastAsia"/>
                <w:b/>
                <w:color w:val="auto"/>
                <w:szCs w:val="21"/>
                <w:highlight w:val="none"/>
              </w:rPr>
              <w:t>资格投标文件、商务技术文件、报价文件三部份组成</w:t>
            </w:r>
            <w:r>
              <w:rPr>
                <w:rFonts w:hint="eastAsia" w:cs="微软雅黑" w:asciiTheme="minorEastAsia" w:hAnsiTheme="minorEastAsia" w:eastAsiaTheme="minorEastAsia"/>
                <w:bCs/>
                <w:color w:val="auto"/>
                <w:szCs w:val="21"/>
                <w:highlight w:val="none"/>
              </w:rPr>
              <w:t>。</w:t>
            </w:r>
          </w:p>
        </w:tc>
      </w:tr>
      <w:tr w14:paraId="40D3DF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777" w:type="dxa"/>
            <w:tcBorders>
              <w:top w:val="single" w:color="auto" w:sz="4" w:space="0"/>
              <w:left w:val="single" w:color="auto" w:sz="4" w:space="0"/>
              <w:bottom w:val="single" w:color="auto" w:sz="4" w:space="0"/>
              <w:right w:val="single" w:color="auto" w:sz="4" w:space="0"/>
            </w:tcBorders>
            <w:vAlign w:val="center"/>
          </w:tcPr>
          <w:p w14:paraId="220E598D">
            <w:pPr>
              <w:spacing w:line="360" w:lineRule="auto"/>
              <w:ind w:right="42" w:rightChars="20"/>
              <w:jc w:val="center"/>
              <w:rPr>
                <w:rFonts w:cs="微软雅黑" w:asciiTheme="minorEastAsia" w:hAnsiTheme="minorEastAsia" w:eastAsiaTheme="minorEastAsia"/>
                <w:color w:val="auto"/>
                <w:szCs w:val="21"/>
                <w:highlight w:val="none"/>
              </w:rPr>
            </w:pPr>
            <w:r>
              <w:rPr>
                <w:rFonts w:hint="eastAsia" w:cs="微软雅黑" w:asciiTheme="minorEastAsia" w:hAnsiTheme="minorEastAsia" w:eastAsiaTheme="minorEastAsia"/>
                <w:color w:val="auto"/>
                <w:szCs w:val="21"/>
                <w:highlight w:val="none"/>
              </w:rPr>
              <w:t>10</w:t>
            </w:r>
          </w:p>
        </w:tc>
        <w:tc>
          <w:tcPr>
            <w:tcW w:w="8511" w:type="dxa"/>
            <w:tcBorders>
              <w:top w:val="single" w:color="auto" w:sz="4" w:space="0"/>
              <w:left w:val="single" w:color="auto" w:sz="4" w:space="0"/>
              <w:bottom w:val="single" w:color="auto" w:sz="4" w:space="0"/>
              <w:right w:val="single" w:color="auto" w:sz="4" w:space="0"/>
            </w:tcBorders>
            <w:vAlign w:val="center"/>
          </w:tcPr>
          <w:p w14:paraId="41A1449D">
            <w:pPr>
              <w:spacing w:line="360" w:lineRule="auto"/>
              <w:ind w:right="42" w:rightChars="20"/>
              <w:jc w:val="left"/>
              <w:rPr>
                <w:rFonts w:cs="微软雅黑" w:asciiTheme="minorEastAsia" w:hAnsiTheme="minorEastAsia" w:eastAsiaTheme="minorEastAsia"/>
                <w:color w:val="auto"/>
                <w:szCs w:val="21"/>
                <w:highlight w:val="none"/>
              </w:rPr>
            </w:pPr>
            <w:r>
              <w:rPr>
                <w:rFonts w:hint="eastAsia" w:cs="微软雅黑" w:asciiTheme="minorEastAsia" w:hAnsiTheme="minorEastAsia" w:eastAsiaTheme="minorEastAsia"/>
                <w:color w:val="auto"/>
                <w:szCs w:val="21"/>
                <w:highlight w:val="none"/>
              </w:rPr>
              <w:t>投标文件的编制：投标人应先安装“政采云电子交易客户端”，并按照本招标文件和“政府采购云平台”的要求，通过“政采云电子交易客户端”编制并加密投标文件。</w:t>
            </w:r>
          </w:p>
        </w:tc>
      </w:tr>
      <w:tr w14:paraId="310B06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777" w:type="dxa"/>
            <w:tcBorders>
              <w:top w:val="single" w:color="auto" w:sz="4" w:space="0"/>
              <w:left w:val="single" w:color="auto" w:sz="4" w:space="0"/>
              <w:bottom w:val="single" w:color="auto" w:sz="4" w:space="0"/>
              <w:right w:val="single" w:color="auto" w:sz="4" w:space="0"/>
            </w:tcBorders>
            <w:vAlign w:val="center"/>
          </w:tcPr>
          <w:p w14:paraId="0D54101D">
            <w:pPr>
              <w:spacing w:line="360" w:lineRule="auto"/>
              <w:ind w:right="42" w:rightChars="20"/>
              <w:jc w:val="center"/>
              <w:rPr>
                <w:rFonts w:cs="微软雅黑" w:asciiTheme="minorEastAsia" w:hAnsiTheme="minorEastAsia" w:eastAsiaTheme="minorEastAsia"/>
                <w:color w:val="auto"/>
                <w:szCs w:val="21"/>
                <w:highlight w:val="none"/>
              </w:rPr>
            </w:pPr>
            <w:r>
              <w:rPr>
                <w:rFonts w:hint="eastAsia" w:cs="微软雅黑" w:asciiTheme="minorEastAsia" w:hAnsiTheme="minorEastAsia" w:eastAsiaTheme="minorEastAsia"/>
                <w:color w:val="auto"/>
                <w:szCs w:val="21"/>
                <w:highlight w:val="none"/>
              </w:rPr>
              <w:t>11</w:t>
            </w:r>
          </w:p>
        </w:tc>
        <w:tc>
          <w:tcPr>
            <w:tcW w:w="8511" w:type="dxa"/>
            <w:tcBorders>
              <w:top w:val="single" w:color="auto" w:sz="4" w:space="0"/>
              <w:left w:val="single" w:color="auto" w:sz="4" w:space="0"/>
              <w:bottom w:val="single" w:color="auto" w:sz="4" w:space="0"/>
              <w:right w:val="single" w:color="auto" w:sz="4" w:space="0"/>
            </w:tcBorders>
            <w:vAlign w:val="center"/>
          </w:tcPr>
          <w:p w14:paraId="27C2921E">
            <w:pPr>
              <w:spacing w:line="360" w:lineRule="auto"/>
              <w:ind w:right="42" w:rightChars="20"/>
              <w:jc w:val="left"/>
              <w:rPr>
                <w:rFonts w:cs="微软雅黑" w:asciiTheme="minorEastAsia" w:hAnsiTheme="minorEastAsia" w:eastAsiaTheme="minorEastAsia"/>
                <w:color w:val="auto"/>
                <w:szCs w:val="21"/>
                <w:highlight w:val="none"/>
              </w:rPr>
            </w:pPr>
            <w:r>
              <w:rPr>
                <w:rFonts w:hint="eastAsia" w:cs="微软雅黑" w:asciiTheme="minorEastAsia" w:hAnsiTheme="minorEastAsia" w:eastAsiaTheme="minorEastAsia"/>
                <w:color w:val="auto"/>
                <w:szCs w:val="21"/>
                <w:highlight w:val="none"/>
              </w:rPr>
              <w:t>投标文件的签章：电子签章。</w:t>
            </w:r>
          </w:p>
        </w:tc>
      </w:tr>
      <w:tr w14:paraId="6FE1FC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777" w:type="dxa"/>
            <w:tcBorders>
              <w:top w:val="single" w:color="auto" w:sz="4" w:space="0"/>
              <w:left w:val="single" w:color="auto" w:sz="4" w:space="0"/>
              <w:bottom w:val="single" w:color="auto" w:sz="4" w:space="0"/>
              <w:right w:val="single" w:color="auto" w:sz="4" w:space="0"/>
            </w:tcBorders>
            <w:vAlign w:val="center"/>
          </w:tcPr>
          <w:p w14:paraId="5CF077FD">
            <w:pPr>
              <w:spacing w:line="360" w:lineRule="auto"/>
              <w:ind w:right="42" w:rightChars="20"/>
              <w:jc w:val="center"/>
              <w:rPr>
                <w:rFonts w:cs="微软雅黑" w:asciiTheme="minorEastAsia" w:hAnsiTheme="minorEastAsia" w:eastAsiaTheme="minorEastAsia"/>
                <w:color w:val="auto"/>
                <w:szCs w:val="21"/>
                <w:highlight w:val="none"/>
              </w:rPr>
            </w:pPr>
            <w:r>
              <w:rPr>
                <w:rFonts w:hint="eastAsia" w:cs="微软雅黑" w:asciiTheme="minorEastAsia" w:hAnsiTheme="minorEastAsia" w:eastAsiaTheme="minorEastAsia"/>
                <w:color w:val="auto"/>
                <w:szCs w:val="21"/>
                <w:highlight w:val="none"/>
              </w:rPr>
              <w:t>12</w:t>
            </w:r>
          </w:p>
        </w:tc>
        <w:tc>
          <w:tcPr>
            <w:tcW w:w="8511" w:type="dxa"/>
            <w:tcBorders>
              <w:top w:val="single" w:color="auto" w:sz="4" w:space="0"/>
              <w:left w:val="single" w:color="auto" w:sz="4" w:space="0"/>
              <w:bottom w:val="single" w:color="auto" w:sz="4" w:space="0"/>
              <w:right w:val="single" w:color="auto" w:sz="4" w:space="0"/>
            </w:tcBorders>
            <w:vAlign w:val="center"/>
          </w:tcPr>
          <w:p w14:paraId="2BF3174C">
            <w:pPr>
              <w:spacing w:line="360" w:lineRule="auto"/>
              <w:ind w:right="42" w:rightChars="20"/>
              <w:jc w:val="left"/>
              <w:rPr>
                <w:rFonts w:cs="微软雅黑" w:asciiTheme="minorEastAsia" w:hAnsiTheme="minorEastAsia" w:eastAsiaTheme="minorEastAsia"/>
                <w:bCs/>
                <w:color w:val="auto"/>
                <w:szCs w:val="21"/>
                <w:highlight w:val="none"/>
              </w:rPr>
            </w:pPr>
            <w:r>
              <w:rPr>
                <w:rFonts w:hint="eastAsia" w:cs="微软雅黑" w:asciiTheme="minorEastAsia" w:hAnsiTheme="minorEastAsia" w:eastAsiaTheme="minorEastAsia"/>
                <w:color w:val="auto"/>
                <w:szCs w:val="21"/>
                <w:highlight w:val="none"/>
              </w:rPr>
              <w:t>投标文件的形式：</w:t>
            </w:r>
            <w:r>
              <w:rPr>
                <w:rFonts w:hint="eastAsia" w:ascii="MS Mincho" w:hAnsi="MS Mincho" w:eastAsia="MS Mincho" w:cs="MS Mincho"/>
                <w:bCs/>
                <w:color w:val="auto"/>
                <w:szCs w:val="21"/>
                <w:highlight w:val="none"/>
              </w:rPr>
              <w:t>☑</w:t>
            </w:r>
            <w:r>
              <w:rPr>
                <w:rFonts w:hint="eastAsia" w:ascii="宋体" w:hAnsi="宋体" w:cs="宋体"/>
                <w:bCs/>
                <w:color w:val="auto"/>
                <w:szCs w:val="21"/>
                <w:highlight w:val="none"/>
              </w:rPr>
              <w:t>电子投标文件（包括“电子加密投标文件”和“备份投标文件”，在投标文件编制完成后同时生成）；</w:t>
            </w:r>
          </w:p>
          <w:p w14:paraId="7A1D9A13">
            <w:pPr>
              <w:spacing w:line="360" w:lineRule="auto"/>
              <w:ind w:right="42" w:rightChars="20"/>
              <w:jc w:val="left"/>
              <w:rPr>
                <w:rFonts w:cs="微软雅黑" w:asciiTheme="minorEastAsia" w:hAnsiTheme="minorEastAsia" w:eastAsiaTheme="minorEastAsia"/>
                <w:bCs/>
                <w:color w:val="auto"/>
                <w:szCs w:val="21"/>
                <w:highlight w:val="none"/>
              </w:rPr>
            </w:pPr>
            <w:r>
              <w:rPr>
                <w:rFonts w:hint="eastAsia" w:cs="微软雅黑" w:asciiTheme="minorEastAsia" w:hAnsiTheme="minorEastAsia" w:eastAsiaTheme="minorEastAsia"/>
                <w:bCs/>
                <w:color w:val="auto"/>
                <w:szCs w:val="21"/>
                <w:highlight w:val="none"/>
              </w:rPr>
              <w:t>（1）“电子加密投标文件”是指通过“政采云电子交易客户端”完成投标文件编制后生成并加密的数据电文形式的投标文件。</w:t>
            </w:r>
          </w:p>
          <w:p w14:paraId="6A6547E6">
            <w:pPr>
              <w:spacing w:line="360" w:lineRule="auto"/>
              <w:ind w:right="42" w:rightChars="20"/>
              <w:jc w:val="left"/>
              <w:rPr>
                <w:rFonts w:cs="微软雅黑" w:asciiTheme="minorEastAsia" w:hAnsiTheme="minorEastAsia" w:eastAsiaTheme="minorEastAsia"/>
                <w:color w:val="auto"/>
                <w:szCs w:val="21"/>
                <w:highlight w:val="none"/>
              </w:rPr>
            </w:pPr>
            <w:r>
              <w:rPr>
                <w:rFonts w:hint="eastAsia" w:cs="微软雅黑" w:asciiTheme="minorEastAsia" w:hAnsiTheme="minorEastAsia" w:eastAsiaTheme="minorEastAsia"/>
                <w:bCs/>
                <w:color w:val="auto"/>
                <w:szCs w:val="21"/>
                <w:highlight w:val="none"/>
              </w:rPr>
              <w:t>（2）“备份投标文件”是指与“电子加密投标文件”同时生成的数据电文形式的电子文件（备份标书），其他方式编制的备份投标文件视为无效备份投标文件。</w:t>
            </w:r>
          </w:p>
        </w:tc>
      </w:tr>
      <w:tr w14:paraId="66FC60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777" w:type="dxa"/>
            <w:tcBorders>
              <w:top w:val="single" w:color="auto" w:sz="4" w:space="0"/>
              <w:left w:val="single" w:color="auto" w:sz="4" w:space="0"/>
              <w:bottom w:val="single" w:color="auto" w:sz="4" w:space="0"/>
              <w:right w:val="single" w:color="auto" w:sz="4" w:space="0"/>
            </w:tcBorders>
            <w:vAlign w:val="center"/>
          </w:tcPr>
          <w:p w14:paraId="6CAD20D8">
            <w:pPr>
              <w:spacing w:line="360" w:lineRule="auto"/>
              <w:ind w:right="42" w:rightChars="20"/>
              <w:jc w:val="center"/>
              <w:rPr>
                <w:rFonts w:cs="微软雅黑" w:asciiTheme="minorEastAsia" w:hAnsiTheme="minorEastAsia" w:eastAsiaTheme="minorEastAsia"/>
                <w:color w:val="auto"/>
                <w:szCs w:val="21"/>
                <w:highlight w:val="none"/>
              </w:rPr>
            </w:pPr>
            <w:r>
              <w:rPr>
                <w:rFonts w:hint="eastAsia" w:cs="微软雅黑" w:asciiTheme="minorEastAsia" w:hAnsiTheme="minorEastAsia" w:eastAsiaTheme="minorEastAsia"/>
                <w:color w:val="auto"/>
                <w:szCs w:val="21"/>
                <w:highlight w:val="none"/>
              </w:rPr>
              <w:t>13</w:t>
            </w:r>
          </w:p>
        </w:tc>
        <w:tc>
          <w:tcPr>
            <w:tcW w:w="8511" w:type="dxa"/>
            <w:tcBorders>
              <w:top w:val="single" w:color="auto" w:sz="4" w:space="0"/>
              <w:left w:val="single" w:color="auto" w:sz="4" w:space="0"/>
              <w:bottom w:val="single" w:color="auto" w:sz="4" w:space="0"/>
              <w:right w:val="single" w:color="auto" w:sz="4" w:space="0"/>
            </w:tcBorders>
            <w:vAlign w:val="center"/>
          </w:tcPr>
          <w:p w14:paraId="5B43CD88">
            <w:pPr>
              <w:spacing w:line="360" w:lineRule="auto"/>
              <w:ind w:right="42" w:rightChars="20" w:firstLine="420" w:firstLineChars="200"/>
              <w:jc w:val="left"/>
              <w:rPr>
                <w:rFonts w:cs="微软雅黑" w:asciiTheme="minorEastAsia" w:hAnsiTheme="minorEastAsia" w:eastAsiaTheme="minorEastAsia"/>
                <w:color w:val="auto"/>
                <w:szCs w:val="21"/>
                <w:highlight w:val="none"/>
              </w:rPr>
            </w:pPr>
            <w:r>
              <w:rPr>
                <w:rFonts w:hint="eastAsia" w:cs="微软雅黑" w:asciiTheme="minorEastAsia" w:hAnsiTheme="minorEastAsia" w:eastAsiaTheme="minorEastAsia"/>
                <w:color w:val="auto"/>
                <w:szCs w:val="21"/>
                <w:highlight w:val="none"/>
              </w:rPr>
              <w:t>投标文件份数：</w:t>
            </w:r>
            <w:r>
              <w:rPr>
                <w:rFonts w:hint="eastAsia" w:cs="微软雅黑" w:asciiTheme="minorEastAsia" w:hAnsiTheme="minorEastAsia" w:eastAsiaTheme="minorEastAsia"/>
                <w:bCs/>
                <w:color w:val="auto"/>
                <w:szCs w:val="21"/>
                <w:highlight w:val="none"/>
              </w:rPr>
              <w:t>（1）“电子加密投标文件”：在线上传递交、一份。（2）“备份投标文件”</w:t>
            </w:r>
            <w:r>
              <w:rPr>
                <w:rFonts w:hint="eastAsia" w:cs="微软雅黑" w:asciiTheme="minorEastAsia" w:hAnsiTheme="minorEastAsia" w:eastAsiaTheme="minorEastAsia"/>
                <w:bCs/>
                <w:color w:val="auto"/>
                <w:szCs w:val="21"/>
                <w:highlight w:val="none"/>
                <w:lang w:eastAsia="zh-CN"/>
              </w:rPr>
              <w:t>（</w:t>
            </w:r>
            <w:r>
              <w:rPr>
                <w:rFonts w:hint="eastAsia" w:cs="微软雅黑" w:asciiTheme="minorEastAsia" w:hAnsiTheme="minorEastAsia" w:eastAsiaTheme="minorEastAsia"/>
                <w:bCs/>
                <w:color w:val="auto"/>
                <w:szCs w:val="21"/>
                <w:highlight w:val="none"/>
                <w:lang w:val="en-US" w:eastAsia="zh-CN"/>
              </w:rPr>
              <w:t>非强制</w:t>
            </w:r>
            <w:r>
              <w:rPr>
                <w:rFonts w:hint="eastAsia" w:cs="微软雅黑" w:asciiTheme="minorEastAsia" w:hAnsiTheme="minorEastAsia" w:eastAsiaTheme="minorEastAsia"/>
                <w:bCs/>
                <w:color w:val="auto"/>
                <w:szCs w:val="21"/>
                <w:highlight w:val="none"/>
                <w:lang w:eastAsia="zh-CN"/>
              </w:rPr>
              <w:t>）</w:t>
            </w:r>
            <w:r>
              <w:rPr>
                <w:rFonts w:hint="eastAsia" w:cs="微软雅黑" w:asciiTheme="minorEastAsia" w:hAnsiTheme="minorEastAsia" w:eastAsiaTheme="minorEastAsia"/>
                <w:bCs/>
                <w:color w:val="auto"/>
                <w:szCs w:val="21"/>
                <w:highlight w:val="none"/>
              </w:rPr>
              <w:t>：密封包装后（邮寄形式）投标截止时间前递交一份（邮寄地址：嘉兴市洪波路1200号万豪广场12楼1204号大地工程咨询有限公司（杨丽莉  电话：0573-82133572）。</w:t>
            </w:r>
          </w:p>
        </w:tc>
      </w:tr>
      <w:tr w14:paraId="0EA933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777" w:type="dxa"/>
            <w:tcBorders>
              <w:top w:val="single" w:color="auto" w:sz="4" w:space="0"/>
              <w:left w:val="single" w:color="auto" w:sz="4" w:space="0"/>
              <w:bottom w:val="single" w:color="auto" w:sz="4" w:space="0"/>
              <w:right w:val="single" w:color="auto" w:sz="4" w:space="0"/>
            </w:tcBorders>
            <w:vAlign w:val="center"/>
          </w:tcPr>
          <w:p w14:paraId="6BDAD87A">
            <w:pPr>
              <w:spacing w:line="360" w:lineRule="auto"/>
              <w:ind w:right="42" w:rightChars="20"/>
              <w:jc w:val="center"/>
              <w:rPr>
                <w:rFonts w:cs="微软雅黑" w:asciiTheme="minorEastAsia" w:hAnsiTheme="minorEastAsia" w:eastAsiaTheme="minorEastAsia"/>
                <w:color w:val="auto"/>
                <w:szCs w:val="21"/>
                <w:highlight w:val="none"/>
              </w:rPr>
            </w:pPr>
            <w:r>
              <w:rPr>
                <w:rFonts w:hint="eastAsia" w:cs="微软雅黑" w:asciiTheme="minorEastAsia" w:hAnsiTheme="minorEastAsia" w:eastAsiaTheme="minorEastAsia"/>
                <w:color w:val="auto"/>
                <w:szCs w:val="21"/>
                <w:highlight w:val="none"/>
              </w:rPr>
              <w:t>14</w:t>
            </w:r>
          </w:p>
        </w:tc>
        <w:tc>
          <w:tcPr>
            <w:tcW w:w="8511" w:type="dxa"/>
            <w:tcBorders>
              <w:top w:val="single" w:color="auto" w:sz="4" w:space="0"/>
              <w:left w:val="single" w:color="auto" w:sz="4" w:space="0"/>
              <w:bottom w:val="single" w:color="auto" w:sz="4" w:space="0"/>
              <w:right w:val="single" w:color="auto" w:sz="4" w:space="0"/>
            </w:tcBorders>
            <w:vAlign w:val="center"/>
          </w:tcPr>
          <w:p w14:paraId="0FB5F621">
            <w:pPr>
              <w:spacing w:line="360" w:lineRule="auto"/>
              <w:ind w:right="42" w:rightChars="20"/>
              <w:jc w:val="left"/>
              <w:rPr>
                <w:rFonts w:cs="微软雅黑" w:asciiTheme="minorEastAsia" w:hAnsiTheme="minorEastAsia" w:eastAsiaTheme="minorEastAsia"/>
                <w:color w:val="auto"/>
                <w:szCs w:val="21"/>
                <w:highlight w:val="none"/>
              </w:rPr>
            </w:pPr>
            <w:r>
              <w:rPr>
                <w:rFonts w:hint="eastAsia" w:cs="微软雅黑" w:asciiTheme="minorEastAsia" w:hAnsiTheme="minorEastAsia" w:eastAsiaTheme="minorEastAsia"/>
                <w:color w:val="auto"/>
                <w:szCs w:val="21"/>
                <w:highlight w:val="none"/>
              </w:rPr>
              <w:t>投标文件的上传和递交：</w:t>
            </w:r>
          </w:p>
          <w:p w14:paraId="0761575E">
            <w:pPr>
              <w:spacing w:line="360" w:lineRule="auto"/>
              <w:ind w:right="42" w:rightChars="20"/>
              <w:jc w:val="left"/>
              <w:rPr>
                <w:rFonts w:cs="微软雅黑" w:asciiTheme="minorEastAsia" w:hAnsiTheme="minorEastAsia" w:eastAsiaTheme="minorEastAsia"/>
                <w:bCs/>
                <w:color w:val="auto"/>
                <w:szCs w:val="21"/>
                <w:highlight w:val="none"/>
              </w:rPr>
            </w:pPr>
            <w:r>
              <w:rPr>
                <w:rFonts w:hint="eastAsia" w:cs="微软雅黑" w:asciiTheme="minorEastAsia" w:hAnsiTheme="minorEastAsia" w:eastAsiaTheme="minorEastAsia"/>
                <w:bCs/>
                <w:color w:val="auto"/>
                <w:szCs w:val="21"/>
                <w:highlight w:val="none"/>
              </w:rPr>
              <w:t>（1）“电子加密投标文件”的上传、递交：</w:t>
            </w:r>
          </w:p>
          <w:p w14:paraId="57811BF3">
            <w:pPr>
              <w:spacing w:line="360" w:lineRule="auto"/>
              <w:ind w:right="42" w:rightChars="20" w:firstLine="420" w:firstLineChars="200"/>
              <w:jc w:val="left"/>
              <w:rPr>
                <w:rFonts w:cs="微软雅黑" w:asciiTheme="minorEastAsia" w:hAnsiTheme="minorEastAsia" w:eastAsiaTheme="minorEastAsia"/>
                <w:bCs/>
                <w:color w:val="auto"/>
                <w:szCs w:val="21"/>
                <w:highlight w:val="none"/>
              </w:rPr>
            </w:pPr>
            <w:r>
              <w:rPr>
                <w:rFonts w:hint="eastAsia" w:cs="微软雅黑" w:asciiTheme="minorEastAsia" w:hAnsiTheme="minorEastAsia" w:eastAsiaTheme="minorEastAsia"/>
                <w:bCs/>
                <w:color w:val="auto"/>
                <w:szCs w:val="21"/>
                <w:highlight w:val="none"/>
              </w:rPr>
              <w:t>a.投标人应在投标截止时间前将“电子加密投标文件”成功上传递交至“政府采购云平台”，否则投标无效。</w:t>
            </w:r>
          </w:p>
          <w:p w14:paraId="09611053">
            <w:pPr>
              <w:spacing w:line="360" w:lineRule="auto"/>
              <w:ind w:right="42" w:rightChars="20" w:firstLine="420" w:firstLineChars="200"/>
              <w:jc w:val="left"/>
              <w:rPr>
                <w:rFonts w:cs="微软雅黑" w:asciiTheme="minorEastAsia" w:hAnsiTheme="minorEastAsia" w:eastAsiaTheme="minorEastAsia"/>
                <w:bCs/>
                <w:color w:val="auto"/>
                <w:szCs w:val="21"/>
                <w:highlight w:val="none"/>
              </w:rPr>
            </w:pPr>
            <w:r>
              <w:rPr>
                <w:rFonts w:hint="eastAsia" w:cs="微软雅黑" w:asciiTheme="minorEastAsia" w:hAnsiTheme="minorEastAsia" w:eastAsiaTheme="minorEastAsia"/>
                <w:bCs/>
                <w:color w:val="auto"/>
                <w:szCs w:val="21"/>
                <w:highlight w:val="none"/>
              </w:rPr>
              <w:t>b.“电子加密投标文件”成功上传递交后，投标人可自行打印投标文件接收回执。</w:t>
            </w:r>
          </w:p>
          <w:p w14:paraId="3F5A3B55">
            <w:pPr>
              <w:spacing w:line="360" w:lineRule="auto"/>
              <w:ind w:right="42" w:rightChars="20"/>
              <w:jc w:val="left"/>
              <w:rPr>
                <w:rFonts w:cs="微软雅黑" w:asciiTheme="minorEastAsia" w:hAnsiTheme="minorEastAsia" w:eastAsiaTheme="minorEastAsia"/>
                <w:bCs/>
                <w:color w:val="auto"/>
                <w:szCs w:val="21"/>
                <w:highlight w:val="none"/>
              </w:rPr>
            </w:pPr>
            <w:r>
              <w:rPr>
                <w:rFonts w:hint="eastAsia" w:cs="微软雅黑" w:asciiTheme="minorEastAsia" w:hAnsiTheme="minorEastAsia" w:eastAsiaTheme="minorEastAsia"/>
                <w:bCs/>
                <w:color w:val="auto"/>
                <w:szCs w:val="21"/>
                <w:highlight w:val="none"/>
              </w:rPr>
              <w:t>（2）“备份投标文件”的密封包装、递交：</w:t>
            </w:r>
          </w:p>
          <w:p w14:paraId="38E1C1BC">
            <w:pPr>
              <w:spacing w:line="360" w:lineRule="auto"/>
              <w:ind w:right="42" w:rightChars="20" w:firstLine="420" w:firstLineChars="200"/>
              <w:jc w:val="left"/>
              <w:rPr>
                <w:rFonts w:cs="微软雅黑" w:asciiTheme="minorEastAsia" w:hAnsiTheme="minorEastAsia" w:eastAsiaTheme="minorEastAsia"/>
                <w:bCs/>
                <w:color w:val="auto"/>
                <w:szCs w:val="21"/>
                <w:highlight w:val="none"/>
              </w:rPr>
            </w:pPr>
            <w:r>
              <w:rPr>
                <w:rFonts w:hint="eastAsia" w:cs="微软雅黑" w:asciiTheme="minorEastAsia" w:hAnsiTheme="minorEastAsia" w:eastAsiaTheme="minorEastAsia"/>
                <w:bCs/>
                <w:color w:val="auto"/>
                <w:szCs w:val="21"/>
                <w:highlight w:val="none"/>
              </w:rPr>
              <w:t>a.投标人在“政府采购云平台”完成“电子加密投标文件”的上传递交后，还可以（邮寄形式）在投标截止时间前递交以介质（U盘）存储的 “备份投标文件”（一份）；</w:t>
            </w:r>
          </w:p>
          <w:p w14:paraId="74BE699A">
            <w:pPr>
              <w:spacing w:line="360" w:lineRule="auto"/>
              <w:ind w:right="42" w:rightChars="20" w:firstLine="422" w:firstLineChars="200"/>
              <w:jc w:val="left"/>
              <w:rPr>
                <w:rFonts w:cs="微软雅黑" w:asciiTheme="minorEastAsia" w:hAnsiTheme="minorEastAsia" w:eastAsiaTheme="minorEastAsia"/>
                <w:b/>
                <w:bCs/>
                <w:color w:val="auto"/>
                <w:szCs w:val="21"/>
                <w:highlight w:val="none"/>
              </w:rPr>
            </w:pPr>
            <w:r>
              <w:rPr>
                <w:rFonts w:hint="eastAsia" w:cs="微软雅黑" w:asciiTheme="minorEastAsia" w:hAnsiTheme="minorEastAsia" w:eastAsiaTheme="minorEastAsia"/>
                <w:b/>
                <w:bCs/>
                <w:color w:val="auto"/>
                <w:szCs w:val="21"/>
                <w:highlight w:val="none"/>
              </w:rPr>
              <w:t>b.“备份投标文件”应当密封包装，并在包装上标注投标项目名称、投标单位名称并加盖公章。没有密封包装或者逾期邮寄送达至上述邮寄地点的“备份投标文件”将不予接收；（非强制递交）</w:t>
            </w:r>
          </w:p>
          <w:p w14:paraId="1E77DE63">
            <w:pPr>
              <w:spacing w:line="360" w:lineRule="auto"/>
              <w:ind w:right="42" w:rightChars="20" w:firstLine="420" w:firstLineChars="200"/>
              <w:jc w:val="left"/>
              <w:rPr>
                <w:rFonts w:cs="微软雅黑" w:asciiTheme="minorEastAsia" w:hAnsiTheme="minorEastAsia" w:eastAsiaTheme="minorEastAsia"/>
                <w:color w:val="auto"/>
                <w:szCs w:val="21"/>
                <w:highlight w:val="none"/>
              </w:rPr>
            </w:pPr>
            <w:r>
              <w:rPr>
                <w:rFonts w:hint="eastAsia" w:cs="微软雅黑" w:asciiTheme="minorEastAsia" w:hAnsiTheme="minorEastAsia" w:eastAsiaTheme="minorEastAsia"/>
                <w:bCs/>
                <w:color w:val="auto"/>
                <w:szCs w:val="21"/>
                <w:highlight w:val="none"/>
              </w:rPr>
              <w:t>c.通过“政府采购云平台”成功上传递交的“电子加密投标文件”已按时解密的，“备份投标文件”自动失效。投标截止时间前，投标人仅递交了“备份投标文件”而未将“电子加密投标文件”成功上传至“政府采购云平台”的，投标无效。</w:t>
            </w:r>
          </w:p>
        </w:tc>
      </w:tr>
      <w:tr w14:paraId="7EAF21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777" w:type="dxa"/>
            <w:tcBorders>
              <w:top w:val="single" w:color="auto" w:sz="4" w:space="0"/>
              <w:left w:val="single" w:color="auto" w:sz="4" w:space="0"/>
              <w:bottom w:val="single" w:color="auto" w:sz="4" w:space="0"/>
              <w:right w:val="single" w:color="auto" w:sz="4" w:space="0"/>
            </w:tcBorders>
            <w:vAlign w:val="center"/>
          </w:tcPr>
          <w:p w14:paraId="7875EE3B">
            <w:pPr>
              <w:spacing w:line="360" w:lineRule="auto"/>
              <w:ind w:right="42" w:rightChars="20"/>
              <w:jc w:val="center"/>
              <w:rPr>
                <w:rFonts w:cs="微软雅黑" w:asciiTheme="minorEastAsia" w:hAnsiTheme="minorEastAsia" w:eastAsiaTheme="minorEastAsia"/>
                <w:color w:val="auto"/>
                <w:szCs w:val="21"/>
                <w:highlight w:val="none"/>
              </w:rPr>
            </w:pPr>
            <w:r>
              <w:rPr>
                <w:rFonts w:hint="eastAsia" w:cs="微软雅黑" w:asciiTheme="minorEastAsia" w:hAnsiTheme="minorEastAsia" w:eastAsiaTheme="minorEastAsia"/>
                <w:color w:val="auto"/>
                <w:szCs w:val="21"/>
                <w:highlight w:val="none"/>
              </w:rPr>
              <w:t>15</w:t>
            </w:r>
          </w:p>
        </w:tc>
        <w:tc>
          <w:tcPr>
            <w:tcW w:w="8511" w:type="dxa"/>
            <w:tcBorders>
              <w:top w:val="single" w:color="auto" w:sz="4" w:space="0"/>
              <w:left w:val="single" w:color="auto" w:sz="4" w:space="0"/>
              <w:bottom w:val="single" w:color="auto" w:sz="4" w:space="0"/>
              <w:right w:val="single" w:color="auto" w:sz="4" w:space="0"/>
            </w:tcBorders>
            <w:vAlign w:val="center"/>
          </w:tcPr>
          <w:p w14:paraId="14563852">
            <w:pPr>
              <w:spacing w:line="360" w:lineRule="auto"/>
              <w:ind w:right="42" w:rightChars="20"/>
              <w:jc w:val="left"/>
              <w:rPr>
                <w:rFonts w:cs="微软雅黑" w:asciiTheme="minorEastAsia" w:hAnsiTheme="minorEastAsia" w:eastAsiaTheme="minorEastAsia"/>
                <w:color w:val="auto"/>
                <w:szCs w:val="21"/>
                <w:highlight w:val="none"/>
              </w:rPr>
            </w:pPr>
            <w:r>
              <w:rPr>
                <w:rFonts w:hint="eastAsia" w:cs="微软雅黑" w:asciiTheme="minorEastAsia" w:hAnsiTheme="minorEastAsia" w:eastAsiaTheme="minorEastAsia"/>
                <w:color w:val="auto"/>
                <w:szCs w:val="21"/>
                <w:highlight w:val="none"/>
              </w:rPr>
              <w:t>电子加密投标文件的解密和异常情况处理：</w:t>
            </w:r>
          </w:p>
          <w:p w14:paraId="02915525">
            <w:pPr>
              <w:spacing w:line="360" w:lineRule="auto"/>
              <w:ind w:right="42" w:rightChars="20"/>
              <w:jc w:val="left"/>
              <w:rPr>
                <w:rFonts w:cs="微软雅黑" w:asciiTheme="minorEastAsia" w:hAnsiTheme="minorEastAsia" w:eastAsiaTheme="minorEastAsia"/>
                <w:color w:val="auto"/>
                <w:szCs w:val="21"/>
                <w:highlight w:val="none"/>
              </w:rPr>
            </w:pPr>
            <w:r>
              <w:rPr>
                <w:rFonts w:hint="eastAsia" w:cs="微软雅黑" w:asciiTheme="minorEastAsia" w:hAnsiTheme="minorEastAsia" w:eastAsiaTheme="minorEastAsia"/>
                <w:color w:val="auto"/>
                <w:szCs w:val="21"/>
                <w:highlight w:val="none"/>
              </w:rPr>
              <w:t>（1）开标后，采购组织机构将向各投标人发出“电子加密投标文件”的解密通知，各投标人代表应当在接到解密通知后30分钟内自行完成“电子加密投标文件”的在线解密。</w:t>
            </w:r>
          </w:p>
          <w:p w14:paraId="00CF3984">
            <w:pPr>
              <w:spacing w:line="360" w:lineRule="auto"/>
              <w:ind w:right="42" w:rightChars="20"/>
              <w:jc w:val="left"/>
              <w:rPr>
                <w:rFonts w:cs="微软雅黑" w:asciiTheme="minorEastAsia" w:hAnsiTheme="minorEastAsia" w:eastAsiaTheme="minorEastAsia"/>
                <w:color w:val="auto"/>
                <w:szCs w:val="21"/>
                <w:highlight w:val="none"/>
              </w:rPr>
            </w:pPr>
            <w:r>
              <w:rPr>
                <w:rFonts w:hint="eastAsia" w:cs="微软雅黑" w:asciiTheme="minorEastAsia" w:hAnsiTheme="minorEastAsia" w:eastAsiaTheme="minorEastAsia"/>
                <w:color w:val="auto"/>
                <w:szCs w:val="21"/>
                <w:highlight w:val="none"/>
              </w:rPr>
              <w:t>（2）通过“政府采购云平台”成功上传递交的“电子加密投标文件”无法按时解密，投标人如按规定递交了“备份投标文件”的，以“备份投标文件”为依据（由采购组织机构按“政府采购云平台”操作规范将“备份投标文件”上传至“政府采购云平台”，上传成功后，“电子加密投标文件”自动失效），否则视为投标文件撤回。</w:t>
            </w:r>
          </w:p>
          <w:p w14:paraId="522CEEDD">
            <w:pPr>
              <w:spacing w:line="360" w:lineRule="auto"/>
              <w:ind w:right="42" w:rightChars="20"/>
              <w:jc w:val="left"/>
              <w:rPr>
                <w:rFonts w:cs="微软雅黑" w:asciiTheme="minorEastAsia" w:hAnsiTheme="minorEastAsia" w:eastAsiaTheme="minorEastAsia"/>
                <w:color w:val="auto"/>
                <w:szCs w:val="21"/>
                <w:highlight w:val="none"/>
              </w:rPr>
            </w:pPr>
            <w:r>
              <w:rPr>
                <w:rFonts w:hint="eastAsia" w:cs="微软雅黑" w:asciiTheme="minorEastAsia" w:hAnsiTheme="minorEastAsia" w:eastAsiaTheme="minorEastAsia"/>
                <w:color w:val="auto"/>
                <w:szCs w:val="21"/>
                <w:highlight w:val="none"/>
              </w:rPr>
              <w:t>（3）投标截止时间前，投标人仅递交了“备份投标文件”而未将电子加密投标文件上传至“政府采购云平台”的，投标无效。</w:t>
            </w:r>
          </w:p>
        </w:tc>
      </w:tr>
      <w:tr w14:paraId="73F2C2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777" w:type="dxa"/>
            <w:tcBorders>
              <w:top w:val="single" w:color="auto" w:sz="4" w:space="0"/>
              <w:left w:val="single" w:color="auto" w:sz="4" w:space="0"/>
              <w:bottom w:val="single" w:color="auto" w:sz="4" w:space="0"/>
              <w:right w:val="single" w:color="auto" w:sz="4" w:space="0"/>
            </w:tcBorders>
            <w:vAlign w:val="center"/>
          </w:tcPr>
          <w:p w14:paraId="7DB53EC8">
            <w:pPr>
              <w:snapToGrid w:val="0"/>
              <w:spacing w:line="360" w:lineRule="auto"/>
              <w:ind w:right="42" w:rightChars="20"/>
              <w:jc w:val="center"/>
              <w:rPr>
                <w:rFonts w:cs="微软雅黑" w:asciiTheme="minorEastAsia" w:hAnsiTheme="minorEastAsia" w:eastAsiaTheme="minorEastAsia"/>
                <w:color w:val="auto"/>
                <w:szCs w:val="21"/>
                <w:highlight w:val="none"/>
              </w:rPr>
            </w:pPr>
            <w:r>
              <w:rPr>
                <w:rFonts w:hint="eastAsia" w:cs="微软雅黑" w:asciiTheme="minorEastAsia" w:hAnsiTheme="minorEastAsia" w:eastAsiaTheme="minorEastAsia"/>
                <w:color w:val="auto"/>
                <w:szCs w:val="21"/>
                <w:highlight w:val="none"/>
              </w:rPr>
              <w:t>16</w:t>
            </w:r>
          </w:p>
        </w:tc>
        <w:tc>
          <w:tcPr>
            <w:tcW w:w="8511" w:type="dxa"/>
            <w:tcBorders>
              <w:top w:val="single" w:color="auto" w:sz="4" w:space="0"/>
              <w:left w:val="single" w:color="auto" w:sz="4" w:space="0"/>
              <w:bottom w:val="single" w:color="auto" w:sz="4" w:space="0"/>
              <w:right w:val="single" w:color="auto" w:sz="4" w:space="0"/>
            </w:tcBorders>
            <w:vAlign w:val="center"/>
          </w:tcPr>
          <w:p w14:paraId="408D6053">
            <w:pPr>
              <w:spacing w:line="360" w:lineRule="auto"/>
              <w:ind w:right="42" w:rightChars="20"/>
              <w:jc w:val="left"/>
              <w:rPr>
                <w:rFonts w:cs="微软雅黑" w:asciiTheme="minorEastAsia" w:hAnsiTheme="minorEastAsia" w:eastAsiaTheme="minorEastAsia"/>
                <w:color w:val="auto"/>
                <w:szCs w:val="21"/>
                <w:highlight w:val="none"/>
              </w:rPr>
            </w:pPr>
            <w:r>
              <w:rPr>
                <w:rFonts w:hint="eastAsia" w:cs="微软雅黑" w:asciiTheme="minorEastAsia" w:hAnsiTheme="minorEastAsia" w:eastAsiaTheme="minorEastAsia"/>
                <w:color w:val="auto"/>
                <w:szCs w:val="21"/>
                <w:highlight w:val="none"/>
              </w:rPr>
              <w:t>投标截止时间及地点：</w:t>
            </w:r>
            <w:r>
              <w:rPr>
                <w:rFonts w:hint="eastAsia" w:ascii="宋体" w:hAnsi="宋体" w:eastAsia="宋体" w:cs="宋体"/>
                <w:i w:val="0"/>
                <w:iCs w:val="0"/>
                <w:caps w:val="0"/>
                <w:color w:val="auto"/>
                <w:spacing w:val="0"/>
                <w:sz w:val="21"/>
                <w:szCs w:val="21"/>
                <w:highlight w:val="none"/>
              </w:rPr>
              <w:t>202</w:t>
            </w:r>
            <w:r>
              <w:rPr>
                <w:rFonts w:hint="eastAsia" w:cs="宋体"/>
                <w:i w:val="0"/>
                <w:iCs w:val="0"/>
                <w:caps w:val="0"/>
                <w:color w:val="auto"/>
                <w:spacing w:val="0"/>
                <w:sz w:val="21"/>
                <w:szCs w:val="21"/>
                <w:highlight w:val="none"/>
                <w:lang w:val="en-US" w:eastAsia="zh-CN"/>
              </w:rPr>
              <w:t>6</w:t>
            </w:r>
            <w:r>
              <w:rPr>
                <w:rFonts w:hint="eastAsia" w:ascii="宋体" w:hAnsi="宋体" w:eastAsia="宋体" w:cs="宋体"/>
                <w:i w:val="0"/>
                <w:iCs w:val="0"/>
                <w:caps w:val="0"/>
                <w:color w:val="auto"/>
                <w:spacing w:val="0"/>
                <w:sz w:val="21"/>
                <w:szCs w:val="21"/>
                <w:highlight w:val="none"/>
              </w:rPr>
              <w:t>年</w:t>
            </w:r>
            <w:r>
              <w:rPr>
                <w:rFonts w:hint="eastAsia" w:cs="宋体"/>
                <w:i w:val="0"/>
                <w:iCs w:val="0"/>
                <w:caps w:val="0"/>
                <w:color w:val="auto"/>
                <w:spacing w:val="0"/>
                <w:sz w:val="21"/>
                <w:szCs w:val="21"/>
                <w:highlight w:val="none"/>
                <w:lang w:val="en-US" w:eastAsia="zh-CN"/>
              </w:rPr>
              <w:t>5</w:t>
            </w:r>
            <w:r>
              <w:rPr>
                <w:rFonts w:hint="eastAsia" w:ascii="宋体" w:hAnsi="宋体" w:eastAsia="宋体" w:cs="宋体"/>
                <w:i w:val="0"/>
                <w:iCs w:val="0"/>
                <w:caps w:val="0"/>
                <w:color w:val="auto"/>
                <w:spacing w:val="0"/>
                <w:sz w:val="21"/>
                <w:szCs w:val="21"/>
                <w:highlight w:val="none"/>
              </w:rPr>
              <w:t>月</w:t>
            </w:r>
            <w:r>
              <w:rPr>
                <w:rFonts w:hint="eastAsia" w:cs="宋体"/>
                <w:i w:val="0"/>
                <w:iCs w:val="0"/>
                <w:caps w:val="0"/>
                <w:color w:val="auto"/>
                <w:spacing w:val="0"/>
                <w:sz w:val="21"/>
                <w:szCs w:val="21"/>
                <w:highlight w:val="none"/>
                <w:lang w:val="en-US" w:eastAsia="zh-CN"/>
              </w:rPr>
              <w:t>7</w:t>
            </w:r>
            <w:r>
              <w:rPr>
                <w:rFonts w:hint="eastAsia" w:ascii="宋体" w:hAnsi="宋体" w:eastAsia="宋体" w:cs="宋体"/>
                <w:i w:val="0"/>
                <w:iCs w:val="0"/>
                <w:caps w:val="0"/>
                <w:color w:val="auto"/>
                <w:spacing w:val="0"/>
                <w:sz w:val="21"/>
                <w:szCs w:val="21"/>
                <w:highlight w:val="none"/>
              </w:rPr>
              <w:t>日</w:t>
            </w:r>
            <w:r>
              <w:rPr>
                <w:rFonts w:hint="eastAsia" w:ascii="宋体" w:hAnsi="宋体" w:eastAsia="宋体" w:cs="宋体"/>
                <w:i w:val="0"/>
                <w:iCs w:val="0"/>
                <w:caps w:val="0"/>
                <w:color w:val="auto"/>
                <w:spacing w:val="0"/>
                <w:sz w:val="21"/>
                <w:szCs w:val="21"/>
                <w:highlight w:val="none"/>
              </w:rPr>
              <w:t xml:space="preserve"> </w:t>
            </w:r>
            <w:r>
              <w:rPr>
                <w:rFonts w:hint="eastAsia" w:cs="宋体"/>
                <w:i w:val="0"/>
                <w:iCs w:val="0"/>
                <w:caps w:val="0"/>
                <w:color w:val="auto"/>
                <w:spacing w:val="0"/>
                <w:sz w:val="21"/>
                <w:szCs w:val="21"/>
                <w:highlight w:val="none"/>
                <w:lang w:val="en-US" w:eastAsia="zh-CN"/>
              </w:rPr>
              <w:t>09</w:t>
            </w:r>
            <w:r>
              <w:rPr>
                <w:rFonts w:hint="eastAsia" w:ascii="宋体" w:hAnsi="宋体" w:eastAsia="宋体" w:cs="宋体"/>
                <w:i w:val="0"/>
                <w:iCs w:val="0"/>
                <w:caps w:val="0"/>
                <w:color w:val="auto"/>
                <w:spacing w:val="0"/>
                <w:sz w:val="21"/>
                <w:szCs w:val="21"/>
                <w:highlight w:val="none"/>
              </w:rPr>
              <w:t>:</w:t>
            </w:r>
            <w:r>
              <w:rPr>
                <w:rFonts w:hint="eastAsia" w:cs="宋体"/>
                <w:i w:val="0"/>
                <w:iCs w:val="0"/>
                <w:caps w:val="0"/>
                <w:color w:val="auto"/>
                <w:spacing w:val="0"/>
                <w:sz w:val="21"/>
                <w:szCs w:val="21"/>
                <w:highlight w:val="none"/>
                <w:lang w:val="en-US" w:eastAsia="zh-CN"/>
              </w:rPr>
              <w:t>0</w:t>
            </w:r>
            <w:r>
              <w:rPr>
                <w:rFonts w:hint="eastAsia" w:ascii="宋体" w:hAnsi="宋体" w:eastAsia="宋体" w:cs="宋体"/>
                <w:i w:val="0"/>
                <w:iCs w:val="0"/>
                <w:caps w:val="0"/>
                <w:color w:val="auto"/>
                <w:spacing w:val="0"/>
                <w:sz w:val="21"/>
                <w:szCs w:val="21"/>
                <w:highlight w:val="none"/>
              </w:rPr>
              <w:t>0</w:t>
            </w:r>
          </w:p>
          <w:p w14:paraId="062FEEB5">
            <w:pPr>
              <w:spacing w:line="360" w:lineRule="auto"/>
              <w:ind w:right="42" w:rightChars="20"/>
              <w:jc w:val="left"/>
              <w:rPr>
                <w:rFonts w:cs="微软雅黑" w:asciiTheme="minorEastAsia" w:hAnsiTheme="minorEastAsia" w:eastAsiaTheme="minorEastAsia"/>
                <w:color w:val="auto"/>
                <w:szCs w:val="21"/>
                <w:highlight w:val="none"/>
              </w:rPr>
            </w:pPr>
            <w:r>
              <w:rPr>
                <w:rFonts w:hint="eastAsia" w:cs="微软雅黑" w:asciiTheme="minorEastAsia" w:hAnsiTheme="minorEastAsia" w:eastAsiaTheme="minorEastAsia"/>
                <w:color w:val="auto"/>
                <w:szCs w:val="21"/>
                <w:highlight w:val="none"/>
              </w:rPr>
              <w:t xml:space="preserve">                     政采云线上投标</w:t>
            </w:r>
          </w:p>
        </w:tc>
      </w:tr>
      <w:tr w14:paraId="2F0E8C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777" w:type="dxa"/>
            <w:tcBorders>
              <w:top w:val="single" w:color="auto" w:sz="4" w:space="0"/>
              <w:left w:val="single" w:color="auto" w:sz="4" w:space="0"/>
              <w:bottom w:val="single" w:color="auto" w:sz="4" w:space="0"/>
              <w:right w:val="single" w:color="auto" w:sz="4" w:space="0"/>
            </w:tcBorders>
            <w:vAlign w:val="center"/>
          </w:tcPr>
          <w:p w14:paraId="46DF9D0B">
            <w:pPr>
              <w:snapToGrid w:val="0"/>
              <w:spacing w:line="360" w:lineRule="auto"/>
              <w:ind w:right="42" w:rightChars="20"/>
              <w:jc w:val="center"/>
              <w:rPr>
                <w:rFonts w:cs="微软雅黑" w:asciiTheme="minorEastAsia" w:hAnsiTheme="minorEastAsia" w:eastAsiaTheme="minorEastAsia"/>
                <w:color w:val="auto"/>
                <w:szCs w:val="21"/>
                <w:highlight w:val="none"/>
              </w:rPr>
            </w:pPr>
            <w:r>
              <w:rPr>
                <w:rFonts w:hint="eastAsia" w:cs="微软雅黑" w:asciiTheme="minorEastAsia" w:hAnsiTheme="minorEastAsia" w:eastAsiaTheme="minorEastAsia"/>
                <w:color w:val="auto"/>
                <w:szCs w:val="21"/>
                <w:highlight w:val="none"/>
              </w:rPr>
              <w:t>17</w:t>
            </w:r>
          </w:p>
        </w:tc>
        <w:tc>
          <w:tcPr>
            <w:tcW w:w="8511" w:type="dxa"/>
            <w:tcBorders>
              <w:top w:val="single" w:color="auto" w:sz="4" w:space="0"/>
              <w:left w:val="single" w:color="auto" w:sz="4" w:space="0"/>
              <w:bottom w:val="single" w:color="auto" w:sz="4" w:space="0"/>
              <w:right w:val="single" w:color="auto" w:sz="4" w:space="0"/>
            </w:tcBorders>
            <w:vAlign w:val="center"/>
          </w:tcPr>
          <w:p w14:paraId="3740BC07">
            <w:pPr>
              <w:spacing w:line="360" w:lineRule="auto"/>
              <w:ind w:right="42" w:rightChars="20"/>
              <w:jc w:val="left"/>
              <w:rPr>
                <w:rFonts w:cs="微软雅黑" w:asciiTheme="minorEastAsia" w:hAnsiTheme="minorEastAsia" w:eastAsiaTheme="minorEastAsia"/>
                <w:color w:val="auto"/>
                <w:szCs w:val="21"/>
                <w:highlight w:val="none"/>
              </w:rPr>
            </w:pPr>
            <w:r>
              <w:rPr>
                <w:rFonts w:hint="eastAsia" w:cs="微软雅黑" w:asciiTheme="minorEastAsia" w:hAnsiTheme="minorEastAsia" w:eastAsiaTheme="minorEastAsia"/>
                <w:color w:val="auto"/>
                <w:szCs w:val="21"/>
                <w:highlight w:val="none"/>
              </w:rPr>
              <w:t>开标时间及地点：</w:t>
            </w:r>
            <w:r>
              <w:rPr>
                <w:rFonts w:hint="eastAsia" w:ascii="宋体" w:hAnsi="宋体" w:eastAsia="宋体" w:cs="宋体"/>
                <w:i w:val="0"/>
                <w:iCs w:val="0"/>
                <w:caps w:val="0"/>
                <w:color w:val="auto"/>
                <w:spacing w:val="0"/>
                <w:sz w:val="21"/>
                <w:szCs w:val="21"/>
                <w:highlight w:val="none"/>
              </w:rPr>
              <w:t>202</w:t>
            </w:r>
            <w:r>
              <w:rPr>
                <w:rFonts w:hint="eastAsia" w:cs="宋体"/>
                <w:i w:val="0"/>
                <w:iCs w:val="0"/>
                <w:caps w:val="0"/>
                <w:color w:val="auto"/>
                <w:spacing w:val="0"/>
                <w:sz w:val="21"/>
                <w:szCs w:val="21"/>
                <w:highlight w:val="none"/>
                <w:lang w:val="en-US" w:eastAsia="zh-CN"/>
              </w:rPr>
              <w:t>6</w:t>
            </w:r>
            <w:r>
              <w:rPr>
                <w:rFonts w:hint="eastAsia" w:ascii="宋体" w:hAnsi="宋体" w:eastAsia="宋体" w:cs="宋体"/>
                <w:i w:val="0"/>
                <w:iCs w:val="0"/>
                <w:caps w:val="0"/>
                <w:color w:val="auto"/>
                <w:spacing w:val="0"/>
                <w:sz w:val="21"/>
                <w:szCs w:val="21"/>
                <w:highlight w:val="none"/>
              </w:rPr>
              <w:t>年</w:t>
            </w:r>
            <w:r>
              <w:rPr>
                <w:rFonts w:hint="eastAsia" w:cs="宋体"/>
                <w:i w:val="0"/>
                <w:iCs w:val="0"/>
                <w:caps w:val="0"/>
                <w:color w:val="auto"/>
                <w:spacing w:val="0"/>
                <w:sz w:val="21"/>
                <w:szCs w:val="21"/>
                <w:highlight w:val="none"/>
                <w:lang w:val="en-US" w:eastAsia="zh-CN"/>
              </w:rPr>
              <w:t>5</w:t>
            </w:r>
            <w:r>
              <w:rPr>
                <w:rFonts w:hint="eastAsia" w:ascii="宋体" w:hAnsi="宋体" w:eastAsia="宋体" w:cs="宋体"/>
                <w:i w:val="0"/>
                <w:iCs w:val="0"/>
                <w:caps w:val="0"/>
                <w:color w:val="auto"/>
                <w:spacing w:val="0"/>
                <w:sz w:val="21"/>
                <w:szCs w:val="21"/>
                <w:highlight w:val="none"/>
              </w:rPr>
              <w:t>月</w:t>
            </w:r>
            <w:r>
              <w:rPr>
                <w:rFonts w:hint="eastAsia" w:cs="宋体"/>
                <w:i w:val="0"/>
                <w:iCs w:val="0"/>
                <w:caps w:val="0"/>
                <w:color w:val="auto"/>
                <w:spacing w:val="0"/>
                <w:sz w:val="21"/>
                <w:szCs w:val="21"/>
                <w:highlight w:val="none"/>
                <w:lang w:val="en-US" w:eastAsia="zh-CN"/>
              </w:rPr>
              <w:t>7</w:t>
            </w:r>
            <w:r>
              <w:rPr>
                <w:rFonts w:hint="eastAsia" w:ascii="宋体" w:hAnsi="宋体" w:eastAsia="宋体" w:cs="宋体"/>
                <w:i w:val="0"/>
                <w:iCs w:val="0"/>
                <w:caps w:val="0"/>
                <w:color w:val="auto"/>
                <w:spacing w:val="0"/>
                <w:sz w:val="21"/>
                <w:szCs w:val="21"/>
                <w:highlight w:val="none"/>
              </w:rPr>
              <w:t>日</w:t>
            </w:r>
            <w:r>
              <w:rPr>
                <w:rFonts w:hint="eastAsia" w:ascii="宋体" w:hAnsi="宋体" w:eastAsia="宋体" w:cs="宋体"/>
                <w:i w:val="0"/>
                <w:iCs w:val="0"/>
                <w:caps w:val="0"/>
                <w:color w:val="auto"/>
                <w:spacing w:val="0"/>
                <w:sz w:val="21"/>
                <w:szCs w:val="21"/>
                <w:highlight w:val="none"/>
              </w:rPr>
              <w:t xml:space="preserve"> </w:t>
            </w:r>
            <w:r>
              <w:rPr>
                <w:rFonts w:hint="eastAsia" w:cs="宋体"/>
                <w:i w:val="0"/>
                <w:iCs w:val="0"/>
                <w:caps w:val="0"/>
                <w:color w:val="auto"/>
                <w:spacing w:val="0"/>
                <w:sz w:val="21"/>
                <w:szCs w:val="21"/>
                <w:highlight w:val="none"/>
                <w:lang w:val="en-US" w:eastAsia="zh-CN"/>
              </w:rPr>
              <w:t>09</w:t>
            </w:r>
            <w:r>
              <w:rPr>
                <w:rFonts w:hint="eastAsia" w:ascii="宋体" w:hAnsi="宋体" w:eastAsia="宋体" w:cs="宋体"/>
                <w:i w:val="0"/>
                <w:iCs w:val="0"/>
                <w:caps w:val="0"/>
                <w:color w:val="auto"/>
                <w:spacing w:val="0"/>
                <w:sz w:val="21"/>
                <w:szCs w:val="21"/>
                <w:highlight w:val="none"/>
              </w:rPr>
              <w:t>:</w:t>
            </w:r>
            <w:r>
              <w:rPr>
                <w:rFonts w:hint="eastAsia" w:cs="宋体"/>
                <w:i w:val="0"/>
                <w:iCs w:val="0"/>
                <w:caps w:val="0"/>
                <w:color w:val="auto"/>
                <w:spacing w:val="0"/>
                <w:sz w:val="21"/>
                <w:szCs w:val="21"/>
                <w:highlight w:val="none"/>
                <w:lang w:val="en-US" w:eastAsia="zh-CN"/>
              </w:rPr>
              <w:t>0</w:t>
            </w:r>
            <w:r>
              <w:rPr>
                <w:rFonts w:hint="eastAsia" w:ascii="宋体" w:hAnsi="宋体" w:eastAsia="宋体" w:cs="宋体"/>
                <w:i w:val="0"/>
                <w:iCs w:val="0"/>
                <w:caps w:val="0"/>
                <w:color w:val="auto"/>
                <w:spacing w:val="0"/>
                <w:sz w:val="21"/>
                <w:szCs w:val="21"/>
                <w:highlight w:val="none"/>
              </w:rPr>
              <w:t>0</w:t>
            </w:r>
          </w:p>
          <w:p w14:paraId="5BBF575A">
            <w:pPr>
              <w:spacing w:line="360" w:lineRule="auto"/>
              <w:ind w:right="42" w:rightChars="20"/>
              <w:jc w:val="left"/>
              <w:rPr>
                <w:rFonts w:cs="微软雅黑" w:asciiTheme="minorEastAsia" w:hAnsiTheme="minorEastAsia" w:eastAsiaTheme="minorEastAsia"/>
                <w:color w:val="auto"/>
                <w:szCs w:val="21"/>
                <w:highlight w:val="none"/>
              </w:rPr>
            </w:pPr>
            <w:r>
              <w:rPr>
                <w:rFonts w:hint="eastAsia" w:cs="微软雅黑" w:asciiTheme="minorEastAsia" w:hAnsiTheme="minorEastAsia" w:eastAsiaTheme="minorEastAsia"/>
                <w:color w:val="auto"/>
                <w:szCs w:val="21"/>
                <w:highlight w:val="none"/>
              </w:rPr>
              <w:t>开标地点（线下）：嘉兴市洪波路1200号万豪广场12楼1204号 </w:t>
            </w:r>
          </w:p>
        </w:tc>
      </w:tr>
      <w:tr w14:paraId="0DC36B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777" w:type="dxa"/>
            <w:tcBorders>
              <w:top w:val="single" w:color="auto" w:sz="4" w:space="0"/>
              <w:left w:val="single" w:color="auto" w:sz="4" w:space="0"/>
              <w:bottom w:val="single" w:color="auto" w:sz="4" w:space="0"/>
              <w:right w:val="single" w:color="auto" w:sz="4" w:space="0"/>
            </w:tcBorders>
            <w:vAlign w:val="center"/>
          </w:tcPr>
          <w:p w14:paraId="74A18217">
            <w:pPr>
              <w:snapToGrid w:val="0"/>
              <w:spacing w:line="360" w:lineRule="auto"/>
              <w:ind w:right="42" w:rightChars="20"/>
              <w:jc w:val="center"/>
              <w:rPr>
                <w:rFonts w:cs="微软雅黑" w:asciiTheme="minorEastAsia" w:hAnsiTheme="minorEastAsia" w:eastAsiaTheme="minorEastAsia"/>
                <w:color w:val="auto"/>
                <w:szCs w:val="21"/>
                <w:highlight w:val="none"/>
              </w:rPr>
            </w:pPr>
            <w:r>
              <w:rPr>
                <w:rFonts w:hint="eastAsia" w:cs="微软雅黑" w:asciiTheme="minorEastAsia" w:hAnsiTheme="minorEastAsia" w:eastAsiaTheme="minorEastAsia"/>
                <w:color w:val="auto"/>
                <w:szCs w:val="21"/>
                <w:highlight w:val="none"/>
              </w:rPr>
              <w:t>18</w:t>
            </w:r>
          </w:p>
        </w:tc>
        <w:tc>
          <w:tcPr>
            <w:tcW w:w="8511" w:type="dxa"/>
            <w:tcBorders>
              <w:top w:val="single" w:color="auto" w:sz="4" w:space="0"/>
              <w:left w:val="single" w:color="auto" w:sz="4" w:space="0"/>
              <w:bottom w:val="single" w:color="auto" w:sz="4" w:space="0"/>
              <w:right w:val="single" w:color="auto" w:sz="4" w:space="0"/>
            </w:tcBorders>
            <w:vAlign w:val="center"/>
          </w:tcPr>
          <w:p w14:paraId="4AB29C7D">
            <w:pPr>
              <w:autoSpaceDE w:val="0"/>
              <w:autoSpaceDN w:val="0"/>
              <w:snapToGrid w:val="0"/>
              <w:spacing w:line="360" w:lineRule="auto"/>
              <w:ind w:right="42" w:rightChars="20"/>
              <w:jc w:val="left"/>
              <w:textAlignment w:val="bottom"/>
              <w:rPr>
                <w:rFonts w:hint="eastAsia" w:eastAsia="宋体" w:cs="微软雅黑" w:asciiTheme="minorEastAsia" w:hAnsiTheme="minorEastAsia"/>
                <w:b/>
                <w:color w:val="auto"/>
                <w:szCs w:val="21"/>
                <w:highlight w:val="none"/>
                <w:lang w:eastAsia="zh-CN"/>
              </w:rPr>
            </w:pPr>
            <w:r>
              <w:rPr>
                <w:rFonts w:hint="eastAsia" w:cs="微软雅黑" w:asciiTheme="minorEastAsia" w:hAnsiTheme="minorEastAsia" w:eastAsiaTheme="minorEastAsia"/>
                <w:color w:val="auto"/>
                <w:szCs w:val="21"/>
                <w:highlight w:val="none"/>
              </w:rPr>
              <w:t>投标费用：</w:t>
            </w:r>
            <w:r>
              <w:rPr>
                <w:rFonts w:hint="eastAsia" w:ascii="宋体" w:hAnsi="宋体"/>
                <w:b/>
                <w:color w:val="auto"/>
                <w:szCs w:val="21"/>
                <w:highlight w:val="none"/>
              </w:rPr>
              <w:t>本项目招标代理费以</w:t>
            </w:r>
            <w:r>
              <w:rPr>
                <w:rFonts w:hint="eastAsia" w:ascii="宋体" w:hAnsi="宋体"/>
                <w:b/>
                <w:color w:val="auto"/>
                <w:szCs w:val="21"/>
                <w:highlight w:val="none"/>
                <w:lang w:val="en-US" w:eastAsia="zh-CN"/>
              </w:rPr>
              <w:t>项目中标金额</w:t>
            </w:r>
            <w:r>
              <w:rPr>
                <w:rFonts w:hint="eastAsia" w:ascii="宋体" w:hAnsi="宋体"/>
                <w:b/>
                <w:color w:val="auto"/>
                <w:szCs w:val="21"/>
                <w:highlight w:val="none"/>
              </w:rPr>
              <w:t>为收费基数，按《招标代理服务收费管理暂行办法》（计价格[2002]1980号）的</w:t>
            </w:r>
            <w:r>
              <w:rPr>
                <w:rFonts w:hint="eastAsia" w:ascii="宋体" w:hAnsi="宋体"/>
                <w:b/>
                <w:color w:val="auto"/>
                <w:szCs w:val="21"/>
                <w:highlight w:val="none"/>
                <w:lang w:val="en-US" w:eastAsia="zh-CN"/>
              </w:rPr>
              <w:t>60</w:t>
            </w:r>
            <w:r>
              <w:rPr>
                <w:rFonts w:hint="eastAsia" w:ascii="宋体" w:hAnsi="宋体"/>
                <w:b/>
                <w:color w:val="auto"/>
                <w:szCs w:val="21"/>
                <w:highlight w:val="none"/>
              </w:rPr>
              <w:t>%收取,不足</w:t>
            </w:r>
            <w:r>
              <w:rPr>
                <w:rFonts w:hint="eastAsia" w:ascii="宋体" w:hAnsi="宋体"/>
                <w:b/>
                <w:color w:val="auto"/>
                <w:szCs w:val="21"/>
                <w:highlight w:val="none"/>
                <w:lang w:val="en-US" w:eastAsia="zh-CN"/>
              </w:rPr>
              <w:t>3000</w:t>
            </w:r>
            <w:r>
              <w:rPr>
                <w:rFonts w:hint="eastAsia" w:ascii="宋体" w:hAnsi="宋体"/>
                <w:b/>
                <w:color w:val="auto"/>
                <w:szCs w:val="21"/>
                <w:highlight w:val="none"/>
              </w:rPr>
              <w:t>元按</w:t>
            </w:r>
            <w:r>
              <w:rPr>
                <w:rFonts w:hint="eastAsia" w:ascii="宋体" w:hAnsi="宋体"/>
                <w:b/>
                <w:color w:val="auto"/>
                <w:szCs w:val="21"/>
                <w:highlight w:val="none"/>
                <w:lang w:val="en-US" w:eastAsia="zh-CN"/>
              </w:rPr>
              <w:t>3000</w:t>
            </w:r>
            <w:r>
              <w:rPr>
                <w:rFonts w:hint="eastAsia" w:ascii="宋体" w:hAnsi="宋体"/>
                <w:b/>
                <w:color w:val="auto"/>
                <w:szCs w:val="21"/>
                <w:highlight w:val="none"/>
              </w:rPr>
              <w:t>元计，由成交供应商在领取中标通知书时一次性支付给采购代理机构。</w:t>
            </w:r>
          </w:p>
        </w:tc>
      </w:tr>
      <w:tr w14:paraId="7894B5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7" w:type="dxa"/>
            <w:tcBorders>
              <w:top w:val="single" w:color="auto" w:sz="4" w:space="0"/>
              <w:left w:val="single" w:color="auto" w:sz="4" w:space="0"/>
              <w:bottom w:val="single" w:color="auto" w:sz="4" w:space="0"/>
              <w:right w:val="single" w:color="auto" w:sz="4" w:space="0"/>
            </w:tcBorders>
            <w:vAlign w:val="center"/>
          </w:tcPr>
          <w:p w14:paraId="37CAA49E">
            <w:pPr>
              <w:snapToGrid w:val="0"/>
              <w:spacing w:line="360" w:lineRule="auto"/>
              <w:ind w:right="42" w:rightChars="20"/>
              <w:jc w:val="center"/>
              <w:rPr>
                <w:rFonts w:cs="微软雅黑" w:asciiTheme="minorEastAsia" w:hAnsiTheme="minorEastAsia" w:eastAsiaTheme="minorEastAsia"/>
                <w:color w:val="auto"/>
                <w:szCs w:val="21"/>
                <w:highlight w:val="none"/>
              </w:rPr>
            </w:pPr>
            <w:r>
              <w:rPr>
                <w:rFonts w:hint="eastAsia" w:cs="微软雅黑" w:asciiTheme="minorEastAsia" w:hAnsiTheme="minorEastAsia" w:eastAsiaTheme="minorEastAsia"/>
                <w:color w:val="auto"/>
                <w:szCs w:val="21"/>
                <w:highlight w:val="none"/>
              </w:rPr>
              <w:t>19</w:t>
            </w:r>
          </w:p>
        </w:tc>
        <w:tc>
          <w:tcPr>
            <w:tcW w:w="8511" w:type="dxa"/>
            <w:tcBorders>
              <w:top w:val="single" w:color="auto" w:sz="4" w:space="0"/>
              <w:left w:val="single" w:color="auto" w:sz="4" w:space="0"/>
              <w:bottom w:val="single" w:color="auto" w:sz="4" w:space="0"/>
              <w:right w:val="single" w:color="auto" w:sz="4" w:space="0"/>
            </w:tcBorders>
            <w:vAlign w:val="center"/>
          </w:tcPr>
          <w:p w14:paraId="3AAF0709">
            <w:pPr>
              <w:autoSpaceDE w:val="0"/>
              <w:autoSpaceDN w:val="0"/>
              <w:snapToGrid w:val="0"/>
              <w:spacing w:line="360" w:lineRule="auto"/>
              <w:ind w:right="42" w:rightChars="20"/>
              <w:jc w:val="left"/>
              <w:textAlignment w:val="bottom"/>
              <w:rPr>
                <w:rFonts w:cs="微软雅黑" w:asciiTheme="minorEastAsia" w:hAnsiTheme="minorEastAsia" w:eastAsiaTheme="minorEastAsia"/>
                <w:color w:val="auto"/>
                <w:szCs w:val="21"/>
                <w:highlight w:val="none"/>
              </w:rPr>
            </w:pPr>
            <w:r>
              <w:rPr>
                <w:rFonts w:hint="eastAsia" w:cs="微软雅黑" w:asciiTheme="minorEastAsia" w:hAnsiTheme="minorEastAsia" w:eastAsiaTheme="minorEastAsia"/>
                <w:color w:val="auto"/>
                <w:szCs w:val="21"/>
                <w:highlight w:val="none"/>
              </w:rPr>
              <w:t>签订合同时间：中标通知书发出后30日内。</w:t>
            </w:r>
          </w:p>
        </w:tc>
      </w:tr>
      <w:tr w14:paraId="4F809F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 w:hRule="atLeast"/>
        </w:trPr>
        <w:tc>
          <w:tcPr>
            <w:tcW w:w="777" w:type="dxa"/>
            <w:tcBorders>
              <w:top w:val="single" w:color="auto" w:sz="4" w:space="0"/>
              <w:left w:val="single" w:color="auto" w:sz="4" w:space="0"/>
              <w:bottom w:val="single" w:color="auto" w:sz="4" w:space="0"/>
              <w:right w:val="single" w:color="auto" w:sz="4" w:space="0"/>
            </w:tcBorders>
            <w:vAlign w:val="center"/>
          </w:tcPr>
          <w:p w14:paraId="27AB3375">
            <w:pPr>
              <w:snapToGrid w:val="0"/>
              <w:spacing w:line="360" w:lineRule="auto"/>
              <w:ind w:right="42" w:rightChars="20"/>
              <w:jc w:val="center"/>
              <w:rPr>
                <w:rFonts w:cs="微软雅黑" w:asciiTheme="minorEastAsia" w:hAnsiTheme="minorEastAsia" w:eastAsiaTheme="minorEastAsia"/>
                <w:color w:val="auto"/>
                <w:szCs w:val="21"/>
                <w:highlight w:val="none"/>
              </w:rPr>
            </w:pPr>
            <w:r>
              <w:rPr>
                <w:rFonts w:hint="eastAsia" w:cs="微软雅黑" w:asciiTheme="minorEastAsia" w:hAnsiTheme="minorEastAsia" w:eastAsiaTheme="minorEastAsia"/>
                <w:color w:val="auto"/>
                <w:szCs w:val="21"/>
                <w:highlight w:val="none"/>
              </w:rPr>
              <w:t>20</w:t>
            </w:r>
          </w:p>
        </w:tc>
        <w:tc>
          <w:tcPr>
            <w:tcW w:w="8511" w:type="dxa"/>
            <w:tcBorders>
              <w:top w:val="single" w:color="auto" w:sz="4" w:space="0"/>
              <w:left w:val="single" w:color="auto" w:sz="4" w:space="0"/>
              <w:bottom w:val="single" w:color="auto" w:sz="4" w:space="0"/>
              <w:right w:val="single" w:color="auto" w:sz="4" w:space="0"/>
            </w:tcBorders>
            <w:vAlign w:val="center"/>
          </w:tcPr>
          <w:p w14:paraId="65B16E9B">
            <w:pPr>
              <w:autoSpaceDE w:val="0"/>
              <w:autoSpaceDN w:val="0"/>
              <w:snapToGrid w:val="0"/>
              <w:spacing w:line="360" w:lineRule="auto"/>
              <w:ind w:right="42" w:rightChars="20"/>
              <w:jc w:val="left"/>
              <w:textAlignment w:val="bottom"/>
              <w:rPr>
                <w:rFonts w:cs="微软雅黑"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履约保证金的收取及退还：无。</w:t>
            </w:r>
          </w:p>
        </w:tc>
      </w:tr>
      <w:tr w14:paraId="779A91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777" w:type="dxa"/>
            <w:tcBorders>
              <w:top w:val="single" w:color="auto" w:sz="4" w:space="0"/>
              <w:left w:val="single" w:color="auto" w:sz="4" w:space="0"/>
              <w:bottom w:val="single" w:color="auto" w:sz="4" w:space="0"/>
              <w:right w:val="single" w:color="auto" w:sz="4" w:space="0"/>
            </w:tcBorders>
            <w:vAlign w:val="center"/>
          </w:tcPr>
          <w:p w14:paraId="40B61B75">
            <w:pPr>
              <w:snapToGrid w:val="0"/>
              <w:spacing w:line="360" w:lineRule="auto"/>
              <w:ind w:right="42" w:rightChars="20"/>
              <w:jc w:val="center"/>
              <w:rPr>
                <w:rFonts w:cs="微软雅黑" w:asciiTheme="minorEastAsia" w:hAnsiTheme="minorEastAsia" w:eastAsiaTheme="minorEastAsia"/>
                <w:color w:val="auto"/>
                <w:szCs w:val="21"/>
                <w:highlight w:val="none"/>
              </w:rPr>
            </w:pPr>
            <w:r>
              <w:rPr>
                <w:rFonts w:hint="eastAsia" w:cs="微软雅黑" w:asciiTheme="minorEastAsia" w:hAnsiTheme="minorEastAsia" w:eastAsiaTheme="minorEastAsia"/>
                <w:color w:val="auto"/>
                <w:szCs w:val="21"/>
                <w:highlight w:val="none"/>
              </w:rPr>
              <w:t>21</w:t>
            </w:r>
          </w:p>
        </w:tc>
        <w:tc>
          <w:tcPr>
            <w:tcW w:w="8511" w:type="dxa"/>
            <w:tcBorders>
              <w:top w:val="single" w:color="auto" w:sz="4" w:space="0"/>
              <w:left w:val="single" w:color="auto" w:sz="4" w:space="0"/>
              <w:bottom w:val="single" w:color="auto" w:sz="4" w:space="0"/>
              <w:right w:val="single" w:color="auto" w:sz="4" w:space="0"/>
            </w:tcBorders>
            <w:vAlign w:val="center"/>
          </w:tcPr>
          <w:p w14:paraId="42AFF388">
            <w:pPr>
              <w:snapToGrid w:val="0"/>
              <w:spacing w:line="360" w:lineRule="auto"/>
              <w:ind w:right="42" w:rightChars="20"/>
              <w:jc w:val="left"/>
              <w:rPr>
                <w:rFonts w:cs="微软雅黑" w:asciiTheme="minorEastAsia" w:hAnsiTheme="minorEastAsia" w:eastAsiaTheme="minorEastAsia"/>
                <w:color w:val="auto"/>
                <w:szCs w:val="21"/>
                <w:highlight w:val="none"/>
              </w:rPr>
            </w:pPr>
            <w:r>
              <w:rPr>
                <w:rFonts w:hint="eastAsia" w:cs="微软雅黑" w:asciiTheme="minorEastAsia" w:hAnsiTheme="minorEastAsia" w:eastAsiaTheme="minorEastAsia"/>
                <w:color w:val="auto"/>
                <w:szCs w:val="21"/>
                <w:highlight w:val="none"/>
              </w:rPr>
              <w:t>投标文件有效期：</w:t>
            </w:r>
            <w:r>
              <w:rPr>
                <w:rFonts w:hint="eastAsia" w:cs="微软雅黑" w:asciiTheme="minorEastAsia" w:hAnsiTheme="minorEastAsia" w:eastAsiaTheme="minorEastAsia"/>
                <w:color w:val="auto"/>
                <w:szCs w:val="21"/>
                <w:highlight w:val="none"/>
                <w:u w:val="single"/>
              </w:rPr>
              <w:t>60</w:t>
            </w:r>
            <w:r>
              <w:rPr>
                <w:rFonts w:hint="eastAsia" w:cs="微软雅黑" w:asciiTheme="minorEastAsia" w:hAnsiTheme="minorEastAsia" w:eastAsiaTheme="minorEastAsia"/>
                <w:color w:val="auto"/>
                <w:szCs w:val="21"/>
                <w:highlight w:val="none"/>
              </w:rPr>
              <w:t>天</w:t>
            </w:r>
          </w:p>
        </w:tc>
      </w:tr>
      <w:tr w14:paraId="0DE434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777" w:type="dxa"/>
            <w:tcBorders>
              <w:top w:val="single" w:color="auto" w:sz="4" w:space="0"/>
              <w:left w:val="single" w:color="auto" w:sz="4" w:space="0"/>
              <w:bottom w:val="single" w:color="auto" w:sz="4" w:space="0"/>
              <w:right w:val="single" w:color="auto" w:sz="4" w:space="0"/>
            </w:tcBorders>
            <w:vAlign w:val="center"/>
          </w:tcPr>
          <w:p w14:paraId="123699E8">
            <w:pPr>
              <w:snapToGrid w:val="0"/>
              <w:spacing w:line="360" w:lineRule="auto"/>
              <w:ind w:right="42" w:rightChars="20"/>
              <w:jc w:val="center"/>
              <w:rPr>
                <w:rFonts w:cs="微软雅黑" w:asciiTheme="minorEastAsia" w:hAnsiTheme="minorEastAsia" w:eastAsiaTheme="minorEastAsia"/>
                <w:color w:val="auto"/>
                <w:szCs w:val="21"/>
                <w:highlight w:val="none"/>
              </w:rPr>
            </w:pPr>
            <w:r>
              <w:rPr>
                <w:rFonts w:hint="eastAsia" w:cs="微软雅黑" w:asciiTheme="minorEastAsia" w:hAnsiTheme="minorEastAsia" w:eastAsiaTheme="minorEastAsia"/>
                <w:color w:val="auto"/>
                <w:szCs w:val="21"/>
                <w:highlight w:val="none"/>
              </w:rPr>
              <w:t>22</w:t>
            </w:r>
          </w:p>
        </w:tc>
        <w:tc>
          <w:tcPr>
            <w:tcW w:w="8511" w:type="dxa"/>
            <w:tcBorders>
              <w:top w:val="single" w:color="auto" w:sz="4" w:space="0"/>
              <w:left w:val="single" w:color="auto" w:sz="4" w:space="0"/>
              <w:bottom w:val="single" w:color="auto" w:sz="4" w:space="0"/>
              <w:right w:val="single" w:color="auto" w:sz="4" w:space="0"/>
            </w:tcBorders>
            <w:vAlign w:val="center"/>
          </w:tcPr>
          <w:p w14:paraId="48603818">
            <w:pPr>
              <w:spacing w:line="360" w:lineRule="auto"/>
              <w:ind w:right="42" w:rightChars="20"/>
              <w:jc w:val="left"/>
              <w:rPr>
                <w:rFonts w:cs="微软雅黑" w:asciiTheme="minorEastAsia" w:hAnsiTheme="minorEastAsia" w:eastAsiaTheme="minorEastAsia"/>
                <w:color w:val="auto"/>
                <w:szCs w:val="21"/>
                <w:highlight w:val="none"/>
              </w:rPr>
            </w:pPr>
            <w:r>
              <w:rPr>
                <w:rFonts w:hint="eastAsia" w:cs="微软雅黑" w:asciiTheme="minorEastAsia" w:hAnsiTheme="minorEastAsia" w:eastAsiaTheme="minorEastAsia"/>
                <w:color w:val="auto"/>
                <w:kern w:val="0"/>
                <w:szCs w:val="21"/>
                <w:highlight w:val="none"/>
              </w:rPr>
              <w:t>网上注册：</w:t>
            </w:r>
            <w:r>
              <w:rPr>
                <w:rFonts w:hint="eastAsia" w:cs="微软雅黑" w:asciiTheme="minorEastAsia" w:hAnsiTheme="minorEastAsia" w:eastAsiaTheme="minorEastAsia"/>
                <w:color w:val="auto"/>
                <w:kern w:val="0"/>
                <w:szCs w:val="21"/>
                <w:highlight w:val="none"/>
              </w:rPr>
              <w:br w:type="textWrapping"/>
            </w:r>
            <w:r>
              <w:rPr>
                <w:rFonts w:hint="eastAsia" w:cs="微软雅黑" w:asciiTheme="minorEastAsia" w:hAnsiTheme="minorEastAsia" w:eastAsiaTheme="minorEastAsia"/>
                <w:color w:val="auto"/>
                <w:kern w:val="0"/>
                <w:szCs w:val="21"/>
                <w:highlight w:val="none"/>
              </w:rPr>
              <w:t>本项目不接受现场报名，须注册后进行网上报名。在浙江政府采购网进行投标人注册后完成报名；（详情请见第一章公告报名及招标文件的获取）</w:t>
            </w:r>
          </w:p>
        </w:tc>
      </w:tr>
      <w:tr w14:paraId="5C5887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777" w:type="dxa"/>
            <w:tcBorders>
              <w:top w:val="single" w:color="auto" w:sz="4" w:space="0"/>
              <w:left w:val="single" w:color="auto" w:sz="4" w:space="0"/>
              <w:bottom w:val="single" w:color="auto" w:sz="4" w:space="0"/>
              <w:right w:val="single" w:color="auto" w:sz="4" w:space="0"/>
            </w:tcBorders>
            <w:vAlign w:val="center"/>
          </w:tcPr>
          <w:p w14:paraId="2016F297">
            <w:pPr>
              <w:snapToGrid w:val="0"/>
              <w:spacing w:line="360" w:lineRule="auto"/>
              <w:ind w:right="42" w:rightChars="20"/>
              <w:jc w:val="center"/>
              <w:rPr>
                <w:rFonts w:cs="微软雅黑" w:asciiTheme="minorEastAsia" w:hAnsiTheme="minorEastAsia" w:eastAsiaTheme="minorEastAsia"/>
                <w:color w:val="auto"/>
                <w:szCs w:val="21"/>
                <w:highlight w:val="none"/>
              </w:rPr>
            </w:pPr>
            <w:r>
              <w:rPr>
                <w:rFonts w:hint="eastAsia" w:cs="微软雅黑" w:asciiTheme="minorEastAsia" w:hAnsiTheme="minorEastAsia" w:eastAsiaTheme="minorEastAsia"/>
                <w:color w:val="auto"/>
                <w:szCs w:val="21"/>
                <w:highlight w:val="none"/>
              </w:rPr>
              <w:t>23</w:t>
            </w:r>
          </w:p>
        </w:tc>
        <w:tc>
          <w:tcPr>
            <w:tcW w:w="8511" w:type="dxa"/>
            <w:tcBorders>
              <w:top w:val="single" w:color="auto" w:sz="4" w:space="0"/>
              <w:left w:val="single" w:color="auto" w:sz="4" w:space="0"/>
              <w:bottom w:val="single" w:color="auto" w:sz="4" w:space="0"/>
              <w:right w:val="single" w:color="auto" w:sz="4" w:space="0"/>
            </w:tcBorders>
            <w:vAlign w:val="center"/>
          </w:tcPr>
          <w:p w14:paraId="25FE4C48">
            <w:pPr>
              <w:autoSpaceDE w:val="0"/>
              <w:autoSpaceDN w:val="0"/>
              <w:snapToGrid w:val="0"/>
              <w:spacing w:line="360" w:lineRule="auto"/>
              <w:ind w:right="42" w:rightChars="20"/>
              <w:textAlignment w:val="bottom"/>
              <w:rPr>
                <w:rFonts w:cs="微软雅黑" w:asciiTheme="minorEastAsia" w:hAnsiTheme="minorEastAsia" w:eastAsiaTheme="minorEastAsia"/>
                <w:color w:val="auto"/>
                <w:kern w:val="0"/>
                <w:szCs w:val="21"/>
                <w:highlight w:val="none"/>
              </w:rPr>
            </w:pPr>
            <w:r>
              <w:rPr>
                <w:rFonts w:hint="eastAsia" w:cs="微软雅黑" w:asciiTheme="minorEastAsia" w:hAnsiTheme="minorEastAsia" w:eastAsiaTheme="minorEastAsia"/>
                <w:color w:val="auto"/>
                <w:kern w:val="0"/>
                <w:szCs w:val="21"/>
                <w:highlight w:val="none"/>
              </w:rPr>
              <w:t>信用记录：符合浙财采监【2013】24号《关于规范政府采购投标人资格设定及资格审查的通知》规定,且未被“信用中国”（www.creditchina.gov.cn）和中国政府采购网（www.ccgp.gov.cn）列入失信被执行人、重大税收违法案件当事人名单、政府采购严重违法失信行为记录名单。提供承诺（详见附件）。</w:t>
            </w:r>
          </w:p>
        </w:tc>
      </w:tr>
      <w:tr w14:paraId="1DAAEA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777" w:type="dxa"/>
            <w:tcBorders>
              <w:top w:val="single" w:color="auto" w:sz="4" w:space="0"/>
              <w:left w:val="single" w:color="auto" w:sz="4" w:space="0"/>
              <w:bottom w:val="single" w:color="auto" w:sz="4" w:space="0"/>
              <w:right w:val="single" w:color="auto" w:sz="4" w:space="0"/>
            </w:tcBorders>
            <w:vAlign w:val="center"/>
          </w:tcPr>
          <w:p w14:paraId="086D8A70">
            <w:pPr>
              <w:snapToGrid w:val="0"/>
              <w:spacing w:line="360" w:lineRule="auto"/>
              <w:ind w:right="42" w:rightChars="20"/>
              <w:jc w:val="center"/>
              <w:rPr>
                <w:rFonts w:cs="微软雅黑" w:asciiTheme="minorEastAsia" w:hAnsiTheme="minorEastAsia" w:eastAsiaTheme="minorEastAsia"/>
                <w:color w:val="auto"/>
                <w:szCs w:val="21"/>
                <w:highlight w:val="none"/>
              </w:rPr>
            </w:pPr>
            <w:r>
              <w:rPr>
                <w:rFonts w:hint="eastAsia" w:cs="微软雅黑" w:asciiTheme="minorEastAsia" w:hAnsiTheme="minorEastAsia" w:eastAsiaTheme="minorEastAsia"/>
                <w:color w:val="auto"/>
                <w:szCs w:val="21"/>
                <w:highlight w:val="none"/>
              </w:rPr>
              <w:t>24</w:t>
            </w:r>
          </w:p>
        </w:tc>
        <w:tc>
          <w:tcPr>
            <w:tcW w:w="8511" w:type="dxa"/>
            <w:tcBorders>
              <w:top w:val="single" w:color="auto" w:sz="4" w:space="0"/>
              <w:left w:val="single" w:color="auto" w:sz="4" w:space="0"/>
              <w:bottom w:val="single" w:color="auto" w:sz="4" w:space="0"/>
              <w:right w:val="single" w:color="auto" w:sz="4" w:space="0"/>
            </w:tcBorders>
            <w:vAlign w:val="center"/>
          </w:tcPr>
          <w:p w14:paraId="49AD673E">
            <w:pPr>
              <w:spacing w:line="500" w:lineRule="exact"/>
              <w:rPr>
                <w:rFonts w:hint="eastAsia" w:cs="微软雅黑" w:asciiTheme="minorEastAsia" w:hAnsiTheme="minorEastAsia" w:eastAsiaTheme="minorEastAsia"/>
                <w:b/>
                <w:bCs/>
                <w:color w:val="auto"/>
                <w:kern w:val="0"/>
                <w:szCs w:val="21"/>
                <w:highlight w:val="none"/>
                <w:u w:val="single"/>
                <w:lang w:val="en-US" w:eastAsia="zh-CN"/>
              </w:rPr>
            </w:pPr>
            <w:r>
              <w:rPr>
                <w:rFonts w:hint="eastAsia" w:cs="微软雅黑" w:asciiTheme="minorEastAsia" w:hAnsiTheme="minorEastAsia" w:eastAsiaTheme="minorEastAsia"/>
                <w:b/>
                <w:bCs/>
                <w:color w:val="auto"/>
                <w:kern w:val="0"/>
                <w:szCs w:val="21"/>
                <w:highlight w:val="none"/>
                <w:u w:val="single"/>
              </w:rPr>
              <w:t>本项目为</w:t>
            </w:r>
            <w:r>
              <w:rPr>
                <w:rFonts w:hint="eastAsia" w:cs="微软雅黑" w:asciiTheme="minorEastAsia" w:hAnsiTheme="minorEastAsia" w:eastAsiaTheme="minorEastAsia"/>
                <w:b/>
                <w:bCs/>
                <w:color w:val="auto"/>
                <w:kern w:val="0"/>
                <w:szCs w:val="21"/>
                <w:highlight w:val="none"/>
                <w:u w:val="single"/>
                <w:lang w:val="en-US" w:eastAsia="zh-CN"/>
              </w:rPr>
              <w:t>服务</w:t>
            </w:r>
            <w:r>
              <w:rPr>
                <w:rFonts w:hint="eastAsia" w:cs="微软雅黑" w:asciiTheme="minorEastAsia" w:hAnsiTheme="minorEastAsia" w:eastAsiaTheme="minorEastAsia"/>
                <w:b/>
                <w:bCs/>
                <w:color w:val="auto"/>
                <w:kern w:val="0"/>
                <w:szCs w:val="21"/>
                <w:highlight w:val="none"/>
                <w:u w:val="single"/>
              </w:rPr>
              <w:t>类采购，所属行业为</w:t>
            </w:r>
            <w:r>
              <w:rPr>
                <w:rFonts w:hint="eastAsia" w:cs="微软雅黑" w:asciiTheme="minorEastAsia" w:hAnsiTheme="minorEastAsia" w:eastAsiaTheme="minorEastAsia"/>
                <w:b/>
                <w:bCs/>
                <w:color w:val="auto"/>
                <w:kern w:val="0"/>
                <w:szCs w:val="21"/>
                <w:highlight w:val="none"/>
                <w:u w:val="single"/>
                <w:lang w:val="en-US" w:eastAsia="zh-CN"/>
              </w:rPr>
              <w:t>农、林、牧、渔业</w:t>
            </w:r>
          </w:p>
          <w:p w14:paraId="68A7CF95">
            <w:pPr>
              <w:spacing w:line="500" w:lineRule="exact"/>
              <w:rPr>
                <w:color w:val="auto"/>
                <w:highlight w:val="none"/>
              </w:rPr>
            </w:pPr>
            <w:r>
              <w:rPr>
                <w:rFonts w:hint="eastAsia"/>
                <w:color w:val="auto"/>
                <w:highlight w:val="none"/>
              </w:rPr>
              <w:t>一、说明</w:t>
            </w:r>
          </w:p>
          <w:p w14:paraId="4A664030">
            <w:pPr>
              <w:spacing w:line="500" w:lineRule="exact"/>
              <w:rPr>
                <w:color w:val="auto"/>
                <w:highlight w:val="none"/>
              </w:rPr>
            </w:pPr>
            <w:r>
              <w:rPr>
                <w:rFonts w:hint="eastAsia"/>
                <w:color w:val="auto"/>
                <w:highlight w:val="none"/>
              </w:rPr>
              <w:t>中小企业</w:t>
            </w:r>
          </w:p>
          <w:p w14:paraId="181AF976">
            <w:pPr>
              <w:spacing w:line="500" w:lineRule="exact"/>
              <w:rPr>
                <w:color w:val="auto"/>
                <w:highlight w:val="none"/>
              </w:rPr>
            </w:pPr>
            <w:r>
              <w:rPr>
                <w:rFonts w:hint="eastAsia"/>
                <w:color w:val="auto"/>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2BD26F40">
            <w:pPr>
              <w:spacing w:line="500" w:lineRule="exact"/>
              <w:rPr>
                <w:color w:val="auto"/>
                <w:highlight w:val="none"/>
              </w:rPr>
            </w:pPr>
            <w:r>
              <w:rPr>
                <w:rFonts w:hint="eastAsia"/>
                <w:color w:val="auto"/>
                <w:highlight w:val="none"/>
              </w:rPr>
              <w:t>符合中小企业划分标准的个体工商户，在政府采购活动中视同中小企业。</w:t>
            </w:r>
          </w:p>
          <w:p w14:paraId="06B47B75">
            <w:pPr>
              <w:spacing w:line="500" w:lineRule="exact"/>
              <w:rPr>
                <w:color w:val="auto"/>
                <w:highlight w:val="none"/>
              </w:rPr>
            </w:pPr>
            <w:r>
              <w:rPr>
                <w:rFonts w:hint="eastAsia"/>
                <w:color w:val="auto"/>
                <w:highlight w:val="none"/>
              </w:rPr>
              <w:t>在政府采购活动中，供应商提供的货物、工程或者服务符合下列情形的，享受本办法规定的中小企业扶持政策：</w:t>
            </w:r>
          </w:p>
          <w:p w14:paraId="7B4AEAE1">
            <w:pPr>
              <w:spacing w:line="500" w:lineRule="exact"/>
              <w:rPr>
                <w:color w:val="auto"/>
                <w:highlight w:val="none"/>
              </w:rPr>
            </w:pPr>
            <w:r>
              <w:rPr>
                <w:rFonts w:hint="eastAsia"/>
                <w:color w:val="auto"/>
                <w:highlight w:val="none"/>
              </w:rPr>
              <w:t>(一)在货物采购项目中，货物由中小企业制造，即货物由中小企业生产且使用该中小企业商号或者注册商标；</w:t>
            </w:r>
          </w:p>
          <w:p w14:paraId="00A8EE5E">
            <w:pPr>
              <w:spacing w:line="500" w:lineRule="exact"/>
              <w:rPr>
                <w:color w:val="auto"/>
                <w:highlight w:val="none"/>
              </w:rPr>
            </w:pPr>
            <w:r>
              <w:rPr>
                <w:rFonts w:hint="eastAsia"/>
                <w:color w:val="auto"/>
                <w:highlight w:val="none"/>
              </w:rPr>
              <w:t>(二)在工程采购项目中，工程由中小企业承建，即工程施工单位为中小企业；</w:t>
            </w:r>
          </w:p>
          <w:p w14:paraId="2A024ABF">
            <w:pPr>
              <w:spacing w:line="500" w:lineRule="exact"/>
              <w:rPr>
                <w:color w:val="auto"/>
                <w:highlight w:val="none"/>
              </w:rPr>
            </w:pPr>
            <w:r>
              <w:rPr>
                <w:rFonts w:hint="eastAsia"/>
                <w:color w:val="auto"/>
                <w:highlight w:val="none"/>
              </w:rPr>
              <w:t>(三)在服务采购项目中，服务由中小企业承接，即提供服务的人员为中小企业依照《中华人民共和国民法典》订立劳动合同的从业人员。</w:t>
            </w:r>
          </w:p>
          <w:p w14:paraId="3561661F">
            <w:pPr>
              <w:spacing w:line="500" w:lineRule="exact"/>
              <w:rPr>
                <w:color w:val="auto"/>
                <w:highlight w:val="none"/>
              </w:rPr>
            </w:pPr>
            <w:r>
              <w:rPr>
                <w:rFonts w:hint="eastAsia"/>
                <w:color w:val="auto"/>
                <w:highlight w:val="none"/>
              </w:rPr>
              <w:t>在货物采购项目中，供应商提供的货物既有中小企业制造货物，也有大型企业制造货物的，不享受本办法规定的中小企业扶持政策。</w:t>
            </w:r>
          </w:p>
          <w:p w14:paraId="4E05AB64">
            <w:pPr>
              <w:spacing w:line="500" w:lineRule="exact"/>
              <w:rPr>
                <w:color w:val="auto"/>
                <w:highlight w:val="none"/>
              </w:rPr>
            </w:pPr>
            <w:r>
              <w:rPr>
                <w:rFonts w:hint="eastAsia"/>
                <w:color w:val="auto"/>
                <w:highlight w:val="none"/>
              </w:rPr>
              <w:t>以联合体形式参加政府采购活动，联合体各方均为中小企业的，联合体视同中小企业。其中，联合体各方均为小微企业的，联合体视同小微企业。</w:t>
            </w:r>
          </w:p>
          <w:p w14:paraId="4419FDF9">
            <w:pPr>
              <w:spacing w:line="500" w:lineRule="exact"/>
              <w:rPr>
                <w:color w:val="auto"/>
                <w:highlight w:val="none"/>
              </w:rPr>
            </w:pPr>
            <w:r>
              <w:rPr>
                <w:rFonts w:hint="eastAsia"/>
                <w:color w:val="auto"/>
                <w:highlight w:val="none"/>
              </w:rPr>
              <w:t>残疾人福利性单位</w:t>
            </w:r>
          </w:p>
          <w:p w14:paraId="6515A44D">
            <w:pPr>
              <w:spacing w:line="500" w:lineRule="exact"/>
              <w:rPr>
                <w:color w:val="auto"/>
                <w:highlight w:val="none"/>
              </w:rPr>
            </w:pPr>
            <w:r>
              <w:rPr>
                <w:rFonts w:hint="eastAsia"/>
                <w:color w:val="auto"/>
                <w:highlight w:val="none"/>
              </w:rPr>
              <w:t>符合《关于促进残疾人就业政府采购政策的通知》（财库〔2017〕141号）规定的条件并提供提供《残疾人福利性单位声明函》的残疾人福利性单位视同小型、微型企业，享受预留份额、评审中价格扣除等政府采购促进中小企业发展的政府采购政策。</w:t>
            </w:r>
          </w:p>
          <w:p w14:paraId="33375C4B">
            <w:pPr>
              <w:spacing w:line="500" w:lineRule="exact"/>
              <w:rPr>
                <w:color w:val="auto"/>
                <w:highlight w:val="none"/>
              </w:rPr>
            </w:pPr>
            <w:r>
              <w:rPr>
                <w:rFonts w:hint="eastAsia"/>
                <w:color w:val="auto"/>
                <w:highlight w:val="none"/>
              </w:rPr>
              <w:t>监狱企业</w:t>
            </w:r>
          </w:p>
          <w:p w14:paraId="40DE1DDD">
            <w:pPr>
              <w:adjustRightInd w:val="0"/>
              <w:snapToGrid w:val="0"/>
              <w:spacing w:line="360" w:lineRule="auto"/>
              <w:ind w:firstLine="210" w:firstLineChars="100"/>
              <w:rPr>
                <w:color w:val="auto"/>
                <w:highlight w:val="none"/>
              </w:rPr>
            </w:pPr>
            <w:r>
              <w:rPr>
                <w:rFonts w:hint="eastAsia"/>
                <w:color w:val="auto"/>
                <w:highlight w:val="none"/>
              </w:rPr>
              <w:t>根据《关于政府采购支持监狱企业发展有关问题的通知》（财库[2014]68号）的规定，投标人提供由省级以上监狱管理局、戒毒管理局（含新疆生产建设兵团）出具的属于监狱企业证明文件的，视同为小型和微型企业，享受预留份额、评审中价格扣除等政府采购促进中小企业发展的政府采购政策。</w:t>
            </w:r>
          </w:p>
        </w:tc>
      </w:tr>
      <w:tr w14:paraId="38F9C7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777" w:type="dxa"/>
            <w:tcBorders>
              <w:top w:val="single" w:color="auto" w:sz="4" w:space="0"/>
              <w:left w:val="single" w:color="auto" w:sz="4" w:space="0"/>
              <w:bottom w:val="single" w:color="auto" w:sz="4" w:space="0"/>
              <w:right w:val="single" w:color="auto" w:sz="4" w:space="0"/>
            </w:tcBorders>
            <w:vAlign w:val="center"/>
          </w:tcPr>
          <w:p w14:paraId="7D1AF151">
            <w:pPr>
              <w:snapToGrid w:val="0"/>
              <w:spacing w:line="360" w:lineRule="auto"/>
              <w:ind w:right="42" w:rightChars="20"/>
              <w:jc w:val="center"/>
              <w:rPr>
                <w:rFonts w:hint="default" w:cs="微软雅黑" w:asciiTheme="minorEastAsia" w:hAnsiTheme="minorEastAsia" w:eastAsiaTheme="minorEastAsia"/>
                <w:color w:val="auto"/>
                <w:szCs w:val="21"/>
                <w:highlight w:val="none"/>
                <w:lang w:val="en-US" w:eastAsia="zh-CN"/>
              </w:rPr>
            </w:pPr>
            <w:bookmarkStart w:id="20" w:name="_Toc177870536"/>
            <w:bookmarkStart w:id="21" w:name="_Toc493511580"/>
            <w:bookmarkStart w:id="22" w:name="_Toc50012817"/>
            <w:r>
              <w:rPr>
                <w:rFonts w:hint="eastAsia" w:cs="微软雅黑" w:asciiTheme="minorEastAsia" w:hAnsiTheme="minorEastAsia" w:eastAsiaTheme="minorEastAsia"/>
                <w:color w:val="auto"/>
                <w:szCs w:val="21"/>
                <w:highlight w:val="none"/>
                <w:lang w:val="en-US" w:eastAsia="zh-CN"/>
              </w:rPr>
              <w:t>25</w:t>
            </w:r>
          </w:p>
        </w:tc>
        <w:tc>
          <w:tcPr>
            <w:tcW w:w="8511" w:type="dxa"/>
            <w:tcBorders>
              <w:top w:val="single" w:color="auto" w:sz="4" w:space="0"/>
              <w:left w:val="single" w:color="auto" w:sz="4" w:space="0"/>
              <w:bottom w:val="single" w:color="auto" w:sz="4" w:space="0"/>
              <w:right w:val="single" w:color="auto" w:sz="4" w:space="0"/>
            </w:tcBorders>
            <w:vAlign w:val="center"/>
          </w:tcPr>
          <w:p w14:paraId="182CDAE5">
            <w:pPr>
              <w:adjustRightInd w:val="0"/>
              <w:snapToGrid w:val="0"/>
              <w:spacing w:line="360" w:lineRule="auto"/>
              <w:ind w:firstLine="210" w:firstLineChars="100"/>
              <w:rPr>
                <w:rFonts w:hint="eastAsia" w:eastAsia="宋体"/>
                <w:color w:val="auto"/>
                <w:highlight w:val="none"/>
              </w:rPr>
            </w:pPr>
            <w:r>
              <w:rPr>
                <w:rFonts w:hint="eastAsia" w:eastAsia="宋体"/>
                <w:color w:val="auto"/>
                <w:highlight w:val="none"/>
              </w:rPr>
              <w:t>解释：本招标文件的解释权属于招标采购单位。</w:t>
            </w:r>
          </w:p>
        </w:tc>
      </w:tr>
    </w:tbl>
    <w:p w14:paraId="0B568211">
      <w:pPr>
        <w:snapToGrid w:val="0"/>
        <w:spacing w:line="360" w:lineRule="auto"/>
        <w:ind w:right="42" w:rightChars="20" w:firstLine="422" w:firstLineChars="200"/>
        <w:jc w:val="left"/>
        <w:outlineLvl w:val="1"/>
        <w:rPr>
          <w:rFonts w:asciiTheme="minorEastAsia" w:hAnsiTheme="minorEastAsia" w:eastAsiaTheme="minorEastAsia"/>
          <w:b/>
          <w:color w:val="auto"/>
          <w:szCs w:val="21"/>
          <w:highlight w:val="none"/>
        </w:rPr>
      </w:pPr>
    </w:p>
    <w:p w14:paraId="5E6ACC6F">
      <w:pPr>
        <w:snapToGrid w:val="0"/>
        <w:spacing w:line="360" w:lineRule="auto"/>
        <w:ind w:right="42" w:rightChars="20" w:firstLine="422" w:firstLineChars="200"/>
        <w:jc w:val="left"/>
        <w:outlineLvl w:val="1"/>
        <w:rPr>
          <w:rFonts w:asciiTheme="minorEastAsia" w:hAnsiTheme="minorEastAsia" w:eastAsiaTheme="minorEastAsia"/>
          <w:b/>
          <w:color w:val="auto"/>
          <w:szCs w:val="21"/>
          <w:highlight w:val="none"/>
        </w:rPr>
      </w:pPr>
      <w:bookmarkStart w:id="23" w:name="_Toc2096"/>
      <w:r>
        <w:rPr>
          <w:rFonts w:hint="eastAsia" w:asciiTheme="minorEastAsia" w:hAnsiTheme="minorEastAsia" w:eastAsiaTheme="minorEastAsia"/>
          <w:b/>
          <w:color w:val="auto"/>
          <w:szCs w:val="21"/>
          <w:highlight w:val="none"/>
        </w:rPr>
        <w:t>一、总  则</w:t>
      </w:r>
      <w:bookmarkEnd w:id="20"/>
      <w:bookmarkEnd w:id="21"/>
      <w:bookmarkEnd w:id="22"/>
      <w:bookmarkEnd w:id="23"/>
    </w:p>
    <w:p w14:paraId="39F09A50">
      <w:pPr>
        <w:snapToGrid w:val="0"/>
        <w:spacing w:line="360" w:lineRule="auto"/>
        <w:ind w:right="42" w:rightChars="20" w:firstLine="420" w:firstLineChars="200"/>
        <w:jc w:val="left"/>
        <w:outlineLvl w:val="1"/>
        <w:rPr>
          <w:rFonts w:asciiTheme="minorEastAsia" w:hAnsiTheme="minorEastAsia" w:eastAsiaTheme="minorEastAsia"/>
          <w:color w:val="auto"/>
          <w:szCs w:val="21"/>
          <w:highlight w:val="none"/>
        </w:rPr>
      </w:pPr>
      <w:bookmarkStart w:id="24" w:name="_Toc493511581"/>
      <w:bookmarkStart w:id="25" w:name="_Toc177825120"/>
      <w:bookmarkStart w:id="26" w:name="_Toc177824939"/>
      <w:bookmarkStart w:id="27" w:name="_Toc177824872"/>
      <w:bookmarkStart w:id="28" w:name="_Toc177870537"/>
      <w:bookmarkStart w:id="29" w:name="_Toc8394"/>
      <w:bookmarkStart w:id="30" w:name="_Toc427915759"/>
      <w:bookmarkStart w:id="31" w:name="_Toc50012818"/>
      <w:r>
        <w:rPr>
          <w:rFonts w:hint="eastAsia" w:asciiTheme="minorEastAsia" w:hAnsiTheme="minorEastAsia" w:eastAsiaTheme="minorEastAsia"/>
          <w:color w:val="auto"/>
          <w:szCs w:val="21"/>
          <w:highlight w:val="none"/>
        </w:rPr>
        <w:t>1、 适用范围</w:t>
      </w:r>
      <w:bookmarkEnd w:id="24"/>
      <w:bookmarkEnd w:id="25"/>
      <w:bookmarkEnd w:id="26"/>
      <w:bookmarkEnd w:id="27"/>
      <w:bookmarkEnd w:id="28"/>
      <w:bookmarkEnd w:id="29"/>
      <w:bookmarkEnd w:id="30"/>
      <w:bookmarkEnd w:id="31"/>
    </w:p>
    <w:p w14:paraId="16D7420B">
      <w:pPr>
        <w:snapToGrid w:val="0"/>
        <w:spacing w:line="360" w:lineRule="auto"/>
        <w:ind w:right="42" w:rightChars="20" w:firstLine="420" w:firstLineChars="200"/>
        <w:jc w:val="left"/>
        <w:outlineLvl w:val="1"/>
        <w:rPr>
          <w:rFonts w:asciiTheme="minorEastAsia" w:hAnsiTheme="minorEastAsia" w:eastAsiaTheme="minorEastAsia"/>
          <w:color w:val="auto"/>
          <w:szCs w:val="21"/>
          <w:highlight w:val="none"/>
        </w:rPr>
      </w:pPr>
      <w:bookmarkStart w:id="32" w:name="_Toc50012819"/>
      <w:bookmarkStart w:id="33" w:name="_Toc30106"/>
      <w:bookmarkStart w:id="34" w:name="_Toc493511582"/>
      <w:r>
        <w:rPr>
          <w:rFonts w:hint="eastAsia" w:asciiTheme="minorEastAsia" w:hAnsiTheme="minorEastAsia" w:eastAsiaTheme="minorEastAsia"/>
          <w:color w:val="auto"/>
          <w:szCs w:val="21"/>
          <w:highlight w:val="none"/>
        </w:rPr>
        <w:t>1.1、本招标文件适用于本次所述项目的招标。</w:t>
      </w:r>
      <w:bookmarkEnd w:id="32"/>
      <w:bookmarkEnd w:id="33"/>
      <w:bookmarkEnd w:id="34"/>
      <w:bookmarkStart w:id="35" w:name="_Toc427915760"/>
      <w:bookmarkStart w:id="36" w:name="_Toc177825121"/>
      <w:bookmarkStart w:id="37" w:name="_Toc177824873"/>
      <w:bookmarkStart w:id="38" w:name="_Toc177870538"/>
      <w:bookmarkStart w:id="39" w:name="_Toc177824940"/>
    </w:p>
    <w:p w14:paraId="73F6D3CA">
      <w:pPr>
        <w:snapToGrid w:val="0"/>
        <w:spacing w:line="360" w:lineRule="auto"/>
        <w:ind w:right="42" w:rightChars="20" w:firstLine="420" w:firstLineChars="200"/>
        <w:jc w:val="left"/>
        <w:outlineLvl w:val="1"/>
        <w:rPr>
          <w:rFonts w:asciiTheme="minorEastAsia" w:hAnsiTheme="minorEastAsia" w:eastAsiaTheme="minorEastAsia"/>
          <w:color w:val="auto"/>
          <w:szCs w:val="21"/>
          <w:highlight w:val="none"/>
        </w:rPr>
      </w:pPr>
      <w:bookmarkStart w:id="40" w:name="_Toc50012820"/>
      <w:bookmarkStart w:id="41" w:name="_Toc29052"/>
      <w:bookmarkStart w:id="42" w:name="_Toc493511583"/>
      <w:r>
        <w:rPr>
          <w:rFonts w:hint="eastAsia" w:asciiTheme="minorEastAsia" w:hAnsiTheme="minorEastAsia" w:eastAsiaTheme="minorEastAsia"/>
          <w:color w:val="auto"/>
          <w:szCs w:val="21"/>
          <w:highlight w:val="none"/>
        </w:rPr>
        <w:t>2、定义</w:t>
      </w:r>
      <w:bookmarkEnd w:id="35"/>
      <w:bookmarkEnd w:id="36"/>
      <w:bookmarkEnd w:id="37"/>
      <w:bookmarkEnd w:id="38"/>
      <w:bookmarkEnd w:id="39"/>
      <w:bookmarkEnd w:id="40"/>
      <w:bookmarkEnd w:id="41"/>
      <w:bookmarkEnd w:id="42"/>
    </w:p>
    <w:p w14:paraId="7C879D56">
      <w:pPr>
        <w:snapToGrid w:val="0"/>
        <w:spacing w:line="360" w:lineRule="auto"/>
        <w:ind w:right="42" w:rightChars="20" w:firstLine="420" w:firstLineChars="200"/>
        <w:jc w:val="left"/>
        <w:outlineLvl w:val="1"/>
        <w:rPr>
          <w:rFonts w:asciiTheme="minorEastAsia" w:hAnsiTheme="minorEastAsia" w:eastAsiaTheme="minorEastAsia"/>
          <w:color w:val="auto"/>
          <w:szCs w:val="21"/>
          <w:highlight w:val="none"/>
        </w:rPr>
      </w:pPr>
      <w:bookmarkStart w:id="43" w:name="_Toc19542"/>
      <w:bookmarkStart w:id="44" w:name="_Toc493511584"/>
      <w:bookmarkStart w:id="45" w:name="_Toc50012821"/>
      <w:r>
        <w:rPr>
          <w:rFonts w:hint="eastAsia" w:asciiTheme="minorEastAsia" w:hAnsiTheme="minorEastAsia" w:eastAsiaTheme="minorEastAsia"/>
          <w:color w:val="auto"/>
          <w:szCs w:val="21"/>
          <w:highlight w:val="none"/>
        </w:rPr>
        <w:t>2.1、“招标人”系指组织本次招标的代理机构或采购人。</w:t>
      </w:r>
      <w:bookmarkEnd w:id="43"/>
      <w:bookmarkEnd w:id="44"/>
      <w:bookmarkEnd w:id="45"/>
    </w:p>
    <w:p w14:paraId="331667D1">
      <w:pPr>
        <w:snapToGrid w:val="0"/>
        <w:spacing w:line="360" w:lineRule="auto"/>
        <w:ind w:right="42" w:rightChars="20" w:firstLine="420" w:firstLineChars="200"/>
        <w:jc w:val="left"/>
        <w:outlineLvl w:val="1"/>
        <w:rPr>
          <w:rFonts w:asciiTheme="minorEastAsia" w:hAnsiTheme="minorEastAsia" w:eastAsiaTheme="minorEastAsia"/>
          <w:color w:val="auto"/>
          <w:szCs w:val="21"/>
          <w:highlight w:val="none"/>
        </w:rPr>
      </w:pPr>
      <w:bookmarkStart w:id="46" w:name="_Toc22525"/>
      <w:bookmarkStart w:id="47" w:name="_Toc50012822"/>
      <w:bookmarkStart w:id="48" w:name="_Toc493511585"/>
      <w:r>
        <w:rPr>
          <w:rFonts w:hint="eastAsia" w:asciiTheme="minorEastAsia" w:hAnsiTheme="minorEastAsia" w:eastAsiaTheme="minorEastAsia"/>
          <w:color w:val="auto"/>
          <w:szCs w:val="21"/>
          <w:highlight w:val="none"/>
        </w:rPr>
        <w:t>2.2、“投标人”系指向采购人提交投标文件的投标人。</w:t>
      </w:r>
      <w:bookmarkEnd w:id="46"/>
      <w:bookmarkEnd w:id="47"/>
      <w:bookmarkEnd w:id="48"/>
    </w:p>
    <w:p w14:paraId="533332F1">
      <w:pPr>
        <w:snapToGrid w:val="0"/>
        <w:spacing w:line="360" w:lineRule="auto"/>
        <w:ind w:right="42" w:rightChars="20" w:firstLine="420" w:firstLineChars="200"/>
        <w:jc w:val="left"/>
        <w:outlineLvl w:val="1"/>
        <w:rPr>
          <w:rFonts w:asciiTheme="minorEastAsia" w:hAnsiTheme="minorEastAsia" w:eastAsiaTheme="minorEastAsia"/>
          <w:color w:val="auto"/>
          <w:szCs w:val="21"/>
          <w:highlight w:val="none"/>
        </w:rPr>
      </w:pPr>
      <w:bookmarkStart w:id="49" w:name="_Toc493511586"/>
      <w:bookmarkStart w:id="50" w:name="_Toc50012823"/>
      <w:bookmarkStart w:id="51" w:name="_Toc2392"/>
      <w:r>
        <w:rPr>
          <w:rFonts w:hint="eastAsia" w:asciiTheme="minorEastAsia" w:hAnsiTheme="minorEastAsia" w:eastAsiaTheme="minorEastAsia"/>
          <w:color w:val="auto"/>
          <w:szCs w:val="21"/>
          <w:highlight w:val="none"/>
        </w:rPr>
        <w:t>2.3、“产品”系指供方按招标文件规定，须向采购人提供的一切设备、保险、税金、备品备件、工具、手册及其它有关技术资料和材料。</w:t>
      </w:r>
      <w:bookmarkEnd w:id="49"/>
      <w:bookmarkEnd w:id="50"/>
      <w:bookmarkEnd w:id="51"/>
    </w:p>
    <w:p w14:paraId="02D58942">
      <w:pPr>
        <w:snapToGrid w:val="0"/>
        <w:spacing w:line="360" w:lineRule="auto"/>
        <w:ind w:right="42" w:rightChars="20" w:firstLine="420" w:firstLineChars="200"/>
        <w:jc w:val="left"/>
        <w:outlineLvl w:val="1"/>
        <w:rPr>
          <w:rFonts w:asciiTheme="minorEastAsia" w:hAnsiTheme="minorEastAsia" w:eastAsiaTheme="minorEastAsia"/>
          <w:color w:val="auto"/>
          <w:szCs w:val="21"/>
          <w:highlight w:val="none"/>
        </w:rPr>
      </w:pPr>
      <w:bookmarkStart w:id="52" w:name="_Toc493511587"/>
      <w:bookmarkStart w:id="53" w:name="_Toc15752"/>
      <w:bookmarkStart w:id="54" w:name="_Toc50012824"/>
      <w:r>
        <w:rPr>
          <w:rFonts w:hint="eastAsia" w:asciiTheme="minorEastAsia" w:hAnsiTheme="minorEastAsia" w:eastAsiaTheme="minorEastAsia"/>
          <w:color w:val="auto"/>
          <w:szCs w:val="21"/>
          <w:highlight w:val="none"/>
        </w:rPr>
        <w:t>2.4、“服务”系指招标文件规定投标人须承担的安装、调试、技术协助、校准、培训、技术指导以及其他类似的义务。</w:t>
      </w:r>
      <w:bookmarkEnd w:id="52"/>
      <w:bookmarkEnd w:id="53"/>
      <w:bookmarkEnd w:id="54"/>
    </w:p>
    <w:p w14:paraId="6184267B">
      <w:pPr>
        <w:snapToGrid w:val="0"/>
        <w:spacing w:line="360" w:lineRule="auto"/>
        <w:ind w:right="42" w:rightChars="20" w:firstLine="420" w:firstLineChars="200"/>
        <w:jc w:val="left"/>
        <w:outlineLvl w:val="1"/>
        <w:rPr>
          <w:rFonts w:asciiTheme="minorEastAsia" w:hAnsiTheme="minorEastAsia" w:eastAsiaTheme="minorEastAsia"/>
          <w:color w:val="auto"/>
          <w:szCs w:val="21"/>
          <w:highlight w:val="none"/>
        </w:rPr>
      </w:pPr>
      <w:bookmarkStart w:id="55" w:name="_Toc14499"/>
      <w:bookmarkStart w:id="56" w:name="_Toc493511588"/>
      <w:bookmarkStart w:id="57" w:name="_Toc50012825"/>
      <w:r>
        <w:rPr>
          <w:rFonts w:hint="eastAsia" w:asciiTheme="minorEastAsia" w:hAnsiTheme="minorEastAsia" w:eastAsiaTheme="minorEastAsia"/>
          <w:color w:val="auto"/>
          <w:szCs w:val="21"/>
          <w:highlight w:val="none"/>
        </w:rPr>
        <w:t>2.5、“项目”系指投标人按招标文件规定向采购人提供的产品和服务。</w:t>
      </w:r>
      <w:bookmarkEnd w:id="55"/>
      <w:bookmarkEnd w:id="56"/>
      <w:bookmarkEnd w:id="57"/>
    </w:p>
    <w:p w14:paraId="221A8DF1">
      <w:pPr>
        <w:snapToGrid w:val="0"/>
        <w:spacing w:line="360" w:lineRule="auto"/>
        <w:ind w:right="42" w:rightChars="20" w:firstLine="420" w:firstLineChars="200"/>
        <w:jc w:val="left"/>
        <w:outlineLvl w:val="1"/>
        <w:rPr>
          <w:rFonts w:asciiTheme="minorEastAsia" w:hAnsiTheme="minorEastAsia" w:eastAsiaTheme="minorEastAsia"/>
          <w:color w:val="auto"/>
          <w:szCs w:val="21"/>
          <w:highlight w:val="none"/>
        </w:rPr>
      </w:pPr>
      <w:bookmarkStart w:id="58" w:name="_Toc28414"/>
      <w:bookmarkStart w:id="59" w:name="_Toc50012826"/>
      <w:bookmarkStart w:id="60" w:name="_Toc493511589"/>
      <w:r>
        <w:rPr>
          <w:rFonts w:hint="eastAsia" w:asciiTheme="minorEastAsia" w:hAnsiTheme="minorEastAsia" w:eastAsiaTheme="minorEastAsia"/>
          <w:color w:val="auto"/>
          <w:szCs w:val="21"/>
          <w:highlight w:val="none"/>
        </w:rPr>
        <w:t>2.6、“书面形式”包括信函、传真、电报、电子文档等。</w:t>
      </w:r>
      <w:bookmarkEnd w:id="58"/>
      <w:bookmarkEnd w:id="59"/>
      <w:bookmarkEnd w:id="60"/>
    </w:p>
    <w:p w14:paraId="3918E21C">
      <w:pPr>
        <w:snapToGrid w:val="0"/>
        <w:spacing w:line="360" w:lineRule="auto"/>
        <w:ind w:right="42" w:rightChars="20" w:firstLine="420" w:firstLineChars="200"/>
        <w:jc w:val="left"/>
        <w:outlineLvl w:val="1"/>
        <w:rPr>
          <w:rFonts w:asciiTheme="minorEastAsia" w:hAnsiTheme="minorEastAsia" w:eastAsiaTheme="minorEastAsia"/>
          <w:color w:val="auto"/>
          <w:szCs w:val="21"/>
          <w:highlight w:val="none"/>
        </w:rPr>
      </w:pPr>
      <w:bookmarkStart w:id="61" w:name="_Toc493511590"/>
      <w:bookmarkStart w:id="62" w:name="_Toc50012827"/>
      <w:bookmarkStart w:id="63" w:name="_Toc18649"/>
      <w:r>
        <w:rPr>
          <w:rFonts w:hint="eastAsia" w:asciiTheme="minorEastAsia" w:hAnsiTheme="minorEastAsia" w:eastAsiaTheme="minorEastAsia"/>
          <w:color w:val="auto"/>
          <w:szCs w:val="21"/>
          <w:highlight w:val="none"/>
        </w:rPr>
        <w:t>2.7、“▲”系指实质性要求条款。</w:t>
      </w:r>
      <w:bookmarkEnd w:id="61"/>
      <w:bookmarkEnd w:id="62"/>
      <w:bookmarkEnd w:id="63"/>
      <w:bookmarkStart w:id="64" w:name="_Toc177870539"/>
      <w:bookmarkStart w:id="65" w:name="_Toc427915761"/>
    </w:p>
    <w:p w14:paraId="0C273A49">
      <w:pPr>
        <w:snapToGrid w:val="0"/>
        <w:spacing w:line="360" w:lineRule="auto"/>
        <w:ind w:right="42" w:rightChars="20" w:firstLine="420" w:firstLineChars="200"/>
        <w:jc w:val="left"/>
        <w:outlineLvl w:val="1"/>
        <w:rPr>
          <w:rFonts w:asciiTheme="minorEastAsia" w:hAnsiTheme="minorEastAsia" w:eastAsiaTheme="minorEastAsia"/>
          <w:color w:val="auto"/>
          <w:szCs w:val="21"/>
          <w:highlight w:val="none"/>
        </w:rPr>
      </w:pPr>
      <w:bookmarkStart w:id="66" w:name="_Toc50012828"/>
      <w:bookmarkStart w:id="67" w:name="_Toc10422"/>
      <w:bookmarkStart w:id="68" w:name="_Toc493511591"/>
      <w:r>
        <w:rPr>
          <w:rFonts w:hint="eastAsia" w:asciiTheme="minorEastAsia" w:hAnsiTheme="minorEastAsia" w:eastAsiaTheme="minorEastAsia"/>
          <w:color w:val="auto"/>
          <w:szCs w:val="21"/>
          <w:highlight w:val="none"/>
        </w:rPr>
        <w:t>3、</w:t>
      </w:r>
      <w:bookmarkEnd w:id="64"/>
      <w:bookmarkEnd w:id="65"/>
      <w:bookmarkEnd w:id="66"/>
      <w:bookmarkEnd w:id="67"/>
      <w:bookmarkEnd w:id="68"/>
      <w:r>
        <w:rPr>
          <w:rFonts w:hint="eastAsia" w:asciiTheme="minorEastAsia" w:hAnsiTheme="minorEastAsia" w:eastAsiaTheme="minorEastAsia"/>
          <w:color w:val="auto"/>
          <w:szCs w:val="21"/>
          <w:highlight w:val="none"/>
          <w:lang w:eastAsia="zh-CN"/>
        </w:rPr>
        <w:t>采购人</w:t>
      </w:r>
      <w:r>
        <w:rPr>
          <w:rFonts w:hint="eastAsia" w:asciiTheme="minorEastAsia" w:hAnsiTheme="minorEastAsia" w:eastAsiaTheme="minorEastAsia"/>
          <w:color w:val="auto"/>
          <w:szCs w:val="21"/>
          <w:highlight w:val="none"/>
        </w:rPr>
        <w:t>式</w:t>
      </w:r>
    </w:p>
    <w:p w14:paraId="378F259B">
      <w:pPr>
        <w:snapToGrid w:val="0"/>
        <w:spacing w:line="360" w:lineRule="auto"/>
        <w:ind w:right="42" w:rightChars="20" w:firstLine="420" w:firstLineChars="200"/>
        <w:jc w:val="left"/>
        <w:outlineLvl w:val="1"/>
        <w:rPr>
          <w:rFonts w:asciiTheme="minorEastAsia" w:hAnsiTheme="minorEastAsia" w:eastAsiaTheme="minorEastAsia"/>
          <w:color w:val="auto"/>
          <w:szCs w:val="21"/>
          <w:highlight w:val="none"/>
        </w:rPr>
      </w:pPr>
      <w:bookmarkStart w:id="69" w:name="_Toc50012829"/>
      <w:bookmarkStart w:id="70" w:name="_Toc493511592"/>
      <w:bookmarkStart w:id="71" w:name="_Toc21572"/>
      <w:r>
        <w:rPr>
          <w:rFonts w:hint="eastAsia" w:asciiTheme="minorEastAsia" w:hAnsiTheme="minorEastAsia" w:eastAsiaTheme="minorEastAsia"/>
          <w:color w:val="auto"/>
          <w:szCs w:val="21"/>
          <w:highlight w:val="none"/>
        </w:rPr>
        <w:t>3.1、本次招标采用公开</w:t>
      </w:r>
      <w:r>
        <w:rPr>
          <w:rFonts w:hint="eastAsia" w:asciiTheme="minorEastAsia" w:hAnsiTheme="minorEastAsia" w:eastAsiaTheme="minorEastAsia"/>
          <w:color w:val="auto"/>
          <w:szCs w:val="21"/>
          <w:highlight w:val="none"/>
          <w:lang w:eastAsia="zh-CN"/>
        </w:rPr>
        <w:t>采购人</w:t>
      </w:r>
      <w:r>
        <w:rPr>
          <w:rFonts w:hint="eastAsia" w:asciiTheme="minorEastAsia" w:hAnsiTheme="minorEastAsia" w:eastAsiaTheme="minorEastAsia"/>
          <w:color w:val="auto"/>
          <w:szCs w:val="21"/>
          <w:highlight w:val="none"/>
        </w:rPr>
        <w:t>式进行。</w:t>
      </w:r>
      <w:bookmarkEnd w:id="69"/>
      <w:bookmarkEnd w:id="70"/>
      <w:bookmarkEnd w:id="71"/>
    </w:p>
    <w:p w14:paraId="5ED71CBB">
      <w:pPr>
        <w:snapToGrid w:val="0"/>
        <w:spacing w:line="360" w:lineRule="auto"/>
        <w:ind w:right="42" w:rightChars="20" w:firstLine="420" w:firstLineChars="200"/>
        <w:jc w:val="left"/>
        <w:outlineLvl w:val="1"/>
        <w:rPr>
          <w:rFonts w:asciiTheme="minorEastAsia" w:hAnsiTheme="minorEastAsia" w:eastAsiaTheme="minorEastAsia"/>
          <w:color w:val="auto"/>
          <w:szCs w:val="21"/>
          <w:highlight w:val="none"/>
        </w:rPr>
      </w:pPr>
      <w:bookmarkStart w:id="72" w:name="_Toc493511593"/>
      <w:bookmarkStart w:id="73" w:name="_Toc30170"/>
      <w:bookmarkStart w:id="74" w:name="_Toc50012830"/>
      <w:r>
        <w:rPr>
          <w:rFonts w:hint="eastAsia" w:asciiTheme="minorEastAsia" w:hAnsiTheme="minorEastAsia" w:eastAsiaTheme="minorEastAsia"/>
          <w:color w:val="auto"/>
          <w:szCs w:val="21"/>
          <w:highlight w:val="none"/>
        </w:rPr>
        <w:t>3.2、本次招标设定上限价</w:t>
      </w:r>
      <w:r>
        <w:rPr>
          <w:rFonts w:hint="eastAsia" w:asciiTheme="minorEastAsia" w:hAnsiTheme="minorEastAsia" w:eastAsiaTheme="minorEastAsia"/>
          <w:color w:val="auto"/>
          <w:szCs w:val="21"/>
          <w:highlight w:val="none"/>
          <w:lang w:val="en-US" w:eastAsia="zh-CN"/>
        </w:rPr>
        <w:t>详见前附表</w:t>
      </w:r>
      <w:r>
        <w:rPr>
          <w:rFonts w:hint="eastAsia" w:asciiTheme="minorEastAsia" w:hAnsiTheme="minorEastAsia" w:eastAsiaTheme="minorEastAsia"/>
          <w:color w:val="auto"/>
          <w:szCs w:val="21"/>
          <w:highlight w:val="none"/>
        </w:rPr>
        <w:t>。</w:t>
      </w:r>
      <w:bookmarkEnd w:id="72"/>
      <w:bookmarkEnd w:id="73"/>
      <w:bookmarkEnd w:id="74"/>
      <w:bookmarkStart w:id="75" w:name="_Toc177870540"/>
      <w:bookmarkStart w:id="76" w:name="_Toc177824941"/>
      <w:bookmarkStart w:id="77" w:name="_Toc427915762"/>
      <w:bookmarkStart w:id="78" w:name="_Toc177824874"/>
      <w:bookmarkStart w:id="79" w:name="_Toc177825122"/>
    </w:p>
    <w:p w14:paraId="57FF9150">
      <w:pPr>
        <w:snapToGrid w:val="0"/>
        <w:spacing w:line="360" w:lineRule="auto"/>
        <w:ind w:right="42" w:rightChars="20" w:firstLine="420" w:firstLineChars="200"/>
        <w:jc w:val="left"/>
        <w:outlineLvl w:val="1"/>
        <w:rPr>
          <w:rFonts w:asciiTheme="minorEastAsia" w:hAnsiTheme="minorEastAsia" w:eastAsiaTheme="minorEastAsia"/>
          <w:color w:val="auto"/>
          <w:szCs w:val="21"/>
          <w:highlight w:val="none"/>
        </w:rPr>
      </w:pPr>
      <w:bookmarkStart w:id="80" w:name="_Toc493511594"/>
      <w:bookmarkStart w:id="81" w:name="_Toc50012831"/>
      <w:bookmarkStart w:id="82" w:name="_Toc21323"/>
      <w:r>
        <w:rPr>
          <w:rFonts w:hint="eastAsia" w:asciiTheme="minorEastAsia" w:hAnsiTheme="minorEastAsia" w:eastAsiaTheme="minorEastAsia"/>
          <w:color w:val="auto"/>
          <w:szCs w:val="21"/>
          <w:highlight w:val="none"/>
        </w:rPr>
        <w:t>4、投标委托</w:t>
      </w:r>
      <w:bookmarkEnd w:id="75"/>
      <w:bookmarkEnd w:id="76"/>
      <w:bookmarkEnd w:id="77"/>
      <w:bookmarkEnd w:id="78"/>
      <w:bookmarkEnd w:id="79"/>
      <w:bookmarkEnd w:id="80"/>
      <w:bookmarkEnd w:id="81"/>
      <w:bookmarkEnd w:id="82"/>
    </w:p>
    <w:p w14:paraId="2DF3CC05">
      <w:pPr>
        <w:snapToGrid w:val="0"/>
        <w:spacing w:line="360" w:lineRule="auto"/>
        <w:ind w:right="42" w:rightChars="20" w:firstLine="420" w:firstLineChars="200"/>
        <w:jc w:val="left"/>
        <w:outlineLvl w:val="1"/>
        <w:rPr>
          <w:rFonts w:asciiTheme="minorEastAsia" w:hAnsiTheme="minorEastAsia" w:eastAsiaTheme="minorEastAsia"/>
          <w:color w:val="auto"/>
          <w:szCs w:val="21"/>
          <w:highlight w:val="none"/>
        </w:rPr>
      </w:pPr>
      <w:bookmarkStart w:id="83" w:name="_Toc10126"/>
      <w:bookmarkStart w:id="84" w:name="_Toc493511595"/>
      <w:bookmarkStart w:id="85" w:name="_Toc50012832"/>
      <w:r>
        <w:rPr>
          <w:rFonts w:hint="eastAsia" w:asciiTheme="minorEastAsia" w:hAnsiTheme="minorEastAsia" w:eastAsiaTheme="minorEastAsia"/>
          <w:color w:val="auto"/>
          <w:szCs w:val="21"/>
          <w:highlight w:val="none"/>
        </w:rPr>
        <w:t>投标人代表须携带居民身份证。如投标人代表不是法定代表人，须有法定代表人出具的授权委托书。（正本用原件，副本可用复印件，格式见第六部分）。</w:t>
      </w:r>
      <w:bookmarkEnd w:id="83"/>
      <w:bookmarkEnd w:id="84"/>
      <w:bookmarkEnd w:id="85"/>
      <w:bookmarkStart w:id="86" w:name="_Toc177824942"/>
      <w:bookmarkStart w:id="87" w:name="_Toc177870541"/>
      <w:bookmarkStart w:id="88" w:name="_Toc177825123"/>
      <w:bookmarkStart w:id="89" w:name="_Toc427915763"/>
      <w:bookmarkStart w:id="90" w:name="_Toc177824875"/>
    </w:p>
    <w:p w14:paraId="4835C55B">
      <w:pPr>
        <w:snapToGrid w:val="0"/>
        <w:spacing w:line="360" w:lineRule="auto"/>
        <w:ind w:right="42" w:rightChars="20" w:firstLine="420" w:firstLineChars="200"/>
        <w:jc w:val="left"/>
        <w:outlineLvl w:val="1"/>
        <w:rPr>
          <w:rFonts w:asciiTheme="minorEastAsia" w:hAnsiTheme="minorEastAsia" w:eastAsiaTheme="minorEastAsia"/>
          <w:color w:val="auto"/>
          <w:szCs w:val="21"/>
          <w:highlight w:val="none"/>
        </w:rPr>
      </w:pPr>
      <w:bookmarkStart w:id="91" w:name="_Toc2927"/>
      <w:bookmarkStart w:id="92" w:name="_Toc493511596"/>
      <w:bookmarkStart w:id="93" w:name="_Toc50012833"/>
      <w:r>
        <w:rPr>
          <w:rFonts w:hint="eastAsia" w:asciiTheme="minorEastAsia" w:hAnsiTheme="minorEastAsia" w:eastAsiaTheme="minorEastAsia"/>
          <w:color w:val="auto"/>
          <w:szCs w:val="21"/>
          <w:highlight w:val="none"/>
        </w:rPr>
        <w:t>5、投标费用</w:t>
      </w:r>
      <w:bookmarkEnd w:id="86"/>
      <w:bookmarkEnd w:id="87"/>
      <w:bookmarkEnd w:id="88"/>
      <w:bookmarkEnd w:id="89"/>
      <w:bookmarkEnd w:id="90"/>
      <w:bookmarkEnd w:id="91"/>
      <w:bookmarkEnd w:id="92"/>
      <w:bookmarkEnd w:id="93"/>
    </w:p>
    <w:p w14:paraId="10537519">
      <w:pPr>
        <w:snapToGrid w:val="0"/>
        <w:spacing w:line="360" w:lineRule="auto"/>
        <w:ind w:right="42" w:rightChars="20" w:firstLine="420" w:firstLineChars="200"/>
        <w:jc w:val="left"/>
        <w:outlineLvl w:val="1"/>
        <w:rPr>
          <w:rFonts w:asciiTheme="minorEastAsia" w:hAnsiTheme="minorEastAsia" w:eastAsiaTheme="minorEastAsia"/>
          <w:color w:val="auto"/>
          <w:szCs w:val="21"/>
          <w:highlight w:val="none"/>
        </w:rPr>
      </w:pPr>
      <w:bookmarkStart w:id="94" w:name="_Toc50012834"/>
      <w:bookmarkStart w:id="95" w:name="_Toc493511597"/>
      <w:bookmarkStart w:id="96" w:name="_Toc2682"/>
      <w:r>
        <w:rPr>
          <w:rFonts w:hint="eastAsia" w:asciiTheme="minorEastAsia" w:hAnsiTheme="minorEastAsia" w:eastAsiaTheme="minorEastAsia"/>
          <w:color w:val="auto"/>
          <w:szCs w:val="21"/>
          <w:highlight w:val="none"/>
        </w:rPr>
        <w:t>不论投标结果如何，投标人均应自行承担所有与投标有关的全部费用。</w:t>
      </w:r>
      <w:bookmarkEnd w:id="94"/>
      <w:bookmarkEnd w:id="95"/>
      <w:bookmarkEnd w:id="96"/>
    </w:p>
    <w:p w14:paraId="37BE88B6">
      <w:pPr>
        <w:snapToGrid w:val="0"/>
        <w:spacing w:line="360" w:lineRule="auto"/>
        <w:ind w:right="42" w:rightChars="20" w:firstLine="420" w:firstLineChars="200"/>
        <w:jc w:val="left"/>
        <w:outlineLvl w:val="1"/>
        <w:rPr>
          <w:rFonts w:asciiTheme="minorEastAsia" w:hAnsiTheme="minorEastAsia" w:eastAsiaTheme="minorEastAsia"/>
          <w:color w:val="auto"/>
          <w:szCs w:val="21"/>
          <w:highlight w:val="none"/>
        </w:rPr>
      </w:pPr>
      <w:bookmarkStart w:id="97" w:name="_Toc50012835"/>
      <w:bookmarkStart w:id="98" w:name="_Toc493511598"/>
      <w:bookmarkStart w:id="99" w:name="_Toc26432"/>
      <w:r>
        <w:rPr>
          <w:rFonts w:hint="eastAsia" w:asciiTheme="minorEastAsia" w:hAnsiTheme="minorEastAsia" w:eastAsiaTheme="minorEastAsia"/>
          <w:color w:val="auto"/>
          <w:szCs w:val="21"/>
          <w:highlight w:val="none"/>
        </w:rPr>
        <w:t>6、联合体投标</w:t>
      </w:r>
      <w:bookmarkEnd w:id="97"/>
      <w:bookmarkEnd w:id="98"/>
      <w:bookmarkEnd w:id="99"/>
    </w:p>
    <w:p w14:paraId="45AC490E">
      <w:pPr>
        <w:snapToGrid w:val="0"/>
        <w:spacing w:line="360" w:lineRule="auto"/>
        <w:ind w:right="42" w:rightChars="20" w:firstLine="420" w:firstLineChars="200"/>
        <w:jc w:val="left"/>
        <w:outlineLvl w:val="1"/>
        <w:rPr>
          <w:rFonts w:asciiTheme="minorEastAsia" w:hAnsiTheme="minorEastAsia" w:eastAsiaTheme="minorEastAsia"/>
          <w:color w:val="auto"/>
          <w:szCs w:val="21"/>
          <w:highlight w:val="none"/>
        </w:rPr>
      </w:pPr>
      <w:bookmarkStart w:id="100" w:name="_Toc50012836"/>
      <w:bookmarkStart w:id="101" w:name="_Toc30057"/>
      <w:bookmarkStart w:id="102" w:name="_Toc493511599"/>
      <w:r>
        <w:rPr>
          <w:rFonts w:hint="eastAsia" w:asciiTheme="minorEastAsia" w:hAnsiTheme="minorEastAsia" w:eastAsiaTheme="minorEastAsia"/>
          <w:color w:val="auto"/>
          <w:szCs w:val="21"/>
          <w:highlight w:val="none"/>
        </w:rPr>
        <w:t>本项目</w:t>
      </w:r>
      <w:r>
        <w:rPr>
          <w:rFonts w:hint="eastAsia" w:asciiTheme="minorEastAsia" w:hAnsiTheme="minorEastAsia" w:eastAsiaTheme="minorEastAsia"/>
          <w:color w:val="auto"/>
          <w:szCs w:val="21"/>
          <w:highlight w:val="none"/>
          <w:lang w:val="en-US" w:eastAsia="zh-CN"/>
        </w:rPr>
        <w:t>不</w:t>
      </w:r>
      <w:r>
        <w:rPr>
          <w:rFonts w:hint="eastAsia" w:asciiTheme="minorEastAsia" w:hAnsiTheme="minorEastAsia" w:eastAsiaTheme="minorEastAsia"/>
          <w:color w:val="auto"/>
          <w:szCs w:val="21"/>
          <w:highlight w:val="none"/>
        </w:rPr>
        <w:t>接受联合体投标。</w:t>
      </w:r>
      <w:bookmarkEnd w:id="100"/>
      <w:bookmarkEnd w:id="101"/>
      <w:bookmarkEnd w:id="102"/>
      <w:bookmarkStart w:id="103" w:name="_Toc177870544"/>
    </w:p>
    <w:p w14:paraId="2B0BF995">
      <w:pPr>
        <w:snapToGrid w:val="0"/>
        <w:spacing w:line="360" w:lineRule="auto"/>
        <w:ind w:right="42" w:rightChars="20" w:firstLine="422" w:firstLineChars="200"/>
        <w:jc w:val="left"/>
        <w:outlineLvl w:val="1"/>
        <w:rPr>
          <w:rFonts w:asciiTheme="minorEastAsia" w:hAnsiTheme="minorEastAsia" w:eastAsiaTheme="minorEastAsia"/>
          <w:b/>
          <w:color w:val="auto"/>
          <w:szCs w:val="21"/>
          <w:highlight w:val="none"/>
        </w:rPr>
      </w:pPr>
      <w:bookmarkStart w:id="104" w:name="_Toc50012837"/>
      <w:bookmarkStart w:id="105" w:name="_Toc1772"/>
      <w:r>
        <w:rPr>
          <w:rFonts w:hint="eastAsia" w:asciiTheme="minorEastAsia" w:hAnsiTheme="minorEastAsia" w:eastAsiaTheme="minorEastAsia"/>
          <w:b/>
          <w:color w:val="auto"/>
          <w:szCs w:val="21"/>
          <w:highlight w:val="none"/>
        </w:rPr>
        <w:t>7.转包与分包</w:t>
      </w:r>
      <w:bookmarkEnd w:id="104"/>
      <w:bookmarkEnd w:id="105"/>
    </w:p>
    <w:p w14:paraId="2249D4C4">
      <w:pPr>
        <w:snapToGrid w:val="0"/>
        <w:spacing w:line="360" w:lineRule="auto"/>
        <w:ind w:right="42" w:rightChars="20" w:firstLine="420" w:firstLineChars="200"/>
        <w:jc w:val="left"/>
        <w:outlineLvl w:val="1"/>
        <w:rPr>
          <w:rFonts w:asciiTheme="minorEastAsia" w:hAnsiTheme="minorEastAsia" w:eastAsiaTheme="minorEastAsia"/>
          <w:color w:val="auto"/>
          <w:szCs w:val="21"/>
          <w:highlight w:val="none"/>
        </w:rPr>
      </w:pPr>
      <w:bookmarkStart w:id="106" w:name="_Toc50012838"/>
      <w:bookmarkStart w:id="107" w:name="_Toc25115"/>
      <w:r>
        <w:rPr>
          <w:rFonts w:hint="eastAsia" w:asciiTheme="minorEastAsia" w:hAnsiTheme="minorEastAsia" w:eastAsiaTheme="minorEastAsia"/>
          <w:color w:val="auto"/>
          <w:szCs w:val="21"/>
          <w:highlight w:val="none"/>
        </w:rPr>
        <w:t>7.1本项目不允许转包；</w:t>
      </w:r>
      <w:bookmarkEnd w:id="106"/>
      <w:bookmarkEnd w:id="107"/>
    </w:p>
    <w:p w14:paraId="4CD85EA0">
      <w:pPr>
        <w:snapToGrid w:val="0"/>
        <w:spacing w:line="360" w:lineRule="auto"/>
        <w:ind w:right="42" w:rightChars="20" w:firstLine="420" w:firstLineChars="200"/>
        <w:jc w:val="left"/>
        <w:outlineLvl w:val="1"/>
        <w:rPr>
          <w:rFonts w:cs="宋体" w:asciiTheme="minorEastAsia" w:hAnsiTheme="minorEastAsia" w:eastAsiaTheme="minorEastAsia"/>
          <w:color w:val="auto"/>
          <w:kern w:val="0"/>
          <w:szCs w:val="21"/>
          <w:highlight w:val="none"/>
        </w:rPr>
      </w:pPr>
      <w:bookmarkStart w:id="108" w:name="_Toc50012839"/>
      <w:bookmarkStart w:id="109" w:name="_Toc5717"/>
      <w:r>
        <w:rPr>
          <w:rFonts w:hint="eastAsia" w:cs="宋体" w:asciiTheme="minorEastAsia" w:hAnsiTheme="minorEastAsia" w:eastAsiaTheme="minorEastAsia"/>
          <w:color w:val="auto"/>
          <w:kern w:val="0"/>
          <w:szCs w:val="21"/>
          <w:highlight w:val="none"/>
        </w:rPr>
        <w:t>7.2</w:t>
      </w:r>
      <w:r>
        <w:rPr>
          <w:rFonts w:hint="eastAsia" w:asciiTheme="minorEastAsia" w:hAnsiTheme="minorEastAsia" w:eastAsiaTheme="minorEastAsia"/>
          <w:color w:val="auto"/>
          <w:szCs w:val="21"/>
          <w:highlight w:val="none"/>
        </w:rPr>
        <w:t>本项目不允许分包</w:t>
      </w:r>
      <w:r>
        <w:rPr>
          <w:rFonts w:hint="eastAsia" w:cs="宋体" w:asciiTheme="minorEastAsia" w:hAnsiTheme="minorEastAsia" w:eastAsiaTheme="minorEastAsia"/>
          <w:color w:val="auto"/>
          <w:kern w:val="0"/>
          <w:szCs w:val="21"/>
          <w:highlight w:val="none"/>
        </w:rPr>
        <w:t>。</w:t>
      </w:r>
      <w:bookmarkEnd w:id="108"/>
      <w:bookmarkEnd w:id="109"/>
      <w:bookmarkStart w:id="110" w:name="_Toc430786267"/>
      <w:bookmarkStart w:id="111" w:name="_Toc177870542"/>
    </w:p>
    <w:p w14:paraId="69ABB218">
      <w:pPr>
        <w:snapToGrid w:val="0"/>
        <w:spacing w:line="360" w:lineRule="auto"/>
        <w:ind w:right="42" w:rightChars="20" w:firstLine="422" w:firstLineChars="200"/>
        <w:jc w:val="left"/>
        <w:outlineLvl w:val="1"/>
        <w:rPr>
          <w:rFonts w:asciiTheme="minorEastAsia" w:hAnsiTheme="minorEastAsia" w:eastAsiaTheme="minorEastAsia"/>
          <w:b/>
          <w:color w:val="auto"/>
          <w:szCs w:val="21"/>
          <w:highlight w:val="none"/>
        </w:rPr>
      </w:pPr>
      <w:bookmarkStart w:id="112" w:name="_Toc2435"/>
      <w:bookmarkStart w:id="113" w:name="_Toc50012840"/>
      <w:r>
        <w:rPr>
          <w:rFonts w:hint="eastAsia" w:asciiTheme="minorEastAsia" w:hAnsiTheme="minorEastAsia" w:eastAsiaTheme="minorEastAsia"/>
          <w:b/>
          <w:color w:val="auto"/>
          <w:szCs w:val="21"/>
          <w:highlight w:val="none"/>
        </w:rPr>
        <w:t>8.特别说明：</w:t>
      </w:r>
      <w:bookmarkEnd w:id="110"/>
      <w:bookmarkEnd w:id="111"/>
      <w:bookmarkEnd w:id="112"/>
      <w:bookmarkEnd w:id="113"/>
    </w:p>
    <w:p w14:paraId="69E34F15">
      <w:pPr>
        <w:pStyle w:val="15"/>
        <w:snapToGrid w:val="0"/>
        <w:spacing w:line="360" w:lineRule="auto"/>
        <w:ind w:right="42" w:rightChars="20" w:firstLine="420" w:firstLineChars="200"/>
        <w:jc w:val="left"/>
        <w:rPr>
          <w:rFonts w:asciiTheme="minorEastAsia" w:hAnsiTheme="minorEastAsia" w:eastAsiaTheme="minorEastAsia"/>
          <w:color w:val="auto"/>
          <w:spacing w:val="0"/>
          <w:sz w:val="21"/>
          <w:szCs w:val="21"/>
          <w:highlight w:val="none"/>
        </w:rPr>
      </w:pPr>
      <w:bookmarkStart w:id="114" w:name="_Toc495603533"/>
      <w:bookmarkStart w:id="115" w:name="_Toc430786268"/>
      <w:bookmarkStart w:id="116" w:name="_Toc177870543"/>
      <w:r>
        <w:rPr>
          <w:rFonts w:hint="eastAsia" w:asciiTheme="minorEastAsia" w:hAnsiTheme="minorEastAsia" w:eastAsiaTheme="minorEastAsia"/>
          <w:color w:val="auto"/>
          <w:spacing w:val="0"/>
          <w:sz w:val="21"/>
          <w:szCs w:val="21"/>
          <w:highlight w:val="none"/>
        </w:rPr>
        <w:t>8.1、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3636A1A8">
      <w:pPr>
        <w:pStyle w:val="15"/>
        <w:snapToGrid w:val="0"/>
        <w:spacing w:line="360" w:lineRule="auto"/>
        <w:ind w:right="42" w:rightChars="20" w:firstLine="420" w:firstLineChars="200"/>
        <w:jc w:val="left"/>
        <w:rPr>
          <w:rFonts w:asciiTheme="minorEastAsia" w:hAnsiTheme="minorEastAsia" w:eastAsiaTheme="minorEastAsia"/>
          <w:color w:val="auto"/>
          <w:spacing w:val="0"/>
          <w:sz w:val="21"/>
          <w:szCs w:val="21"/>
          <w:highlight w:val="none"/>
        </w:rPr>
      </w:pPr>
      <w:r>
        <w:rPr>
          <w:rFonts w:hint="eastAsia" w:asciiTheme="minorEastAsia" w:hAnsiTheme="minorEastAsia" w:eastAsiaTheme="minorEastAsia"/>
          <w:color w:val="auto"/>
          <w:spacing w:val="0"/>
          <w:sz w:val="21"/>
          <w:szCs w:val="21"/>
          <w:highlight w:val="none"/>
        </w:rPr>
        <w:t>8.2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0F0A340">
      <w:pPr>
        <w:pStyle w:val="15"/>
        <w:snapToGrid w:val="0"/>
        <w:spacing w:line="360" w:lineRule="auto"/>
        <w:ind w:right="42" w:rightChars="20" w:firstLine="420" w:firstLineChars="200"/>
        <w:jc w:val="left"/>
        <w:rPr>
          <w:rFonts w:asciiTheme="minorEastAsia" w:hAnsiTheme="minorEastAsia" w:eastAsiaTheme="minorEastAsia"/>
          <w:color w:val="auto"/>
          <w:spacing w:val="0"/>
          <w:sz w:val="21"/>
          <w:szCs w:val="21"/>
          <w:highlight w:val="none"/>
        </w:rPr>
      </w:pPr>
      <w:r>
        <w:rPr>
          <w:rFonts w:hint="eastAsia" w:asciiTheme="minorEastAsia" w:hAnsiTheme="minorEastAsia" w:eastAsiaTheme="minorEastAsia"/>
          <w:color w:val="auto"/>
          <w:spacing w:val="0"/>
          <w:sz w:val="21"/>
          <w:szCs w:val="21"/>
          <w:highlight w:val="none"/>
        </w:rPr>
        <w:t>8.3、非单一产品采购项目，采购人应当根据采购项目技术构成、产品价格比重等合理确定核心产品，并在招标文件中载明。多家投标人提供的核心产品品牌相同的，按前两款规定处理。</w:t>
      </w:r>
    </w:p>
    <w:p w14:paraId="60B16667">
      <w:pPr>
        <w:snapToGrid w:val="0"/>
        <w:spacing w:line="360" w:lineRule="auto"/>
        <w:ind w:right="42" w:rightChars="20" w:firstLine="422" w:firstLineChars="200"/>
        <w:jc w:val="left"/>
        <w:outlineLvl w:val="1"/>
        <w:rPr>
          <w:rFonts w:asciiTheme="minorEastAsia" w:hAnsiTheme="minorEastAsia" w:eastAsiaTheme="minorEastAsia"/>
          <w:b/>
          <w:color w:val="auto"/>
          <w:szCs w:val="21"/>
          <w:highlight w:val="none"/>
        </w:rPr>
      </w:pPr>
      <w:bookmarkStart w:id="117" w:name="_Toc7381"/>
      <w:bookmarkStart w:id="118" w:name="_Toc50012841"/>
      <w:r>
        <w:rPr>
          <w:rFonts w:hint="eastAsia" w:asciiTheme="minorEastAsia" w:hAnsiTheme="minorEastAsia" w:eastAsiaTheme="minorEastAsia"/>
          <w:b/>
          <w:color w:val="auto"/>
          <w:szCs w:val="21"/>
          <w:highlight w:val="none"/>
        </w:rPr>
        <w:t>9.质疑</w:t>
      </w:r>
      <w:bookmarkEnd w:id="114"/>
      <w:bookmarkEnd w:id="115"/>
      <w:bookmarkEnd w:id="116"/>
      <w:bookmarkEnd w:id="117"/>
      <w:bookmarkEnd w:id="118"/>
    </w:p>
    <w:p w14:paraId="0E84467D">
      <w:pPr>
        <w:pStyle w:val="29"/>
        <w:spacing w:line="360" w:lineRule="auto"/>
        <w:ind w:right="42" w:rightChars="20" w:firstLine="422" w:firstLineChars="200"/>
        <w:jc w:val="left"/>
        <w:outlineLvl w:val="1"/>
        <w:rPr>
          <w:rFonts w:asciiTheme="minorEastAsia" w:hAnsiTheme="minorEastAsia" w:eastAsiaTheme="minorEastAsia"/>
          <w:b/>
          <w:color w:val="auto"/>
          <w:szCs w:val="21"/>
          <w:highlight w:val="none"/>
        </w:rPr>
      </w:pPr>
      <w:bookmarkStart w:id="119" w:name="_Toc1791"/>
      <w:bookmarkStart w:id="120" w:name="_Toc495603534"/>
      <w:bookmarkStart w:id="121" w:name="_Toc50012842"/>
      <w:r>
        <w:rPr>
          <w:rFonts w:hint="eastAsia" w:asciiTheme="minorEastAsia" w:hAnsiTheme="minorEastAsia" w:eastAsiaTheme="minorEastAsia"/>
          <w:b/>
          <w:color w:val="auto"/>
          <w:szCs w:val="21"/>
          <w:highlight w:val="none"/>
        </w:rPr>
        <w:t>9.</w:t>
      </w:r>
      <w:r>
        <w:rPr>
          <w:rFonts w:asciiTheme="minorEastAsia" w:hAnsiTheme="minorEastAsia" w:eastAsiaTheme="minorEastAsia"/>
          <w:b/>
          <w:color w:val="auto"/>
          <w:szCs w:val="21"/>
          <w:highlight w:val="none"/>
        </w:rPr>
        <w:t>1</w:t>
      </w:r>
      <w:r>
        <w:rPr>
          <w:rFonts w:hint="eastAsia" w:asciiTheme="minorEastAsia" w:hAnsiTheme="minorEastAsia" w:eastAsiaTheme="minorEastAsia"/>
          <w:b/>
          <w:color w:val="auto"/>
          <w:szCs w:val="21"/>
          <w:highlight w:val="none"/>
        </w:rPr>
        <w:t>、</w:t>
      </w:r>
      <w:r>
        <w:rPr>
          <w:rFonts w:asciiTheme="minorEastAsia" w:hAnsiTheme="minorEastAsia" w:eastAsiaTheme="minorEastAsia"/>
          <w:b/>
          <w:color w:val="auto"/>
          <w:szCs w:val="21"/>
          <w:highlight w:val="none"/>
        </w:rPr>
        <w:t>投标人认为招标文件、招标过程</w:t>
      </w:r>
      <w:r>
        <w:rPr>
          <w:rFonts w:hint="eastAsia" w:asciiTheme="minorEastAsia" w:hAnsiTheme="minorEastAsia" w:eastAsiaTheme="minorEastAsia"/>
          <w:b/>
          <w:color w:val="auto"/>
          <w:szCs w:val="21"/>
          <w:highlight w:val="none"/>
        </w:rPr>
        <w:t>或</w:t>
      </w:r>
      <w:r>
        <w:rPr>
          <w:rFonts w:asciiTheme="minorEastAsia" w:hAnsiTheme="minorEastAsia" w:eastAsiaTheme="minorEastAsia"/>
          <w:b/>
          <w:color w:val="auto"/>
          <w:szCs w:val="21"/>
          <w:highlight w:val="none"/>
        </w:rPr>
        <w:t>中标结果使自己的合法权益受到损害的，应当在知道或者应知其权益受到损害之日起七个工作日内，以书面形式向采购人、</w:t>
      </w:r>
      <w:r>
        <w:rPr>
          <w:rFonts w:hint="eastAsia" w:asciiTheme="minorEastAsia" w:hAnsiTheme="minorEastAsia" w:eastAsiaTheme="minorEastAsia"/>
          <w:b/>
          <w:color w:val="auto"/>
          <w:szCs w:val="21"/>
          <w:highlight w:val="none"/>
        </w:rPr>
        <w:t>代理机构</w:t>
      </w:r>
      <w:r>
        <w:rPr>
          <w:rFonts w:asciiTheme="minorEastAsia" w:hAnsiTheme="minorEastAsia" w:eastAsiaTheme="minorEastAsia"/>
          <w:b/>
          <w:color w:val="auto"/>
          <w:szCs w:val="21"/>
          <w:highlight w:val="none"/>
        </w:rPr>
        <w:t>提出质疑。投标人对招标采购单位的质疑答复不满意或者招标采购单位未在规定时间内作出答复的，可以在答复期满后十五个工作日内向同级采购监管部门投诉。</w:t>
      </w:r>
      <w:bookmarkEnd w:id="119"/>
      <w:bookmarkEnd w:id="120"/>
      <w:bookmarkEnd w:id="121"/>
      <w:bookmarkStart w:id="122" w:name="_Toc495603535"/>
    </w:p>
    <w:p w14:paraId="233404D7">
      <w:pPr>
        <w:pStyle w:val="29"/>
        <w:spacing w:line="360" w:lineRule="auto"/>
        <w:ind w:right="42" w:rightChars="20" w:firstLine="422" w:firstLineChars="200"/>
        <w:jc w:val="left"/>
        <w:outlineLvl w:val="1"/>
        <w:rPr>
          <w:rFonts w:asciiTheme="minorEastAsia" w:hAnsiTheme="minorEastAsia" w:eastAsiaTheme="minorEastAsia"/>
          <w:b/>
          <w:color w:val="auto"/>
          <w:szCs w:val="21"/>
          <w:highlight w:val="none"/>
        </w:rPr>
      </w:pPr>
      <w:bookmarkStart w:id="123" w:name="_Toc23570"/>
      <w:bookmarkStart w:id="124" w:name="_Toc50012843"/>
      <w:r>
        <w:rPr>
          <w:rFonts w:hint="eastAsia" w:asciiTheme="minorEastAsia" w:hAnsiTheme="minorEastAsia" w:eastAsiaTheme="minorEastAsia"/>
          <w:b/>
          <w:color w:val="auto"/>
          <w:szCs w:val="21"/>
          <w:highlight w:val="none"/>
        </w:rPr>
        <w:t>9.</w:t>
      </w:r>
      <w:r>
        <w:rPr>
          <w:rFonts w:asciiTheme="minorEastAsia" w:hAnsiTheme="minorEastAsia" w:eastAsiaTheme="minorEastAsia"/>
          <w:b/>
          <w:color w:val="auto"/>
          <w:szCs w:val="21"/>
          <w:highlight w:val="none"/>
        </w:rPr>
        <w:t>2</w:t>
      </w:r>
      <w:r>
        <w:rPr>
          <w:rFonts w:hint="eastAsia" w:asciiTheme="minorEastAsia" w:hAnsiTheme="minorEastAsia" w:eastAsiaTheme="minorEastAsia"/>
          <w:b/>
          <w:color w:val="auto"/>
          <w:szCs w:val="21"/>
          <w:highlight w:val="none"/>
        </w:rPr>
        <w:t>、</w:t>
      </w:r>
      <w:r>
        <w:rPr>
          <w:rFonts w:asciiTheme="minorEastAsia" w:hAnsiTheme="minorEastAsia" w:eastAsiaTheme="minorEastAsia"/>
          <w:b/>
          <w:color w:val="auto"/>
          <w:szCs w:val="21"/>
          <w:highlight w:val="none"/>
        </w:rPr>
        <w:t>质疑、投诉应当采用书面形式，质疑书、投诉书均应明确阐述招标文件、招标过程</w:t>
      </w:r>
      <w:r>
        <w:rPr>
          <w:rFonts w:hint="eastAsia" w:asciiTheme="minorEastAsia" w:hAnsiTheme="minorEastAsia" w:eastAsiaTheme="minorEastAsia"/>
          <w:b/>
          <w:color w:val="auto"/>
          <w:szCs w:val="21"/>
          <w:highlight w:val="none"/>
        </w:rPr>
        <w:t>或</w:t>
      </w:r>
      <w:r>
        <w:rPr>
          <w:rFonts w:asciiTheme="minorEastAsia" w:hAnsiTheme="minorEastAsia" w:eastAsiaTheme="minorEastAsia"/>
          <w:b/>
          <w:color w:val="auto"/>
          <w:szCs w:val="21"/>
          <w:highlight w:val="none"/>
        </w:rPr>
        <w:t>中标结果中使自己合法权益受到损害的实质性内容，提供相关事实、依据和证据及其来源或线索，便于有关单位调查、答复和处理</w:t>
      </w:r>
      <w:r>
        <w:rPr>
          <w:rFonts w:hint="eastAsia" w:asciiTheme="minorEastAsia" w:hAnsiTheme="minorEastAsia" w:eastAsiaTheme="minorEastAsia"/>
          <w:b/>
          <w:color w:val="auto"/>
          <w:szCs w:val="21"/>
          <w:highlight w:val="none"/>
        </w:rPr>
        <w:t>。</w:t>
      </w:r>
      <w:bookmarkEnd w:id="122"/>
      <w:bookmarkEnd w:id="123"/>
      <w:bookmarkEnd w:id="124"/>
    </w:p>
    <w:p w14:paraId="34E7696A">
      <w:pPr>
        <w:pStyle w:val="29"/>
        <w:spacing w:line="360" w:lineRule="auto"/>
        <w:ind w:right="42" w:rightChars="20" w:firstLine="422" w:firstLineChars="200"/>
        <w:jc w:val="left"/>
        <w:outlineLvl w:val="1"/>
        <w:rPr>
          <w:rFonts w:asciiTheme="minorEastAsia" w:hAnsiTheme="minorEastAsia" w:eastAsiaTheme="minorEastAsia"/>
          <w:b/>
          <w:color w:val="auto"/>
          <w:szCs w:val="21"/>
          <w:highlight w:val="none"/>
        </w:rPr>
      </w:pPr>
    </w:p>
    <w:p w14:paraId="3A731EF6">
      <w:pPr>
        <w:snapToGrid w:val="0"/>
        <w:spacing w:line="360" w:lineRule="auto"/>
        <w:ind w:right="42" w:rightChars="20" w:firstLine="422" w:firstLineChars="200"/>
        <w:jc w:val="left"/>
        <w:outlineLvl w:val="1"/>
        <w:rPr>
          <w:rFonts w:asciiTheme="minorEastAsia" w:hAnsiTheme="minorEastAsia" w:eastAsiaTheme="minorEastAsia"/>
          <w:b/>
          <w:color w:val="auto"/>
          <w:szCs w:val="21"/>
          <w:highlight w:val="none"/>
        </w:rPr>
      </w:pPr>
      <w:bookmarkStart w:id="125" w:name="_Toc493511613"/>
      <w:bookmarkStart w:id="126" w:name="_Toc25169"/>
      <w:bookmarkStart w:id="127" w:name="_Toc50012844"/>
      <w:r>
        <w:rPr>
          <w:rFonts w:hint="eastAsia" w:asciiTheme="minorEastAsia" w:hAnsiTheme="minorEastAsia" w:eastAsiaTheme="minorEastAsia"/>
          <w:b/>
          <w:color w:val="auto"/>
          <w:szCs w:val="21"/>
          <w:highlight w:val="none"/>
        </w:rPr>
        <w:t>二 、招标文件</w:t>
      </w:r>
      <w:bookmarkEnd w:id="103"/>
      <w:bookmarkEnd w:id="125"/>
      <w:bookmarkEnd w:id="126"/>
      <w:bookmarkEnd w:id="127"/>
    </w:p>
    <w:p w14:paraId="55DF3DB0">
      <w:pPr>
        <w:snapToGrid w:val="0"/>
        <w:spacing w:line="360" w:lineRule="auto"/>
        <w:ind w:right="42" w:rightChars="20" w:firstLine="422" w:firstLineChars="200"/>
        <w:jc w:val="left"/>
        <w:outlineLvl w:val="1"/>
        <w:rPr>
          <w:rFonts w:asciiTheme="minorEastAsia" w:hAnsiTheme="minorEastAsia" w:eastAsiaTheme="minorEastAsia"/>
          <w:b/>
          <w:color w:val="auto"/>
          <w:szCs w:val="21"/>
          <w:highlight w:val="none"/>
        </w:rPr>
      </w:pPr>
      <w:bookmarkStart w:id="128" w:name="_Toc16026"/>
      <w:bookmarkStart w:id="129" w:name="_Toc50012845"/>
      <w:bookmarkStart w:id="130" w:name="_Toc493511614"/>
      <w:r>
        <w:rPr>
          <w:rFonts w:hint="eastAsia" w:asciiTheme="minorEastAsia" w:hAnsiTheme="minorEastAsia" w:eastAsiaTheme="minorEastAsia"/>
          <w:b/>
          <w:color w:val="auto"/>
          <w:szCs w:val="21"/>
          <w:highlight w:val="none"/>
        </w:rPr>
        <w:t>1、招标文件的构成</w:t>
      </w:r>
      <w:bookmarkEnd w:id="128"/>
      <w:bookmarkEnd w:id="129"/>
      <w:bookmarkEnd w:id="130"/>
    </w:p>
    <w:p w14:paraId="32A16AF4">
      <w:pPr>
        <w:snapToGrid w:val="0"/>
        <w:spacing w:line="360" w:lineRule="auto"/>
        <w:ind w:right="42" w:rightChars="20" w:firstLine="420" w:firstLineChars="200"/>
        <w:jc w:val="left"/>
        <w:outlineLvl w:val="1"/>
        <w:rPr>
          <w:rFonts w:asciiTheme="minorEastAsia" w:hAnsiTheme="minorEastAsia" w:eastAsiaTheme="minorEastAsia"/>
          <w:color w:val="auto"/>
          <w:szCs w:val="21"/>
          <w:highlight w:val="none"/>
        </w:rPr>
      </w:pPr>
      <w:bookmarkStart w:id="131" w:name="_Toc493511615"/>
      <w:bookmarkStart w:id="132" w:name="_Toc7778"/>
      <w:bookmarkStart w:id="133" w:name="_Toc50012846"/>
      <w:r>
        <w:rPr>
          <w:rFonts w:hint="eastAsia" w:asciiTheme="minorEastAsia" w:hAnsiTheme="minorEastAsia" w:eastAsiaTheme="minorEastAsia"/>
          <w:color w:val="auto"/>
          <w:szCs w:val="21"/>
          <w:highlight w:val="none"/>
        </w:rPr>
        <w:t>1.1、公开招标采购公告</w:t>
      </w:r>
      <w:bookmarkEnd w:id="131"/>
      <w:bookmarkEnd w:id="132"/>
      <w:bookmarkEnd w:id="133"/>
    </w:p>
    <w:p w14:paraId="58B27835">
      <w:pPr>
        <w:snapToGrid w:val="0"/>
        <w:spacing w:line="360" w:lineRule="auto"/>
        <w:ind w:right="42" w:rightChars="20" w:firstLine="420" w:firstLineChars="200"/>
        <w:jc w:val="left"/>
        <w:outlineLvl w:val="1"/>
        <w:rPr>
          <w:rFonts w:asciiTheme="minorEastAsia" w:hAnsiTheme="minorEastAsia" w:eastAsiaTheme="minorEastAsia"/>
          <w:color w:val="auto"/>
          <w:szCs w:val="21"/>
          <w:highlight w:val="none"/>
        </w:rPr>
      </w:pPr>
      <w:bookmarkStart w:id="134" w:name="_Toc7186"/>
      <w:bookmarkStart w:id="135" w:name="_Toc493511616"/>
      <w:bookmarkStart w:id="136" w:name="_Toc50012847"/>
      <w:r>
        <w:rPr>
          <w:rFonts w:hint="eastAsia" w:asciiTheme="minorEastAsia" w:hAnsiTheme="minorEastAsia" w:eastAsiaTheme="minorEastAsia"/>
          <w:color w:val="auto"/>
          <w:szCs w:val="21"/>
          <w:highlight w:val="none"/>
        </w:rPr>
        <w:t>1.2、采购需求</w:t>
      </w:r>
      <w:bookmarkEnd w:id="134"/>
      <w:bookmarkEnd w:id="135"/>
      <w:bookmarkEnd w:id="136"/>
    </w:p>
    <w:p w14:paraId="3AC760BC">
      <w:pPr>
        <w:snapToGrid w:val="0"/>
        <w:spacing w:line="360" w:lineRule="auto"/>
        <w:ind w:right="42" w:rightChars="20" w:firstLine="420" w:firstLineChars="200"/>
        <w:jc w:val="left"/>
        <w:outlineLvl w:val="1"/>
        <w:rPr>
          <w:rFonts w:asciiTheme="minorEastAsia" w:hAnsiTheme="minorEastAsia" w:eastAsiaTheme="minorEastAsia"/>
          <w:color w:val="auto"/>
          <w:szCs w:val="21"/>
          <w:highlight w:val="none"/>
        </w:rPr>
      </w:pPr>
      <w:bookmarkStart w:id="137" w:name="_Toc493511617"/>
      <w:bookmarkStart w:id="138" w:name="_Toc50012848"/>
      <w:bookmarkStart w:id="139" w:name="_Toc6933"/>
      <w:r>
        <w:rPr>
          <w:rFonts w:hint="eastAsia" w:asciiTheme="minorEastAsia" w:hAnsiTheme="minorEastAsia" w:eastAsiaTheme="minorEastAsia"/>
          <w:color w:val="auto"/>
          <w:szCs w:val="21"/>
          <w:highlight w:val="none"/>
        </w:rPr>
        <w:t>1.3、投标人须知</w:t>
      </w:r>
      <w:bookmarkEnd w:id="137"/>
      <w:bookmarkEnd w:id="138"/>
      <w:bookmarkEnd w:id="139"/>
    </w:p>
    <w:p w14:paraId="65CFEE1A">
      <w:pPr>
        <w:snapToGrid w:val="0"/>
        <w:spacing w:line="360" w:lineRule="auto"/>
        <w:ind w:right="42" w:rightChars="20" w:firstLine="420" w:firstLineChars="200"/>
        <w:jc w:val="left"/>
        <w:outlineLvl w:val="1"/>
        <w:rPr>
          <w:rFonts w:asciiTheme="minorEastAsia" w:hAnsiTheme="minorEastAsia" w:eastAsiaTheme="minorEastAsia"/>
          <w:color w:val="auto"/>
          <w:szCs w:val="21"/>
          <w:highlight w:val="none"/>
        </w:rPr>
      </w:pPr>
      <w:bookmarkStart w:id="140" w:name="_Toc2119"/>
      <w:bookmarkStart w:id="141" w:name="_Toc50012849"/>
      <w:bookmarkStart w:id="142" w:name="_Toc493511618"/>
      <w:r>
        <w:rPr>
          <w:rFonts w:hint="eastAsia" w:asciiTheme="minorEastAsia" w:hAnsiTheme="minorEastAsia" w:eastAsiaTheme="minorEastAsia"/>
          <w:color w:val="auto"/>
          <w:szCs w:val="21"/>
          <w:highlight w:val="none"/>
        </w:rPr>
        <w:t>1.4、评标办法</w:t>
      </w:r>
      <w:bookmarkEnd w:id="140"/>
      <w:bookmarkEnd w:id="141"/>
      <w:bookmarkEnd w:id="142"/>
    </w:p>
    <w:p w14:paraId="5B3908EE">
      <w:pPr>
        <w:snapToGrid w:val="0"/>
        <w:spacing w:line="360" w:lineRule="auto"/>
        <w:ind w:right="42" w:rightChars="20" w:firstLine="420" w:firstLineChars="200"/>
        <w:jc w:val="left"/>
        <w:outlineLvl w:val="1"/>
        <w:rPr>
          <w:rFonts w:asciiTheme="minorEastAsia" w:hAnsiTheme="minorEastAsia" w:eastAsiaTheme="minorEastAsia"/>
          <w:color w:val="auto"/>
          <w:szCs w:val="21"/>
          <w:highlight w:val="none"/>
        </w:rPr>
      </w:pPr>
      <w:bookmarkStart w:id="143" w:name="_Toc19120"/>
      <w:bookmarkStart w:id="144" w:name="_Toc50012850"/>
      <w:bookmarkStart w:id="145" w:name="_Toc493511619"/>
      <w:r>
        <w:rPr>
          <w:rFonts w:hint="eastAsia" w:asciiTheme="minorEastAsia" w:hAnsiTheme="minorEastAsia" w:eastAsiaTheme="minorEastAsia"/>
          <w:color w:val="auto"/>
          <w:szCs w:val="21"/>
          <w:highlight w:val="none"/>
        </w:rPr>
        <w:t>1.5、政府采购合同</w:t>
      </w:r>
      <w:bookmarkEnd w:id="143"/>
      <w:bookmarkEnd w:id="144"/>
      <w:bookmarkEnd w:id="145"/>
    </w:p>
    <w:p w14:paraId="2B250663">
      <w:pPr>
        <w:snapToGrid w:val="0"/>
        <w:spacing w:line="360" w:lineRule="auto"/>
        <w:ind w:right="42" w:rightChars="20" w:firstLine="420" w:firstLineChars="200"/>
        <w:jc w:val="left"/>
        <w:outlineLvl w:val="1"/>
        <w:rPr>
          <w:rFonts w:asciiTheme="minorEastAsia" w:hAnsiTheme="minorEastAsia" w:eastAsiaTheme="minorEastAsia"/>
          <w:color w:val="auto"/>
          <w:szCs w:val="21"/>
          <w:highlight w:val="none"/>
        </w:rPr>
      </w:pPr>
      <w:bookmarkStart w:id="146" w:name="_Toc50012851"/>
      <w:bookmarkStart w:id="147" w:name="_Toc19300"/>
      <w:bookmarkStart w:id="148" w:name="_Toc493511620"/>
      <w:r>
        <w:rPr>
          <w:rFonts w:hint="eastAsia" w:asciiTheme="minorEastAsia" w:hAnsiTheme="minorEastAsia" w:eastAsiaTheme="minorEastAsia"/>
          <w:color w:val="auto"/>
          <w:szCs w:val="21"/>
          <w:highlight w:val="none"/>
        </w:rPr>
        <w:t>1.6、投标文件相关文件格式</w:t>
      </w:r>
      <w:bookmarkEnd w:id="146"/>
      <w:bookmarkEnd w:id="147"/>
      <w:bookmarkEnd w:id="148"/>
      <w:bookmarkStart w:id="149" w:name="_Toc482363722"/>
    </w:p>
    <w:p w14:paraId="74046815">
      <w:pPr>
        <w:snapToGrid w:val="0"/>
        <w:spacing w:line="360" w:lineRule="auto"/>
        <w:ind w:right="42" w:rightChars="20" w:firstLine="420" w:firstLineChars="200"/>
        <w:jc w:val="left"/>
        <w:outlineLvl w:val="1"/>
        <w:rPr>
          <w:rFonts w:asciiTheme="minorEastAsia" w:hAnsiTheme="minorEastAsia" w:eastAsiaTheme="minorEastAsia"/>
          <w:color w:val="auto"/>
          <w:szCs w:val="21"/>
          <w:highlight w:val="none"/>
        </w:rPr>
      </w:pPr>
      <w:bookmarkStart w:id="150" w:name="_Toc493511621"/>
      <w:bookmarkStart w:id="151" w:name="_Toc50012852"/>
      <w:bookmarkStart w:id="152" w:name="_Toc32687"/>
      <w:r>
        <w:rPr>
          <w:rFonts w:asciiTheme="minorEastAsia" w:hAnsiTheme="minorEastAsia" w:eastAsiaTheme="minorEastAsia"/>
          <w:color w:val="auto"/>
          <w:szCs w:val="21"/>
          <w:highlight w:val="none"/>
        </w:rPr>
        <w:t>1.7、本项目招标文件的澄清、答复、修改、补充的内容（所有内容将以电子文档形式上传于浙江省政府采购网网站（https://zfcg.czt.zj.gov.cn/）。澄清、答复、修改、补充的内容均作为招标文件的组成部分，具有约束作用。投标人必须自行下载。）</w:t>
      </w:r>
      <w:bookmarkEnd w:id="149"/>
      <w:bookmarkEnd w:id="150"/>
      <w:bookmarkEnd w:id="151"/>
      <w:bookmarkEnd w:id="152"/>
    </w:p>
    <w:p w14:paraId="767B4B2F">
      <w:pPr>
        <w:snapToGrid w:val="0"/>
        <w:spacing w:line="360" w:lineRule="auto"/>
        <w:ind w:right="42" w:rightChars="20" w:firstLine="422" w:firstLineChars="200"/>
        <w:jc w:val="left"/>
        <w:outlineLvl w:val="1"/>
        <w:rPr>
          <w:rFonts w:asciiTheme="minorEastAsia" w:hAnsiTheme="minorEastAsia" w:eastAsiaTheme="minorEastAsia"/>
          <w:b/>
          <w:color w:val="auto"/>
          <w:szCs w:val="21"/>
          <w:highlight w:val="none"/>
        </w:rPr>
      </w:pPr>
      <w:bookmarkStart w:id="153" w:name="_Toc50012853"/>
      <w:bookmarkStart w:id="154" w:name="_Toc21770"/>
      <w:bookmarkStart w:id="155" w:name="_Toc493511622"/>
      <w:r>
        <w:rPr>
          <w:rFonts w:hint="eastAsia" w:asciiTheme="minorEastAsia" w:hAnsiTheme="minorEastAsia" w:eastAsiaTheme="minorEastAsia"/>
          <w:b/>
          <w:color w:val="auto"/>
          <w:szCs w:val="21"/>
          <w:highlight w:val="none"/>
        </w:rPr>
        <w:t>2、存在的风险</w:t>
      </w:r>
      <w:bookmarkEnd w:id="153"/>
      <w:bookmarkEnd w:id="154"/>
      <w:bookmarkEnd w:id="155"/>
    </w:p>
    <w:p w14:paraId="1AA09DFB">
      <w:pPr>
        <w:snapToGrid w:val="0"/>
        <w:spacing w:line="360" w:lineRule="auto"/>
        <w:ind w:right="42" w:rightChars="20" w:firstLine="420" w:firstLineChars="200"/>
        <w:jc w:val="left"/>
        <w:outlineLvl w:val="1"/>
        <w:rPr>
          <w:rFonts w:asciiTheme="minorEastAsia" w:hAnsiTheme="minorEastAsia" w:eastAsiaTheme="minorEastAsia"/>
          <w:color w:val="auto"/>
          <w:szCs w:val="21"/>
          <w:highlight w:val="none"/>
        </w:rPr>
      </w:pPr>
      <w:bookmarkStart w:id="156" w:name="_Toc493511623"/>
      <w:bookmarkStart w:id="157" w:name="_Toc32245"/>
      <w:bookmarkStart w:id="158" w:name="_Toc50012854"/>
      <w:r>
        <w:rPr>
          <w:rFonts w:hint="eastAsia" w:asciiTheme="minorEastAsia" w:hAnsiTheme="minorEastAsia" w:eastAsiaTheme="minorEastAsia"/>
          <w:color w:val="auto"/>
          <w:szCs w:val="21"/>
          <w:highlight w:val="none"/>
        </w:rPr>
        <w:t>投标人没有按照招标文件要求提供全部资料，或者投标人没有对招标文件在各方面作出实质性响应是投标人的风险，并可能导致其投标无效。</w:t>
      </w:r>
      <w:bookmarkEnd w:id="156"/>
      <w:bookmarkEnd w:id="157"/>
      <w:bookmarkEnd w:id="158"/>
    </w:p>
    <w:p w14:paraId="6A45EFA4">
      <w:pPr>
        <w:snapToGrid w:val="0"/>
        <w:spacing w:line="360" w:lineRule="auto"/>
        <w:ind w:right="42" w:rightChars="20" w:firstLine="422" w:firstLineChars="200"/>
        <w:jc w:val="left"/>
        <w:outlineLvl w:val="1"/>
        <w:rPr>
          <w:rFonts w:asciiTheme="minorEastAsia" w:hAnsiTheme="minorEastAsia" w:eastAsiaTheme="minorEastAsia"/>
          <w:b/>
          <w:color w:val="auto"/>
          <w:szCs w:val="21"/>
          <w:highlight w:val="none"/>
        </w:rPr>
      </w:pPr>
      <w:bookmarkStart w:id="159" w:name="_Toc493511624"/>
      <w:bookmarkStart w:id="160" w:name="_Toc18736"/>
      <w:bookmarkStart w:id="161" w:name="_Toc50012855"/>
      <w:r>
        <w:rPr>
          <w:rFonts w:hint="eastAsia" w:asciiTheme="minorEastAsia" w:hAnsiTheme="minorEastAsia" w:eastAsiaTheme="minorEastAsia"/>
          <w:b/>
          <w:color w:val="auto"/>
          <w:szCs w:val="21"/>
          <w:highlight w:val="none"/>
        </w:rPr>
        <w:t>3、招标文件的澄清与修改</w:t>
      </w:r>
      <w:bookmarkEnd w:id="159"/>
      <w:bookmarkEnd w:id="160"/>
      <w:bookmarkEnd w:id="161"/>
    </w:p>
    <w:p w14:paraId="64FDECCC">
      <w:pPr>
        <w:snapToGrid w:val="0"/>
        <w:spacing w:line="360" w:lineRule="auto"/>
        <w:ind w:right="42" w:rightChars="20" w:firstLine="420" w:firstLineChars="200"/>
        <w:jc w:val="left"/>
        <w:outlineLvl w:val="1"/>
        <w:rPr>
          <w:rFonts w:asciiTheme="minorEastAsia" w:hAnsiTheme="minorEastAsia" w:eastAsiaTheme="minorEastAsia"/>
          <w:color w:val="auto"/>
          <w:szCs w:val="21"/>
          <w:highlight w:val="none"/>
        </w:rPr>
      </w:pPr>
      <w:bookmarkStart w:id="162" w:name="_Toc4790"/>
      <w:bookmarkStart w:id="163" w:name="_Toc493511625"/>
      <w:bookmarkStart w:id="164" w:name="_Toc50012856"/>
      <w:r>
        <w:rPr>
          <w:rFonts w:hint="eastAsia" w:asciiTheme="minorEastAsia" w:hAnsiTheme="minorEastAsia" w:eastAsiaTheme="minorEastAsia"/>
          <w:color w:val="auto"/>
          <w:szCs w:val="21"/>
          <w:highlight w:val="none"/>
        </w:rPr>
        <w:t>3.1、投标人应认真阅读本招标文件，发现其中有误或有要求不合理的，投标人必须在知道或者应当知道之日起七个工作日内以书面形式要求采购代理机构澄清，否则，由此产生的后果由投标人负责。</w:t>
      </w:r>
      <w:bookmarkEnd w:id="162"/>
      <w:bookmarkEnd w:id="163"/>
      <w:bookmarkEnd w:id="164"/>
    </w:p>
    <w:p w14:paraId="2E05F304">
      <w:pPr>
        <w:snapToGrid w:val="0"/>
        <w:spacing w:line="360" w:lineRule="auto"/>
        <w:ind w:right="42" w:rightChars="20" w:firstLine="420" w:firstLineChars="200"/>
        <w:jc w:val="left"/>
        <w:outlineLvl w:val="1"/>
        <w:rPr>
          <w:rFonts w:asciiTheme="minorEastAsia" w:hAnsiTheme="minorEastAsia" w:eastAsiaTheme="minorEastAsia"/>
          <w:color w:val="auto"/>
          <w:szCs w:val="21"/>
          <w:highlight w:val="none"/>
        </w:rPr>
      </w:pPr>
      <w:bookmarkStart w:id="165" w:name="_Toc493511626"/>
      <w:bookmarkStart w:id="166" w:name="_Toc50012857"/>
      <w:bookmarkStart w:id="167" w:name="_Toc31984"/>
      <w:r>
        <w:rPr>
          <w:rFonts w:hint="eastAsia" w:asciiTheme="minorEastAsia" w:hAnsiTheme="minorEastAsia" w:eastAsiaTheme="minorEastAsia"/>
          <w:color w:val="auto"/>
          <w:szCs w:val="21"/>
          <w:highlight w:val="none"/>
        </w:rPr>
        <w:t>3.2、采购代理机构必须以书面形式答复所有购买招标文件的投标人（答复中不包含问题的来源）要求澄清的问题，同时认定其他澄清方式为无效。</w:t>
      </w:r>
      <w:bookmarkEnd w:id="165"/>
      <w:bookmarkEnd w:id="166"/>
      <w:bookmarkEnd w:id="167"/>
    </w:p>
    <w:p w14:paraId="15DD27DB">
      <w:pPr>
        <w:snapToGrid w:val="0"/>
        <w:spacing w:line="360" w:lineRule="auto"/>
        <w:ind w:right="42" w:rightChars="20" w:firstLine="420" w:firstLineChars="200"/>
        <w:jc w:val="left"/>
        <w:outlineLvl w:val="1"/>
        <w:rPr>
          <w:rFonts w:asciiTheme="minorEastAsia" w:hAnsiTheme="minorEastAsia" w:eastAsiaTheme="minorEastAsia"/>
          <w:color w:val="auto"/>
          <w:szCs w:val="21"/>
          <w:highlight w:val="none"/>
        </w:rPr>
      </w:pPr>
      <w:bookmarkStart w:id="168" w:name="_Toc50012858"/>
      <w:bookmarkStart w:id="169" w:name="_Toc20629"/>
      <w:bookmarkStart w:id="170" w:name="_Toc493511627"/>
      <w:r>
        <w:rPr>
          <w:rFonts w:hint="eastAsia" w:asciiTheme="minorEastAsia" w:hAnsiTheme="minorEastAsia" w:eastAsiaTheme="minorEastAsia"/>
          <w:color w:val="auto"/>
          <w:szCs w:val="21"/>
          <w:highlight w:val="none"/>
        </w:rPr>
        <w:t>3.3、采购代理机构对已发出的招标文件进行必要澄清或者修改的，应当在招标文件要求提交投标文件截止时间十五日前，在财政部门指定的政府采购信息发布媒体上发布更正公告，并以书面形式通知所有招标文件收受人。该澄清或者修改的内容为招标文件的组成部分。</w:t>
      </w:r>
      <w:bookmarkEnd w:id="168"/>
      <w:bookmarkEnd w:id="169"/>
      <w:bookmarkEnd w:id="170"/>
    </w:p>
    <w:p w14:paraId="3B773DA4">
      <w:pPr>
        <w:snapToGrid w:val="0"/>
        <w:spacing w:line="360" w:lineRule="auto"/>
        <w:ind w:right="42" w:rightChars="20" w:firstLine="420" w:firstLineChars="200"/>
        <w:jc w:val="left"/>
        <w:outlineLvl w:val="1"/>
        <w:rPr>
          <w:rFonts w:asciiTheme="minorEastAsia" w:hAnsiTheme="minorEastAsia" w:eastAsiaTheme="minorEastAsia"/>
          <w:color w:val="auto"/>
          <w:szCs w:val="21"/>
          <w:highlight w:val="none"/>
        </w:rPr>
      </w:pPr>
      <w:bookmarkStart w:id="171" w:name="_Toc10910"/>
      <w:bookmarkStart w:id="172" w:name="_Toc493511628"/>
      <w:bookmarkStart w:id="173" w:name="_Toc50012859"/>
      <w:r>
        <w:rPr>
          <w:rFonts w:hint="eastAsia" w:asciiTheme="minorEastAsia" w:hAnsiTheme="minorEastAsia" w:eastAsiaTheme="minorEastAsia"/>
          <w:color w:val="auto"/>
          <w:szCs w:val="21"/>
          <w:highlight w:val="none"/>
        </w:rPr>
        <w:t>3.4、采购代理机构和采购单位可以视采购具体情况，延长投标截止时间和开标时间，但至少应当在招标文件要求提交投标文件的截止时间三日前，将变更时间书面通知所有招标文件收受人，并在财政部门指定的政府采购信息发布媒体上发布变更公告。</w:t>
      </w:r>
      <w:bookmarkEnd w:id="171"/>
      <w:bookmarkEnd w:id="172"/>
      <w:bookmarkEnd w:id="173"/>
    </w:p>
    <w:p w14:paraId="5432F299">
      <w:pPr>
        <w:snapToGrid w:val="0"/>
        <w:spacing w:line="360" w:lineRule="auto"/>
        <w:ind w:right="42" w:rightChars="20" w:firstLine="420" w:firstLineChars="200"/>
        <w:jc w:val="left"/>
        <w:outlineLvl w:val="1"/>
        <w:rPr>
          <w:rFonts w:asciiTheme="minorEastAsia" w:hAnsiTheme="minorEastAsia" w:eastAsiaTheme="minorEastAsia"/>
          <w:color w:val="auto"/>
          <w:szCs w:val="21"/>
          <w:highlight w:val="none"/>
        </w:rPr>
      </w:pPr>
      <w:bookmarkStart w:id="174" w:name="_Toc50012860"/>
      <w:bookmarkStart w:id="175" w:name="_Toc14791"/>
      <w:bookmarkStart w:id="176" w:name="_Toc493511629"/>
      <w:r>
        <w:rPr>
          <w:rFonts w:hint="eastAsia" w:asciiTheme="minorEastAsia" w:hAnsiTheme="minorEastAsia" w:eastAsiaTheme="minorEastAsia"/>
          <w:color w:val="auto"/>
          <w:szCs w:val="21"/>
          <w:highlight w:val="none"/>
        </w:rPr>
        <w:t>3.5、招标文件的澄清或者修改都应该通过本代理机构以法定形式发布，采购人非通过本机构，不得擅自澄清或者修改招标文件。</w:t>
      </w:r>
      <w:bookmarkEnd w:id="174"/>
      <w:bookmarkEnd w:id="175"/>
      <w:bookmarkEnd w:id="176"/>
    </w:p>
    <w:p w14:paraId="4BA2D625">
      <w:pPr>
        <w:snapToGrid w:val="0"/>
        <w:spacing w:line="360" w:lineRule="auto"/>
        <w:ind w:right="42" w:rightChars="20" w:firstLine="422" w:firstLineChars="200"/>
        <w:jc w:val="left"/>
        <w:outlineLvl w:val="1"/>
        <w:rPr>
          <w:rFonts w:asciiTheme="minorEastAsia" w:hAnsiTheme="minorEastAsia" w:eastAsiaTheme="minorEastAsia"/>
          <w:b/>
          <w:color w:val="auto"/>
          <w:szCs w:val="21"/>
          <w:highlight w:val="none"/>
        </w:rPr>
      </w:pPr>
      <w:bookmarkStart w:id="177" w:name="_Toc8175"/>
      <w:bookmarkStart w:id="178" w:name="_Toc177870545"/>
      <w:bookmarkStart w:id="179" w:name="_Toc493511630"/>
      <w:bookmarkStart w:id="180" w:name="_Toc50012861"/>
      <w:r>
        <w:rPr>
          <w:rFonts w:hint="eastAsia" w:asciiTheme="minorEastAsia" w:hAnsiTheme="minorEastAsia" w:eastAsiaTheme="minorEastAsia"/>
          <w:b/>
          <w:color w:val="auto"/>
          <w:szCs w:val="21"/>
          <w:highlight w:val="none"/>
        </w:rPr>
        <w:t>三、 投标文件的编制</w:t>
      </w:r>
      <w:bookmarkEnd w:id="177"/>
      <w:bookmarkEnd w:id="178"/>
      <w:bookmarkEnd w:id="179"/>
      <w:bookmarkEnd w:id="180"/>
    </w:p>
    <w:p w14:paraId="551BD292">
      <w:pPr>
        <w:ind w:firstLine="422" w:firstLineChars="200"/>
        <w:rPr>
          <w:rFonts w:ascii="宋体" w:hAnsi="宋体"/>
          <w:b/>
          <w:bCs/>
          <w:color w:val="auto"/>
          <w:highlight w:val="none"/>
        </w:rPr>
      </w:pPr>
      <w:bookmarkStart w:id="181" w:name="_Toc493511643"/>
      <w:bookmarkStart w:id="182" w:name="_Toc177870547"/>
      <w:bookmarkStart w:id="183" w:name="_Toc177824877"/>
      <w:bookmarkStart w:id="184" w:name="_Toc177825125"/>
      <w:bookmarkStart w:id="185" w:name="_Toc177824944"/>
      <w:r>
        <w:rPr>
          <w:rFonts w:hint="eastAsia" w:ascii="宋体" w:hAnsi="宋体"/>
          <w:b/>
          <w:bCs/>
          <w:color w:val="auto"/>
          <w:highlight w:val="none"/>
        </w:rPr>
        <w:t>本项目所涉投标文件格式请详见第六章，未给出的格式请自拟。商务、资信及其他及技术文件中不得出现报价，否则投标文件将被视为无效。</w:t>
      </w:r>
      <w:r>
        <w:rPr>
          <w:rFonts w:hint="eastAsia" w:ascii="宋体" w:hAnsi="宋体"/>
          <w:b/>
          <w:bCs/>
          <w:color w:val="auto"/>
          <w:highlight w:val="none"/>
        </w:rPr>
        <w:br w:type="textWrapping"/>
      </w:r>
      <w:r>
        <w:rPr>
          <w:rFonts w:hint="eastAsia" w:ascii="宋体" w:hAnsi="宋体"/>
          <w:b/>
          <w:bCs/>
          <w:color w:val="auto"/>
          <w:highlight w:val="none"/>
        </w:rPr>
        <w:t xml:space="preserve">    注：电子投标文件按政采云平台供应商电子招投标操作指南及本招标文件规定的格式和顺序编制电子投标文件并进行关联定。建议根据招标文件合格供应商的资格要求、投标文件的编制及评分标准等内容一一关联。</w:t>
      </w:r>
    </w:p>
    <w:p w14:paraId="5327CDBC">
      <w:pPr>
        <w:ind w:firstLine="422" w:firstLineChars="200"/>
        <w:rPr>
          <w:rFonts w:ascii="宋体" w:hAnsi="宋体"/>
          <w:b/>
          <w:bCs/>
          <w:color w:val="auto"/>
          <w:highlight w:val="none"/>
        </w:rPr>
      </w:pPr>
      <w:r>
        <w:rPr>
          <w:rFonts w:hint="eastAsia" w:ascii="宋体" w:hAnsi="宋体"/>
          <w:b/>
          <w:bCs/>
          <w:color w:val="auto"/>
          <w:highlight w:val="none"/>
        </w:rPr>
        <w:t>路径：浙江省“项目采购电子交易系统/不见面开评标”学习专题-操作指南-供应商</w:t>
      </w:r>
    </w:p>
    <w:p w14:paraId="7B0A4F20">
      <w:pPr>
        <w:spacing w:line="360" w:lineRule="auto"/>
        <w:ind w:firstLine="422" w:firstLineChars="200"/>
        <w:rPr>
          <w:rFonts w:cs="宋体" w:asciiTheme="minorEastAsia" w:hAnsiTheme="minorEastAsia" w:eastAsiaTheme="minorEastAsia"/>
          <w:b/>
          <w:color w:val="auto"/>
          <w:szCs w:val="21"/>
          <w:highlight w:val="none"/>
        </w:rPr>
      </w:pPr>
      <w:r>
        <w:rPr>
          <w:rFonts w:hint="eastAsia" w:ascii="宋体" w:hAnsi="宋体"/>
          <w:b/>
          <w:bCs/>
          <w:color w:val="auto"/>
          <w:highlight w:val="none"/>
        </w:rPr>
        <w:t>网址：</w:t>
      </w:r>
      <w:r>
        <w:rPr>
          <w:color w:val="auto"/>
          <w:highlight w:val="none"/>
        </w:rPr>
        <w:fldChar w:fldCharType="begin"/>
      </w:r>
      <w:r>
        <w:rPr>
          <w:color w:val="auto"/>
          <w:highlight w:val="none"/>
        </w:rPr>
        <w:instrText xml:space="preserve"> HYPERLINK "https://help.zcygov.cn/web/site_2/2018/12-28/2573.html%EF%BC%89%E5%8F%8A%E6%9C%AC%E6%8B%9B%E6%A0%87%E6%96%87%E4%BB%B6%E8%A7%84%E5%AE%9A%E7%9A%84%E6%A0%BC%E5%BC%8F%E5%92%8C%E9%A1%BA%E5%BA%8F%E7%BC%96%E5%88%B6%E7%94%B5%E5%AD%90%E6%8A%95%E6%A0%87%E6%96%87%E4%BB%B6%E5%B9%B6%E8%BF%9B%E8%A1%8C%E5%85%B3%E8%81%94%E5%AE%9A" \t "_blank" </w:instrText>
      </w:r>
      <w:r>
        <w:rPr>
          <w:color w:val="auto"/>
          <w:highlight w:val="none"/>
        </w:rPr>
        <w:fldChar w:fldCharType="separate"/>
      </w:r>
      <w:r>
        <w:rPr>
          <w:rFonts w:hint="eastAsia" w:ascii="宋体" w:hAnsi="宋体"/>
          <w:b/>
          <w:bCs/>
          <w:color w:val="auto"/>
          <w:highlight w:val="none"/>
        </w:rPr>
        <w:t>https://edu.zcygov.cn/luban/e-biding</w:t>
      </w:r>
      <w:r>
        <w:rPr>
          <w:rFonts w:hint="eastAsia" w:ascii="宋体" w:hAnsi="宋体"/>
          <w:b/>
          <w:bCs/>
          <w:color w:val="auto"/>
          <w:highlight w:val="none"/>
        </w:rPr>
        <w:fldChar w:fldCharType="end"/>
      </w:r>
    </w:p>
    <w:p w14:paraId="3CDB37E1">
      <w:pPr>
        <w:pStyle w:val="29"/>
        <w:snapToGrid w:val="0"/>
        <w:spacing w:line="360" w:lineRule="auto"/>
        <w:ind w:right="42" w:rightChars="20" w:firstLine="422" w:firstLineChars="200"/>
        <w:jc w:val="left"/>
        <w:outlineLvl w:val="1"/>
        <w:rPr>
          <w:rFonts w:cs="宋体" w:asciiTheme="minorEastAsia" w:hAnsiTheme="minorEastAsia" w:eastAsiaTheme="minorEastAsia"/>
          <w:b/>
          <w:color w:val="auto"/>
          <w:szCs w:val="21"/>
          <w:highlight w:val="none"/>
        </w:rPr>
      </w:pPr>
      <w:bookmarkStart w:id="186" w:name="_Toc33535357"/>
      <w:bookmarkStart w:id="187" w:name="_Toc32243"/>
      <w:bookmarkStart w:id="188" w:name="_Toc50012863"/>
      <w:r>
        <w:rPr>
          <w:rFonts w:hint="eastAsia" w:cs="宋体" w:asciiTheme="minorEastAsia" w:hAnsiTheme="minorEastAsia" w:eastAsiaTheme="minorEastAsia"/>
          <w:b/>
          <w:color w:val="auto"/>
          <w:szCs w:val="21"/>
          <w:highlight w:val="none"/>
        </w:rPr>
        <w:t>总体要求：</w:t>
      </w:r>
      <w:bookmarkEnd w:id="186"/>
      <w:bookmarkEnd w:id="187"/>
      <w:bookmarkEnd w:id="188"/>
    </w:p>
    <w:p w14:paraId="5A0C5997">
      <w:pPr>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1、投标人</w:t>
      </w:r>
      <w:r>
        <w:rPr>
          <w:rFonts w:asciiTheme="minorEastAsia" w:hAnsiTheme="minorEastAsia" w:eastAsiaTheme="minorEastAsia"/>
          <w:color w:val="auto"/>
          <w:szCs w:val="21"/>
          <w:highlight w:val="none"/>
        </w:rPr>
        <w:t xml:space="preserve">应仔细阅读招标文件的所有内容，按本文件的要求提供投标文件，并保证所提供的全部资料的真实性，以使其投标文件对招标文件作出实质性响应，否则，投标文件可能视为无效投标文件。 </w:t>
      </w:r>
    </w:p>
    <w:p w14:paraId="287A1932">
      <w:pPr>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2、投标文件及投标人与采购有关的来往通知，函件和文件均应使用中文。</w:t>
      </w:r>
    </w:p>
    <w:p w14:paraId="1191CD6D">
      <w:pPr>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3、投标人应按本文件中提供的文件格式、内容和要求制作投标文件。</w:t>
      </w:r>
    </w:p>
    <w:p w14:paraId="40E1C4A6">
      <w:pPr>
        <w:spacing w:line="360" w:lineRule="auto"/>
        <w:ind w:right="42" w:rightChars="20" w:firstLine="422" w:firstLineChars="200"/>
        <w:jc w:val="left"/>
        <w:rPr>
          <w:rFonts w:cs="宋体" w:asciiTheme="minorEastAsia" w:hAnsiTheme="minorEastAsia" w:eastAsiaTheme="minorEastAsia"/>
          <w:bCs/>
          <w:color w:val="auto"/>
          <w:szCs w:val="21"/>
          <w:highlight w:val="none"/>
        </w:rPr>
      </w:pPr>
      <w:r>
        <w:rPr>
          <w:rFonts w:hint="eastAsia" w:asciiTheme="minorEastAsia" w:hAnsiTheme="minorEastAsia" w:eastAsiaTheme="minorEastAsia"/>
          <w:b/>
          <w:color w:val="auto"/>
          <w:szCs w:val="21"/>
          <w:highlight w:val="none"/>
        </w:rPr>
        <w:t>4、投标文件的效力：投标文件的启用，按先后顺位分别为电子投标文件、电子</w:t>
      </w:r>
      <w:r>
        <w:rPr>
          <w:rFonts w:hint="eastAsia" w:cs="宋体" w:asciiTheme="minorEastAsia" w:hAnsiTheme="minorEastAsia" w:eastAsiaTheme="minorEastAsia"/>
          <w:bCs/>
          <w:color w:val="auto"/>
          <w:szCs w:val="21"/>
          <w:highlight w:val="none"/>
        </w:rPr>
        <w:t>备份投标文件</w:t>
      </w:r>
      <w:r>
        <w:rPr>
          <w:rFonts w:hint="eastAsia" w:asciiTheme="minorEastAsia" w:hAnsiTheme="minorEastAsia" w:eastAsiaTheme="minorEastAsia"/>
          <w:b/>
          <w:color w:val="auto"/>
          <w:szCs w:val="21"/>
          <w:highlight w:val="none"/>
        </w:rPr>
        <w:t>。</w:t>
      </w:r>
      <w:r>
        <w:rPr>
          <w:rFonts w:hint="eastAsia" w:cs="宋体" w:asciiTheme="minorEastAsia" w:hAnsiTheme="minorEastAsia" w:eastAsiaTheme="minorEastAsia"/>
          <w:bCs/>
          <w:color w:val="auto"/>
          <w:szCs w:val="21"/>
          <w:highlight w:val="none"/>
        </w:rPr>
        <w:t>通过“政府采购云平台”成功上传递交的“电子加密投标文件”无法按时解密，投标人如按规定递交了“备份投标文件”的，以“备份投标文件”为依据（由采购组织机构按“政府采购云平台”操作规范将“备份投标文件”上传至“政府采购云平台”，上传成功后，“电子加密投标文件”自动失效），否则视为投标文件撤回。</w:t>
      </w:r>
    </w:p>
    <w:p w14:paraId="76801866">
      <w:pPr>
        <w:snapToGrid w:val="0"/>
        <w:spacing w:line="360" w:lineRule="auto"/>
        <w:ind w:right="42" w:rightChars="20" w:firstLine="422" w:firstLineChars="200"/>
        <w:jc w:val="left"/>
        <w:outlineLvl w:val="0"/>
        <w:rPr>
          <w:rFonts w:hint="eastAsia" w:asciiTheme="minorEastAsia" w:hAnsiTheme="minorEastAsia" w:eastAsiaTheme="minorEastAsia"/>
          <w:b/>
          <w:color w:val="auto"/>
          <w:szCs w:val="21"/>
          <w:highlight w:val="none"/>
          <w:lang w:eastAsia="zh-CN"/>
        </w:rPr>
      </w:pPr>
      <w:bookmarkStart w:id="189" w:name="_Toc50012864"/>
      <w:bookmarkStart w:id="190" w:name="_Toc406402988"/>
      <w:bookmarkStart w:id="191" w:name="_Toc33535358"/>
      <w:bookmarkStart w:id="192" w:name="_Toc1053"/>
      <w:bookmarkStart w:id="193" w:name="_Toc406402944"/>
      <w:r>
        <w:rPr>
          <w:rFonts w:hint="eastAsia" w:asciiTheme="minorEastAsia" w:hAnsiTheme="minorEastAsia" w:eastAsiaTheme="minorEastAsia"/>
          <w:b/>
          <w:color w:val="auto"/>
          <w:szCs w:val="21"/>
          <w:highlight w:val="none"/>
        </w:rPr>
        <w:t>（一）投标文件的组成</w:t>
      </w:r>
      <w:bookmarkEnd w:id="189"/>
      <w:bookmarkEnd w:id="190"/>
      <w:bookmarkEnd w:id="191"/>
      <w:bookmarkEnd w:id="192"/>
      <w:bookmarkEnd w:id="193"/>
    </w:p>
    <w:p w14:paraId="1F8ED22B">
      <w:pPr>
        <w:snapToGrid w:val="0"/>
        <w:spacing w:line="360" w:lineRule="auto"/>
        <w:ind w:right="42" w:rightChars="20" w:firstLine="422" w:firstLineChars="200"/>
        <w:jc w:val="left"/>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包括电子投标文件和电子</w:t>
      </w:r>
      <w:r>
        <w:rPr>
          <w:rFonts w:hint="eastAsia" w:cs="宋体" w:asciiTheme="minorEastAsia" w:hAnsiTheme="minorEastAsia" w:eastAsiaTheme="minorEastAsia"/>
          <w:bCs/>
          <w:color w:val="auto"/>
          <w:szCs w:val="21"/>
          <w:highlight w:val="none"/>
        </w:rPr>
        <w:t>备份投标文件（选送）</w:t>
      </w:r>
      <w:r>
        <w:rPr>
          <w:rFonts w:hint="eastAsia" w:asciiTheme="minorEastAsia" w:hAnsiTheme="minorEastAsia" w:eastAsiaTheme="minorEastAsia"/>
          <w:b/>
          <w:color w:val="auto"/>
          <w:szCs w:val="21"/>
          <w:highlight w:val="none"/>
        </w:rPr>
        <w:t>，均由资格投标文件、商务技术文件及投标报价文件三部份组成。其中电子投标文件中所须加盖公章部分均采用CA签章。</w:t>
      </w:r>
    </w:p>
    <w:p w14:paraId="60BF64F9">
      <w:pPr>
        <w:numPr>
          <w:ilvl w:val="0"/>
          <w:numId w:val="3"/>
        </w:numPr>
        <w:snapToGrid w:val="0"/>
        <w:spacing w:line="360" w:lineRule="auto"/>
        <w:ind w:left="-2" w:right="42" w:rightChars="20" w:firstLine="422"/>
        <w:jc w:val="left"/>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资格投标文件：</w:t>
      </w:r>
    </w:p>
    <w:p w14:paraId="4349D659">
      <w:pPr>
        <w:snapToGrid w:val="0"/>
        <w:spacing w:line="360" w:lineRule="auto"/>
        <w:ind w:right="42" w:rightChars="20" w:firstLine="420" w:firstLineChars="200"/>
        <w:jc w:val="left"/>
        <w:rPr>
          <w:rFonts w:hint="default" w:cs="Times New Roman"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rPr>
        <w:t>1</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1、提供具有独立承担民事责任的能力、具有良好的商业信誉和健全的财务会计制度、具有履行合同所必需的设备和专业技术能力、有依法缴纳税收和社会保障资金的良好记录、参加政府采购活动前三年，在经营活动中没有重大违法记录、自招标公告发布之日起至投标截止日内任意时间的“信用中国”网站（www.creditchina.gov.cn）（未被信用中国网站</w:t>
      </w:r>
      <w:r>
        <w:rPr>
          <w:color w:val="auto"/>
          <w:highlight w:val="none"/>
        </w:rPr>
        <w:fldChar w:fldCharType="begin"/>
      </w:r>
      <w:r>
        <w:rPr>
          <w:color w:val="auto"/>
          <w:highlight w:val="none"/>
        </w:rPr>
        <w:instrText xml:space="preserve"> HYPERLINK \t "_blank" </w:instrText>
      </w:r>
      <w:r>
        <w:rPr>
          <w:color w:val="auto"/>
          <w:highlight w:val="none"/>
        </w:rPr>
        <w:fldChar w:fldCharType="separate"/>
      </w:r>
      <w:r>
        <w:rPr>
          <w:rFonts w:hint="eastAsia" w:asciiTheme="minorEastAsia" w:hAnsiTheme="minorEastAsia" w:eastAsiaTheme="minorEastAsia"/>
          <w:color w:val="auto"/>
          <w:highlight w:val="none"/>
        </w:rPr>
        <w:t>列入失信被执行人、重大税收违法案件当事人名单</w:t>
      </w:r>
      <w:r>
        <w:rPr>
          <w:rFonts w:hint="eastAsia" w:asciiTheme="minorEastAsia" w:hAnsiTheme="minorEastAsia" w:eastAsiaTheme="minorEastAsia"/>
          <w:color w:val="auto"/>
          <w:highlight w:val="none"/>
        </w:rPr>
        <w:fldChar w:fldCharType="end"/>
      </w:r>
      <w:r>
        <w:rPr>
          <w:rFonts w:asciiTheme="minorEastAsia" w:hAnsiTheme="minorEastAsia" w:eastAsiaTheme="minorEastAsia"/>
          <w:color w:val="auto"/>
          <w:szCs w:val="21"/>
          <w:highlight w:val="none"/>
        </w:rPr>
        <w:t>的）</w:t>
      </w:r>
      <w:r>
        <w:rPr>
          <w:rFonts w:hint="eastAsia" w:asciiTheme="minorEastAsia" w:hAnsiTheme="minorEastAsia" w:eastAsiaTheme="minorEastAsia"/>
          <w:color w:val="auto"/>
          <w:szCs w:val="21"/>
          <w:highlight w:val="none"/>
        </w:rPr>
        <w:t>、中国政府采购网（www.ccgp.gov.cn）（未被中国政府采购网</w:t>
      </w:r>
      <w:r>
        <w:rPr>
          <w:color w:val="auto"/>
          <w:highlight w:val="none"/>
        </w:rPr>
        <w:fldChar w:fldCharType="begin"/>
      </w:r>
      <w:r>
        <w:rPr>
          <w:color w:val="auto"/>
          <w:highlight w:val="none"/>
        </w:rPr>
        <w:instrText xml:space="preserve"> HYPERLINK \t "_blank" </w:instrText>
      </w:r>
      <w:r>
        <w:rPr>
          <w:color w:val="auto"/>
          <w:highlight w:val="none"/>
        </w:rPr>
        <w:fldChar w:fldCharType="separate"/>
      </w:r>
      <w:r>
        <w:rPr>
          <w:rFonts w:hint="eastAsia" w:asciiTheme="minorEastAsia" w:hAnsiTheme="minorEastAsia" w:eastAsiaTheme="minorEastAsia"/>
          <w:color w:val="auto"/>
          <w:highlight w:val="none"/>
        </w:rPr>
        <w:t>列入政府采购严重违法失信行为记录名单</w:t>
      </w:r>
      <w:r>
        <w:rPr>
          <w:rFonts w:hint="eastAsia" w:asciiTheme="minorEastAsia" w:hAnsiTheme="minorEastAsia" w:eastAsiaTheme="minorEastAsia"/>
          <w:color w:val="auto"/>
          <w:highlight w:val="none"/>
        </w:rPr>
        <w:fldChar w:fldCharType="end"/>
      </w:r>
      <w:r>
        <w:rPr>
          <w:rFonts w:asciiTheme="minorEastAsia" w:hAnsiTheme="minorEastAsia" w:eastAsiaTheme="minorEastAsia"/>
          <w:color w:val="auto"/>
          <w:szCs w:val="21"/>
          <w:highlight w:val="none"/>
        </w:rPr>
        <w:t>的</w:t>
      </w:r>
      <w:r>
        <w:rPr>
          <w:rFonts w:hint="eastAsia" w:asciiTheme="minorEastAsia" w:hAnsiTheme="minorEastAsia" w:eastAsiaTheme="minorEastAsia"/>
          <w:color w:val="auto"/>
          <w:szCs w:val="21"/>
          <w:highlight w:val="none"/>
        </w:rPr>
        <w:t>）也没有因违反《浙江省政府采购投标人注册及诚信管理暂行办法》被列入“黑名单”，正在处罚有效期（详见格式）的承诺书；</w:t>
      </w:r>
    </w:p>
    <w:p w14:paraId="4DE6FEA9">
      <w:pPr>
        <w:snapToGrid w:val="0"/>
        <w:spacing w:line="360" w:lineRule="auto"/>
        <w:ind w:right="42" w:rightChars="20" w:firstLine="420" w:firstLineChars="200"/>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1.2、</w:t>
      </w:r>
      <w:r>
        <w:rPr>
          <w:rFonts w:asciiTheme="minorEastAsia" w:hAnsiTheme="minorEastAsia" w:eastAsiaTheme="minorEastAsia"/>
          <w:color w:val="auto"/>
          <w:szCs w:val="21"/>
          <w:highlight w:val="none"/>
        </w:rPr>
        <w:t>法定代表人授权委托书</w:t>
      </w:r>
      <w:r>
        <w:rPr>
          <w:rFonts w:hint="eastAsia" w:asciiTheme="minorEastAsia" w:hAnsiTheme="minorEastAsia" w:eastAsiaTheme="minorEastAsia"/>
          <w:color w:val="auto"/>
          <w:szCs w:val="21"/>
          <w:highlight w:val="none"/>
        </w:rPr>
        <w:t>；</w:t>
      </w:r>
    </w:p>
    <w:p w14:paraId="7F695B34">
      <w:pPr>
        <w:snapToGrid w:val="0"/>
        <w:spacing w:line="360" w:lineRule="auto"/>
        <w:ind w:right="42" w:rightChars="20" w:firstLine="420" w:firstLineChars="200"/>
        <w:jc w:val="left"/>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1.3、</w:t>
      </w:r>
      <w:r>
        <w:rPr>
          <w:rFonts w:hint="eastAsia" w:cs="Times New Roman" w:asciiTheme="minorEastAsia" w:hAnsiTheme="minorEastAsia" w:eastAsiaTheme="minorEastAsia"/>
          <w:color w:val="auto"/>
          <w:szCs w:val="21"/>
          <w:highlight w:val="none"/>
        </w:rPr>
        <w:t>中小企业声明函、残疾人福利性单位声明函及其他符合政策性条件的承诺函</w:t>
      </w:r>
      <w:r>
        <w:rPr>
          <w:rFonts w:hint="eastAsia" w:cs="Times New Roman" w:asciiTheme="minorEastAsia" w:hAnsiTheme="minorEastAsia" w:eastAsiaTheme="minorEastAsia"/>
          <w:color w:val="auto"/>
          <w:szCs w:val="21"/>
          <w:highlight w:val="none"/>
          <w:lang w:eastAsia="zh-CN"/>
        </w:rPr>
        <w:t>（</w:t>
      </w:r>
      <w:r>
        <w:rPr>
          <w:rFonts w:hint="eastAsia" w:cs="Times New Roman" w:asciiTheme="minorEastAsia" w:hAnsiTheme="minorEastAsia" w:eastAsiaTheme="minorEastAsia"/>
          <w:color w:val="auto"/>
          <w:szCs w:val="21"/>
          <w:highlight w:val="none"/>
          <w:lang w:val="en-US" w:eastAsia="zh-CN"/>
        </w:rPr>
        <w:t>如有</w:t>
      </w:r>
      <w:r>
        <w:rPr>
          <w:rFonts w:hint="eastAsia" w:cs="Times New Roman" w:asciiTheme="minorEastAsia" w:hAnsiTheme="minorEastAsia" w:eastAsiaTheme="minorEastAsia"/>
          <w:color w:val="auto"/>
          <w:szCs w:val="21"/>
          <w:highlight w:val="none"/>
          <w:lang w:eastAsia="zh-CN"/>
        </w:rPr>
        <w:t>）</w:t>
      </w:r>
      <w:r>
        <w:rPr>
          <w:rFonts w:hint="eastAsia" w:cs="Times New Roman" w:asciiTheme="minorEastAsia" w:hAnsiTheme="minorEastAsia" w:eastAsiaTheme="minorEastAsia"/>
          <w:color w:val="auto"/>
          <w:szCs w:val="21"/>
          <w:highlight w:val="none"/>
        </w:rPr>
        <w:t>。</w:t>
      </w:r>
    </w:p>
    <w:p w14:paraId="3A53E87A">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lang w:val="en-US" w:eastAsia="zh-CN"/>
        </w:rPr>
        <w:t>4</w:t>
      </w:r>
      <w:r>
        <w:rPr>
          <w:rFonts w:hint="eastAsia" w:asciiTheme="minorEastAsia" w:hAnsiTheme="minorEastAsia" w:eastAsiaTheme="minorEastAsia"/>
          <w:color w:val="auto"/>
          <w:szCs w:val="21"/>
          <w:highlight w:val="none"/>
        </w:rPr>
        <w:t>、</w:t>
      </w:r>
      <w:r>
        <w:rPr>
          <w:rFonts w:hint="eastAsia"/>
          <w:color w:val="auto"/>
          <w:highlight w:val="none"/>
        </w:rPr>
        <w:t>投标人符合特定条件的相关证明文件（如有）；</w:t>
      </w:r>
    </w:p>
    <w:p w14:paraId="585B6FB0">
      <w:pPr>
        <w:spacing w:line="360" w:lineRule="auto"/>
        <w:ind w:right="42" w:rightChars="20" w:firstLine="422"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2、商务技术文件</w:t>
      </w:r>
    </w:p>
    <w:p w14:paraId="5F058256">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2.1、投标声明书；</w:t>
      </w:r>
    </w:p>
    <w:p w14:paraId="11680A66">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2、类似案例成功的业绩</w:t>
      </w:r>
      <w:r>
        <w:rPr>
          <w:rFonts w:hint="eastAsia" w:asciiTheme="minorEastAsia" w:hAnsiTheme="minorEastAsia" w:eastAsiaTheme="minorEastAsia"/>
          <w:b/>
          <w:color w:val="auto"/>
          <w:szCs w:val="21"/>
          <w:highlight w:val="none"/>
        </w:rPr>
        <w:t>（合同复印件并CA签章）</w:t>
      </w:r>
      <w:r>
        <w:rPr>
          <w:rFonts w:hint="eastAsia" w:asciiTheme="minorEastAsia" w:hAnsiTheme="minorEastAsia" w:eastAsiaTheme="minorEastAsia"/>
          <w:color w:val="auto"/>
          <w:szCs w:val="21"/>
          <w:highlight w:val="none"/>
        </w:rPr>
        <w:t>；</w:t>
      </w:r>
    </w:p>
    <w:p w14:paraId="20ECD7C0">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3、与本项目实施相关的投标人各类资质证书、认证证书、许可证等（如信誉荣誉、本地化服务等。</w:t>
      </w:r>
      <w:r>
        <w:rPr>
          <w:rFonts w:hint="eastAsia" w:asciiTheme="minorEastAsia" w:hAnsiTheme="minorEastAsia" w:eastAsiaTheme="minorEastAsia"/>
          <w:b/>
          <w:color w:val="auto"/>
          <w:szCs w:val="21"/>
          <w:highlight w:val="none"/>
        </w:rPr>
        <w:t>提供复印件并CA签章）（如有）</w:t>
      </w:r>
      <w:r>
        <w:rPr>
          <w:rFonts w:hint="eastAsia" w:asciiTheme="minorEastAsia" w:hAnsiTheme="minorEastAsia" w:eastAsiaTheme="minorEastAsia"/>
          <w:color w:val="auto"/>
          <w:szCs w:val="21"/>
          <w:highlight w:val="none"/>
        </w:rPr>
        <w:t>；</w:t>
      </w:r>
    </w:p>
    <w:p w14:paraId="6139225B">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2.4、投标人情况介绍；</w:t>
      </w:r>
    </w:p>
    <w:p w14:paraId="78BB1E92">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2.5、商务、技术响应表；</w:t>
      </w:r>
    </w:p>
    <w:p w14:paraId="786CE7FD">
      <w:pPr>
        <w:snapToGrid w:val="0"/>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2.6、</w:t>
      </w:r>
      <w:r>
        <w:rPr>
          <w:rFonts w:asciiTheme="minorEastAsia" w:hAnsiTheme="minorEastAsia" w:eastAsiaTheme="minorEastAsia"/>
          <w:color w:val="auto"/>
          <w:szCs w:val="21"/>
          <w:highlight w:val="none"/>
        </w:rPr>
        <w:t>项目实施人员一览表</w:t>
      </w:r>
      <w:r>
        <w:rPr>
          <w:rFonts w:hint="eastAsia" w:asciiTheme="minorEastAsia" w:hAnsiTheme="minorEastAsia" w:eastAsiaTheme="minorEastAsia"/>
          <w:color w:val="auto"/>
          <w:szCs w:val="21"/>
          <w:highlight w:val="none"/>
        </w:rPr>
        <w:t>、距采购人最近或者能为本项目提供最优服务的网点情况表</w:t>
      </w:r>
    </w:p>
    <w:p w14:paraId="5A88D03A">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2.7、</w:t>
      </w:r>
      <w:r>
        <w:rPr>
          <w:rFonts w:asciiTheme="minorEastAsia" w:hAnsiTheme="minorEastAsia" w:eastAsiaTheme="minorEastAsia"/>
          <w:color w:val="auto"/>
          <w:szCs w:val="21"/>
          <w:highlight w:val="none"/>
        </w:rPr>
        <w:t>对招标项目的理解</w:t>
      </w:r>
      <w:r>
        <w:rPr>
          <w:rFonts w:hint="eastAsia" w:asciiTheme="minorEastAsia" w:hAnsiTheme="minorEastAsia" w:eastAsiaTheme="minorEastAsia"/>
          <w:color w:val="auto"/>
          <w:szCs w:val="21"/>
          <w:highlight w:val="none"/>
        </w:rPr>
        <w:t>；（格式自拟）</w:t>
      </w:r>
    </w:p>
    <w:p w14:paraId="57DA22C8">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2.8、工作的实施方案；（根据实际情况拟定，结合评分内容编制，格式自拟）</w:t>
      </w:r>
    </w:p>
    <w:p w14:paraId="68C8905A">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2.9、</w:t>
      </w:r>
      <w:r>
        <w:rPr>
          <w:rFonts w:asciiTheme="minorEastAsia" w:hAnsiTheme="minorEastAsia" w:eastAsiaTheme="minorEastAsia"/>
          <w:color w:val="auto"/>
          <w:szCs w:val="21"/>
          <w:highlight w:val="none"/>
        </w:rPr>
        <w:t>进度安排</w:t>
      </w:r>
      <w:r>
        <w:rPr>
          <w:rFonts w:hint="eastAsia" w:asciiTheme="minorEastAsia" w:hAnsiTheme="minorEastAsia" w:eastAsiaTheme="minorEastAsia"/>
          <w:color w:val="auto"/>
          <w:szCs w:val="21"/>
          <w:highlight w:val="none"/>
        </w:rPr>
        <w:t>、质量</w:t>
      </w:r>
      <w:r>
        <w:rPr>
          <w:rFonts w:asciiTheme="minorEastAsia" w:hAnsiTheme="minorEastAsia" w:eastAsiaTheme="minorEastAsia"/>
          <w:color w:val="auto"/>
          <w:szCs w:val="21"/>
          <w:highlight w:val="none"/>
        </w:rPr>
        <w:t>保障</w:t>
      </w:r>
      <w:r>
        <w:rPr>
          <w:rFonts w:hint="eastAsia" w:asciiTheme="minorEastAsia" w:hAnsiTheme="minorEastAsia" w:eastAsiaTheme="minorEastAsia"/>
          <w:color w:val="auto"/>
          <w:szCs w:val="21"/>
          <w:highlight w:val="none"/>
        </w:rPr>
        <w:t>、服务保障；（格式自拟）</w:t>
      </w:r>
    </w:p>
    <w:p w14:paraId="2337E29D">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2.10、拟投入实施设备、备品备件耗材、备机（如需）；（格式自拟，包含品牌、型号、功能等）</w:t>
      </w:r>
    </w:p>
    <w:p w14:paraId="12AC680A">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2.11、</w:t>
      </w:r>
      <w:r>
        <w:rPr>
          <w:rFonts w:asciiTheme="minorEastAsia" w:hAnsiTheme="minorEastAsia" w:eastAsiaTheme="minorEastAsia"/>
          <w:color w:val="auto"/>
          <w:szCs w:val="21"/>
          <w:highlight w:val="none"/>
        </w:rPr>
        <w:t>投标人承诺给予招标人的各种优惠条件，包括售后服务等方面的优惠；</w:t>
      </w:r>
      <w:r>
        <w:rPr>
          <w:rFonts w:hint="eastAsia" w:asciiTheme="minorEastAsia" w:hAnsiTheme="minorEastAsia" w:eastAsiaTheme="minorEastAsia"/>
          <w:color w:val="auto"/>
          <w:szCs w:val="21"/>
          <w:highlight w:val="none"/>
        </w:rPr>
        <w:t>（格式自拟）</w:t>
      </w:r>
    </w:p>
    <w:p w14:paraId="4A1CDA28">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2.12、投标人截止投标时间前三年内的奖惩情况说明，格式自拟.</w:t>
      </w:r>
    </w:p>
    <w:p w14:paraId="5BB6375D">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2.13、投标单位对本项目的合理化建议和改进措施；</w:t>
      </w:r>
    </w:p>
    <w:p w14:paraId="168B9C7F">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2.14、</w:t>
      </w:r>
      <w:r>
        <w:rPr>
          <w:rFonts w:asciiTheme="minorEastAsia" w:hAnsiTheme="minorEastAsia" w:eastAsiaTheme="minorEastAsia"/>
          <w:color w:val="auto"/>
          <w:szCs w:val="21"/>
          <w:highlight w:val="none"/>
        </w:rPr>
        <w:t>投标人需要说明的其他文件和说明（格式</w:t>
      </w:r>
      <w:r>
        <w:rPr>
          <w:rFonts w:hint="eastAsia" w:asciiTheme="minorEastAsia" w:hAnsiTheme="minorEastAsia" w:eastAsiaTheme="minorEastAsia"/>
          <w:color w:val="auto"/>
          <w:szCs w:val="21"/>
          <w:highlight w:val="none"/>
        </w:rPr>
        <w:t>自拟</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w:t>
      </w:r>
    </w:p>
    <w:p w14:paraId="6991F52B">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2.15、未尽事宜请各投标人按评分细则制作。</w:t>
      </w:r>
    </w:p>
    <w:p w14:paraId="4B28DA53">
      <w:pPr>
        <w:spacing w:line="360" w:lineRule="auto"/>
        <w:ind w:right="42" w:rightChars="20" w:firstLine="422" w:firstLineChars="200"/>
        <w:jc w:val="left"/>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3、投标报价文件：</w:t>
      </w:r>
    </w:p>
    <w:p w14:paraId="6A5A114A">
      <w:pPr>
        <w:tabs>
          <w:tab w:val="left" w:pos="3870"/>
          <w:tab w:val="left" w:pos="4085"/>
        </w:tabs>
        <w:snapToGrid w:val="0"/>
        <w:spacing w:line="360" w:lineRule="auto"/>
        <w:ind w:right="42" w:rightChars="20" w:firstLine="420" w:firstLineChars="200"/>
        <w:jc w:val="left"/>
        <w:rPr>
          <w:rFonts w:hint="eastAsia" w:cs="Times New Roman"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r>
        <w:rPr>
          <w:rFonts w:hint="eastAsia" w:cs="Times New Roman" w:asciiTheme="minorEastAsia" w:hAnsiTheme="minorEastAsia" w:eastAsiaTheme="minorEastAsia"/>
          <w:color w:val="auto"/>
          <w:szCs w:val="21"/>
          <w:highlight w:val="none"/>
        </w:rPr>
        <w:t xml:space="preserve">.1、投标函； </w:t>
      </w:r>
    </w:p>
    <w:p w14:paraId="0B6A8128">
      <w:pPr>
        <w:tabs>
          <w:tab w:val="left" w:pos="3870"/>
          <w:tab w:val="left" w:pos="4085"/>
        </w:tabs>
        <w:snapToGrid w:val="0"/>
        <w:spacing w:line="360" w:lineRule="auto"/>
        <w:ind w:right="42" w:rightChars="20" w:firstLine="420" w:firstLineChars="200"/>
        <w:jc w:val="left"/>
        <w:rPr>
          <w:rFonts w:hint="eastAsia"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rPr>
        <w:t>3.2、开标一览表；</w:t>
      </w:r>
    </w:p>
    <w:p w14:paraId="0B0E1B41">
      <w:pPr>
        <w:tabs>
          <w:tab w:val="left" w:pos="3870"/>
          <w:tab w:val="left" w:pos="4085"/>
        </w:tabs>
        <w:snapToGrid w:val="0"/>
        <w:spacing w:line="360" w:lineRule="auto"/>
        <w:ind w:right="42" w:rightChars="20" w:firstLine="420" w:firstLineChars="200"/>
        <w:jc w:val="left"/>
        <w:rPr>
          <w:rFonts w:hint="default" w:cs="Times New Roman" w:asciiTheme="minorEastAsia" w:hAnsiTheme="minorEastAsia" w:eastAsiaTheme="minorEastAsia"/>
          <w:color w:val="auto"/>
          <w:szCs w:val="21"/>
          <w:highlight w:val="none"/>
          <w:lang w:val="en-US" w:eastAsia="zh-CN"/>
        </w:rPr>
      </w:pPr>
      <w:r>
        <w:rPr>
          <w:rFonts w:hint="eastAsia" w:cs="Times New Roman" w:asciiTheme="minorEastAsia" w:hAnsiTheme="minorEastAsia" w:eastAsiaTheme="minorEastAsia"/>
          <w:color w:val="auto"/>
          <w:szCs w:val="21"/>
          <w:highlight w:val="none"/>
        </w:rPr>
        <w:t>3.3、分项报价明细表；</w:t>
      </w:r>
    </w:p>
    <w:p w14:paraId="189F146B">
      <w:pPr>
        <w:tabs>
          <w:tab w:val="left" w:pos="3870"/>
          <w:tab w:val="left" w:pos="4085"/>
        </w:tabs>
        <w:snapToGrid w:val="0"/>
        <w:spacing w:line="360" w:lineRule="auto"/>
        <w:ind w:right="42" w:rightChars="20" w:firstLine="420" w:firstLineChars="200"/>
        <w:jc w:val="left"/>
        <w:rPr>
          <w:rFonts w:hint="eastAsia"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lang w:val="en-US" w:eastAsia="zh-CN"/>
        </w:rPr>
        <w:t>3.4</w:t>
      </w:r>
      <w:r>
        <w:rPr>
          <w:rFonts w:hint="eastAsia" w:cs="Times New Roman" w:asciiTheme="minorEastAsia" w:hAnsiTheme="minorEastAsia" w:eastAsiaTheme="minorEastAsia"/>
          <w:color w:val="auto"/>
          <w:szCs w:val="21"/>
          <w:highlight w:val="none"/>
        </w:rPr>
        <w:t>、投标人针对报价需要说明的其他文件和说明。</w:t>
      </w:r>
    </w:p>
    <w:bookmarkEnd w:id="181"/>
    <w:p w14:paraId="2476B8E1">
      <w:pPr>
        <w:snapToGrid w:val="0"/>
        <w:spacing w:line="360" w:lineRule="auto"/>
        <w:ind w:right="42" w:rightChars="20" w:firstLine="420" w:firstLineChars="200"/>
        <w:jc w:val="left"/>
        <w:outlineLvl w:val="1"/>
        <w:rPr>
          <w:rFonts w:asciiTheme="minorEastAsia" w:hAnsiTheme="minorEastAsia" w:eastAsiaTheme="minorEastAsia"/>
          <w:color w:val="auto"/>
          <w:szCs w:val="21"/>
          <w:highlight w:val="none"/>
        </w:rPr>
      </w:pPr>
      <w:bookmarkStart w:id="194" w:name="_Toc493511656"/>
      <w:bookmarkStart w:id="195" w:name="_Toc50012865"/>
      <w:bookmarkStart w:id="196" w:name="_Toc8745"/>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注：法定代表人授权委托书、投标声明书、投标函、开标一览表必须由法定代表人</w:t>
      </w:r>
      <w:r>
        <w:rPr>
          <w:rFonts w:hint="eastAsia" w:asciiTheme="minorEastAsia" w:hAnsiTheme="minorEastAsia" w:eastAsiaTheme="minorEastAsia"/>
          <w:color w:val="auto"/>
          <w:szCs w:val="21"/>
          <w:highlight w:val="none"/>
        </w:rPr>
        <w:t>或负责人或授权代表</w:t>
      </w:r>
      <w:r>
        <w:rPr>
          <w:rFonts w:asciiTheme="minorEastAsia" w:hAnsiTheme="minorEastAsia" w:eastAsiaTheme="minorEastAsia"/>
          <w:color w:val="auto"/>
          <w:szCs w:val="21"/>
          <w:highlight w:val="none"/>
        </w:rPr>
        <w:t>签名并加盖单位公章。</w:t>
      </w:r>
      <w:bookmarkEnd w:id="194"/>
      <w:bookmarkEnd w:id="195"/>
      <w:bookmarkEnd w:id="196"/>
    </w:p>
    <w:bookmarkEnd w:id="182"/>
    <w:bookmarkEnd w:id="183"/>
    <w:bookmarkEnd w:id="184"/>
    <w:bookmarkEnd w:id="185"/>
    <w:p w14:paraId="28CFFA91">
      <w:pPr>
        <w:snapToGrid w:val="0"/>
        <w:spacing w:line="360" w:lineRule="auto"/>
        <w:ind w:right="42" w:rightChars="20" w:firstLine="422" w:firstLineChars="200"/>
        <w:jc w:val="left"/>
        <w:outlineLvl w:val="0"/>
        <w:rPr>
          <w:rFonts w:asciiTheme="minorEastAsia" w:hAnsiTheme="minorEastAsia" w:eastAsiaTheme="minorEastAsia"/>
          <w:b/>
          <w:color w:val="auto"/>
          <w:szCs w:val="21"/>
          <w:highlight w:val="none"/>
        </w:rPr>
      </w:pPr>
      <w:bookmarkStart w:id="197" w:name="_Toc406402946"/>
      <w:bookmarkStart w:id="198" w:name="_Toc33535360"/>
      <w:bookmarkStart w:id="199" w:name="_Toc385854146"/>
      <w:bookmarkStart w:id="200" w:name="_Toc406402990"/>
      <w:bookmarkStart w:id="201" w:name="_Toc402963117"/>
      <w:bookmarkStart w:id="202" w:name="_Toc402963084"/>
      <w:bookmarkStart w:id="203" w:name="_Toc31513"/>
      <w:bookmarkStart w:id="204" w:name="_Toc385854100"/>
      <w:bookmarkStart w:id="205" w:name="_Toc50012866"/>
      <w:bookmarkStart w:id="206" w:name="_Toc493511751"/>
      <w:r>
        <w:rPr>
          <w:rFonts w:hint="eastAsia" w:asciiTheme="minorEastAsia" w:hAnsiTheme="minorEastAsia" w:eastAsiaTheme="minorEastAsia"/>
          <w:b/>
          <w:color w:val="auto"/>
          <w:szCs w:val="21"/>
          <w:highlight w:val="none"/>
        </w:rPr>
        <w:t>（二）投标文件的语言及计量</w:t>
      </w:r>
      <w:bookmarkEnd w:id="197"/>
      <w:bookmarkEnd w:id="198"/>
      <w:bookmarkEnd w:id="199"/>
      <w:bookmarkEnd w:id="200"/>
      <w:bookmarkEnd w:id="201"/>
      <w:bookmarkEnd w:id="202"/>
      <w:bookmarkEnd w:id="203"/>
      <w:bookmarkEnd w:id="204"/>
      <w:bookmarkEnd w:id="205"/>
    </w:p>
    <w:p w14:paraId="3D037E29">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投标文件以及投标方与</w:t>
      </w:r>
      <w:r>
        <w:rPr>
          <w:rFonts w:hint="eastAsia" w:asciiTheme="minorEastAsia" w:hAnsiTheme="minorEastAsia" w:eastAsiaTheme="minorEastAsia"/>
          <w:color w:val="auto"/>
          <w:szCs w:val="21"/>
          <w:highlight w:val="none"/>
        </w:rPr>
        <w:t>采购人</w:t>
      </w:r>
      <w:r>
        <w:rPr>
          <w:rFonts w:asciiTheme="minorEastAsia" w:hAnsiTheme="minorEastAsia" w:eastAsiaTheme="minorEastAsia"/>
          <w:color w:val="auto"/>
          <w:szCs w:val="21"/>
          <w:highlight w:val="none"/>
        </w:rPr>
        <w:t>就有关投标事宜的所有来往函电，均应以中文汉语书写。除签名、盖章、专用名称等特殊情形外，以中文汉语以外的文字表述的投标文件视同未提供。</w:t>
      </w:r>
    </w:p>
    <w:p w14:paraId="1F577DCD">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投标计量单位，招标文件已有明确规定的，使用招标文件规定的计量单位；招标文件没有规定的，应采用中华人民共和国法定计量单位（货币单位：人民币元），否则视同未响应。</w:t>
      </w:r>
    </w:p>
    <w:p w14:paraId="502B1F49">
      <w:pPr>
        <w:snapToGrid w:val="0"/>
        <w:spacing w:line="360" w:lineRule="auto"/>
        <w:ind w:right="42" w:rightChars="20" w:firstLine="422" w:firstLineChars="200"/>
        <w:contextualSpacing/>
        <w:jc w:val="left"/>
        <w:outlineLvl w:val="0"/>
        <w:rPr>
          <w:rFonts w:asciiTheme="minorEastAsia" w:hAnsiTheme="minorEastAsia" w:eastAsiaTheme="minorEastAsia"/>
          <w:b/>
          <w:color w:val="auto"/>
          <w:szCs w:val="21"/>
          <w:highlight w:val="none"/>
        </w:rPr>
      </w:pPr>
      <w:bookmarkStart w:id="207" w:name="_Toc33535361"/>
      <w:bookmarkStart w:id="208" w:name="_Toc406402947"/>
      <w:bookmarkStart w:id="209" w:name="_Toc18686"/>
      <w:bookmarkStart w:id="210" w:name="_Toc385854101"/>
      <w:bookmarkStart w:id="211" w:name="_Toc402963085"/>
      <w:bookmarkStart w:id="212" w:name="_Toc50012867"/>
      <w:bookmarkStart w:id="213" w:name="_Toc385854147"/>
      <w:bookmarkStart w:id="214" w:name="_Toc402963118"/>
      <w:bookmarkStart w:id="215" w:name="_Toc406402991"/>
      <w:r>
        <w:rPr>
          <w:rFonts w:hint="eastAsia" w:asciiTheme="minorEastAsia" w:hAnsiTheme="minorEastAsia" w:eastAsiaTheme="minorEastAsia"/>
          <w:b/>
          <w:color w:val="auto"/>
          <w:szCs w:val="21"/>
          <w:highlight w:val="none"/>
        </w:rPr>
        <w:t>（三）投标报价</w:t>
      </w:r>
      <w:bookmarkEnd w:id="207"/>
      <w:bookmarkEnd w:id="208"/>
      <w:bookmarkEnd w:id="209"/>
      <w:bookmarkEnd w:id="210"/>
      <w:bookmarkEnd w:id="211"/>
      <w:bookmarkEnd w:id="212"/>
      <w:bookmarkEnd w:id="213"/>
      <w:bookmarkEnd w:id="214"/>
      <w:bookmarkEnd w:id="215"/>
    </w:p>
    <w:p w14:paraId="2883B507">
      <w:pPr>
        <w:pStyle w:val="13"/>
        <w:widowControl w:val="0"/>
        <w:tabs>
          <w:tab w:val="clear" w:pos="454"/>
        </w:tabs>
        <w:snapToGrid w:val="0"/>
        <w:spacing w:afterLines="0" w:line="360" w:lineRule="auto"/>
        <w:ind w:left="0" w:right="42" w:rightChars="20" w:firstLine="480" w:firstLineChars="200"/>
        <w:contextualSpacing/>
        <w:rPr>
          <w:rFonts w:asciiTheme="minorEastAsia" w:hAnsiTheme="minorEastAsia" w:eastAsiaTheme="minorEastAsia"/>
          <w:color w:val="auto"/>
          <w:sz w:val="21"/>
          <w:szCs w:val="21"/>
          <w:highlight w:val="none"/>
        </w:rPr>
      </w:pPr>
      <w:r>
        <w:rPr>
          <w:rFonts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投标报价</w:t>
      </w:r>
      <w:r>
        <w:rPr>
          <w:rFonts w:asciiTheme="minorEastAsia" w:hAnsiTheme="minorEastAsia" w:eastAsiaTheme="minorEastAsia"/>
          <w:color w:val="auto"/>
          <w:sz w:val="21"/>
          <w:szCs w:val="21"/>
          <w:highlight w:val="none"/>
        </w:rPr>
        <w:t>应按招标文件中相关附表格式填写。</w:t>
      </w:r>
    </w:p>
    <w:p w14:paraId="158BD094">
      <w:pPr>
        <w:pStyle w:val="13"/>
        <w:widowControl w:val="0"/>
        <w:tabs>
          <w:tab w:val="clear" w:pos="454"/>
        </w:tabs>
        <w:snapToGrid w:val="0"/>
        <w:spacing w:afterLines="0" w:line="360" w:lineRule="auto"/>
        <w:ind w:left="0" w:right="42" w:rightChars="20" w:firstLine="420" w:firstLineChars="200"/>
        <w:contextualSpacing/>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2</w:t>
      </w:r>
      <w:r>
        <w:rPr>
          <w:rFonts w:hint="eastAsia"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lang w:val="en-US" w:eastAsia="zh-CN"/>
        </w:rPr>
        <w:t>投标报价是履行合同的最终价格，完成合同所需的一切本身和不可或缺的所有工作开支、政策性文件规定及合同包含的所有风险、责任等各项全部费用并承担一切风险责任</w:t>
      </w:r>
      <w:r>
        <w:rPr>
          <w:rFonts w:hint="eastAsia" w:asciiTheme="minorEastAsia" w:hAnsiTheme="minorEastAsia" w:eastAsiaTheme="minorEastAsia"/>
          <w:color w:val="auto"/>
          <w:sz w:val="21"/>
          <w:szCs w:val="21"/>
          <w:highlight w:val="none"/>
        </w:rPr>
        <w:t>。</w:t>
      </w:r>
    </w:p>
    <w:p w14:paraId="7A6F6AA0">
      <w:pPr>
        <w:pStyle w:val="13"/>
        <w:widowControl w:val="0"/>
        <w:tabs>
          <w:tab w:val="clear" w:pos="454"/>
        </w:tabs>
        <w:snapToGrid w:val="0"/>
        <w:spacing w:afterLines="0" w:line="360" w:lineRule="auto"/>
        <w:ind w:left="0" w:right="42" w:rightChars="20" w:firstLine="420" w:firstLineChars="200"/>
        <w:contextualSpacing/>
        <w:rPr>
          <w:rFonts w:asciiTheme="minorEastAsia" w:hAnsiTheme="minorEastAsia" w:eastAsiaTheme="minorEastAsia"/>
          <w:color w:val="auto"/>
          <w:szCs w:val="21"/>
          <w:highlight w:val="none"/>
        </w:rPr>
      </w:pPr>
      <w:r>
        <w:rPr>
          <w:rFonts w:asciiTheme="minorEastAsia" w:hAnsiTheme="minorEastAsia" w:eastAsiaTheme="minorEastAsia"/>
          <w:color w:val="auto"/>
          <w:sz w:val="21"/>
          <w:szCs w:val="21"/>
          <w:highlight w:val="none"/>
        </w:rPr>
        <w:t>3</w:t>
      </w:r>
      <w:r>
        <w:rPr>
          <w:rFonts w:hint="eastAsia" w:asciiTheme="minorEastAsia" w:hAnsiTheme="minorEastAsia" w:eastAsiaTheme="minorEastAsia"/>
          <w:color w:val="auto"/>
          <w:sz w:val="21"/>
          <w:szCs w:val="21"/>
          <w:highlight w:val="none"/>
        </w:rPr>
        <w:t>、</w:t>
      </w:r>
      <w:r>
        <w:rPr>
          <w:rFonts w:asciiTheme="minorEastAsia" w:hAnsiTheme="minorEastAsia" w:eastAsiaTheme="minorEastAsia"/>
          <w:color w:val="auto"/>
          <w:sz w:val="21"/>
          <w:szCs w:val="21"/>
          <w:highlight w:val="none"/>
        </w:rPr>
        <w:t>投标文件只允许有一个报价，有选</w:t>
      </w:r>
      <w:r>
        <w:rPr>
          <w:rFonts w:asciiTheme="minorEastAsia" w:hAnsiTheme="minorEastAsia" w:eastAsiaTheme="minorEastAsia"/>
          <w:color w:val="auto"/>
          <w:szCs w:val="21"/>
          <w:highlight w:val="none"/>
        </w:rPr>
        <w:t>择的</w:t>
      </w:r>
      <w:r>
        <w:rPr>
          <w:rFonts w:hint="eastAsia" w:asciiTheme="minorEastAsia" w:hAnsiTheme="minorEastAsia" w:eastAsiaTheme="minorEastAsia"/>
          <w:color w:val="auto"/>
          <w:szCs w:val="21"/>
          <w:highlight w:val="none"/>
        </w:rPr>
        <w:t>或有条件的</w:t>
      </w:r>
      <w:r>
        <w:rPr>
          <w:rFonts w:asciiTheme="minorEastAsia" w:hAnsiTheme="minorEastAsia" w:eastAsiaTheme="minorEastAsia"/>
          <w:color w:val="auto"/>
          <w:szCs w:val="21"/>
          <w:highlight w:val="none"/>
        </w:rPr>
        <w:t>报价将不予接受。</w:t>
      </w:r>
    </w:p>
    <w:p w14:paraId="6CF53B5C">
      <w:pPr>
        <w:pStyle w:val="13"/>
        <w:widowControl w:val="0"/>
        <w:tabs>
          <w:tab w:val="clear" w:pos="454"/>
        </w:tabs>
        <w:snapToGrid w:val="0"/>
        <w:spacing w:afterLines="0" w:line="360" w:lineRule="auto"/>
        <w:ind w:left="0" w:right="42" w:rightChars="20" w:firstLine="422" w:firstLineChars="200"/>
        <w:contextualSpacing/>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（四）投标文件的有效期</w:t>
      </w:r>
    </w:p>
    <w:p w14:paraId="36F261FD">
      <w:pPr>
        <w:pStyle w:val="13"/>
        <w:widowControl w:val="0"/>
        <w:tabs>
          <w:tab w:val="left" w:pos="4500"/>
          <w:tab w:val="clear" w:pos="454"/>
        </w:tabs>
        <w:snapToGrid w:val="0"/>
        <w:spacing w:afterLines="0" w:line="360" w:lineRule="auto"/>
        <w:ind w:left="0" w:right="42" w:rightChars="20" w:firstLine="420" w:firstLineChars="200"/>
        <w:contextualSpacing/>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1</w:t>
      </w:r>
      <w:r>
        <w:rPr>
          <w:rFonts w:hint="eastAsia" w:asciiTheme="minorEastAsia" w:hAnsiTheme="minorEastAsia" w:eastAsiaTheme="minorEastAsia"/>
          <w:color w:val="auto"/>
          <w:sz w:val="21"/>
          <w:szCs w:val="21"/>
          <w:highlight w:val="none"/>
        </w:rPr>
        <w:t>、</w:t>
      </w:r>
      <w:r>
        <w:rPr>
          <w:rFonts w:asciiTheme="minorEastAsia" w:hAnsiTheme="minorEastAsia" w:eastAsiaTheme="minorEastAsia"/>
          <w:color w:val="auto"/>
          <w:sz w:val="21"/>
          <w:szCs w:val="21"/>
          <w:highlight w:val="none"/>
        </w:rPr>
        <w:t>自投标截止日起</w:t>
      </w:r>
      <w:r>
        <w:rPr>
          <w:rFonts w:hint="eastAsia" w:asciiTheme="minorEastAsia" w:hAnsiTheme="minorEastAsia" w:eastAsiaTheme="minorEastAsia"/>
          <w:color w:val="auto"/>
          <w:sz w:val="21"/>
          <w:szCs w:val="21"/>
          <w:highlight w:val="none"/>
          <w:u w:val="single"/>
        </w:rPr>
        <w:t>60</w:t>
      </w:r>
      <w:r>
        <w:rPr>
          <w:rFonts w:asciiTheme="minorEastAsia" w:hAnsiTheme="minorEastAsia" w:eastAsiaTheme="minorEastAsia"/>
          <w:color w:val="auto"/>
          <w:sz w:val="21"/>
          <w:szCs w:val="21"/>
          <w:highlight w:val="none"/>
        </w:rPr>
        <w:t>天投标</w:t>
      </w:r>
      <w:r>
        <w:rPr>
          <w:rFonts w:hint="eastAsia" w:asciiTheme="minorEastAsia" w:hAnsiTheme="minorEastAsia" w:eastAsiaTheme="minorEastAsia"/>
          <w:color w:val="auto"/>
          <w:sz w:val="21"/>
          <w:szCs w:val="21"/>
          <w:highlight w:val="none"/>
        </w:rPr>
        <w:t>文件</w:t>
      </w:r>
      <w:r>
        <w:rPr>
          <w:rFonts w:asciiTheme="minorEastAsia" w:hAnsiTheme="minorEastAsia" w:eastAsiaTheme="minorEastAsia"/>
          <w:color w:val="auto"/>
          <w:sz w:val="21"/>
          <w:szCs w:val="21"/>
          <w:highlight w:val="none"/>
        </w:rPr>
        <w:t>应保持有效。有效期</w:t>
      </w:r>
      <w:r>
        <w:rPr>
          <w:rFonts w:hint="eastAsia" w:asciiTheme="minorEastAsia" w:hAnsiTheme="minorEastAsia" w:eastAsiaTheme="minorEastAsia"/>
          <w:color w:val="auto"/>
          <w:sz w:val="21"/>
          <w:szCs w:val="21"/>
          <w:highlight w:val="none"/>
        </w:rPr>
        <w:t>不足</w:t>
      </w:r>
      <w:r>
        <w:rPr>
          <w:rFonts w:asciiTheme="minorEastAsia" w:hAnsiTheme="minorEastAsia" w:eastAsiaTheme="minorEastAsia"/>
          <w:color w:val="auto"/>
          <w:sz w:val="21"/>
          <w:szCs w:val="21"/>
          <w:highlight w:val="none"/>
        </w:rPr>
        <w:t>的投标</w:t>
      </w:r>
      <w:r>
        <w:rPr>
          <w:rFonts w:hint="eastAsia" w:asciiTheme="minorEastAsia" w:hAnsiTheme="minorEastAsia" w:eastAsiaTheme="minorEastAsia"/>
          <w:color w:val="auto"/>
          <w:sz w:val="21"/>
          <w:szCs w:val="21"/>
          <w:highlight w:val="none"/>
        </w:rPr>
        <w:t>文件</w:t>
      </w:r>
      <w:r>
        <w:rPr>
          <w:rFonts w:asciiTheme="minorEastAsia" w:hAnsiTheme="minorEastAsia" w:eastAsiaTheme="minorEastAsia"/>
          <w:color w:val="auto"/>
          <w:sz w:val="21"/>
          <w:szCs w:val="21"/>
          <w:highlight w:val="none"/>
        </w:rPr>
        <w:t>将被拒绝。</w:t>
      </w:r>
    </w:p>
    <w:p w14:paraId="2DD852E4">
      <w:pPr>
        <w:pStyle w:val="13"/>
        <w:widowControl w:val="0"/>
        <w:tabs>
          <w:tab w:val="clear" w:pos="454"/>
        </w:tabs>
        <w:snapToGrid w:val="0"/>
        <w:spacing w:afterLines="0" w:line="360" w:lineRule="auto"/>
        <w:ind w:left="0" w:right="42" w:rightChars="20" w:firstLine="420" w:firstLineChars="200"/>
        <w:contextualSpacing/>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2</w:t>
      </w:r>
      <w:r>
        <w:rPr>
          <w:rFonts w:hint="eastAsia" w:asciiTheme="minorEastAsia" w:hAnsiTheme="minorEastAsia" w:eastAsiaTheme="minorEastAsia"/>
          <w:color w:val="auto"/>
          <w:sz w:val="21"/>
          <w:szCs w:val="21"/>
          <w:highlight w:val="none"/>
        </w:rPr>
        <w:t>、</w:t>
      </w:r>
      <w:r>
        <w:rPr>
          <w:rFonts w:asciiTheme="minorEastAsia" w:hAnsiTheme="minorEastAsia" w:eastAsiaTheme="minorEastAsia"/>
          <w:color w:val="auto"/>
          <w:sz w:val="21"/>
          <w:szCs w:val="21"/>
          <w:highlight w:val="none"/>
        </w:rPr>
        <w:t>在特殊情况下，</w:t>
      </w:r>
      <w:r>
        <w:rPr>
          <w:rFonts w:hint="eastAsia" w:asciiTheme="minorEastAsia" w:hAnsiTheme="minorEastAsia" w:eastAsiaTheme="minorEastAsia"/>
          <w:color w:val="auto"/>
          <w:sz w:val="21"/>
          <w:szCs w:val="21"/>
          <w:highlight w:val="none"/>
        </w:rPr>
        <w:t>采购人</w:t>
      </w:r>
      <w:r>
        <w:rPr>
          <w:rFonts w:asciiTheme="minorEastAsia" w:hAnsiTheme="minorEastAsia" w:eastAsiaTheme="minorEastAsia"/>
          <w:color w:val="auto"/>
          <w:sz w:val="21"/>
          <w:szCs w:val="21"/>
          <w:highlight w:val="none"/>
        </w:rPr>
        <w:t>可与投标人协商延长投标书的有效期，这种要求和答复均以书面形式进行。</w:t>
      </w:r>
    </w:p>
    <w:p w14:paraId="26CB50F4">
      <w:pPr>
        <w:pStyle w:val="13"/>
        <w:widowControl w:val="0"/>
        <w:tabs>
          <w:tab w:val="left" w:pos="4500"/>
          <w:tab w:val="clear" w:pos="454"/>
        </w:tabs>
        <w:snapToGrid w:val="0"/>
        <w:spacing w:afterLines="0" w:line="360" w:lineRule="auto"/>
        <w:ind w:left="0" w:right="42" w:rightChars="20" w:firstLine="420" w:firstLineChars="200"/>
        <w:contextualSpacing/>
        <w:rPr>
          <w:rFonts w:asciiTheme="minorEastAsia" w:hAnsiTheme="minorEastAsia" w:eastAsiaTheme="minorEastAsia"/>
          <w:color w:val="auto"/>
          <w:sz w:val="21"/>
          <w:szCs w:val="21"/>
          <w:highlight w:val="none"/>
        </w:rPr>
      </w:pPr>
      <w:bookmarkStart w:id="216" w:name="_Toc385854102"/>
      <w:bookmarkStart w:id="217" w:name="_Toc402963119"/>
      <w:bookmarkStart w:id="218" w:name="_Toc50012868"/>
      <w:bookmarkStart w:id="219" w:name="_Toc406402992"/>
      <w:bookmarkStart w:id="220" w:name="_Toc406402948"/>
      <w:bookmarkStart w:id="221" w:name="_Toc33535362"/>
      <w:bookmarkStart w:id="222" w:name="_Toc385854148"/>
      <w:bookmarkStart w:id="223" w:name="_Toc402963086"/>
      <w:r>
        <w:rPr>
          <w:rFonts w:asciiTheme="minorEastAsia" w:hAnsiTheme="minorEastAsia" w:eastAsiaTheme="minorEastAsia"/>
          <w:color w:val="auto"/>
          <w:sz w:val="21"/>
          <w:szCs w:val="21"/>
          <w:highlight w:val="none"/>
        </w:rPr>
        <w:t>3</w:t>
      </w:r>
      <w:r>
        <w:rPr>
          <w:rFonts w:hint="eastAsia" w:asciiTheme="minorEastAsia" w:hAnsiTheme="minorEastAsia" w:eastAsiaTheme="minorEastAsia"/>
          <w:color w:val="auto"/>
          <w:sz w:val="21"/>
          <w:szCs w:val="21"/>
          <w:highlight w:val="none"/>
        </w:rPr>
        <w:t>、</w:t>
      </w:r>
      <w:r>
        <w:rPr>
          <w:rFonts w:asciiTheme="minorEastAsia" w:hAnsiTheme="minorEastAsia" w:eastAsiaTheme="minorEastAsia"/>
          <w:color w:val="auto"/>
          <w:sz w:val="21"/>
          <w:szCs w:val="21"/>
          <w:highlight w:val="none"/>
        </w:rPr>
        <w:t>投标人可拒绝接受延期要求。同意延长有效期的投标人不能修改投标文件。</w:t>
      </w:r>
      <w:bookmarkEnd w:id="216"/>
      <w:bookmarkEnd w:id="217"/>
      <w:bookmarkEnd w:id="218"/>
      <w:bookmarkEnd w:id="219"/>
      <w:bookmarkEnd w:id="220"/>
      <w:bookmarkEnd w:id="221"/>
      <w:bookmarkEnd w:id="222"/>
      <w:bookmarkEnd w:id="223"/>
    </w:p>
    <w:p w14:paraId="70363FB5">
      <w:pPr>
        <w:pStyle w:val="13"/>
        <w:widowControl w:val="0"/>
        <w:tabs>
          <w:tab w:val="left" w:pos="4500"/>
          <w:tab w:val="clear" w:pos="454"/>
        </w:tabs>
        <w:snapToGrid w:val="0"/>
        <w:spacing w:afterLines="0" w:line="360" w:lineRule="auto"/>
        <w:ind w:left="0" w:right="42" w:rightChars="20" w:firstLine="420" w:firstLineChars="200"/>
        <w:contextualSpacing/>
        <w:rPr>
          <w:rFonts w:asciiTheme="minorEastAsia" w:hAnsiTheme="minorEastAsia" w:eastAsiaTheme="minorEastAsia"/>
          <w:color w:val="auto"/>
          <w:sz w:val="21"/>
          <w:szCs w:val="21"/>
          <w:highlight w:val="none"/>
        </w:rPr>
      </w:pPr>
      <w:bookmarkStart w:id="224" w:name="_Toc406402949"/>
      <w:bookmarkStart w:id="225" w:name="_Toc385854149"/>
      <w:bookmarkStart w:id="226" w:name="_Toc402963120"/>
      <w:bookmarkStart w:id="227" w:name="_Toc50012869"/>
      <w:bookmarkStart w:id="228" w:name="_Toc402963087"/>
      <w:bookmarkStart w:id="229" w:name="_Toc33535363"/>
      <w:bookmarkStart w:id="230" w:name="_Toc385854103"/>
      <w:bookmarkStart w:id="231" w:name="_Toc406402993"/>
      <w:r>
        <w:rPr>
          <w:rFonts w:asciiTheme="minorEastAsia" w:hAnsiTheme="minorEastAsia" w:eastAsiaTheme="minorEastAsia"/>
          <w:color w:val="auto"/>
          <w:sz w:val="21"/>
          <w:szCs w:val="21"/>
          <w:highlight w:val="none"/>
        </w:rPr>
        <w:t>4</w:t>
      </w:r>
      <w:r>
        <w:rPr>
          <w:rFonts w:hint="eastAsia" w:asciiTheme="minorEastAsia" w:hAnsiTheme="minorEastAsia" w:eastAsiaTheme="minorEastAsia"/>
          <w:color w:val="auto"/>
          <w:sz w:val="21"/>
          <w:szCs w:val="21"/>
          <w:highlight w:val="none"/>
        </w:rPr>
        <w:t>、</w:t>
      </w:r>
      <w:r>
        <w:rPr>
          <w:rFonts w:asciiTheme="minorEastAsia" w:hAnsiTheme="minorEastAsia" w:eastAsiaTheme="minorEastAsia"/>
          <w:color w:val="auto"/>
          <w:sz w:val="21"/>
          <w:szCs w:val="21"/>
          <w:highlight w:val="none"/>
        </w:rPr>
        <w:t>中标人的投标文件自开标之日起至合同履行完毕止均应保持有效。</w:t>
      </w:r>
      <w:bookmarkEnd w:id="224"/>
      <w:bookmarkEnd w:id="225"/>
      <w:bookmarkEnd w:id="226"/>
      <w:bookmarkEnd w:id="227"/>
      <w:bookmarkEnd w:id="228"/>
      <w:bookmarkEnd w:id="229"/>
      <w:bookmarkEnd w:id="230"/>
      <w:bookmarkEnd w:id="231"/>
    </w:p>
    <w:p w14:paraId="052B277C">
      <w:pPr>
        <w:snapToGrid w:val="0"/>
        <w:spacing w:line="360" w:lineRule="auto"/>
        <w:ind w:right="42" w:rightChars="20" w:firstLine="422" w:firstLineChars="200"/>
        <w:contextualSpacing/>
        <w:jc w:val="left"/>
        <w:outlineLvl w:val="0"/>
        <w:rPr>
          <w:rFonts w:asciiTheme="minorEastAsia" w:hAnsiTheme="minorEastAsia" w:eastAsiaTheme="minorEastAsia"/>
          <w:b/>
          <w:color w:val="auto"/>
          <w:szCs w:val="21"/>
          <w:highlight w:val="none"/>
        </w:rPr>
      </w:pPr>
      <w:bookmarkStart w:id="232" w:name="_Toc50012870"/>
      <w:bookmarkStart w:id="233" w:name="_Toc406402951"/>
      <w:bookmarkStart w:id="234" w:name="_Toc16226"/>
      <w:bookmarkStart w:id="235" w:name="_Toc402963122"/>
      <w:bookmarkStart w:id="236" w:name="_Toc385854151"/>
      <w:bookmarkStart w:id="237" w:name="_Toc33535364"/>
      <w:bookmarkStart w:id="238" w:name="_Toc402963089"/>
      <w:bookmarkStart w:id="239" w:name="_Toc385854105"/>
      <w:bookmarkStart w:id="240" w:name="_Toc406402995"/>
      <w:r>
        <w:rPr>
          <w:rFonts w:hint="eastAsia" w:asciiTheme="minorEastAsia" w:hAnsiTheme="minorEastAsia" w:eastAsiaTheme="minorEastAsia"/>
          <w:b/>
          <w:color w:val="auto"/>
          <w:szCs w:val="21"/>
          <w:highlight w:val="none"/>
        </w:rPr>
        <w:t>（五）投标文件的签署和份数</w:t>
      </w:r>
      <w:bookmarkEnd w:id="232"/>
      <w:bookmarkEnd w:id="233"/>
      <w:bookmarkEnd w:id="234"/>
      <w:bookmarkEnd w:id="235"/>
      <w:bookmarkEnd w:id="236"/>
      <w:bookmarkEnd w:id="237"/>
      <w:bookmarkEnd w:id="238"/>
      <w:bookmarkEnd w:id="239"/>
      <w:bookmarkEnd w:id="240"/>
    </w:p>
    <w:p w14:paraId="39C21DF4">
      <w:pPr>
        <w:snapToGrid w:val="0"/>
        <w:spacing w:line="360" w:lineRule="auto"/>
        <w:ind w:right="42" w:rightChars="20" w:firstLine="420" w:firstLineChars="200"/>
        <w:contextualSpacing/>
        <w:jc w:val="left"/>
        <w:outlineLvl w:val="0"/>
        <w:rPr>
          <w:rFonts w:cs="微软雅黑" w:asciiTheme="minorEastAsia" w:hAnsiTheme="minorEastAsia" w:eastAsiaTheme="minorEastAsia"/>
          <w:b/>
          <w:bCs/>
          <w:color w:val="auto"/>
          <w:szCs w:val="21"/>
          <w:highlight w:val="none"/>
        </w:rPr>
      </w:pPr>
      <w:bookmarkStart w:id="241" w:name="_Toc50012871"/>
      <w:bookmarkStart w:id="242" w:name="_Toc15727"/>
      <w:r>
        <w:rPr>
          <w:rFonts w:hint="eastAsia" w:cs="宋体" w:asciiTheme="minorEastAsia" w:hAnsiTheme="minorEastAsia" w:eastAsiaTheme="minorEastAsia"/>
          <w:color w:val="auto"/>
          <w:szCs w:val="21"/>
          <w:highlight w:val="none"/>
        </w:rPr>
        <w:t>投标文件的形式：</w:t>
      </w:r>
      <w:r>
        <w:rPr>
          <w:rFonts w:hint="eastAsia" w:eastAsia="MS Mincho" w:cs="MS Mincho" w:asciiTheme="minorEastAsia" w:hAnsiTheme="minorEastAsia"/>
          <w:b/>
          <w:bCs/>
          <w:color w:val="auto"/>
          <w:szCs w:val="21"/>
          <w:highlight w:val="none"/>
        </w:rPr>
        <w:t>☑</w:t>
      </w:r>
      <w:r>
        <w:rPr>
          <w:rFonts w:hint="eastAsia" w:cs="微软雅黑" w:asciiTheme="minorEastAsia" w:hAnsiTheme="minorEastAsia" w:eastAsiaTheme="minorEastAsia"/>
          <w:b/>
          <w:bCs/>
          <w:color w:val="auto"/>
          <w:szCs w:val="21"/>
          <w:highlight w:val="none"/>
        </w:rPr>
        <w:t>电子投标文件（包括“电子加密投标文件”和“备份投标文件”，在投标文件编制完成后同时生成）；</w:t>
      </w:r>
      <w:bookmarkEnd w:id="241"/>
      <w:bookmarkEnd w:id="242"/>
    </w:p>
    <w:p w14:paraId="02422979">
      <w:pPr>
        <w:snapToGrid w:val="0"/>
        <w:spacing w:line="360" w:lineRule="auto"/>
        <w:ind w:right="42" w:rightChars="20" w:firstLine="422" w:firstLineChars="200"/>
        <w:contextualSpacing/>
        <w:jc w:val="left"/>
        <w:outlineLvl w:val="0"/>
        <w:rPr>
          <w:rFonts w:cs="宋体" w:asciiTheme="minorEastAsia" w:hAnsiTheme="minorEastAsia" w:eastAsiaTheme="minorEastAsia"/>
          <w:b/>
          <w:bCs/>
          <w:color w:val="auto"/>
          <w:szCs w:val="21"/>
          <w:highlight w:val="none"/>
        </w:rPr>
      </w:pPr>
      <w:bookmarkStart w:id="243" w:name="_Toc23368"/>
      <w:bookmarkStart w:id="244" w:name="_Toc50012872"/>
      <w:r>
        <w:rPr>
          <w:rFonts w:hint="eastAsia" w:cs="宋体" w:asciiTheme="minorEastAsia" w:hAnsiTheme="minorEastAsia" w:eastAsiaTheme="minorEastAsia"/>
          <w:b/>
          <w:bCs/>
          <w:color w:val="auto"/>
          <w:szCs w:val="21"/>
          <w:highlight w:val="none"/>
        </w:rPr>
        <w:t>（1）“电子加密投标文件”是指通过“政采云电子交易客户端”完成投标文件编制后生成并加密的数据电文形式的投标文件。</w:t>
      </w:r>
      <w:bookmarkEnd w:id="243"/>
      <w:bookmarkEnd w:id="244"/>
    </w:p>
    <w:p w14:paraId="4A625703">
      <w:pPr>
        <w:snapToGrid w:val="0"/>
        <w:spacing w:line="360" w:lineRule="auto"/>
        <w:ind w:right="42" w:rightChars="20" w:firstLine="422" w:firstLineChars="200"/>
        <w:contextualSpacing/>
        <w:jc w:val="left"/>
        <w:outlineLvl w:val="0"/>
        <w:rPr>
          <w:rFonts w:cs="宋体" w:asciiTheme="minorEastAsia" w:hAnsiTheme="minorEastAsia" w:eastAsiaTheme="minorEastAsia"/>
          <w:b/>
          <w:bCs/>
          <w:color w:val="auto"/>
          <w:szCs w:val="21"/>
          <w:highlight w:val="none"/>
        </w:rPr>
      </w:pPr>
      <w:bookmarkStart w:id="245" w:name="_Toc50012873"/>
      <w:bookmarkStart w:id="246" w:name="_Toc18098"/>
      <w:r>
        <w:rPr>
          <w:rFonts w:hint="eastAsia" w:cs="宋体" w:asciiTheme="minorEastAsia" w:hAnsiTheme="minorEastAsia" w:eastAsiaTheme="minorEastAsia"/>
          <w:b/>
          <w:bCs/>
          <w:color w:val="auto"/>
          <w:szCs w:val="21"/>
          <w:highlight w:val="none"/>
        </w:rPr>
        <w:t>（2）“备份投标文件”是指与“电子加密投标文件”同时生成的数据电文形式的电子文件（备份标书），其他方式编制的备份投标文件视为无效备份投标文件。</w:t>
      </w:r>
      <w:bookmarkEnd w:id="245"/>
      <w:bookmarkEnd w:id="246"/>
    </w:p>
    <w:p w14:paraId="31778BAB">
      <w:pPr>
        <w:snapToGrid w:val="0"/>
        <w:spacing w:line="360" w:lineRule="auto"/>
        <w:ind w:right="42" w:rightChars="20" w:firstLine="422" w:firstLineChars="200"/>
        <w:contextualSpacing/>
        <w:jc w:val="left"/>
        <w:outlineLvl w:val="0"/>
        <w:rPr>
          <w:rFonts w:cs="宋体" w:asciiTheme="minorEastAsia" w:hAnsiTheme="minorEastAsia" w:eastAsiaTheme="minorEastAsia"/>
          <w:b/>
          <w:bCs/>
          <w:color w:val="auto"/>
          <w:szCs w:val="21"/>
          <w:highlight w:val="none"/>
        </w:rPr>
      </w:pPr>
      <w:bookmarkStart w:id="247" w:name="_Toc50012874"/>
      <w:bookmarkStart w:id="248" w:name="_Toc20165"/>
      <w:r>
        <w:rPr>
          <w:rFonts w:hint="eastAsia" w:cs="宋体" w:asciiTheme="minorEastAsia" w:hAnsiTheme="minorEastAsia" w:eastAsiaTheme="minorEastAsia"/>
          <w:b/>
          <w:bCs/>
          <w:color w:val="auto"/>
          <w:szCs w:val="21"/>
          <w:highlight w:val="none"/>
        </w:rPr>
        <w:t>（六）</w:t>
      </w:r>
      <w:bookmarkStart w:id="249" w:name="_Toc33535368"/>
      <w:r>
        <w:rPr>
          <w:rFonts w:hint="eastAsia" w:cs="宋体" w:asciiTheme="minorEastAsia" w:hAnsiTheme="minorEastAsia" w:eastAsiaTheme="minorEastAsia"/>
          <w:b/>
          <w:bCs/>
          <w:color w:val="auto"/>
          <w:szCs w:val="21"/>
          <w:highlight w:val="none"/>
        </w:rPr>
        <w:t>投标文件的上传和递交：</w:t>
      </w:r>
      <w:bookmarkEnd w:id="247"/>
      <w:bookmarkEnd w:id="248"/>
    </w:p>
    <w:p w14:paraId="4BDEC57E">
      <w:pPr>
        <w:snapToGrid w:val="0"/>
        <w:spacing w:line="360" w:lineRule="auto"/>
        <w:ind w:right="42" w:rightChars="20" w:firstLine="422" w:firstLineChars="200"/>
        <w:contextualSpacing/>
        <w:jc w:val="left"/>
        <w:outlineLvl w:val="0"/>
        <w:rPr>
          <w:rFonts w:cs="宋体" w:asciiTheme="minorEastAsia" w:hAnsiTheme="minorEastAsia" w:eastAsiaTheme="minorEastAsia"/>
          <w:b/>
          <w:bCs/>
          <w:color w:val="auto"/>
          <w:szCs w:val="21"/>
          <w:highlight w:val="none"/>
        </w:rPr>
      </w:pPr>
      <w:bookmarkStart w:id="250" w:name="_Toc50012875"/>
      <w:bookmarkStart w:id="251" w:name="_Toc19460"/>
      <w:r>
        <w:rPr>
          <w:rFonts w:hint="eastAsia" w:cs="宋体" w:asciiTheme="minorEastAsia" w:hAnsiTheme="minorEastAsia" w:eastAsiaTheme="minorEastAsia"/>
          <w:b/>
          <w:bCs/>
          <w:color w:val="auto"/>
          <w:szCs w:val="21"/>
          <w:highlight w:val="none"/>
        </w:rPr>
        <w:t>（1）“电子加密投标文件”的上传、递交：</w:t>
      </w:r>
      <w:bookmarkEnd w:id="250"/>
      <w:bookmarkEnd w:id="251"/>
    </w:p>
    <w:p w14:paraId="5243A999">
      <w:pPr>
        <w:snapToGrid w:val="0"/>
        <w:spacing w:line="360" w:lineRule="auto"/>
        <w:ind w:right="42" w:rightChars="20" w:firstLine="422" w:firstLineChars="200"/>
        <w:jc w:val="left"/>
        <w:outlineLvl w:val="0"/>
        <w:rPr>
          <w:rFonts w:cs="宋体" w:asciiTheme="minorEastAsia" w:hAnsiTheme="minorEastAsia" w:eastAsiaTheme="minorEastAsia"/>
          <w:b/>
          <w:bCs/>
          <w:color w:val="auto"/>
          <w:szCs w:val="21"/>
          <w:highlight w:val="none"/>
        </w:rPr>
      </w:pPr>
      <w:bookmarkStart w:id="252" w:name="_Toc30349"/>
      <w:bookmarkStart w:id="253" w:name="_Toc50012876"/>
      <w:r>
        <w:rPr>
          <w:rFonts w:cs="宋体" w:asciiTheme="minorEastAsia" w:hAnsiTheme="minorEastAsia" w:eastAsiaTheme="minorEastAsia"/>
          <w:b/>
          <w:bCs/>
          <w:color w:val="auto"/>
          <w:szCs w:val="21"/>
          <w:highlight w:val="none"/>
        </w:rPr>
        <w:t>A</w:t>
      </w:r>
      <w:r>
        <w:rPr>
          <w:rFonts w:hint="eastAsia" w:cs="宋体" w:asciiTheme="minorEastAsia" w:hAnsiTheme="minorEastAsia" w:eastAsiaTheme="minorEastAsia"/>
          <w:b/>
          <w:bCs/>
          <w:color w:val="auto"/>
          <w:szCs w:val="21"/>
          <w:highlight w:val="none"/>
        </w:rPr>
        <w:t>、投标人应在投标截止时间前将“电子加密投标文件”成功上传递交至“政府采购云平台”，否则投标无效。</w:t>
      </w:r>
      <w:bookmarkEnd w:id="252"/>
      <w:bookmarkEnd w:id="253"/>
    </w:p>
    <w:p w14:paraId="1A6BE6E0">
      <w:pPr>
        <w:snapToGrid w:val="0"/>
        <w:spacing w:line="360" w:lineRule="auto"/>
        <w:ind w:right="42" w:rightChars="20" w:firstLine="422" w:firstLineChars="200"/>
        <w:jc w:val="left"/>
        <w:outlineLvl w:val="0"/>
        <w:rPr>
          <w:rFonts w:cs="宋体" w:asciiTheme="minorEastAsia" w:hAnsiTheme="minorEastAsia" w:eastAsiaTheme="minorEastAsia"/>
          <w:b/>
          <w:bCs/>
          <w:color w:val="auto"/>
          <w:szCs w:val="21"/>
          <w:highlight w:val="none"/>
        </w:rPr>
      </w:pPr>
      <w:bookmarkStart w:id="254" w:name="_Toc10260"/>
      <w:bookmarkStart w:id="255" w:name="_Toc50012877"/>
      <w:r>
        <w:rPr>
          <w:rFonts w:cs="宋体" w:asciiTheme="minorEastAsia" w:hAnsiTheme="minorEastAsia" w:eastAsiaTheme="minorEastAsia"/>
          <w:b/>
          <w:bCs/>
          <w:color w:val="auto"/>
          <w:szCs w:val="21"/>
          <w:highlight w:val="none"/>
        </w:rPr>
        <w:t>B</w:t>
      </w:r>
      <w:r>
        <w:rPr>
          <w:rFonts w:hint="eastAsia" w:cs="宋体" w:asciiTheme="minorEastAsia" w:hAnsiTheme="minorEastAsia" w:eastAsiaTheme="minorEastAsia"/>
          <w:b/>
          <w:bCs/>
          <w:color w:val="auto"/>
          <w:szCs w:val="21"/>
          <w:highlight w:val="none"/>
        </w:rPr>
        <w:t>、“电子加密投标文件”成功上传递交后，投标人可自行打印投标文件接收回执。</w:t>
      </w:r>
      <w:bookmarkEnd w:id="254"/>
      <w:bookmarkEnd w:id="255"/>
    </w:p>
    <w:p w14:paraId="02F27BA2">
      <w:pPr>
        <w:snapToGrid w:val="0"/>
        <w:spacing w:line="360" w:lineRule="auto"/>
        <w:ind w:right="42" w:rightChars="20" w:firstLine="422" w:firstLineChars="200"/>
        <w:jc w:val="left"/>
        <w:outlineLvl w:val="0"/>
        <w:rPr>
          <w:rFonts w:cs="宋体" w:asciiTheme="minorEastAsia" w:hAnsiTheme="minorEastAsia" w:eastAsiaTheme="minorEastAsia"/>
          <w:b/>
          <w:bCs/>
          <w:color w:val="auto"/>
          <w:szCs w:val="21"/>
          <w:highlight w:val="none"/>
        </w:rPr>
      </w:pPr>
      <w:bookmarkStart w:id="256" w:name="_Toc30797"/>
      <w:bookmarkStart w:id="257" w:name="_Toc50012878"/>
      <w:r>
        <w:rPr>
          <w:rFonts w:hint="eastAsia" w:cs="宋体" w:asciiTheme="minorEastAsia" w:hAnsiTheme="minorEastAsia" w:eastAsiaTheme="minorEastAsia"/>
          <w:b/>
          <w:bCs/>
          <w:color w:val="auto"/>
          <w:szCs w:val="21"/>
          <w:highlight w:val="none"/>
        </w:rPr>
        <w:t>（2）“备份投标文件”的密封包装、递交：</w:t>
      </w:r>
      <w:bookmarkEnd w:id="256"/>
      <w:bookmarkEnd w:id="257"/>
      <w:r>
        <w:rPr>
          <w:rFonts w:hint="eastAsia" w:cs="宋体" w:asciiTheme="minorEastAsia" w:hAnsiTheme="minorEastAsia" w:eastAsiaTheme="minorEastAsia"/>
          <w:b/>
          <w:bCs/>
          <w:color w:val="auto"/>
          <w:szCs w:val="21"/>
          <w:highlight w:val="none"/>
        </w:rPr>
        <w:t>（备份文件非强制）</w:t>
      </w:r>
    </w:p>
    <w:p w14:paraId="70D92748">
      <w:pPr>
        <w:snapToGrid w:val="0"/>
        <w:spacing w:line="360" w:lineRule="auto"/>
        <w:ind w:right="42" w:rightChars="20" w:firstLine="422" w:firstLineChars="200"/>
        <w:jc w:val="left"/>
        <w:outlineLvl w:val="0"/>
        <w:rPr>
          <w:rFonts w:cs="宋体" w:asciiTheme="minorEastAsia" w:hAnsiTheme="minorEastAsia" w:eastAsiaTheme="minorEastAsia"/>
          <w:b/>
          <w:bCs/>
          <w:color w:val="auto"/>
          <w:szCs w:val="21"/>
          <w:highlight w:val="none"/>
        </w:rPr>
      </w:pPr>
      <w:bookmarkStart w:id="258" w:name="_Toc50012879"/>
      <w:bookmarkStart w:id="259" w:name="_Toc12452"/>
      <w:r>
        <w:rPr>
          <w:rFonts w:cs="宋体" w:asciiTheme="minorEastAsia" w:hAnsiTheme="minorEastAsia" w:eastAsiaTheme="minorEastAsia"/>
          <w:b/>
          <w:bCs/>
          <w:color w:val="auto"/>
          <w:szCs w:val="21"/>
          <w:highlight w:val="none"/>
        </w:rPr>
        <w:t>A</w:t>
      </w:r>
      <w:r>
        <w:rPr>
          <w:rFonts w:hint="eastAsia" w:cs="宋体" w:asciiTheme="minorEastAsia" w:hAnsiTheme="minorEastAsia" w:eastAsiaTheme="minorEastAsia"/>
          <w:b/>
          <w:bCs/>
          <w:color w:val="auto"/>
          <w:szCs w:val="21"/>
          <w:highlight w:val="none"/>
        </w:rPr>
        <w:t>、投标人在“政府采购云平台”完成“电子加密投标文件”的上传递交后，还可以（邮寄形式）在投标截止时间前递交以介质（U盘）存储的 “备份投标文件”（一份）；</w:t>
      </w:r>
      <w:bookmarkEnd w:id="258"/>
      <w:bookmarkEnd w:id="259"/>
    </w:p>
    <w:p w14:paraId="2A9A88B6">
      <w:pPr>
        <w:snapToGrid w:val="0"/>
        <w:spacing w:line="360" w:lineRule="auto"/>
        <w:ind w:right="42" w:rightChars="20" w:firstLine="422" w:firstLineChars="200"/>
        <w:jc w:val="left"/>
        <w:outlineLvl w:val="0"/>
        <w:rPr>
          <w:rFonts w:cs="宋体" w:asciiTheme="minorEastAsia" w:hAnsiTheme="minorEastAsia" w:eastAsiaTheme="minorEastAsia"/>
          <w:b/>
          <w:bCs/>
          <w:color w:val="auto"/>
          <w:szCs w:val="21"/>
          <w:highlight w:val="none"/>
        </w:rPr>
      </w:pPr>
      <w:bookmarkStart w:id="260" w:name="_Toc50012880"/>
      <w:bookmarkStart w:id="261" w:name="_Toc17991"/>
      <w:r>
        <w:rPr>
          <w:rFonts w:cs="宋体" w:asciiTheme="minorEastAsia" w:hAnsiTheme="minorEastAsia" w:eastAsiaTheme="minorEastAsia"/>
          <w:b/>
          <w:bCs/>
          <w:color w:val="auto"/>
          <w:szCs w:val="21"/>
          <w:highlight w:val="none"/>
        </w:rPr>
        <w:t>B</w:t>
      </w:r>
      <w:r>
        <w:rPr>
          <w:rFonts w:hint="eastAsia" w:cs="宋体" w:asciiTheme="minorEastAsia" w:hAnsiTheme="minorEastAsia" w:eastAsiaTheme="minorEastAsia"/>
          <w:b/>
          <w:bCs/>
          <w:color w:val="auto"/>
          <w:szCs w:val="21"/>
          <w:highlight w:val="none"/>
        </w:rPr>
        <w:t>、“备份投标文件”应当密封包装，并在包装上标注投标项目名称、投标单位名称并加盖公章。没有密封包装或者逾期邮寄送达至邮寄接收地点的“备份投标文件”将不予接收；</w:t>
      </w:r>
      <w:bookmarkEnd w:id="260"/>
      <w:bookmarkEnd w:id="261"/>
    </w:p>
    <w:p w14:paraId="3E790162">
      <w:pPr>
        <w:snapToGrid w:val="0"/>
        <w:spacing w:line="360" w:lineRule="auto"/>
        <w:ind w:right="42" w:rightChars="20" w:firstLine="422" w:firstLineChars="200"/>
        <w:jc w:val="left"/>
        <w:outlineLvl w:val="0"/>
        <w:rPr>
          <w:rFonts w:cs="宋体" w:asciiTheme="minorEastAsia" w:hAnsiTheme="minorEastAsia" w:eastAsiaTheme="minorEastAsia"/>
          <w:b/>
          <w:bCs/>
          <w:color w:val="auto"/>
          <w:szCs w:val="21"/>
          <w:highlight w:val="none"/>
        </w:rPr>
      </w:pPr>
      <w:bookmarkStart w:id="262" w:name="_Toc50012881"/>
      <w:bookmarkStart w:id="263" w:name="_Toc23640"/>
      <w:r>
        <w:rPr>
          <w:rFonts w:cs="宋体" w:asciiTheme="minorEastAsia" w:hAnsiTheme="minorEastAsia" w:eastAsiaTheme="minorEastAsia"/>
          <w:b/>
          <w:bCs/>
          <w:color w:val="auto"/>
          <w:szCs w:val="21"/>
          <w:highlight w:val="none"/>
        </w:rPr>
        <w:t>C</w:t>
      </w:r>
      <w:r>
        <w:rPr>
          <w:rFonts w:hint="eastAsia" w:cs="宋体" w:asciiTheme="minorEastAsia" w:hAnsiTheme="minorEastAsia" w:eastAsiaTheme="minorEastAsia"/>
          <w:b/>
          <w:bCs/>
          <w:color w:val="auto"/>
          <w:szCs w:val="21"/>
          <w:highlight w:val="none"/>
        </w:rPr>
        <w:t>、通过“政府采购云平台”成功上传递交的“电子加密投标文件”已按时解密的，“备份投标文件”自动失效。投标截止时间前，投标人仅递交了“备份投标文件”而未将“电子加密投标文件”成功上传至“政府采购云平台”的，投标无效。</w:t>
      </w:r>
      <w:bookmarkEnd w:id="262"/>
      <w:bookmarkEnd w:id="263"/>
    </w:p>
    <w:p w14:paraId="408AC466">
      <w:pPr>
        <w:snapToGrid w:val="0"/>
        <w:spacing w:line="360" w:lineRule="auto"/>
        <w:ind w:right="42" w:rightChars="20" w:firstLine="422" w:firstLineChars="200"/>
        <w:jc w:val="left"/>
        <w:outlineLvl w:val="0"/>
        <w:rPr>
          <w:rFonts w:asciiTheme="minorEastAsia" w:hAnsiTheme="minorEastAsia" w:eastAsiaTheme="minorEastAsia"/>
          <w:b/>
          <w:color w:val="auto"/>
          <w:szCs w:val="21"/>
          <w:highlight w:val="none"/>
        </w:rPr>
      </w:pPr>
      <w:bookmarkStart w:id="264" w:name="_Toc50012882"/>
      <w:bookmarkStart w:id="265" w:name="_Toc7277"/>
      <w:r>
        <w:rPr>
          <w:rFonts w:hint="eastAsia" w:asciiTheme="minorEastAsia" w:hAnsiTheme="minorEastAsia" w:eastAsiaTheme="minorEastAsia"/>
          <w:b/>
          <w:color w:val="auto"/>
          <w:szCs w:val="21"/>
          <w:highlight w:val="none"/>
        </w:rPr>
        <w:t>（七）投标无效的情形</w:t>
      </w:r>
      <w:bookmarkEnd w:id="249"/>
      <w:bookmarkEnd w:id="264"/>
      <w:bookmarkEnd w:id="265"/>
    </w:p>
    <w:p w14:paraId="62AA0611">
      <w:pPr>
        <w:snapToGrid w:val="0"/>
        <w:spacing w:line="360" w:lineRule="auto"/>
        <w:ind w:right="42" w:rightChars="20" w:firstLine="420" w:firstLineChars="200"/>
        <w:jc w:val="left"/>
        <w:outlineLvl w:val="0"/>
        <w:rPr>
          <w:rFonts w:asciiTheme="minorEastAsia" w:hAnsiTheme="minorEastAsia" w:eastAsiaTheme="minorEastAsia"/>
          <w:color w:val="auto"/>
          <w:szCs w:val="21"/>
          <w:highlight w:val="none"/>
        </w:rPr>
      </w:pPr>
      <w:bookmarkStart w:id="266" w:name="_Toc50012883"/>
      <w:bookmarkStart w:id="267" w:name="_Toc32709"/>
      <w:r>
        <w:rPr>
          <w:rFonts w:hint="eastAsia" w:asciiTheme="minorEastAsia" w:hAnsiTheme="minorEastAsia" w:eastAsiaTheme="minorEastAsia"/>
          <w:color w:val="auto"/>
          <w:szCs w:val="21"/>
          <w:highlight w:val="none"/>
        </w:rPr>
        <w:t>根据《政府采购货物和服务招标投标管理办法》有下列情形之一的，视为投标人串通投标，其投标无效：</w:t>
      </w:r>
      <w:bookmarkEnd w:id="266"/>
      <w:bookmarkEnd w:id="267"/>
    </w:p>
    <w:p w14:paraId="11B2D770">
      <w:pPr>
        <w:snapToGrid w:val="0"/>
        <w:spacing w:line="360" w:lineRule="auto"/>
        <w:ind w:right="42" w:rightChars="20" w:firstLine="420" w:firstLineChars="200"/>
        <w:jc w:val="left"/>
        <w:outlineLvl w:val="0"/>
        <w:rPr>
          <w:rFonts w:asciiTheme="minorEastAsia" w:hAnsiTheme="minorEastAsia" w:eastAsiaTheme="minorEastAsia"/>
          <w:color w:val="auto"/>
          <w:szCs w:val="21"/>
          <w:highlight w:val="none"/>
        </w:rPr>
      </w:pPr>
      <w:bookmarkStart w:id="268" w:name="_Toc50012884"/>
      <w:bookmarkStart w:id="269" w:name="_Toc11171"/>
      <w:r>
        <w:rPr>
          <w:rFonts w:hint="eastAsia" w:asciiTheme="minorEastAsia" w:hAnsiTheme="minorEastAsia" w:eastAsiaTheme="minorEastAsia"/>
          <w:color w:val="auto"/>
          <w:szCs w:val="21"/>
          <w:highlight w:val="none"/>
        </w:rPr>
        <w:t>(一)不同投标人的投标文件由同一单位或者个人编制;</w:t>
      </w:r>
      <w:bookmarkEnd w:id="268"/>
      <w:bookmarkEnd w:id="269"/>
    </w:p>
    <w:p w14:paraId="467CFEE6">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(二)不同投标人委托同一单位或者个人办理投标事宜;</w:t>
      </w:r>
    </w:p>
    <w:p w14:paraId="229564B5">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(三)不同投标人的投标文件载明的项目管理成员或者联系人员为同一人;</w:t>
      </w:r>
    </w:p>
    <w:p w14:paraId="3DD0DBB8">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(四)不同投标人的投标文件异常一致或者投标报价呈规律性差异;</w:t>
      </w:r>
    </w:p>
    <w:p w14:paraId="3AD3E647">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(五)不同投标人的投标文件相互混装;</w:t>
      </w:r>
    </w:p>
    <w:p w14:paraId="3EF32E79">
      <w:pPr>
        <w:snapToGrid w:val="0"/>
        <w:spacing w:line="360" w:lineRule="auto"/>
        <w:ind w:right="42" w:rightChars="20" w:firstLine="420" w:firstLineChars="200"/>
        <w:jc w:val="left"/>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实质上没有响应招标文件要求的投标将被视为无效投标。</w:t>
      </w:r>
    </w:p>
    <w:p w14:paraId="6080B4FE">
      <w:pPr>
        <w:numPr>
          <w:ilvl w:val="0"/>
          <w:numId w:val="4"/>
        </w:numPr>
        <w:snapToGrid w:val="0"/>
        <w:spacing w:line="360" w:lineRule="auto"/>
        <w:ind w:right="42" w:rightChars="20" w:firstLine="422" w:firstLineChars="200"/>
        <w:jc w:val="left"/>
        <w:rPr>
          <w:rFonts w:hint="eastAsia" w:ascii="宋体" w:hAnsi="宋体" w:eastAsia="宋体"/>
          <w:b/>
          <w:bCs/>
          <w:color w:val="auto"/>
          <w:szCs w:val="21"/>
          <w:highlight w:val="none"/>
        </w:rPr>
      </w:pPr>
      <w:bookmarkStart w:id="270" w:name="_Toc50012885"/>
      <w:bookmarkStart w:id="271" w:name="_Toc9286"/>
      <w:bookmarkStart w:id="272" w:name="_Toc33535369"/>
      <w:r>
        <w:rPr>
          <w:rFonts w:ascii="宋体" w:hAnsi="宋体" w:eastAsia="宋体"/>
          <w:b/>
          <w:bCs/>
          <w:color w:val="auto"/>
          <w:szCs w:val="21"/>
          <w:highlight w:val="none"/>
        </w:rPr>
        <w:t>电子投标文件解密失败的，且未在规定时间内提交备份投标文件的</w:t>
      </w:r>
      <w:r>
        <w:rPr>
          <w:rFonts w:hint="eastAsia" w:ascii="宋体" w:hAnsi="宋体" w:eastAsia="宋体"/>
          <w:b/>
          <w:bCs/>
          <w:color w:val="auto"/>
          <w:szCs w:val="21"/>
          <w:highlight w:val="none"/>
        </w:rPr>
        <w:t>。</w:t>
      </w:r>
    </w:p>
    <w:p w14:paraId="3BF1CA6B">
      <w:pPr>
        <w:snapToGrid w:val="0"/>
        <w:spacing w:line="360" w:lineRule="auto"/>
        <w:ind w:firstLine="411" w:firstLineChars="196"/>
        <w:rPr>
          <w:rFonts w:hint="eastAsia"/>
          <w:color w:val="auto"/>
          <w:highlight w:val="none"/>
        </w:rPr>
      </w:pPr>
      <w:r>
        <w:rPr>
          <w:rFonts w:hint="eastAsia"/>
          <w:color w:val="auto"/>
          <w:highlight w:val="none"/>
          <w:lang w:val="en-US" w:eastAsia="zh-CN"/>
        </w:rPr>
        <w:t>2、</w:t>
      </w:r>
      <w:r>
        <w:rPr>
          <w:rFonts w:ascii="宋体" w:hAnsi="宋体" w:eastAsia="宋体" w:cs="Times New Roman"/>
          <w:b/>
          <w:bCs/>
          <w:color w:val="auto"/>
          <w:szCs w:val="21"/>
          <w:highlight w:val="none"/>
        </w:rPr>
        <w:t>资格证明</w:t>
      </w:r>
      <w:r>
        <w:rPr>
          <w:rFonts w:hint="eastAsia" w:ascii="宋体" w:hAnsi="宋体" w:eastAsia="宋体" w:cs="Times New Roman"/>
          <w:b/>
          <w:bCs/>
          <w:color w:val="auto"/>
          <w:szCs w:val="21"/>
          <w:highlight w:val="none"/>
        </w:rPr>
        <w:t>文件</w:t>
      </w:r>
      <w:r>
        <w:rPr>
          <w:rFonts w:ascii="宋体" w:hAnsi="宋体" w:eastAsia="宋体" w:cs="Times New Roman"/>
          <w:b/>
          <w:bCs/>
          <w:color w:val="auto"/>
          <w:szCs w:val="21"/>
          <w:highlight w:val="none"/>
        </w:rPr>
        <w:t>评审阶段：</w:t>
      </w:r>
    </w:p>
    <w:p w14:paraId="3254C59C">
      <w:pPr>
        <w:snapToGrid w:val="0"/>
        <w:spacing w:line="360" w:lineRule="auto"/>
        <w:ind w:firstLine="411" w:firstLineChars="196"/>
        <w:rPr>
          <w:color w:val="auto"/>
          <w:highlight w:val="none"/>
        </w:rPr>
      </w:pPr>
      <w:r>
        <w:rPr>
          <w:color w:val="auto"/>
          <w:highlight w:val="none"/>
        </w:rPr>
        <w:t>有下列情形之一的投标文件，经</w:t>
      </w:r>
      <w:r>
        <w:rPr>
          <w:rFonts w:hint="eastAsia"/>
          <w:color w:val="auto"/>
          <w:highlight w:val="none"/>
        </w:rPr>
        <w:t>采购人或采购代理机构</w:t>
      </w:r>
      <w:r>
        <w:rPr>
          <w:color w:val="auto"/>
          <w:highlight w:val="none"/>
        </w:rPr>
        <w:t>认定属实后将该投标文件作无效标处理：</w:t>
      </w:r>
    </w:p>
    <w:p w14:paraId="039FC64A">
      <w:pPr>
        <w:snapToGrid w:val="0"/>
        <w:spacing w:line="360" w:lineRule="auto"/>
        <w:ind w:firstLine="411" w:firstLineChars="196"/>
        <w:rPr>
          <w:color w:val="auto"/>
          <w:highlight w:val="none"/>
        </w:rPr>
      </w:pPr>
      <w:r>
        <w:rPr>
          <w:color w:val="auto"/>
          <w:highlight w:val="none"/>
        </w:rPr>
        <w:t>1）</w:t>
      </w:r>
      <w:r>
        <w:rPr>
          <w:color w:val="auto"/>
          <w:highlight w:val="none"/>
        </w:rPr>
        <w:tab/>
      </w:r>
      <w:r>
        <w:rPr>
          <w:color w:val="auto"/>
          <w:highlight w:val="none"/>
        </w:rPr>
        <w:t>投标文件内容不能充分证明</w:t>
      </w:r>
      <w:r>
        <w:rPr>
          <w:rFonts w:hint="eastAsia"/>
          <w:color w:val="auto"/>
          <w:highlight w:val="none"/>
        </w:rPr>
        <w:t>投标人</w:t>
      </w:r>
      <w:r>
        <w:rPr>
          <w:color w:val="auto"/>
          <w:highlight w:val="none"/>
        </w:rPr>
        <w:t>符合投标资格条件的；</w:t>
      </w:r>
    </w:p>
    <w:p w14:paraId="50F120DE">
      <w:pPr>
        <w:snapToGrid w:val="0"/>
        <w:spacing w:line="360" w:lineRule="auto"/>
        <w:ind w:firstLine="420" w:firstLineChars="200"/>
        <w:rPr>
          <w:rFonts w:hint="eastAsia" w:ascii="宋体" w:hAnsi="宋体" w:eastAsia="宋体" w:cs="Times New Roman"/>
          <w:b/>
          <w:bCs/>
          <w:color w:val="auto"/>
          <w:szCs w:val="21"/>
          <w:highlight w:val="none"/>
          <w:lang w:val="en-US" w:eastAsia="zh-CN"/>
        </w:rPr>
      </w:pPr>
      <w:r>
        <w:rPr>
          <w:rFonts w:hint="eastAsia" w:ascii="宋体" w:hAnsi="宋体" w:cs="宋体"/>
          <w:color w:val="auto"/>
          <w:szCs w:val="21"/>
          <w:highlight w:val="none"/>
        </w:rPr>
        <w:t>2）如以联合体形式参加政府采购活动的，</w:t>
      </w:r>
      <w:r>
        <w:rPr>
          <w:rFonts w:hint="eastAsia"/>
          <w:color w:val="auto"/>
          <w:highlight w:val="none"/>
        </w:rPr>
        <w:t>未出具联合协议或联合协议不符合采购文件规定的</w:t>
      </w:r>
      <w:r>
        <w:rPr>
          <w:rFonts w:hint="eastAsia"/>
          <w:color w:val="auto"/>
          <w:highlight w:val="none"/>
          <w:lang w:eastAsia="zh-CN"/>
        </w:rPr>
        <w:t>（</w:t>
      </w:r>
      <w:r>
        <w:rPr>
          <w:rFonts w:hint="eastAsia"/>
          <w:color w:val="auto"/>
          <w:highlight w:val="none"/>
          <w:lang w:val="en-US" w:eastAsia="zh-CN"/>
        </w:rPr>
        <w:t>如有</w:t>
      </w:r>
      <w:r>
        <w:rPr>
          <w:rFonts w:hint="eastAsia"/>
          <w:color w:val="auto"/>
          <w:highlight w:val="none"/>
          <w:lang w:eastAsia="zh-CN"/>
        </w:rPr>
        <w:t>）</w:t>
      </w:r>
      <w:r>
        <w:rPr>
          <w:rFonts w:hint="eastAsia"/>
          <w:color w:val="auto"/>
          <w:highlight w:val="none"/>
        </w:rPr>
        <w:t>。</w:t>
      </w:r>
    </w:p>
    <w:p w14:paraId="027AC25E">
      <w:pPr>
        <w:numPr>
          <w:ilvl w:val="0"/>
          <w:numId w:val="0"/>
        </w:numPr>
        <w:snapToGrid w:val="0"/>
        <w:spacing w:line="360" w:lineRule="auto"/>
        <w:ind w:right="42" w:rightChars="20"/>
        <w:jc w:val="left"/>
        <w:rPr>
          <w:rFonts w:hint="eastAsia" w:ascii="宋体" w:hAnsi="宋体" w:eastAsia="宋体" w:cs="Times New Roman"/>
          <w:b/>
          <w:bCs/>
          <w:color w:val="auto"/>
          <w:szCs w:val="21"/>
          <w:highlight w:val="none"/>
          <w:lang w:val="en-US" w:eastAsia="zh-CN"/>
        </w:rPr>
      </w:pPr>
      <w:r>
        <w:rPr>
          <w:rFonts w:hint="eastAsia" w:ascii="宋体" w:hAnsi="宋体" w:cs="Times New Roman"/>
          <w:b/>
          <w:bCs/>
          <w:color w:val="auto"/>
          <w:szCs w:val="21"/>
          <w:highlight w:val="none"/>
          <w:lang w:val="en-US" w:eastAsia="zh-CN"/>
        </w:rPr>
        <w:t>3）</w:t>
      </w:r>
      <w:r>
        <w:rPr>
          <w:rFonts w:hint="eastAsia" w:ascii="宋体" w:hAnsi="宋体" w:eastAsia="宋体" w:cs="Times New Roman"/>
          <w:b/>
          <w:bCs/>
          <w:color w:val="auto"/>
          <w:szCs w:val="21"/>
          <w:highlight w:val="none"/>
          <w:lang w:val="en-US" w:eastAsia="zh-CN"/>
        </w:rPr>
        <w:t>根据</w:t>
      </w:r>
      <w:r>
        <w:rPr>
          <w:rFonts w:ascii="宋体" w:hAnsi="宋体" w:eastAsia="宋体" w:cs="Times New Roman"/>
          <w:b/>
          <w:bCs/>
          <w:color w:val="auto"/>
          <w:szCs w:val="21"/>
          <w:highlight w:val="none"/>
        </w:rPr>
        <w:t>浙财采监〔2025〕2号</w:t>
      </w:r>
      <w:r>
        <w:rPr>
          <w:rFonts w:hint="eastAsia" w:ascii="宋体" w:hAnsi="宋体" w:eastAsia="宋体" w:cs="Times New Roman"/>
          <w:b/>
          <w:bCs/>
          <w:color w:val="auto"/>
          <w:szCs w:val="21"/>
          <w:highlight w:val="none"/>
          <w:lang w:eastAsia="zh-CN"/>
        </w:rPr>
        <w:t>的</w:t>
      </w:r>
      <w:r>
        <w:rPr>
          <w:rFonts w:hint="eastAsia" w:ascii="宋体" w:hAnsi="宋体" w:eastAsia="宋体" w:cs="Times New Roman"/>
          <w:b/>
          <w:bCs/>
          <w:color w:val="auto"/>
          <w:szCs w:val="21"/>
          <w:highlight w:val="none"/>
          <w:lang w:val="en-US" w:eastAsia="zh-CN"/>
        </w:rPr>
        <w:t>相关规定，除政府采购法律法规规章规定的属于恶意串通、视为串通投标情形外，在不影响公平竞争的前提下，存在下列情形之一的，其投标文件无效：</w:t>
      </w:r>
      <w:r>
        <w:rPr>
          <w:rFonts w:hint="eastAsia" w:ascii="宋体" w:hAnsi="宋体" w:eastAsia="宋体" w:cs="Times New Roman"/>
          <w:b/>
          <w:bCs/>
          <w:color w:val="auto"/>
          <w:szCs w:val="21"/>
          <w:highlight w:val="none"/>
          <w:lang w:eastAsia="zh-CN"/>
        </w:rPr>
        <w:t>（</w:t>
      </w:r>
      <w:r>
        <w:rPr>
          <w:rFonts w:hint="eastAsia" w:ascii="宋体" w:hAnsi="宋体" w:cs="Times New Roman"/>
          <w:b/>
          <w:bCs/>
          <w:color w:val="auto"/>
          <w:szCs w:val="21"/>
          <w:highlight w:val="none"/>
          <w:lang w:val="en-US" w:eastAsia="zh-CN"/>
        </w:rPr>
        <w:t>1</w:t>
      </w:r>
      <w:r>
        <w:rPr>
          <w:rFonts w:hint="eastAsia" w:ascii="宋体" w:hAnsi="宋体" w:eastAsia="宋体" w:cs="Times New Roman"/>
          <w:b/>
          <w:bCs/>
          <w:color w:val="auto"/>
          <w:szCs w:val="21"/>
          <w:highlight w:val="none"/>
          <w:lang w:eastAsia="zh-CN"/>
        </w:rPr>
        <w:t>）</w:t>
      </w:r>
      <w:r>
        <w:rPr>
          <w:rFonts w:ascii="宋体" w:hAnsi="宋体" w:eastAsia="宋体" w:cs="Times New Roman"/>
          <w:b/>
          <w:bCs/>
          <w:color w:val="auto"/>
          <w:szCs w:val="21"/>
          <w:highlight w:val="none"/>
        </w:rPr>
        <w:t>不同供应商的电子投标（响应）文件上传计算机的网卡MAC地址或硬盘序列号等硬件信息相同的；</w:t>
      </w:r>
      <w:r>
        <w:rPr>
          <w:rFonts w:hint="eastAsia" w:ascii="宋体" w:hAnsi="宋体" w:eastAsia="宋体" w:cs="Times New Roman"/>
          <w:b/>
          <w:bCs/>
          <w:color w:val="auto"/>
          <w:szCs w:val="21"/>
          <w:highlight w:val="none"/>
          <w:lang w:eastAsia="zh-CN"/>
        </w:rPr>
        <w:t>（</w:t>
      </w:r>
      <w:r>
        <w:rPr>
          <w:rFonts w:hint="eastAsia" w:ascii="宋体" w:hAnsi="宋体" w:eastAsia="宋体" w:cs="Times New Roman"/>
          <w:b/>
          <w:bCs/>
          <w:color w:val="auto"/>
          <w:szCs w:val="21"/>
          <w:highlight w:val="none"/>
          <w:lang w:val="en-US" w:eastAsia="zh-CN"/>
        </w:rPr>
        <w:t>2</w:t>
      </w:r>
      <w:r>
        <w:rPr>
          <w:rFonts w:hint="eastAsia" w:ascii="宋体" w:hAnsi="宋体" w:eastAsia="宋体" w:cs="Times New Roman"/>
          <w:b/>
          <w:bCs/>
          <w:color w:val="auto"/>
          <w:szCs w:val="21"/>
          <w:highlight w:val="none"/>
          <w:lang w:eastAsia="zh-CN"/>
        </w:rPr>
        <w:t>）</w:t>
      </w:r>
      <w:r>
        <w:rPr>
          <w:rFonts w:ascii="宋体" w:hAnsi="宋体" w:eastAsia="宋体" w:cs="Times New Roman"/>
          <w:b/>
          <w:bCs/>
          <w:color w:val="auto"/>
          <w:szCs w:val="21"/>
          <w:highlight w:val="none"/>
        </w:rPr>
        <w:t>上传的电子投标（响应）文件若出现使用本项目其他投标（响应）供应商的数字证书加密的，或者加盖本项目其他投标（响应）供应商的电子印章的；</w:t>
      </w:r>
      <w:r>
        <w:rPr>
          <w:rFonts w:hint="eastAsia" w:ascii="宋体" w:hAnsi="宋体" w:eastAsia="宋体" w:cs="Times New Roman"/>
          <w:b/>
          <w:bCs/>
          <w:color w:val="auto"/>
          <w:szCs w:val="21"/>
          <w:highlight w:val="none"/>
          <w:lang w:eastAsia="zh-CN"/>
        </w:rPr>
        <w:t>（</w:t>
      </w:r>
      <w:r>
        <w:rPr>
          <w:rFonts w:hint="eastAsia" w:ascii="宋体" w:hAnsi="宋体" w:eastAsia="宋体" w:cs="Times New Roman"/>
          <w:b/>
          <w:bCs/>
          <w:color w:val="auto"/>
          <w:szCs w:val="21"/>
          <w:highlight w:val="none"/>
          <w:lang w:val="en-US" w:eastAsia="zh-CN"/>
        </w:rPr>
        <w:t>3</w:t>
      </w:r>
      <w:r>
        <w:rPr>
          <w:rFonts w:hint="eastAsia" w:ascii="宋体" w:hAnsi="宋体" w:eastAsia="宋体" w:cs="Times New Roman"/>
          <w:b/>
          <w:bCs/>
          <w:color w:val="auto"/>
          <w:szCs w:val="21"/>
          <w:highlight w:val="none"/>
          <w:lang w:eastAsia="zh-CN"/>
        </w:rPr>
        <w:t>）</w:t>
      </w:r>
      <w:r>
        <w:rPr>
          <w:rFonts w:ascii="宋体" w:hAnsi="宋体" w:eastAsia="宋体" w:cs="Times New Roman"/>
          <w:b/>
          <w:bCs/>
          <w:color w:val="auto"/>
          <w:szCs w:val="21"/>
          <w:highlight w:val="none"/>
        </w:rPr>
        <w:t>不同供应商的投标（响应）文件的内容存在3处（含）以上错误一致的；</w:t>
      </w:r>
      <w:r>
        <w:rPr>
          <w:rFonts w:hint="eastAsia" w:ascii="宋体" w:hAnsi="宋体" w:eastAsia="宋体" w:cs="Times New Roman"/>
          <w:b/>
          <w:bCs/>
          <w:color w:val="auto"/>
          <w:szCs w:val="21"/>
          <w:highlight w:val="none"/>
          <w:lang w:eastAsia="zh-CN"/>
        </w:rPr>
        <w:t>（</w:t>
      </w:r>
      <w:r>
        <w:rPr>
          <w:rFonts w:hint="eastAsia" w:ascii="宋体" w:hAnsi="宋体" w:eastAsia="宋体" w:cs="Times New Roman"/>
          <w:b/>
          <w:bCs/>
          <w:color w:val="auto"/>
          <w:szCs w:val="21"/>
          <w:highlight w:val="none"/>
          <w:lang w:val="en-US" w:eastAsia="zh-CN"/>
        </w:rPr>
        <w:t>4</w:t>
      </w:r>
      <w:r>
        <w:rPr>
          <w:rFonts w:hint="eastAsia" w:ascii="宋体" w:hAnsi="宋体" w:eastAsia="宋体" w:cs="Times New Roman"/>
          <w:b/>
          <w:bCs/>
          <w:color w:val="auto"/>
          <w:szCs w:val="21"/>
          <w:highlight w:val="none"/>
          <w:lang w:eastAsia="zh-CN"/>
        </w:rPr>
        <w:t>）</w:t>
      </w:r>
      <w:r>
        <w:rPr>
          <w:rFonts w:ascii="宋体" w:hAnsi="宋体" w:eastAsia="宋体" w:cs="Times New Roman"/>
          <w:b/>
          <w:bCs/>
          <w:color w:val="auto"/>
          <w:szCs w:val="21"/>
          <w:highlight w:val="none"/>
        </w:rPr>
        <w:t>不同供应商联系人为同一人或不同联系人的联系电话一致的。在资格审查过程中，发现供应商有采购文件约定的上述情形的，采购人、采购代理机构应当根据采购文件认定其投标（响应）无效，评审报告应详细记录相关情况。资格审查、评审结束后由采购代理机构或采购人书面报告本级财政部门。</w:t>
      </w:r>
    </w:p>
    <w:p w14:paraId="3024F588">
      <w:pPr>
        <w:snapToGrid w:val="0"/>
        <w:spacing w:line="360" w:lineRule="auto"/>
        <w:ind w:right="42" w:rightChars="20" w:firstLine="422" w:firstLineChars="200"/>
        <w:jc w:val="left"/>
        <w:rPr>
          <w:rFonts w:ascii="宋体" w:hAnsi="宋体" w:eastAsia="宋体"/>
          <w:b/>
          <w:bCs/>
          <w:color w:val="auto"/>
          <w:szCs w:val="21"/>
          <w:highlight w:val="none"/>
        </w:rPr>
      </w:pPr>
      <w:r>
        <w:rPr>
          <w:rFonts w:hint="eastAsia" w:ascii="宋体" w:hAnsi="宋体"/>
          <w:b/>
          <w:bCs/>
          <w:color w:val="auto"/>
          <w:szCs w:val="21"/>
          <w:highlight w:val="none"/>
          <w:lang w:val="en-US" w:eastAsia="zh-CN"/>
        </w:rPr>
        <w:t>3</w:t>
      </w:r>
      <w:r>
        <w:rPr>
          <w:rFonts w:hint="eastAsia" w:ascii="宋体" w:hAnsi="宋体" w:eastAsia="宋体"/>
          <w:b/>
          <w:bCs/>
          <w:color w:val="auto"/>
          <w:szCs w:val="21"/>
          <w:highlight w:val="none"/>
        </w:rPr>
        <w:t>、</w:t>
      </w:r>
      <w:r>
        <w:rPr>
          <w:rFonts w:ascii="宋体" w:hAnsi="宋体" w:eastAsia="宋体"/>
          <w:b/>
          <w:bCs/>
          <w:color w:val="auto"/>
          <w:szCs w:val="21"/>
          <w:highlight w:val="none"/>
        </w:rPr>
        <w:t>在符合性审查</w:t>
      </w:r>
      <w:r>
        <w:rPr>
          <w:rFonts w:hint="eastAsia" w:ascii="宋体" w:hAnsi="宋体"/>
          <w:b/>
          <w:bCs/>
          <w:color w:val="auto"/>
          <w:szCs w:val="21"/>
          <w:highlight w:val="none"/>
          <w:lang w:eastAsia="zh-CN"/>
        </w:rPr>
        <w:t>、</w:t>
      </w:r>
      <w:r>
        <w:rPr>
          <w:rFonts w:ascii="宋体" w:hAnsi="宋体" w:eastAsia="宋体"/>
          <w:b/>
          <w:bCs/>
          <w:color w:val="auto"/>
          <w:szCs w:val="21"/>
          <w:highlight w:val="none"/>
        </w:rPr>
        <w:t>商务评审</w:t>
      </w:r>
      <w:r>
        <w:rPr>
          <w:rFonts w:hint="eastAsia" w:ascii="宋体" w:hAnsi="宋体"/>
          <w:b/>
          <w:bCs/>
          <w:color w:val="auto"/>
          <w:szCs w:val="21"/>
          <w:highlight w:val="none"/>
          <w:lang w:val="en-US" w:eastAsia="zh-CN"/>
        </w:rPr>
        <w:t>和技术评审</w:t>
      </w:r>
      <w:r>
        <w:rPr>
          <w:rFonts w:ascii="宋体" w:hAnsi="宋体" w:eastAsia="宋体"/>
          <w:b/>
          <w:bCs/>
          <w:color w:val="auto"/>
          <w:szCs w:val="21"/>
          <w:highlight w:val="none"/>
        </w:rPr>
        <w:t>时，如发现下列情形之一的，投标文件将被视为无效：</w:t>
      </w:r>
    </w:p>
    <w:p w14:paraId="44B009F0">
      <w:pPr>
        <w:snapToGrid w:val="0"/>
        <w:spacing w:line="360" w:lineRule="auto"/>
        <w:ind w:firstLine="420" w:firstLineChars="200"/>
        <w:rPr>
          <w:color w:val="auto"/>
          <w:highlight w:val="none"/>
        </w:rPr>
      </w:pPr>
      <w:r>
        <w:rPr>
          <w:rFonts w:hint="eastAsia"/>
          <w:color w:val="auto"/>
          <w:highlight w:val="none"/>
        </w:rPr>
        <w:t>1</w:t>
      </w:r>
      <w:r>
        <w:rPr>
          <w:color w:val="auto"/>
          <w:highlight w:val="none"/>
        </w:rPr>
        <w:t>）</w:t>
      </w:r>
      <w:r>
        <w:rPr>
          <w:rFonts w:hint="eastAsia"/>
          <w:color w:val="auto"/>
          <w:highlight w:val="none"/>
        </w:rPr>
        <w:t>投标人</w:t>
      </w:r>
      <w:r>
        <w:rPr>
          <w:color w:val="auto"/>
          <w:highlight w:val="none"/>
        </w:rPr>
        <w:t>提交两份或两份以上内容不同的</w:t>
      </w:r>
      <w:r>
        <w:rPr>
          <w:rFonts w:hint="eastAsia"/>
          <w:color w:val="auto"/>
          <w:highlight w:val="none"/>
        </w:rPr>
        <w:t>投标人</w:t>
      </w:r>
      <w:r>
        <w:rPr>
          <w:color w:val="auto"/>
          <w:highlight w:val="none"/>
        </w:rPr>
        <w:t>案，未声明哪一份有效的；</w:t>
      </w:r>
    </w:p>
    <w:p w14:paraId="6FAD779A">
      <w:pPr>
        <w:snapToGrid w:val="0"/>
        <w:spacing w:line="360" w:lineRule="auto"/>
        <w:ind w:firstLine="420" w:firstLineChars="200"/>
        <w:rPr>
          <w:color w:val="auto"/>
          <w:highlight w:val="none"/>
        </w:rPr>
      </w:pPr>
      <w:r>
        <w:rPr>
          <w:rFonts w:hint="eastAsia"/>
          <w:color w:val="auto"/>
          <w:highlight w:val="none"/>
        </w:rPr>
        <w:t>2</w:t>
      </w:r>
      <w:r>
        <w:rPr>
          <w:color w:val="auto"/>
          <w:highlight w:val="none"/>
        </w:rPr>
        <w:t>）投标文件非</w:t>
      </w:r>
      <w:r>
        <w:rPr>
          <w:rFonts w:hint="eastAsia"/>
          <w:color w:val="auto"/>
          <w:highlight w:val="none"/>
        </w:rPr>
        <w:t>投标人</w:t>
      </w:r>
      <w:r>
        <w:rPr>
          <w:color w:val="auto"/>
          <w:highlight w:val="none"/>
        </w:rPr>
        <w:t>法定代表人签署的，未提供或提供无效的法定代表人授权书；</w:t>
      </w:r>
    </w:p>
    <w:p w14:paraId="17FE52BD">
      <w:pPr>
        <w:snapToGrid w:val="0"/>
        <w:spacing w:line="360" w:lineRule="auto"/>
        <w:ind w:firstLine="420" w:firstLineChars="200"/>
        <w:rPr>
          <w:rFonts w:hint="eastAsia" w:eastAsia="宋体"/>
          <w:snapToGrid w:val="0"/>
          <w:color w:val="auto"/>
          <w:kern w:val="0"/>
          <w:highlight w:val="none"/>
          <w:lang w:eastAsia="zh-CN"/>
        </w:rPr>
      </w:pPr>
      <w:r>
        <w:rPr>
          <w:rFonts w:hint="eastAsia"/>
          <w:snapToGrid w:val="0"/>
          <w:color w:val="auto"/>
          <w:kern w:val="0"/>
          <w:highlight w:val="none"/>
        </w:rPr>
        <w:t>3</w:t>
      </w:r>
      <w:r>
        <w:rPr>
          <w:snapToGrid w:val="0"/>
          <w:color w:val="auto"/>
          <w:kern w:val="0"/>
          <w:highlight w:val="none"/>
        </w:rPr>
        <w:t>）</w:t>
      </w:r>
      <w:r>
        <w:rPr>
          <w:rFonts w:hint="eastAsia" w:ascii="宋体" w:hAnsi="宋体" w:eastAsia="宋体"/>
          <w:color w:val="auto"/>
          <w:szCs w:val="21"/>
          <w:highlight w:val="none"/>
        </w:rPr>
        <w:t>在资信商务技术文件中出现报价的</w:t>
      </w:r>
      <w:r>
        <w:rPr>
          <w:rFonts w:hint="eastAsia" w:ascii="宋体" w:hAnsi="宋体" w:eastAsia="宋体"/>
          <w:color w:val="auto"/>
          <w:szCs w:val="21"/>
          <w:highlight w:val="none"/>
          <w:lang w:eastAsia="zh-CN"/>
        </w:rPr>
        <w:t>；</w:t>
      </w:r>
    </w:p>
    <w:p w14:paraId="571321FB">
      <w:pPr>
        <w:snapToGrid w:val="0"/>
        <w:spacing w:line="360" w:lineRule="auto"/>
        <w:ind w:firstLine="420" w:firstLineChars="200"/>
        <w:rPr>
          <w:color w:val="auto"/>
          <w:highlight w:val="none"/>
        </w:rPr>
      </w:pPr>
      <w:r>
        <w:rPr>
          <w:rFonts w:hint="eastAsia"/>
          <w:snapToGrid w:val="0"/>
          <w:color w:val="auto"/>
          <w:kern w:val="0"/>
          <w:highlight w:val="none"/>
          <w:lang w:val="en-US" w:eastAsia="zh-CN"/>
        </w:rPr>
        <w:t>4）</w:t>
      </w:r>
      <w:r>
        <w:rPr>
          <w:snapToGrid w:val="0"/>
          <w:color w:val="auto"/>
          <w:kern w:val="0"/>
          <w:highlight w:val="none"/>
        </w:rPr>
        <w:t>投标文件中法定代表人和授权代表身份证复印件不齐全的；</w:t>
      </w:r>
    </w:p>
    <w:p w14:paraId="0B8791D5">
      <w:pPr>
        <w:snapToGrid w:val="0"/>
        <w:spacing w:line="360" w:lineRule="auto"/>
        <w:ind w:firstLine="420" w:firstLineChars="200"/>
        <w:rPr>
          <w:rFonts w:hint="eastAsia" w:eastAsia="宋体"/>
          <w:color w:val="auto"/>
          <w:highlight w:val="none"/>
          <w:lang w:eastAsia="zh-CN"/>
        </w:rPr>
      </w:pPr>
      <w:r>
        <w:rPr>
          <w:rFonts w:hint="eastAsia" w:ascii="宋体" w:hAnsi="宋体" w:eastAsia="宋体"/>
          <w:color w:val="auto"/>
          <w:szCs w:val="21"/>
          <w:highlight w:val="none"/>
          <w:lang w:val="en-US" w:eastAsia="zh-CN"/>
        </w:rPr>
        <w:t>5）</w:t>
      </w:r>
      <w:r>
        <w:rPr>
          <w:rFonts w:ascii="宋体" w:hAnsi="宋体" w:eastAsia="宋体"/>
          <w:color w:val="auto"/>
          <w:szCs w:val="21"/>
          <w:highlight w:val="none"/>
        </w:rPr>
        <w:t>投标文件的实质性内容未使用中文表述、意思表述不明确、前后矛盾或者使用计量单位不符合招标文件要求的（经评标委员会认定</w:t>
      </w:r>
      <w:r>
        <w:rPr>
          <w:rFonts w:hint="eastAsia" w:ascii="宋体" w:hAnsi="宋体" w:eastAsia="宋体"/>
          <w:color w:val="auto"/>
          <w:szCs w:val="21"/>
          <w:highlight w:val="none"/>
        </w:rPr>
        <w:t>并</w:t>
      </w:r>
      <w:r>
        <w:rPr>
          <w:rFonts w:ascii="宋体" w:hAnsi="宋体" w:eastAsia="宋体"/>
          <w:color w:val="auto"/>
          <w:szCs w:val="21"/>
          <w:highlight w:val="none"/>
        </w:rPr>
        <w:t>允许其当场更正的笔误除外）</w:t>
      </w:r>
      <w:r>
        <w:rPr>
          <w:rFonts w:hint="eastAsia" w:ascii="宋体" w:hAnsi="宋体" w:eastAsia="宋体"/>
          <w:color w:val="auto"/>
          <w:szCs w:val="21"/>
          <w:highlight w:val="none"/>
          <w:lang w:eastAsia="zh-CN"/>
        </w:rPr>
        <w:t>；</w:t>
      </w:r>
    </w:p>
    <w:p w14:paraId="449229EC">
      <w:pPr>
        <w:snapToGrid w:val="0"/>
        <w:spacing w:line="360" w:lineRule="auto"/>
        <w:ind w:firstLine="420" w:firstLineChars="200"/>
        <w:rPr>
          <w:color w:val="auto"/>
          <w:highlight w:val="none"/>
        </w:rPr>
      </w:pPr>
      <w:r>
        <w:rPr>
          <w:rFonts w:hint="eastAsia"/>
          <w:color w:val="auto"/>
          <w:highlight w:val="none"/>
          <w:lang w:val="en-US" w:eastAsia="zh-CN"/>
        </w:rPr>
        <w:t>6</w:t>
      </w:r>
      <w:r>
        <w:rPr>
          <w:color w:val="auto"/>
          <w:highlight w:val="none"/>
        </w:rPr>
        <w:t>）投标文件内容未按采购文件规定盖章的；</w:t>
      </w:r>
    </w:p>
    <w:p w14:paraId="187741EE">
      <w:pPr>
        <w:snapToGrid w:val="0"/>
        <w:spacing w:line="360" w:lineRule="auto"/>
        <w:ind w:firstLine="420" w:firstLineChars="200"/>
        <w:rPr>
          <w:rFonts w:hint="eastAsia" w:eastAsia="宋体"/>
          <w:color w:val="auto"/>
          <w:highlight w:val="none"/>
          <w:lang w:eastAsia="zh-CN"/>
        </w:rPr>
      </w:pPr>
      <w:r>
        <w:rPr>
          <w:rFonts w:hint="eastAsia"/>
          <w:color w:val="auto"/>
          <w:highlight w:val="none"/>
          <w:lang w:val="en-US" w:eastAsia="zh-CN"/>
        </w:rPr>
        <w:t>7</w:t>
      </w:r>
      <w:r>
        <w:rPr>
          <w:color w:val="auto"/>
          <w:highlight w:val="none"/>
        </w:rPr>
        <w:t>）</w:t>
      </w:r>
      <w:r>
        <w:rPr>
          <w:rFonts w:hint="eastAsia" w:ascii="宋体" w:hAnsi="宋体" w:eastAsia="宋体"/>
          <w:color w:val="auto"/>
          <w:szCs w:val="21"/>
          <w:highlight w:val="none"/>
        </w:rPr>
        <w:t>在资信商务技术文件中出现报价的</w:t>
      </w:r>
      <w:r>
        <w:rPr>
          <w:rFonts w:hint="eastAsia" w:ascii="宋体" w:hAnsi="宋体" w:eastAsia="宋体"/>
          <w:color w:val="auto"/>
          <w:szCs w:val="21"/>
          <w:highlight w:val="none"/>
          <w:lang w:eastAsia="zh-CN"/>
        </w:rPr>
        <w:t>；</w:t>
      </w:r>
    </w:p>
    <w:p w14:paraId="2989F561">
      <w:pPr>
        <w:snapToGrid w:val="0"/>
        <w:spacing w:line="360" w:lineRule="auto"/>
        <w:ind w:firstLine="420" w:firstLineChars="200"/>
        <w:rPr>
          <w:color w:val="auto"/>
          <w:highlight w:val="none"/>
        </w:rPr>
      </w:pPr>
      <w:r>
        <w:rPr>
          <w:rFonts w:hint="eastAsia"/>
          <w:color w:val="auto"/>
          <w:highlight w:val="none"/>
          <w:lang w:val="en-US" w:eastAsia="zh-CN"/>
        </w:rPr>
        <w:t>8）</w:t>
      </w:r>
      <w:r>
        <w:rPr>
          <w:color w:val="auto"/>
          <w:highlight w:val="none"/>
        </w:rPr>
        <w:t>投标文件内容不全或内容字迹模糊辨认不清的等而导致评标活动无法正常进行；</w:t>
      </w:r>
    </w:p>
    <w:p w14:paraId="20129EA6">
      <w:pPr>
        <w:snapToGrid w:val="0"/>
        <w:spacing w:line="360" w:lineRule="auto"/>
        <w:ind w:firstLine="420" w:firstLineChars="200"/>
        <w:rPr>
          <w:color w:val="auto"/>
          <w:highlight w:val="none"/>
        </w:rPr>
      </w:pPr>
      <w:r>
        <w:rPr>
          <w:rFonts w:hint="eastAsia"/>
          <w:color w:val="auto"/>
          <w:highlight w:val="none"/>
          <w:lang w:val="en-US" w:eastAsia="zh-CN"/>
        </w:rPr>
        <w:t>9</w:t>
      </w:r>
      <w:r>
        <w:rPr>
          <w:color w:val="auto"/>
          <w:highlight w:val="none"/>
        </w:rPr>
        <w:t>）</w:t>
      </w:r>
      <w:r>
        <w:rPr>
          <w:rFonts w:hint="eastAsia"/>
          <w:color w:val="auto"/>
          <w:highlight w:val="none"/>
        </w:rPr>
        <w:t>投标人</w:t>
      </w:r>
      <w:r>
        <w:rPr>
          <w:color w:val="auto"/>
          <w:highlight w:val="none"/>
        </w:rPr>
        <w:t>未按采购文件变更通知更改投标文件的；</w:t>
      </w:r>
    </w:p>
    <w:p w14:paraId="06C1AE6A">
      <w:pPr>
        <w:snapToGrid w:val="0"/>
        <w:spacing w:line="360" w:lineRule="auto"/>
        <w:ind w:firstLine="420" w:firstLineChars="200"/>
        <w:rPr>
          <w:color w:val="auto"/>
          <w:highlight w:val="none"/>
        </w:rPr>
      </w:pPr>
      <w:r>
        <w:rPr>
          <w:rFonts w:hint="eastAsia"/>
          <w:color w:val="auto"/>
          <w:highlight w:val="none"/>
          <w:lang w:val="en-US" w:eastAsia="zh-CN"/>
        </w:rPr>
        <w:t>10</w:t>
      </w:r>
      <w:r>
        <w:rPr>
          <w:color w:val="auto"/>
          <w:highlight w:val="none"/>
        </w:rPr>
        <w:t>）未实质性响应采购文件中带“▲”条款要求的投标文件；</w:t>
      </w:r>
    </w:p>
    <w:p w14:paraId="732174B9">
      <w:pPr>
        <w:snapToGrid w:val="0"/>
        <w:spacing w:line="360" w:lineRule="auto"/>
        <w:ind w:firstLine="420" w:firstLineChars="200"/>
        <w:rPr>
          <w:color w:val="auto"/>
          <w:highlight w:val="none"/>
        </w:rPr>
      </w:pPr>
      <w:r>
        <w:rPr>
          <w:rFonts w:hint="eastAsia"/>
          <w:color w:val="auto"/>
          <w:highlight w:val="none"/>
          <w:lang w:val="en-US" w:eastAsia="zh-CN"/>
        </w:rPr>
        <w:t>11</w:t>
      </w:r>
      <w:r>
        <w:rPr>
          <w:color w:val="auto"/>
          <w:highlight w:val="none"/>
        </w:rPr>
        <w:t>）</w:t>
      </w:r>
      <w:r>
        <w:rPr>
          <w:snapToGrid w:val="0"/>
          <w:color w:val="auto"/>
          <w:kern w:val="0"/>
          <w:highlight w:val="none"/>
        </w:rPr>
        <w:t>投标有效期、</w:t>
      </w:r>
      <w:r>
        <w:rPr>
          <w:rFonts w:hint="eastAsia"/>
          <w:snapToGrid w:val="0"/>
          <w:color w:val="auto"/>
          <w:kern w:val="0"/>
          <w:highlight w:val="none"/>
        </w:rPr>
        <w:t>服务期</w:t>
      </w:r>
      <w:r>
        <w:rPr>
          <w:snapToGrid w:val="0"/>
          <w:color w:val="auto"/>
          <w:kern w:val="0"/>
          <w:highlight w:val="none"/>
        </w:rPr>
        <w:t>不能满足</w:t>
      </w:r>
      <w:r>
        <w:rPr>
          <w:rFonts w:hint="eastAsia"/>
          <w:snapToGrid w:val="0"/>
          <w:color w:val="auto"/>
          <w:kern w:val="0"/>
          <w:highlight w:val="none"/>
        </w:rPr>
        <w:t>采购文件</w:t>
      </w:r>
      <w:r>
        <w:rPr>
          <w:snapToGrid w:val="0"/>
          <w:color w:val="auto"/>
          <w:kern w:val="0"/>
          <w:highlight w:val="none"/>
        </w:rPr>
        <w:t>要求的；</w:t>
      </w:r>
    </w:p>
    <w:p w14:paraId="7EC4BE46">
      <w:pPr>
        <w:snapToGrid w:val="0"/>
        <w:spacing w:line="360" w:lineRule="auto"/>
        <w:ind w:firstLine="420" w:firstLineChars="200"/>
        <w:rPr>
          <w:color w:val="auto"/>
          <w:highlight w:val="none"/>
        </w:rPr>
      </w:pPr>
      <w:r>
        <w:rPr>
          <w:rFonts w:hint="eastAsia"/>
          <w:color w:val="auto"/>
          <w:highlight w:val="none"/>
          <w:lang w:val="en-US" w:eastAsia="zh-CN"/>
        </w:rPr>
        <w:t>12</w:t>
      </w:r>
      <w:r>
        <w:rPr>
          <w:color w:val="auto"/>
          <w:highlight w:val="none"/>
        </w:rPr>
        <w:t>）投标文件附有采购人不能接受的条款；</w:t>
      </w:r>
    </w:p>
    <w:p w14:paraId="60CE13CF">
      <w:pPr>
        <w:snapToGrid w:val="0"/>
        <w:spacing w:line="360" w:lineRule="auto"/>
        <w:ind w:firstLine="420" w:firstLineChars="200"/>
        <w:rPr>
          <w:color w:val="auto"/>
          <w:highlight w:val="none"/>
        </w:rPr>
      </w:pPr>
      <w:r>
        <w:rPr>
          <w:rFonts w:hint="eastAsia"/>
          <w:color w:val="auto"/>
          <w:highlight w:val="none"/>
        </w:rPr>
        <w:t>1</w:t>
      </w:r>
      <w:r>
        <w:rPr>
          <w:rFonts w:hint="eastAsia"/>
          <w:color w:val="auto"/>
          <w:highlight w:val="none"/>
          <w:lang w:val="en-US" w:eastAsia="zh-CN"/>
        </w:rPr>
        <w:t>3</w:t>
      </w:r>
      <w:r>
        <w:rPr>
          <w:color w:val="auto"/>
          <w:highlight w:val="none"/>
        </w:rPr>
        <w:t>）供应商提供虚假材料投标的</w:t>
      </w:r>
      <w:r>
        <w:rPr>
          <w:rFonts w:hint="eastAsia"/>
          <w:color w:val="auto"/>
          <w:highlight w:val="none"/>
        </w:rPr>
        <w:t>，或投标响应情况与事实不符的</w:t>
      </w:r>
      <w:r>
        <w:rPr>
          <w:color w:val="auto"/>
          <w:highlight w:val="none"/>
        </w:rPr>
        <w:t>；</w:t>
      </w:r>
    </w:p>
    <w:p w14:paraId="3B24744F">
      <w:pPr>
        <w:snapToGrid w:val="0"/>
        <w:spacing w:line="360" w:lineRule="auto"/>
        <w:ind w:firstLine="420" w:firstLineChars="200"/>
        <w:rPr>
          <w:color w:val="auto"/>
          <w:highlight w:val="none"/>
        </w:rPr>
      </w:pPr>
      <w:r>
        <w:rPr>
          <w:color w:val="auto"/>
          <w:highlight w:val="none"/>
        </w:rPr>
        <w:t>1</w:t>
      </w:r>
      <w:r>
        <w:rPr>
          <w:rFonts w:hint="eastAsia"/>
          <w:color w:val="auto"/>
          <w:highlight w:val="none"/>
          <w:lang w:val="en-US" w:eastAsia="zh-CN"/>
        </w:rPr>
        <w:t>4</w:t>
      </w:r>
      <w:r>
        <w:rPr>
          <w:color w:val="auto"/>
          <w:highlight w:val="none"/>
        </w:rPr>
        <w:t>）投标文件中提供了与采购无关的赠品、回扣或者其他商品、服务；</w:t>
      </w:r>
    </w:p>
    <w:p w14:paraId="4DAD963D">
      <w:pPr>
        <w:snapToGrid w:val="0"/>
        <w:spacing w:line="360" w:lineRule="auto"/>
        <w:ind w:firstLine="420" w:firstLineChars="200"/>
        <w:rPr>
          <w:rFonts w:hint="eastAsia"/>
          <w:color w:val="auto"/>
          <w:highlight w:val="none"/>
        </w:rPr>
      </w:pPr>
      <w:r>
        <w:rPr>
          <w:rFonts w:hint="eastAsia"/>
          <w:color w:val="auto"/>
          <w:highlight w:val="none"/>
        </w:rPr>
        <w:t>1</w:t>
      </w:r>
      <w:r>
        <w:rPr>
          <w:rFonts w:hint="eastAsia"/>
          <w:color w:val="auto"/>
          <w:highlight w:val="none"/>
          <w:lang w:val="en-US" w:eastAsia="zh-CN"/>
        </w:rPr>
        <w:t>5</w:t>
      </w:r>
      <w:r>
        <w:rPr>
          <w:rFonts w:hint="eastAsia"/>
          <w:color w:val="auto"/>
          <w:highlight w:val="none"/>
        </w:rPr>
        <w:t>）违反国家及政府部门相关法律、法规、文件规定或经评标委员会认定的其他属于重大偏离。</w:t>
      </w:r>
    </w:p>
    <w:p w14:paraId="49B2A5AE">
      <w:pPr>
        <w:snapToGrid w:val="0"/>
        <w:spacing w:line="360" w:lineRule="auto"/>
        <w:ind w:firstLine="420" w:firstLineChars="200"/>
        <w:rPr>
          <w:rFonts w:hint="eastAsia"/>
          <w:color w:val="auto"/>
          <w:highlight w:val="none"/>
        </w:rPr>
      </w:pPr>
      <w:r>
        <w:rPr>
          <w:rFonts w:hint="eastAsia" w:ascii="宋体" w:hAnsi="宋体" w:eastAsia="宋体" w:cs="Times New Roman"/>
          <w:color w:val="auto"/>
          <w:szCs w:val="21"/>
          <w:highlight w:val="none"/>
          <w:lang w:val="en-US" w:eastAsia="zh-CN"/>
        </w:rPr>
        <w:t>16）</w:t>
      </w:r>
      <w:r>
        <w:rPr>
          <w:rFonts w:hint="eastAsia" w:ascii="宋体" w:hAnsi="宋体" w:eastAsia="宋体" w:cs="Times New Roman"/>
          <w:color w:val="auto"/>
          <w:szCs w:val="21"/>
          <w:highlight w:val="none"/>
        </w:rPr>
        <w:t>供应商所得的商务技术分低于总分60%的</w:t>
      </w:r>
    </w:p>
    <w:p w14:paraId="4C6A4C97">
      <w:pPr>
        <w:pStyle w:val="15"/>
        <w:snapToGrid w:val="0"/>
        <w:spacing w:line="360" w:lineRule="auto"/>
        <w:ind w:right="42" w:rightChars="20" w:firstLine="406" w:firstLineChars="200"/>
        <w:jc w:val="left"/>
        <w:rPr>
          <w:rFonts w:ascii="宋体" w:hAnsi="宋体" w:eastAsia="宋体"/>
          <w:b/>
          <w:bCs/>
          <w:color w:val="auto"/>
          <w:sz w:val="21"/>
          <w:szCs w:val="21"/>
          <w:highlight w:val="none"/>
        </w:rPr>
      </w:pPr>
      <w:r>
        <w:rPr>
          <w:rFonts w:hint="eastAsia" w:hAnsi="宋体"/>
          <w:b/>
          <w:bCs/>
          <w:color w:val="auto"/>
          <w:sz w:val="21"/>
          <w:szCs w:val="21"/>
          <w:highlight w:val="none"/>
          <w:lang w:val="en-US" w:eastAsia="zh-CN"/>
        </w:rPr>
        <w:t>4</w:t>
      </w:r>
      <w:r>
        <w:rPr>
          <w:rFonts w:hint="eastAsia" w:ascii="宋体" w:hAnsi="宋体" w:eastAsia="宋体"/>
          <w:b/>
          <w:bCs/>
          <w:color w:val="auto"/>
          <w:sz w:val="21"/>
          <w:szCs w:val="21"/>
          <w:highlight w:val="none"/>
        </w:rPr>
        <w:t>、</w:t>
      </w:r>
      <w:r>
        <w:rPr>
          <w:rFonts w:ascii="宋体" w:hAnsi="宋体" w:eastAsia="宋体"/>
          <w:b/>
          <w:bCs/>
          <w:color w:val="auto"/>
          <w:sz w:val="21"/>
          <w:szCs w:val="21"/>
          <w:highlight w:val="none"/>
        </w:rPr>
        <w:t>在报价评审时，如发现下列情形之一的，投标文件将被视为无效：</w:t>
      </w:r>
    </w:p>
    <w:p w14:paraId="49042D0A">
      <w:pPr>
        <w:snapToGrid w:val="0"/>
        <w:spacing w:line="360" w:lineRule="auto"/>
        <w:ind w:firstLine="420" w:firstLineChars="200"/>
        <w:rPr>
          <w:color w:val="auto"/>
          <w:highlight w:val="none"/>
        </w:rPr>
      </w:pPr>
      <w:r>
        <w:rPr>
          <w:color w:val="auto"/>
          <w:highlight w:val="none"/>
        </w:rPr>
        <w:t>1）</w:t>
      </w:r>
      <w:r>
        <w:rPr>
          <w:rFonts w:hint="eastAsia"/>
          <w:color w:val="auto"/>
          <w:highlight w:val="none"/>
        </w:rPr>
        <w:t>投标人</w:t>
      </w:r>
      <w:r>
        <w:rPr>
          <w:color w:val="auto"/>
          <w:highlight w:val="none"/>
        </w:rPr>
        <w:t>提交两份或两份以上内容不同的投标报价，未声明哪一份有效的；</w:t>
      </w:r>
    </w:p>
    <w:p w14:paraId="1CD42BCC">
      <w:pPr>
        <w:snapToGrid w:val="0"/>
        <w:spacing w:line="360" w:lineRule="auto"/>
        <w:ind w:firstLine="420" w:firstLineChars="200"/>
        <w:rPr>
          <w:color w:val="auto"/>
          <w:highlight w:val="none"/>
        </w:rPr>
      </w:pPr>
      <w:r>
        <w:rPr>
          <w:color w:val="auto"/>
          <w:highlight w:val="none"/>
        </w:rPr>
        <w:t>2）投标文件内容未按采购文件规定盖章的；</w:t>
      </w:r>
    </w:p>
    <w:p w14:paraId="18CAF927">
      <w:pPr>
        <w:snapToGrid w:val="0"/>
        <w:spacing w:line="360" w:lineRule="auto"/>
        <w:ind w:firstLine="420" w:firstLineChars="200"/>
        <w:rPr>
          <w:color w:val="auto"/>
          <w:highlight w:val="none"/>
        </w:rPr>
      </w:pPr>
      <w:r>
        <w:rPr>
          <w:color w:val="auto"/>
          <w:highlight w:val="none"/>
        </w:rPr>
        <w:t>3）《开标一览表》和《</w:t>
      </w:r>
      <w:r>
        <w:rPr>
          <w:rFonts w:hint="eastAsia"/>
          <w:color w:val="auto"/>
          <w:highlight w:val="none"/>
        </w:rPr>
        <w:t>投标价</w:t>
      </w:r>
      <w:r>
        <w:rPr>
          <w:color w:val="auto"/>
          <w:highlight w:val="none"/>
        </w:rPr>
        <w:t>格组成明细表》内容不完整且不接受修正意见或字迹不能辨认的或未提供；</w:t>
      </w:r>
    </w:p>
    <w:p w14:paraId="1DBA549A">
      <w:pPr>
        <w:snapToGrid w:val="0"/>
        <w:spacing w:line="360" w:lineRule="auto"/>
        <w:ind w:firstLine="420" w:firstLineChars="200"/>
        <w:rPr>
          <w:color w:val="auto"/>
          <w:highlight w:val="none"/>
        </w:rPr>
      </w:pPr>
      <w:r>
        <w:rPr>
          <w:color w:val="auto"/>
          <w:highlight w:val="none"/>
        </w:rPr>
        <w:t>4）所投标项的投标报价超过采购文件规定的预算金额或最高限价；</w:t>
      </w:r>
    </w:p>
    <w:p w14:paraId="5D9FE60F">
      <w:pPr>
        <w:snapToGrid w:val="0"/>
        <w:spacing w:line="360" w:lineRule="auto"/>
        <w:ind w:firstLine="420" w:firstLineChars="200"/>
        <w:rPr>
          <w:rFonts w:hint="eastAsia"/>
          <w:color w:val="auto"/>
          <w:highlight w:val="none"/>
        </w:rPr>
      </w:pPr>
      <w:r>
        <w:rPr>
          <w:color w:val="auto"/>
          <w:highlight w:val="none"/>
        </w:rPr>
        <w:t>5）《开标一览表》投标报价为零的，或其报价（大写）无法按正常书写方式进行报价唱标的或无投标报价的；</w:t>
      </w:r>
    </w:p>
    <w:p w14:paraId="5DCDAFFA">
      <w:pPr>
        <w:snapToGrid w:val="0"/>
        <w:spacing w:line="360" w:lineRule="auto"/>
        <w:ind w:firstLine="420" w:firstLineChars="200"/>
        <w:rPr>
          <w:color w:val="auto"/>
          <w:highlight w:val="none"/>
        </w:rPr>
      </w:pPr>
      <w:r>
        <w:rPr>
          <w:rFonts w:hint="eastAsia"/>
          <w:color w:val="auto"/>
          <w:highlight w:val="none"/>
        </w:rPr>
        <w:t>6</w:t>
      </w:r>
      <w:r>
        <w:rPr>
          <w:color w:val="auto"/>
          <w:highlight w:val="none"/>
        </w:rPr>
        <w:t>）</w:t>
      </w:r>
      <w:r>
        <w:rPr>
          <w:rFonts w:hint="eastAsia"/>
          <w:color w:val="auto"/>
          <w:highlight w:val="none"/>
        </w:rPr>
        <w:t>供应商的报价明显低于其他通过符合性审查供应商的报价，有可能影响产品或服务质量或者不能诚信履约，评标委员会要求其在评标现场合理的时间内提供书面说明（必要时提交相关证明材料），供应商未提供书面说明的或提供的书面说明（相关证明材料）不能证明其报价合理性的</w:t>
      </w:r>
      <w:r>
        <w:rPr>
          <w:color w:val="auto"/>
          <w:highlight w:val="none"/>
        </w:rPr>
        <w:t>；</w:t>
      </w:r>
      <w:r>
        <w:rPr>
          <w:rFonts w:hint="eastAsia"/>
          <w:color w:val="auto"/>
          <w:highlight w:val="none"/>
          <w:lang w:val="en-US" w:eastAsia="zh-CN"/>
        </w:rPr>
        <w:t>或供应商未通过</w:t>
      </w:r>
      <w:r>
        <w:rPr>
          <w:rFonts w:hint="eastAsia" w:ascii="Times New Roman" w:hAnsi="Times New Roman" w:eastAsia="宋体" w:cs="Times New Roman"/>
          <w:b w:val="0"/>
          <w:color w:val="auto"/>
          <w:kern w:val="2"/>
          <w:sz w:val="21"/>
          <w:szCs w:val="24"/>
          <w:highlight w:val="none"/>
          <w:lang w:val="en-US" w:eastAsia="zh-CN" w:bidi="ar-SA"/>
        </w:rPr>
        <w:t>异常低价投标（响应）审查的</w:t>
      </w:r>
      <w:r>
        <w:rPr>
          <w:color w:val="auto"/>
          <w:highlight w:val="none"/>
        </w:rPr>
        <w:t>；</w:t>
      </w:r>
    </w:p>
    <w:p w14:paraId="7BB33BE3">
      <w:pPr>
        <w:snapToGrid w:val="0"/>
        <w:spacing w:line="360" w:lineRule="auto"/>
        <w:ind w:firstLine="420" w:firstLineChars="200"/>
        <w:rPr>
          <w:color w:val="auto"/>
          <w:highlight w:val="none"/>
        </w:rPr>
      </w:pPr>
      <w:r>
        <w:rPr>
          <w:rFonts w:hint="eastAsia"/>
          <w:color w:val="auto"/>
          <w:highlight w:val="none"/>
        </w:rPr>
        <w:t>7</w:t>
      </w:r>
      <w:r>
        <w:rPr>
          <w:color w:val="auto"/>
          <w:highlight w:val="none"/>
        </w:rPr>
        <w:t>）投标文件内容不全或内容字迹模糊辨认不清的等而导致评标活动无法正常进行；</w:t>
      </w:r>
    </w:p>
    <w:p w14:paraId="1C755FCD">
      <w:pPr>
        <w:snapToGrid w:val="0"/>
        <w:spacing w:line="360" w:lineRule="auto"/>
        <w:ind w:firstLine="420" w:firstLineChars="200"/>
        <w:rPr>
          <w:color w:val="auto"/>
          <w:highlight w:val="none"/>
        </w:rPr>
      </w:pPr>
      <w:r>
        <w:rPr>
          <w:rFonts w:hint="eastAsia"/>
          <w:color w:val="auto"/>
          <w:highlight w:val="none"/>
        </w:rPr>
        <w:t>8</w:t>
      </w:r>
      <w:r>
        <w:rPr>
          <w:color w:val="auto"/>
          <w:highlight w:val="none"/>
        </w:rPr>
        <w:t>）</w:t>
      </w:r>
      <w:r>
        <w:rPr>
          <w:color w:val="auto"/>
          <w:highlight w:val="none"/>
        </w:rPr>
        <w:tab/>
      </w:r>
      <w:r>
        <w:rPr>
          <w:rFonts w:hint="eastAsia"/>
          <w:color w:val="auto"/>
          <w:highlight w:val="none"/>
        </w:rPr>
        <w:t>投标人</w:t>
      </w:r>
      <w:r>
        <w:rPr>
          <w:color w:val="auto"/>
          <w:highlight w:val="none"/>
        </w:rPr>
        <w:t>未按采购文件变更通知更改投标文件的；</w:t>
      </w:r>
    </w:p>
    <w:p w14:paraId="73DD5231">
      <w:pPr>
        <w:snapToGrid w:val="0"/>
        <w:spacing w:line="360" w:lineRule="auto"/>
        <w:ind w:firstLine="420" w:firstLineChars="200"/>
        <w:rPr>
          <w:color w:val="auto"/>
          <w:highlight w:val="none"/>
        </w:rPr>
      </w:pPr>
      <w:r>
        <w:rPr>
          <w:rFonts w:hint="eastAsia"/>
          <w:color w:val="auto"/>
          <w:highlight w:val="none"/>
        </w:rPr>
        <w:t>9</w:t>
      </w:r>
      <w:r>
        <w:rPr>
          <w:color w:val="auto"/>
          <w:highlight w:val="none"/>
        </w:rPr>
        <w:t>）</w:t>
      </w:r>
      <w:r>
        <w:rPr>
          <w:color w:val="auto"/>
          <w:highlight w:val="none"/>
        </w:rPr>
        <w:tab/>
      </w:r>
      <w:r>
        <w:rPr>
          <w:color w:val="auto"/>
          <w:highlight w:val="none"/>
        </w:rPr>
        <w:t>未实质性响应采购文件中带“▲”条款要求的投标文件；</w:t>
      </w:r>
    </w:p>
    <w:p w14:paraId="4BC4FF3C">
      <w:pPr>
        <w:snapToGrid w:val="0"/>
        <w:spacing w:line="360" w:lineRule="auto"/>
        <w:ind w:firstLine="420" w:firstLineChars="200"/>
        <w:rPr>
          <w:color w:val="auto"/>
          <w:highlight w:val="none"/>
        </w:rPr>
      </w:pPr>
      <w:r>
        <w:rPr>
          <w:color w:val="auto"/>
          <w:highlight w:val="none"/>
        </w:rPr>
        <w:t>1</w:t>
      </w:r>
      <w:r>
        <w:rPr>
          <w:rFonts w:hint="eastAsia"/>
          <w:color w:val="auto"/>
          <w:highlight w:val="none"/>
        </w:rPr>
        <w:t>0</w:t>
      </w:r>
      <w:r>
        <w:rPr>
          <w:color w:val="auto"/>
          <w:highlight w:val="none"/>
        </w:rPr>
        <w:t>）投标文件附有采购人不能接受的条款；</w:t>
      </w:r>
    </w:p>
    <w:p w14:paraId="7DF1085C">
      <w:pPr>
        <w:snapToGrid w:val="0"/>
        <w:spacing w:line="360" w:lineRule="auto"/>
        <w:ind w:firstLine="420" w:firstLineChars="200"/>
        <w:rPr>
          <w:color w:val="auto"/>
          <w:highlight w:val="none"/>
        </w:rPr>
      </w:pPr>
      <w:r>
        <w:rPr>
          <w:rFonts w:hint="eastAsia"/>
          <w:color w:val="auto"/>
          <w:highlight w:val="none"/>
        </w:rPr>
        <w:t>11</w:t>
      </w:r>
      <w:r>
        <w:rPr>
          <w:color w:val="auto"/>
          <w:highlight w:val="none"/>
        </w:rPr>
        <w:t>）投标文件中提供了与采购无关的赠品、回扣或者其他商品、服务；</w:t>
      </w:r>
    </w:p>
    <w:p w14:paraId="7D807FFC">
      <w:pPr>
        <w:snapToGrid w:val="0"/>
        <w:spacing w:line="360" w:lineRule="auto"/>
        <w:ind w:firstLine="420" w:firstLineChars="200"/>
        <w:rPr>
          <w:rFonts w:ascii="宋体" w:hAnsi="宋体" w:eastAsia="宋体"/>
          <w:color w:val="auto"/>
          <w:sz w:val="21"/>
          <w:szCs w:val="21"/>
          <w:highlight w:val="none"/>
        </w:rPr>
      </w:pPr>
      <w:r>
        <w:rPr>
          <w:color w:val="auto"/>
          <w:highlight w:val="none"/>
        </w:rPr>
        <w:t>1</w:t>
      </w:r>
      <w:r>
        <w:rPr>
          <w:rFonts w:hint="eastAsia"/>
          <w:color w:val="auto"/>
          <w:highlight w:val="none"/>
        </w:rPr>
        <w:t>2</w:t>
      </w:r>
      <w:r>
        <w:rPr>
          <w:color w:val="auto"/>
          <w:highlight w:val="none"/>
        </w:rPr>
        <w:t>）</w:t>
      </w:r>
      <w:r>
        <w:rPr>
          <w:rFonts w:hint="eastAsia"/>
          <w:color w:val="auto"/>
          <w:highlight w:val="none"/>
        </w:rPr>
        <w:t>违反国家及政府部门相关法律、法规、文件规定或经评标委员会认定的其他属于重大偏离。</w:t>
      </w:r>
      <w:r>
        <w:rPr>
          <w:rFonts w:hint="eastAsia" w:ascii="宋体" w:hAnsi="宋体" w:eastAsia="宋体"/>
          <w:color w:val="auto"/>
          <w:sz w:val="21"/>
          <w:szCs w:val="21"/>
          <w:highlight w:val="none"/>
        </w:rPr>
        <w:t xml:space="preserve">                                                                                         </w:t>
      </w:r>
    </w:p>
    <w:p w14:paraId="665F3007">
      <w:pPr>
        <w:pStyle w:val="15"/>
        <w:snapToGrid w:val="0"/>
        <w:spacing w:line="360" w:lineRule="auto"/>
        <w:ind w:right="42" w:rightChars="20" w:firstLine="406" w:firstLineChars="200"/>
        <w:jc w:val="left"/>
        <w:rPr>
          <w:rFonts w:ascii="宋体" w:hAnsi="宋体" w:eastAsia="宋体"/>
          <w:b/>
          <w:snapToGrid w:val="0"/>
          <w:color w:val="auto"/>
          <w:sz w:val="21"/>
          <w:szCs w:val="21"/>
          <w:highlight w:val="none"/>
        </w:rPr>
      </w:pPr>
      <w:r>
        <w:rPr>
          <w:rFonts w:hint="eastAsia" w:hAnsi="宋体"/>
          <w:b/>
          <w:color w:val="auto"/>
          <w:sz w:val="21"/>
          <w:szCs w:val="21"/>
          <w:highlight w:val="none"/>
          <w:lang w:val="en-US" w:eastAsia="zh-CN"/>
        </w:rPr>
        <w:t>5</w:t>
      </w:r>
      <w:r>
        <w:rPr>
          <w:rFonts w:hint="eastAsia" w:ascii="宋体" w:hAnsi="宋体" w:eastAsia="宋体"/>
          <w:b/>
          <w:color w:val="auto"/>
          <w:sz w:val="21"/>
          <w:szCs w:val="21"/>
          <w:highlight w:val="none"/>
        </w:rPr>
        <w:t>、</w:t>
      </w:r>
      <w:r>
        <w:rPr>
          <w:rFonts w:ascii="宋体" w:hAnsi="宋体" w:eastAsia="宋体"/>
          <w:b/>
          <w:color w:val="auto"/>
          <w:sz w:val="21"/>
          <w:szCs w:val="21"/>
          <w:highlight w:val="none"/>
        </w:rPr>
        <w:t>被拒绝的投标文件为无效。</w:t>
      </w:r>
    </w:p>
    <w:p w14:paraId="37FAF877">
      <w:pPr>
        <w:pStyle w:val="15"/>
        <w:snapToGrid w:val="0"/>
        <w:spacing w:line="360" w:lineRule="auto"/>
        <w:ind w:right="42" w:rightChars="20" w:firstLine="406" w:firstLineChars="200"/>
        <w:jc w:val="left"/>
        <w:outlineLvl w:val="1"/>
        <w:rPr>
          <w:rFonts w:asciiTheme="minorEastAsia" w:hAnsiTheme="minorEastAsia" w:eastAsiaTheme="minorEastAsia"/>
          <w:b/>
          <w:snapToGrid w:val="0"/>
          <w:color w:val="auto"/>
          <w:sz w:val="21"/>
          <w:szCs w:val="21"/>
          <w:highlight w:val="none"/>
        </w:rPr>
      </w:pPr>
      <w:r>
        <w:rPr>
          <w:rFonts w:hint="eastAsia" w:asciiTheme="minorEastAsia" w:hAnsiTheme="minorEastAsia" w:eastAsiaTheme="minorEastAsia"/>
          <w:b/>
          <w:color w:val="auto"/>
          <w:sz w:val="21"/>
          <w:szCs w:val="21"/>
          <w:highlight w:val="none"/>
        </w:rPr>
        <w:t>四、开标</w:t>
      </w:r>
      <w:bookmarkEnd w:id="270"/>
      <w:bookmarkEnd w:id="271"/>
      <w:bookmarkEnd w:id="272"/>
    </w:p>
    <w:p w14:paraId="7EFECA54">
      <w:pPr>
        <w:pStyle w:val="29"/>
        <w:snapToGrid w:val="0"/>
        <w:spacing w:line="360" w:lineRule="auto"/>
        <w:ind w:right="42" w:rightChars="20" w:firstLine="422" w:firstLineChars="200"/>
        <w:jc w:val="left"/>
        <w:rPr>
          <w:rFonts w:asciiTheme="minorEastAsia" w:hAnsiTheme="minorEastAsia" w:eastAsiaTheme="minorEastAsia"/>
          <w:b/>
          <w:bCs/>
          <w:color w:val="auto"/>
          <w:szCs w:val="21"/>
          <w:highlight w:val="none"/>
        </w:rPr>
      </w:pPr>
      <w:r>
        <w:rPr>
          <w:rFonts w:asciiTheme="minorEastAsia" w:hAnsiTheme="minorEastAsia" w:eastAsiaTheme="minorEastAsia"/>
          <w:b/>
          <w:bCs/>
          <w:color w:val="auto"/>
          <w:szCs w:val="21"/>
          <w:highlight w:val="none"/>
        </w:rPr>
        <w:t>（一）开标准备</w:t>
      </w:r>
    </w:p>
    <w:p w14:paraId="3E69B03F">
      <w:pPr>
        <w:pStyle w:val="29"/>
        <w:snapToGrid w:val="0"/>
        <w:spacing w:line="360" w:lineRule="auto"/>
        <w:ind w:right="42" w:rightChars="20" w:firstLine="420" w:firstLineChars="200"/>
        <w:jc w:val="left"/>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1、开标的准备工作由采购组织机构负责落实；</w:t>
      </w:r>
    </w:p>
    <w:p w14:paraId="0BA26576">
      <w:pPr>
        <w:pStyle w:val="29"/>
        <w:snapToGrid w:val="0"/>
        <w:spacing w:line="360" w:lineRule="auto"/>
        <w:ind w:right="42" w:rightChars="20" w:firstLine="420" w:firstLineChars="200"/>
        <w:jc w:val="left"/>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2、采购组织机构将按照招标文件规定的时间通过“政府采购云平台”组织开标、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2C5962EB">
      <w:pPr>
        <w:pStyle w:val="29"/>
        <w:snapToGrid w:val="0"/>
        <w:spacing w:line="360" w:lineRule="auto"/>
        <w:ind w:right="42" w:rightChars="20" w:firstLine="422" w:firstLineChars="200"/>
        <w:jc w:val="left"/>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(二 ) 采购人或者采购代理机构职责</w:t>
      </w:r>
    </w:p>
    <w:p w14:paraId="1BBF8191">
      <w:pPr>
        <w:pStyle w:val="29"/>
        <w:snapToGrid w:val="0"/>
        <w:spacing w:line="360" w:lineRule="auto"/>
        <w:ind w:right="42" w:rightChars="20" w:firstLine="420" w:firstLineChars="200"/>
        <w:jc w:val="left"/>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采购人或者采购代理机构负责组织评标工作，并履行下列职责：</w:t>
      </w:r>
    </w:p>
    <w:p w14:paraId="0F3E6440">
      <w:pPr>
        <w:pStyle w:val="29"/>
        <w:snapToGrid w:val="0"/>
        <w:spacing w:line="360" w:lineRule="auto"/>
        <w:ind w:right="42" w:rightChars="20" w:firstLine="420" w:firstLineChars="200"/>
        <w:jc w:val="left"/>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1、核对评审专家身份和采购人代表授权函，对评审专家在政府采购活动中的职责履行情况予以记录，并及时将有关违法违规行为向财政部门报告;</w:t>
      </w:r>
    </w:p>
    <w:p w14:paraId="1457C4F3">
      <w:pPr>
        <w:pStyle w:val="29"/>
        <w:snapToGrid w:val="0"/>
        <w:spacing w:line="360" w:lineRule="auto"/>
        <w:ind w:right="42" w:rightChars="20" w:firstLine="420" w:firstLineChars="200"/>
        <w:jc w:val="left"/>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2、宣布评标纪律;</w:t>
      </w:r>
    </w:p>
    <w:p w14:paraId="174264B2">
      <w:pPr>
        <w:pStyle w:val="29"/>
        <w:snapToGrid w:val="0"/>
        <w:spacing w:line="360" w:lineRule="auto"/>
        <w:ind w:right="42" w:rightChars="20" w:firstLine="420" w:firstLineChars="200"/>
        <w:jc w:val="left"/>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3、公布投标人名单，告知评审专家应当回避的情形;</w:t>
      </w:r>
    </w:p>
    <w:p w14:paraId="31A76833">
      <w:pPr>
        <w:pStyle w:val="29"/>
        <w:snapToGrid w:val="0"/>
        <w:spacing w:line="360" w:lineRule="auto"/>
        <w:ind w:right="42" w:rightChars="20" w:firstLine="420" w:firstLineChars="200"/>
        <w:jc w:val="left"/>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4、组织评标委员会推选评标组长，采购人代表不得担任组长;</w:t>
      </w:r>
    </w:p>
    <w:p w14:paraId="6D3B54AE">
      <w:pPr>
        <w:pStyle w:val="29"/>
        <w:snapToGrid w:val="0"/>
        <w:spacing w:line="360" w:lineRule="auto"/>
        <w:ind w:right="42" w:rightChars="20" w:firstLine="420" w:firstLineChars="200"/>
        <w:jc w:val="left"/>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5、在评标期间采取必要的通讯管理措施，保证评标活动不受外界干扰;</w:t>
      </w:r>
    </w:p>
    <w:p w14:paraId="26827BB0">
      <w:pPr>
        <w:pStyle w:val="29"/>
        <w:snapToGrid w:val="0"/>
        <w:spacing w:line="360" w:lineRule="auto"/>
        <w:ind w:right="42" w:rightChars="20" w:firstLine="420" w:firstLineChars="200"/>
        <w:jc w:val="left"/>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6、根据评标委员会的要求介绍政府采购相关政策法规、招标文件;</w:t>
      </w:r>
    </w:p>
    <w:p w14:paraId="03BB9233">
      <w:pPr>
        <w:pStyle w:val="29"/>
        <w:snapToGrid w:val="0"/>
        <w:spacing w:line="360" w:lineRule="auto"/>
        <w:ind w:right="42" w:rightChars="20" w:firstLine="420" w:firstLineChars="200"/>
        <w:jc w:val="left"/>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7、维护评标秩序，监督评标委员会依照招标文件规定的评标程序、方法和标准进行独立评审，及时制止和纠正采购人代表、评审专家的倾向性言论或者违法违规行为;</w:t>
      </w:r>
    </w:p>
    <w:p w14:paraId="0571FD56">
      <w:pPr>
        <w:pStyle w:val="29"/>
        <w:snapToGrid w:val="0"/>
        <w:spacing w:line="360" w:lineRule="auto"/>
        <w:ind w:right="42" w:rightChars="20" w:firstLine="420" w:firstLineChars="200"/>
        <w:jc w:val="left"/>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8、核对评标结果，根据《政府采购货物和服务招标投标管理办法》，如有第六十四条规定情形的，要求评标委员会复核或者书面说明理由，评标委员会拒绝的，应予记录并向本级财政部门报告;</w:t>
      </w:r>
    </w:p>
    <w:p w14:paraId="02EE1FED">
      <w:pPr>
        <w:pStyle w:val="29"/>
        <w:snapToGrid w:val="0"/>
        <w:spacing w:line="360" w:lineRule="auto"/>
        <w:ind w:right="42" w:rightChars="20" w:firstLine="420" w:firstLineChars="200"/>
        <w:jc w:val="left"/>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9、评审工作完成后，按照规定向评审专家支付劳务报酬和异地评审差旅费，不得向评审专家以外的其他人员支付评审劳务报酬;</w:t>
      </w:r>
    </w:p>
    <w:p w14:paraId="7EC891FF">
      <w:pPr>
        <w:pStyle w:val="29"/>
        <w:snapToGrid w:val="0"/>
        <w:spacing w:line="360" w:lineRule="auto"/>
        <w:ind w:right="42" w:rightChars="20" w:firstLine="404" w:firstLineChars="200"/>
        <w:jc w:val="left"/>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10、处理与评标有关的其他事项。</w:t>
      </w:r>
    </w:p>
    <w:p w14:paraId="31F1E129">
      <w:pPr>
        <w:pStyle w:val="29"/>
        <w:snapToGrid w:val="0"/>
        <w:spacing w:line="360" w:lineRule="auto"/>
        <w:ind w:right="42" w:rightChars="20" w:firstLine="406" w:firstLineChars="200"/>
        <w:jc w:val="left"/>
        <w:rPr>
          <w:rFonts w:asciiTheme="minorEastAsia" w:hAnsiTheme="minorEastAsia" w:eastAsiaTheme="minorEastAsia"/>
          <w:b/>
          <w:color w:val="auto"/>
          <w:spacing w:val="-4"/>
          <w:szCs w:val="21"/>
          <w:highlight w:val="none"/>
        </w:rPr>
      </w:pPr>
      <w:r>
        <w:rPr>
          <w:rFonts w:asciiTheme="minorEastAsia" w:hAnsiTheme="minorEastAsia" w:eastAsiaTheme="minorEastAsia"/>
          <w:b/>
          <w:color w:val="auto"/>
          <w:spacing w:val="-4"/>
          <w:szCs w:val="21"/>
          <w:highlight w:val="none"/>
        </w:rPr>
        <w:t>（</w:t>
      </w:r>
      <w:r>
        <w:rPr>
          <w:rFonts w:hint="eastAsia" w:asciiTheme="minorEastAsia" w:hAnsiTheme="minorEastAsia" w:eastAsiaTheme="minorEastAsia"/>
          <w:b/>
          <w:color w:val="auto"/>
          <w:spacing w:val="-4"/>
          <w:szCs w:val="21"/>
          <w:highlight w:val="none"/>
        </w:rPr>
        <w:t>三</w:t>
      </w:r>
      <w:r>
        <w:rPr>
          <w:rFonts w:asciiTheme="minorEastAsia" w:hAnsiTheme="minorEastAsia" w:eastAsiaTheme="minorEastAsia"/>
          <w:b/>
          <w:color w:val="auto"/>
          <w:spacing w:val="-4"/>
          <w:szCs w:val="21"/>
          <w:highlight w:val="none"/>
        </w:rPr>
        <w:t>）</w:t>
      </w:r>
      <w:r>
        <w:rPr>
          <w:rFonts w:hint="eastAsia" w:asciiTheme="minorEastAsia" w:hAnsiTheme="minorEastAsia" w:eastAsiaTheme="minorEastAsia"/>
          <w:b/>
          <w:color w:val="auto"/>
          <w:spacing w:val="-4"/>
          <w:szCs w:val="21"/>
          <w:highlight w:val="none"/>
        </w:rPr>
        <w:t>开标流程（两阶段）</w:t>
      </w:r>
    </w:p>
    <w:p w14:paraId="63D9D9D6">
      <w:pPr>
        <w:pStyle w:val="15"/>
        <w:snapToGrid w:val="0"/>
        <w:spacing w:line="360" w:lineRule="auto"/>
        <w:ind w:right="42" w:rightChars="20" w:firstLine="406" w:firstLineChars="200"/>
        <w:jc w:val="left"/>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1、开标第一阶段</w:t>
      </w:r>
    </w:p>
    <w:p w14:paraId="5C3F2343">
      <w:pPr>
        <w:spacing w:line="360" w:lineRule="auto"/>
        <w:ind w:right="42" w:rightChars="20"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向各投标人发出电子加密投标文件【开始解密】通知，由投标人按招标文件规定的时间内自行进行投标文件解密。投标人在规定的时间内无法完成已递交的“电子加密投标文件”解密的，如已按规定递交了备份投标文件的，将由采购组织机构按“政府采购云平台”操作规范将备份投标文件上传至“政府采购云平台”，上传成功后，“电子加密投标文件”自动失效；</w:t>
      </w:r>
    </w:p>
    <w:p w14:paraId="6A1BFFCF">
      <w:pPr>
        <w:spacing w:line="360" w:lineRule="auto"/>
        <w:ind w:right="42" w:rightChars="20" w:firstLine="420" w:firstLineChars="200"/>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（2）投标文件解密，解密成功后，</w:t>
      </w:r>
      <w:r>
        <w:rPr>
          <w:rFonts w:hint="eastAsia" w:cs="宋体" w:asciiTheme="minorEastAsia" w:hAnsiTheme="minorEastAsia" w:eastAsiaTheme="minorEastAsia"/>
          <w:b/>
          <w:bCs/>
          <w:color w:val="auto"/>
          <w:kern w:val="0"/>
          <w:szCs w:val="21"/>
          <w:highlight w:val="none"/>
        </w:rPr>
        <w:t>各供应商将政府采购活动现场确认声明书传给代理公司</w:t>
      </w:r>
      <w:r>
        <w:rPr>
          <w:rFonts w:hint="eastAsia" w:cs="宋体" w:asciiTheme="minorEastAsia" w:hAnsiTheme="minorEastAsia" w:eastAsiaTheme="minorEastAsia"/>
          <w:color w:val="auto"/>
          <w:kern w:val="0"/>
          <w:szCs w:val="21"/>
          <w:highlight w:val="none"/>
        </w:rPr>
        <w:t>；（</w:t>
      </w:r>
      <w:r>
        <w:rPr>
          <w:rFonts w:hint="eastAsia" w:cs="宋体" w:asciiTheme="minorEastAsia" w:hAnsiTheme="minorEastAsia" w:eastAsiaTheme="minorEastAsia"/>
          <w:color w:val="auto"/>
          <w:kern w:val="0"/>
          <w:szCs w:val="21"/>
          <w:highlight w:val="none"/>
          <w:lang w:val="en-US" w:eastAsia="zh-CN"/>
        </w:rPr>
        <w:t>接收邮箱376790573@qq.com，开标后30分钟内未发送的视为无意见</w:t>
      </w:r>
      <w:r>
        <w:rPr>
          <w:rFonts w:hint="eastAsia" w:cs="宋体" w:asciiTheme="minorEastAsia" w:hAnsiTheme="minorEastAsia" w:eastAsiaTheme="minorEastAsia"/>
          <w:color w:val="auto"/>
          <w:kern w:val="0"/>
          <w:szCs w:val="21"/>
          <w:highlight w:val="none"/>
        </w:rPr>
        <w:t>）</w:t>
      </w:r>
    </w:p>
    <w:p w14:paraId="1C8BC7E4">
      <w:pPr>
        <w:spacing w:line="360" w:lineRule="auto"/>
        <w:ind w:right="42" w:rightChars="20" w:firstLine="420" w:firstLineChars="200"/>
        <w:jc w:val="left"/>
        <w:rPr>
          <w:rFonts w:cs="宋体" w:asciiTheme="minorEastAsia" w:hAnsiTheme="minorEastAsia" w:eastAsiaTheme="minorEastAsia"/>
          <w:color w:val="auto"/>
          <w:kern w:val="0"/>
          <w:szCs w:val="21"/>
          <w:highlight w:val="none"/>
        </w:rPr>
      </w:pPr>
      <w:r>
        <w:rPr>
          <w:rFonts w:hint="eastAsia" w:ascii="Times New Roman" w:hAnsi="Times New Roman"/>
          <w:color w:val="auto"/>
          <w:highlight w:val="none"/>
        </w:rPr>
        <w:t>说明：未按上述要求提供《政府采购活动现场确认声明书》的，视同</w:t>
      </w:r>
      <w:r>
        <w:rPr>
          <w:rFonts w:ascii="仿宋" w:hAnsi="仿宋"/>
          <w:color w:val="auto"/>
          <w:kern w:val="0"/>
          <w:szCs w:val="21"/>
          <w:highlight w:val="none"/>
        </w:rPr>
        <w:t>不存在</w:t>
      </w:r>
      <w:r>
        <w:rPr>
          <w:rFonts w:hint="eastAsia" w:ascii="Times New Roman" w:hAnsi="Times New Roman"/>
          <w:color w:val="auto"/>
          <w:highlight w:val="none"/>
        </w:rPr>
        <w:t>《声明书》中所涉及的利害关系。</w:t>
      </w:r>
    </w:p>
    <w:p w14:paraId="062DAD1F">
      <w:pPr>
        <w:spacing w:line="360" w:lineRule="auto"/>
        <w:ind w:right="42" w:rightChars="20"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（3）开启投标文件，进入资格审查；</w:t>
      </w:r>
    </w:p>
    <w:p w14:paraId="1424B75A">
      <w:pPr>
        <w:spacing w:line="360" w:lineRule="auto"/>
        <w:ind w:right="42" w:rightChars="20"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（4）开启资格审查通过的投标人的商务技术文件进入符合性审查、商务技术评审；</w:t>
      </w:r>
    </w:p>
    <w:p w14:paraId="4526CA3F">
      <w:pPr>
        <w:spacing w:line="360" w:lineRule="auto"/>
        <w:ind w:right="42" w:rightChars="20"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（5）第一阶段开标结束。</w:t>
      </w:r>
    </w:p>
    <w:p w14:paraId="21C8F512">
      <w:pPr>
        <w:spacing w:line="360" w:lineRule="auto"/>
        <w:ind w:right="42" w:rightChars="20" w:firstLine="406" w:firstLineChars="200"/>
        <w:jc w:val="left"/>
        <w:rPr>
          <w:rFonts w:asciiTheme="minorEastAsia" w:hAnsiTheme="minorEastAsia" w:eastAsiaTheme="minorEastAsia"/>
          <w:b/>
          <w:color w:val="auto"/>
          <w:spacing w:val="-4"/>
          <w:szCs w:val="21"/>
          <w:highlight w:val="none"/>
        </w:rPr>
      </w:pPr>
      <w:r>
        <w:rPr>
          <w:rFonts w:hint="eastAsia" w:asciiTheme="minorEastAsia" w:hAnsiTheme="minorEastAsia" w:eastAsiaTheme="minorEastAsia"/>
          <w:b/>
          <w:color w:val="auto"/>
          <w:spacing w:val="-4"/>
          <w:szCs w:val="21"/>
          <w:highlight w:val="none"/>
        </w:rPr>
        <w:t>备注：开标大会的第一阶段结束后，采购人或采购代理机构将对依法对投标人的资格进行审查，资格审查结束后进入符合性审查和商务技术的评审工作，具体见本章节“投标人资格审查”相关规定。</w:t>
      </w:r>
    </w:p>
    <w:p w14:paraId="1ADC610B">
      <w:pPr>
        <w:spacing w:line="360" w:lineRule="auto"/>
        <w:ind w:right="42" w:rightChars="20" w:firstLine="406" w:firstLineChars="200"/>
        <w:jc w:val="left"/>
        <w:rPr>
          <w:rFonts w:asciiTheme="minorEastAsia" w:hAnsiTheme="minorEastAsia" w:eastAsiaTheme="minorEastAsia"/>
          <w:b/>
          <w:color w:val="auto"/>
          <w:spacing w:val="-4"/>
          <w:szCs w:val="21"/>
          <w:highlight w:val="none"/>
        </w:rPr>
      </w:pPr>
      <w:r>
        <w:rPr>
          <w:rFonts w:hint="eastAsia" w:asciiTheme="minorEastAsia" w:hAnsiTheme="minorEastAsia" w:eastAsiaTheme="minorEastAsia"/>
          <w:b/>
          <w:color w:val="auto"/>
          <w:spacing w:val="-4"/>
          <w:szCs w:val="21"/>
          <w:highlight w:val="none"/>
        </w:rPr>
        <w:t>2、开标大会第二阶段</w:t>
      </w:r>
    </w:p>
    <w:p w14:paraId="0D01BB0C">
      <w:pPr>
        <w:spacing w:line="360" w:lineRule="auto"/>
        <w:ind w:right="42" w:rightChars="20"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（1）符合性审查、商务技术评审结束后，举行开标大会第二阶段会议。</w:t>
      </w:r>
    </w:p>
    <w:p w14:paraId="0E27BE6E">
      <w:pPr>
        <w:spacing w:line="360" w:lineRule="auto"/>
        <w:ind w:right="42" w:rightChars="20"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（2）开启符合性审查、商务技术评审有效</w:t>
      </w:r>
      <w:r>
        <w:rPr>
          <w:rFonts w:hint="eastAsia" w:cs="宋体" w:asciiTheme="minorEastAsia" w:hAnsiTheme="minorEastAsia" w:eastAsiaTheme="minorEastAsia"/>
          <w:color w:val="auto"/>
          <w:kern w:val="0"/>
          <w:szCs w:val="21"/>
          <w:highlight w:val="none"/>
          <w:lang w:eastAsia="zh-CN"/>
        </w:rPr>
        <w:t>投标人</w:t>
      </w:r>
      <w:r>
        <w:rPr>
          <w:rFonts w:hint="eastAsia" w:cs="宋体" w:asciiTheme="minorEastAsia" w:hAnsiTheme="minorEastAsia" w:eastAsiaTheme="minorEastAsia"/>
          <w:color w:val="auto"/>
          <w:kern w:val="0"/>
          <w:szCs w:val="21"/>
          <w:highlight w:val="none"/>
        </w:rPr>
        <w:t>的《报价文件》，通过政采云方式公布开标一览表有关内容，同时当场制作开标记录表，供应商可在政采云中确认（不予确认的应说明理由，否则视为无异议）。唱标结束后，由评标委员会对报价的合理性、准确性等进行审查核实。</w:t>
      </w:r>
    </w:p>
    <w:p w14:paraId="49315A26">
      <w:pPr>
        <w:spacing w:line="360" w:lineRule="auto"/>
        <w:ind w:right="42" w:rightChars="20"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（3）评审结束后，通过政采云方式公布中标（成交）候选供应商名单，及采购人最终确定中标或中标人名单的时间和公告方式等。</w:t>
      </w:r>
    </w:p>
    <w:p w14:paraId="6A8CB838">
      <w:pPr>
        <w:spacing w:line="360" w:lineRule="auto"/>
        <w:ind w:right="42" w:rightChars="20"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特别说明：如遇“政府采购云平台”电子化开标或评审程序调整的，按调整后程序执行。</w:t>
      </w:r>
    </w:p>
    <w:p w14:paraId="238DBC23">
      <w:pPr>
        <w:spacing w:line="360" w:lineRule="auto"/>
        <w:ind w:right="42" w:rightChars="20" w:firstLine="422" w:firstLineChars="200"/>
        <w:jc w:val="left"/>
        <w:rPr>
          <w:rFonts w:asciiTheme="minorEastAsia" w:hAnsiTheme="minorEastAsia" w:eastAsiaTheme="minorEastAsia"/>
          <w:b/>
          <w:color w:val="auto"/>
          <w:szCs w:val="21"/>
          <w:highlight w:val="none"/>
        </w:rPr>
      </w:pPr>
      <w:bookmarkStart w:id="273" w:name="_Toc24550037"/>
      <w:bookmarkStart w:id="274" w:name="_Toc33194393"/>
      <w:r>
        <w:rPr>
          <w:rFonts w:hint="eastAsia" w:asciiTheme="minorEastAsia" w:hAnsiTheme="minorEastAsia" w:eastAsiaTheme="minorEastAsia"/>
          <w:b/>
          <w:color w:val="auto"/>
          <w:szCs w:val="21"/>
          <w:highlight w:val="none"/>
        </w:rPr>
        <w:t>（四）投标人资格审查</w:t>
      </w:r>
      <w:bookmarkEnd w:id="273"/>
      <w:bookmarkEnd w:id="274"/>
    </w:p>
    <w:p w14:paraId="27D7217A">
      <w:pPr>
        <w:spacing w:line="360" w:lineRule="auto"/>
        <w:ind w:right="42" w:rightChars="20"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开标大会第一阶段结束后，采购人或采购代理机构首先依法对各投标人的资格进行审查，审查各投标人的资格是否满足招标文件的要求。采购人或采购代理机构对投标人所提交的资格证明材料仅负审核的责任。如发现投标人所提交的资格证明材料不合法或与事实不符，采购人可取消其中标资格并追究投标人的法律责任。</w:t>
      </w:r>
    </w:p>
    <w:p w14:paraId="3A484A0A">
      <w:pPr>
        <w:spacing w:line="360" w:lineRule="auto"/>
        <w:ind w:right="42" w:rightChars="20"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2、投标人提交的资格证明材料无法证明其符合招标文件规定的“投标人资格要求”的，采购人或采购代理机构将对其作资格审查不通过处理（无效投标），并不再将其投标提交评标委员会进行后续评审。</w:t>
      </w:r>
    </w:p>
    <w:p w14:paraId="69884AB0">
      <w:pPr>
        <w:spacing w:line="360" w:lineRule="auto"/>
        <w:ind w:right="42" w:rightChars="20"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3、单位负责人为同一人或者存在直接控股、管理关系的不同投标人参加同一合同项下的政府采购活动的，相关投标人均作资格无效处理。</w:t>
      </w:r>
    </w:p>
    <w:p w14:paraId="43FB2B16">
      <w:pPr>
        <w:pStyle w:val="29"/>
        <w:snapToGrid w:val="0"/>
        <w:spacing w:line="360" w:lineRule="auto"/>
        <w:ind w:right="42" w:rightChars="20" w:firstLine="422" w:firstLineChars="200"/>
        <w:jc w:val="left"/>
        <w:outlineLvl w:val="1"/>
        <w:rPr>
          <w:rFonts w:asciiTheme="minorEastAsia" w:hAnsiTheme="minorEastAsia" w:eastAsiaTheme="minorEastAsia"/>
          <w:b/>
          <w:color w:val="auto"/>
          <w:szCs w:val="21"/>
          <w:highlight w:val="none"/>
        </w:rPr>
      </w:pPr>
      <w:bookmarkStart w:id="275" w:name="_Toc3032"/>
      <w:bookmarkStart w:id="276" w:name="_Toc50012886"/>
      <w:bookmarkStart w:id="277" w:name="_Toc33535370"/>
      <w:r>
        <w:rPr>
          <w:rFonts w:hint="eastAsia" w:asciiTheme="minorEastAsia" w:hAnsiTheme="minorEastAsia" w:eastAsiaTheme="minorEastAsia"/>
          <w:b/>
          <w:color w:val="auto"/>
          <w:szCs w:val="21"/>
          <w:highlight w:val="none"/>
        </w:rPr>
        <w:t>五、评标</w:t>
      </w:r>
      <w:bookmarkEnd w:id="275"/>
      <w:bookmarkEnd w:id="276"/>
      <w:bookmarkEnd w:id="277"/>
    </w:p>
    <w:p w14:paraId="79EF76CD">
      <w:pPr>
        <w:pStyle w:val="29"/>
        <w:snapToGrid w:val="0"/>
        <w:spacing w:line="360" w:lineRule="auto"/>
        <w:ind w:right="42" w:rightChars="20" w:firstLine="422" w:firstLineChars="200"/>
        <w:jc w:val="left"/>
        <w:rPr>
          <w:rFonts w:asciiTheme="minorEastAsia" w:hAnsiTheme="minorEastAsia" w:eastAsiaTheme="minorEastAsia"/>
          <w:b/>
          <w:color w:val="auto"/>
          <w:szCs w:val="21"/>
          <w:highlight w:val="none"/>
        </w:rPr>
      </w:pPr>
      <w:r>
        <w:rPr>
          <w:rFonts w:asciiTheme="minorEastAsia" w:hAnsiTheme="minorEastAsia" w:eastAsiaTheme="minorEastAsia"/>
          <w:b/>
          <w:color w:val="auto"/>
          <w:szCs w:val="21"/>
          <w:highlight w:val="none"/>
        </w:rPr>
        <w:t>（一）组建评标委员会</w:t>
      </w:r>
    </w:p>
    <w:p w14:paraId="534D614C">
      <w:pPr>
        <w:pStyle w:val="29"/>
        <w:snapToGrid w:val="0"/>
        <w:spacing w:line="360" w:lineRule="auto"/>
        <w:ind w:firstLine="420" w:firstLineChars="200"/>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评标委员会由采购人代表和评审专家组成，</w:t>
      </w:r>
      <w:r>
        <w:rPr>
          <w:rFonts w:asciiTheme="minorEastAsia" w:hAnsiTheme="minorEastAsia" w:eastAsiaTheme="minorEastAsia"/>
          <w:color w:val="auto"/>
          <w:szCs w:val="21"/>
          <w:highlight w:val="none"/>
        </w:rPr>
        <w:t>政府采购评审专家</w:t>
      </w:r>
      <w:r>
        <w:rPr>
          <w:rFonts w:hint="eastAsia" w:asciiTheme="minorEastAsia" w:hAnsiTheme="minorEastAsia" w:eastAsiaTheme="minorEastAsia"/>
          <w:color w:val="auto"/>
          <w:szCs w:val="21"/>
          <w:highlight w:val="none"/>
          <w:u w:val="single"/>
        </w:rPr>
        <w:t>5</w:t>
      </w:r>
      <w:r>
        <w:rPr>
          <w:rFonts w:asciiTheme="minorEastAsia" w:hAnsiTheme="minorEastAsia" w:eastAsiaTheme="minorEastAsia"/>
          <w:color w:val="auto"/>
          <w:szCs w:val="21"/>
          <w:highlight w:val="none"/>
        </w:rPr>
        <w:t>人组成。</w:t>
      </w:r>
    </w:p>
    <w:p w14:paraId="092706E8">
      <w:pPr>
        <w:widowControl/>
        <w:shd w:val="clear" w:color="auto" w:fill="FFFFFF"/>
        <w:spacing w:line="360" w:lineRule="auto"/>
        <w:ind w:right="42" w:rightChars="20"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评标委员会负责具体评标事务，并独立履行下列职责：</w:t>
      </w:r>
    </w:p>
    <w:p w14:paraId="59177205">
      <w:pPr>
        <w:widowControl/>
        <w:shd w:val="clear" w:color="auto" w:fill="FFFFFF"/>
        <w:spacing w:line="360" w:lineRule="auto"/>
        <w:ind w:right="42" w:rightChars="20"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1、审查、评价投标文件是否符合招标文件的商务、技术等实质性要求;</w:t>
      </w:r>
    </w:p>
    <w:p w14:paraId="374FD1EE">
      <w:pPr>
        <w:widowControl/>
        <w:shd w:val="clear" w:color="auto" w:fill="FFFFFF"/>
        <w:spacing w:line="360" w:lineRule="auto"/>
        <w:ind w:right="42" w:rightChars="20"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2、要求投标人对投标文件有关事项作出澄清或者说明;</w:t>
      </w:r>
    </w:p>
    <w:p w14:paraId="38665980">
      <w:pPr>
        <w:widowControl/>
        <w:shd w:val="clear" w:color="auto" w:fill="FFFFFF"/>
        <w:spacing w:line="360" w:lineRule="auto"/>
        <w:ind w:right="42" w:rightChars="20"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3、对投标文件进行比较和评价;</w:t>
      </w:r>
    </w:p>
    <w:p w14:paraId="093FF75D">
      <w:pPr>
        <w:widowControl/>
        <w:shd w:val="clear" w:color="auto" w:fill="FFFFFF"/>
        <w:spacing w:line="360" w:lineRule="auto"/>
        <w:ind w:right="42" w:rightChars="20"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4、确定中标候选人名单，以及根据采购人委托直接确定中标人;</w:t>
      </w:r>
    </w:p>
    <w:p w14:paraId="2F1913BD">
      <w:pPr>
        <w:widowControl/>
        <w:shd w:val="clear" w:color="auto" w:fill="FFFFFF"/>
        <w:spacing w:line="360" w:lineRule="auto"/>
        <w:ind w:right="42" w:rightChars="20"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5、向采购人、采购代理机构或者有关部门报告评标中发现的违法行为。</w:t>
      </w:r>
    </w:p>
    <w:p w14:paraId="2C3CEDE6">
      <w:pPr>
        <w:widowControl/>
        <w:shd w:val="clear" w:color="auto" w:fill="FFFFFF"/>
        <w:spacing w:line="360" w:lineRule="auto"/>
        <w:ind w:right="42" w:rightChars="20" w:firstLine="422" w:firstLineChars="200"/>
        <w:jc w:val="left"/>
        <w:rPr>
          <w:rFonts w:cs="宋体" w:asciiTheme="minorEastAsia" w:hAnsiTheme="minorEastAsia" w:eastAsiaTheme="minorEastAsia"/>
          <w:b/>
          <w:color w:val="auto"/>
          <w:kern w:val="0"/>
          <w:szCs w:val="21"/>
          <w:highlight w:val="none"/>
        </w:rPr>
      </w:pPr>
      <w:r>
        <w:rPr>
          <w:rFonts w:hint="eastAsia" w:cs="宋体" w:asciiTheme="minorEastAsia" w:hAnsiTheme="minorEastAsia" w:eastAsiaTheme="minorEastAsia"/>
          <w:b/>
          <w:color w:val="auto"/>
          <w:kern w:val="0"/>
          <w:szCs w:val="21"/>
          <w:highlight w:val="none"/>
        </w:rPr>
        <w:t>除采购人代表、评标现场组织人员外，采购人的其他工作人员以及与评标工作无关的人员不得进入评标现场。</w:t>
      </w:r>
    </w:p>
    <w:p w14:paraId="3524725C">
      <w:pPr>
        <w:pStyle w:val="29"/>
        <w:snapToGrid w:val="0"/>
        <w:spacing w:line="360" w:lineRule="auto"/>
        <w:ind w:right="42" w:rightChars="20" w:firstLine="422" w:firstLineChars="200"/>
        <w:jc w:val="left"/>
        <w:rPr>
          <w:rFonts w:asciiTheme="minorEastAsia" w:hAnsiTheme="minorEastAsia" w:eastAsiaTheme="minorEastAsia"/>
          <w:b/>
          <w:color w:val="auto"/>
          <w:szCs w:val="21"/>
          <w:highlight w:val="none"/>
        </w:rPr>
      </w:pPr>
      <w:r>
        <w:rPr>
          <w:rFonts w:asciiTheme="minorEastAsia" w:hAnsiTheme="minorEastAsia" w:eastAsiaTheme="minorEastAsia"/>
          <w:b/>
          <w:color w:val="auto"/>
          <w:szCs w:val="21"/>
          <w:highlight w:val="none"/>
        </w:rPr>
        <w:t>（二）评标的方式</w:t>
      </w:r>
    </w:p>
    <w:p w14:paraId="54072D78">
      <w:pPr>
        <w:pStyle w:val="29"/>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本项目采用不公开方式评标，评标的依据为招标文件和投标文件。</w:t>
      </w:r>
    </w:p>
    <w:p w14:paraId="033E0E8D">
      <w:pPr>
        <w:pStyle w:val="29"/>
        <w:snapToGrid w:val="0"/>
        <w:spacing w:line="360" w:lineRule="auto"/>
        <w:ind w:right="42" w:rightChars="20" w:firstLine="422" w:firstLineChars="200"/>
        <w:jc w:val="left"/>
        <w:rPr>
          <w:rFonts w:asciiTheme="minorEastAsia" w:hAnsiTheme="minorEastAsia" w:eastAsiaTheme="minorEastAsia"/>
          <w:b/>
          <w:bCs/>
          <w:color w:val="auto"/>
          <w:szCs w:val="21"/>
          <w:highlight w:val="none"/>
        </w:rPr>
      </w:pPr>
      <w:r>
        <w:rPr>
          <w:rFonts w:asciiTheme="minorEastAsia" w:hAnsiTheme="minorEastAsia" w:eastAsiaTheme="minorEastAsia"/>
          <w:b/>
          <w:color w:val="auto"/>
          <w:szCs w:val="21"/>
          <w:highlight w:val="none"/>
        </w:rPr>
        <w:t>（三）</w:t>
      </w:r>
      <w:r>
        <w:rPr>
          <w:rFonts w:asciiTheme="minorEastAsia" w:hAnsiTheme="minorEastAsia" w:eastAsiaTheme="minorEastAsia"/>
          <w:b/>
          <w:bCs/>
          <w:color w:val="auto"/>
          <w:szCs w:val="21"/>
          <w:highlight w:val="none"/>
        </w:rPr>
        <w:t>评标程序</w:t>
      </w:r>
    </w:p>
    <w:p w14:paraId="3E9B7459">
      <w:pPr>
        <w:pStyle w:val="29"/>
        <w:snapToGrid w:val="0"/>
        <w:spacing w:line="360" w:lineRule="auto"/>
        <w:ind w:right="42" w:rightChars="20" w:firstLine="420" w:firstLineChars="200"/>
        <w:jc w:val="left"/>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采购人可以在评标前说明项目背景和采购需求，说明内容不得含有歧视性、倾向性意见，不得超出招标文件所述范围。说明应当提交书面材料，并随采购文件一并存档。</w:t>
      </w:r>
    </w:p>
    <w:p w14:paraId="5265803F">
      <w:pPr>
        <w:snapToGrid w:val="0"/>
        <w:spacing w:line="360" w:lineRule="auto"/>
        <w:ind w:right="42" w:rightChars="20" w:firstLine="422" w:firstLineChars="200"/>
        <w:jc w:val="left"/>
        <w:rPr>
          <w:rFonts w:asciiTheme="minorEastAsia" w:hAnsiTheme="minorEastAsia" w:eastAsiaTheme="minorEastAsia"/>
          <w:b/>
          <w:bCs/>
          <w:color w:val="auto"/>
          <w:szCs w:val="21"/>
          <w:highlight w:val="none"/>
        </w:rPr>
      </w:pPr>
      <w:r>
        <w:rPr>
          <w:rFonts w:asciiTheme="minorEastAsia" w:hAnsiTheme="minorEastAsia" w:eastAsiaTheme="minorEastAsia"/>
          <w:b/>
          <w:bCs/>
          <w:color w:val="auto"/>
          <w:szCs w:val="21"/>
          <w:highlight w:val="none"/>
        </w:rPr>
        <w:t>1</w:t>
      </w:r>
      <w:r>
        <w:rPr>
          <w:rFonts w:hint="eastAsia" w:asciiTheme="minorEastAsia" w:hAnsiTheme="minorEastAsia" w:eastAsiaTheme="minorEastAsia"/>
          <w:b/>
          <w:bCs/>
          <w:color w:val="auto"/>
          <w:szCs w:val="21"/>
          <w:highlight w:val="none"/>
        </w:rPr>
        <w:t>、</w:t>
      </w:r>
      <w:r>
        <w:rPr>
          <w:rFonts w:asciiTheme="minorEastAsia" w:hAnsiTheme="minorEastAsia" w:eastAsiaTheme="minorEastAsia"/>
          <w:b/>
          <w:bCs/>
          <w:color w:val="auto"/>
          <w:szCs w:val="21"/>
          <w:highlight w:val="none"/>
        </w:rPr>
        <w:t>形式审查</w:t>
      </w:r>
    </w:p>
    <w:p w14:paraId="5E2611A7">
      <w:pPr>
        <w:snapToGrid w:val="0"/>
        <w:spacing w:line="360" w:lineRule="auto"/>
        <w:ind w:right="42" w:rightChars="20" w:firstLine="420" w:firstLineChars="200"/>
        <w:jc w:val="left"/>
        <w:rPr>
          <w:rFonts w:asciiTheme="minorEastAsia" w:hAnsiTheme="minorEastAsia" w:eastAsiaTheme="minorEastAsia"/>
          <w:bCs/>
          <w:color w:val="auto"/>
          <w:szCs w:val="21"/>
          <w:highlight w:val="none"/>
        </w:rPr>
      </w:pPr>
      <w:r>
        <w:rPr>
          <w:rFonts w:asciiTheme="minorEastAsia" w:hAnsiTheme="minorEastAsia" w:eastAsiaTheme="minorEastAsia"/>
          <w:bCs/>
          <w:color w:val="auto"/>
          <w:szCs w:val="21"/>
          <w:highlight w:val="none"/>
        </w:rPr>
        <w:t>形式审查</w:t>
      </w:r>
      <w:r>
        <w:rPr>
          <w:rFonts w:hint="eastAsia" w:asciiTheme="minorEastAsia" w:hAnsiTheme="minorEastAsia" w:eastAsiaTheme="minorEastAsia"/>
          <w:bCs/>
          <w:color w:val="auto"/>
          <w:szCs w:val="21"/>
          <w:highlight w:val="none"/>
        </w:rPr>
        <w:t>包括资格审查（除符合性审查以外的关于投标人资格条件等内容）和符合性审查，即对投标人的资格</w:t>
      </w:r>
      <w:r>
        <w:rPr>
          <w:rFonts w:asciiTheme="minorEastAsia" w:hAnsiTheme="minorEastAsia" w:eastAsiaTheme="minorEastAsia"/>
          <w:bCs/>
          <w:color w:val="auto"/>
          <w:szCs w:val="21"/>
          <w:highlight w:val="none"/>
        </w:rPr>
        <w:t>和投标文件的完整性、合法性等进行审查。</w:t>
      </w:r>
      <w:r>
        <w:rPr>
          <w:rFonts w:hint="eastAsia" w:asciiTheme="minorEastAsia" w:hAnsiTheme="minorEastAsia" w:eastAsiaTheme="minorEastAsia"/>
          <w:bCs/>
          <w:color w:val="auto"/>
          <w:szCs w:val="21"/>
          <w:highlight w:val="none"/>
        </w:rPr>
        <w:t>投标文件形式审查未通过的投标人，其投标文件将不再评审。</w:t>
      </w:r>
    </w:p>
    <w:p w14:paraId="2749EBBB">
      <w:pPr>
        <w:snapToGrid w:val="0"/>
        <w:spacing w:line="360" w:lineRule="auto"/>
        <w:ind w:right="42" w:rightChars="20" w:firstLine="422" w:firstLineChars="200"/>
        <w:jc w:val="left"/>
        <w:rPr>
          <w:rFonts w:asciiTheme="minorEastAsia" w:hAnsiTheme="minorEastAsia" w:eastAsiaTheme="minorEastAsia"/>
          <w:b/>
          <w:bCs/>
          <w:color w:val="auto"/>
          <w:szCs w:val="21"/>
          <w:highlight w:val="none"/>
        </w:rPr>
      </w:pPr>
      <w:r>
        <w:rPr>
          <w:rFonts w:asciiTheme="minorEastAsia" w:hAnsiTheme="minorEastAsia" w:eastAsiaTheme="minorEastAsia"/>
          <w:b/>
          <w:bCs/>
          <w:color w:val="auto"/>
          <w:szCs w:val="21"/>
          <w:highlight w:val="none"/>
        </w:rPr>
        <w:t>2</w:t>
      </w:r>
      <w:r>
        <w:rPr>
          <w:rFonts w:hint="eastAsia" w:asciiTheme="minorEastAsia" w:hAnsiTheme="minorEastAsia" w:eastAsiaTheme="minorEastAsia"/>
          <w:b/>
          <w:bCs/>
          <w:color w:val="auto"/>
          <w:szCs w:val="21"/>
          <w:highlight w:val="none"/>
        </w:rPr>
        <w:t>、</w:t>
      </w:r>
      <w:r>
        <w:rPr>
          <w:rFonts w:asciiTheme="minorEastAsia" w:hAnsiTheme="minorEastAsia" w:eastAsiaTheme="minorEastAsia"/>
          <w:b/>
          <w:bCs/>
          <w:color w:val="auto"/>
          <w:szCs w:val="21"/>
          <w:highlight w:val="none"/>
        </w:rPr>
        <w:t>实质审查与比较</w:t>
      </w:r>
    </w:p>
    <w:p w14:paraId="0A24180E">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1）评标委员会审查投标文件的实质性内容是否符合招标文件的实质性要求。</w:t>
      </w:r>
    </w:p>
    <w:p w14:paraId="4F5ED0EA">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2）评标委员会将根据投标人的投标文件进行审查、核对,如有疑问,将对投标人进行询标,投标人要向评标委员会澄清有关问题,并最终以书面形式进行答复。</w:t>
      </w:r>
    </w:p>
    <w:p w14:paraId="623A1857">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询标</w:t>
      </w:r>
      <w:r>
        <w:rPr>
          <w:rFonts w:hint="eastAsia" w:asciiTheme="minorEastAsia" w:hAnsiTheme="minorEastAsia" w:eastAsiaTheme="minorEastAsia"/>
          <w:color w:val="auto"/>
          <w:szCs w:val="21"/>
          <w:highlight w:val="none"/>
        </w:rPr>
        <w:t>时，投标人代表未到场或者拒绝澄清或者澄清的内容改变了投标文件的实质性内容的，评标委员会有权对该投标文件作出不利于投标人的评判。</w:t>
      </w:r>
    </w:p>
    <w:p w14:paraId="159C492B">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3）各投标人的</w:t>
      </w:r>
      <w:r>
        <w:rPr>
          <w:rFonts w:hint="eastAsia" w:asciiTheme="minorEastAsia" w:hAnsiTheme="minorEastAsia" w:eastAsiaTheme="minorEastAsia"/>
          <w:color w:val="auto"/>
          <w:szCs w:val="21"/>
          <w:highlight w:val="none"/>
        </w:rPr>
        <w:t>资信商务及技术分按照评标委员会成员的独立评分结果汇后的算术平均分计算</w:t>
      </w:r>
      <w:r>
        <w:rPr>
          <w:rFonts w:asciiTheme="minorEastAsia" w:hAnsiTheme="minorEastAsia" w:eastAsiaTheme="minorEastAsia"/>
          <w:color w:val="auto"/>
          <w:szCs w:val="21"/>
          <w:highlight w:val="none"/>
        </w:rPr>
        <w:t>。</w:t>
      </w:r>
    </w:p>
    <w:p w14:paraId="508AEEB1">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4）</w:t>
      </w:r>
      <w:r>
        <w:rPr>
          <w:rFonts w:hint="eastAsia" w:asciiTheme="minorEastAsia" w:hAnsiTheme="minorEastAsia" w:eastAsiaTheme="minorEastAsia"/>
          <w:color w:val="auto"/>
          <w:szCs w:val="21"/>
          <w:highlight w:val="none"/>
        </w:rPr>
        <w:t>采购代理机构工作人员协助</w:t>
      </w:r>
      <w:r>
        <w:rPr>
          <w:rFonts w:asciiTheme="minorEastAsia" w:hAnsiTheme="minorEastAsia" w:eastAsiaTheme="minorEastAsia"/>
          <w:color w:val="auto"/>
          <w:szCs w:val="21"/>
          <w:highlight w:val="none"/>
        </w:rPr>
        <w:t>评标委员会根据</w:t>
      </w:r>
      <w:r>
        <w:rPr>
          <w:rFonts w:hint="eastAsia" w:asciiTheme="minorEastAsia" w:hAnsiTheme="minorEastAsia" w:eastAsiaTheme="minorEastAsia"/>
          <w:color w:val="auto"/>
          <w:szCs w:val="21"/>
          <w:highlight w:val="none"/>
        </w:rPr>
        <w:t>本项目的评分标准操作政府采购业务系统，由系统</w:t>
      </w:r>
      <w:r>
        <w:rPr>
          <w:rFonts w:asciiTheme="minorEastAsia" w:hAnsiTheme="minorEastAsia" w:eastAsiaTheme="minorEastAsia"/>
          <w:color w:val="auto"/>
          <w:szCs w:val="21"/>
          <w:highlight w:val="none"/>
        </w:rPr>
        <w:t>计算各投标人的商务报价得分</w:t>
      </w:r>
      <w:r>
        <w:rPr>
          <w:rFonts w:hint="eastAsia" w:asciiTheme="minorEastAsia" w:hAnsiTheme="minorEastAsia" w:eastAsiaTheme="minorEastAsia"/>
          <w:color w:val="auto"/>
          <w:szCs w:val="21"/>
          <w:highlight w:val="none"/>
        </w:rPr>
        <w:t>。</w:t>
      </w:r>
    </w:p>
    <w:p w14:paraId="6F9E02E6">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5）评标委员会完成评标后,评委对各部分得分汇总,</w:t>
      </w:r>
      <w:r>
        <w:rPr>
          <w:rFonts w:hint="eastAsia" w:asciiTheme="minorEastAsia" w:hAnsiTheme="minorEastAsia" w:eastAsiaTheme="minorEastAsia"/>
          <w:color w:val="auto"/>
          <w:szCs w:val="21"/>
          <w:highlight w:val="none"/>
        </w:rPr>
        <w:t>计算</w:t>
      </w:r>
      <w:r>
        <w:rPr>
          <w:rFonts w:asciiTheme="minorEastAsia" w:hAnsiTheme="minorEastAsia" w:eastAsiaTheme="minorEastAsia"/>
          <w:color w:val="auto"/>
          <w:szCs w:val="21"/>
          <w:highlight w:val="none"/>
        </w:rPr>
        <w:t>出本项目</w:t>
      </w:r>
      <w:r>
        <w:rPr>
          <w:rFonts w:hint="eastAsia" w:asciiTheme="minorEastAsia" w:hAnsiTheme="minorEastAsia" w:eastAsiaTheme="minorEastAsia"/>
          <w:color w:val="auto"/>
          <w:szCs w:val="21"/>
          <w:highlight w:val="none"/>
        </w:rPr>
        <w:t>最终得分、性价比、评标价等</w:t>
      </w:r>
      <w:r>
        <w:rPr>
          <w:rFonts w:asciiTheme="minorEastAsia" w:hAnsiTheme="minorEastAsia" w:eastAsiaTheme="minorEastAsia"/>
          <w:color w:val="auto"/>
          <w:szCs w:val="21"/>
          <w:highlight w:val="none"/>
        </w:rPr>
        <w:t>。评标委员会按评标原则推荐中标候选人同时起草评标报告。</w:t>
      </w:r>
    </w:p>
    <w:p w14:paraId="499C1D7D">
      <w:pPr>
        <w:snapToGrid w:val="0"/>
        <w:spacing w:line="360" w:lineRule="auto"/>
        <w:ind w:right="42" w:rightChars="20" w:firstLine="422" w:firstLineChars="200"/>
        <w:jc w:val="left"/>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（四）澄清问题的形式</w:t>
      </w:r>
    </w:p>
    <w:p w14:paraId="7079A59C">
      <w:pPr>
        <w:snapToGrid w:val="0"/>
        <w:spacing w:line="360" w:lineRule="auto"/>
        <w:ind w:right="42" w:rightChars="20" w:firstLine="420" w:firstLineChars="200"/>
        <w:jc w:val="left"/>
        <w:rPr>
          <w:rFonts w:cs="宋体" w:asciiTheme="minorEastAsia" w:hAnsiTheme="minorEastAsia" w:eastAsiaTheme="minorEastAsia"/>
          <w:color w:val="auto"/>
          <w:kern w:val="0"/>
          <w:szCs w:val="21"/>
          <w:highlight w:val="none"/>
        </w:rPr>
      </w:pPr>
      <w:r>
        <w:rPr>
          <w:rFonts w:hint="eastAsia" w:asciiTheme="minorEastAsia" w:hAnsiTheme="minorEastAsia" w:eastAsiaTheme="minorEastAsia"/>
          <w:color w:val="auto"/>
          <w:szCs w:val="21"/>
          <w:highlight w:val="none"/>
        </w:rPr>
        <w:t>（1</w:t>
      </w:r>
      <w:r>
        <w:rPr>
          <w:rFonts w:asciiTheme="minorEastAsia" w:hAnsiTheme="minorEastAsia" w:eastAsiaTheme="minorEastAsia"/>
          <w:color w:val="auto"/>
          <w:szCs w:val="21"/>
          <w:highlight w:val="none"/>
        </w:rPr>
        <w:t>）</w:t>
      </w:r>
      <w:r>
        <w:rPr>
          <w:rFonts w:hint="eastAsia" w:cs="宋体" w:asciiTheme="minorEastAsia" w:hAnsiTheme="minorEastAsia" w:eastAsiaTheme="minorEastAsia"/>
          <w:color w:val="auto"/>
          <w:kern w:val="0"/>
          <w:szCs w:val="21"/>
          <w:highlight w:val="none"/>
        </w:rPr>
        <w:t>对于投标文件中含义不明确、同类问题表述不一致或者有明显文字和计算错误的内容，评标委员会将以书面形式（或通过“政府采购云平台”在线询标）的形式要求投标人在规定的时间内作出必要的澄清、说明或者补正，投标人澄清、说明或补正时间为30分钟。</w:t>
      </w:r>
    </w:p>
    <w:p w14:paraId="65C207A3">
      <w:pPr>
        <w:snapToGrid w:val="0"/>
        <w:spacing w:line="360" w:lineRule="auto"/>
        <w:ind w:right="42" w:rightChars="20" w:firstLine="420" w:firstLineChars="200"/>
        <w:jc w:val="left"/>
        <w:rPr>
          <w:rFonts w:cs="宋体" w:asciiTheme="minorEastAsia" w:hAnsiTheme="minorEastAsia" w:eastAsiaTheme="minorEastAsia"/>
          <w:color w:val="auto"/>
          <w:kern w:val="0"/>
          <w:szCs w:val="21"/>
          <w:highlight w:val="none"/>
        </w:rPr>
      </w:pPr>
      <w:r>
        <w:rPr>
          <w:rFonts w:hint="eastAsia" w:asciiTheme="minorEastAsia" w:hAnsiTheme="minorEastAsia" w:eastAsiaTheme="minorEastAsia"/>
          <w:color w:val="auto"/>
          <w:szCs w:val="21"/>
          <w:highlight w:val="none"/>
        </w:rPr>
        <w:t>（2</w:t>
      </w:r>
      <w:r>
        <w:rPr>
          <w:rFonts w:asciiTheme="minorEastAsia" w:hAnsiTheme="minorEastAsia" w:eastAsiaTheme="minorEastAsia"/>
          <w:color w:val="auto"/>
          <w:szCs w:val="21"/>
          <w:highlight w:val="none"/>
        </w:rPr>
        <w:t>）</w:t>
      </w:r>
      <w:r>
        <w:rPr>
          <w:rFonts w:hint="eastAsia" w:cs="宋体" w:asciiTheme="minorEastAsia" w:hAnsiTheme="minorEastAsia" w:eastAsiaTheme="minorEastAsia"/>
          <w:color w:val="auto"/>
          <w:kern w:val="0"/>
          <w:szCs w:val="21"/>
          <w:highlight w:val="none"/>
        </w:rPr>
        <w:t>投标人的澄清、说明或者补正应当采用书面（或通过“政府采购云平台”在线答复）形式提交，并加盖CA签章，或者由法定代表人或其授权的代表签字或盖章。投标人的澄清、说明或者补正不得超出投标文件的范围或者改变投标文件的实质性内容。</w:t>
      </w:r>
    </w:p>
    <w:p w14:paraId="5D17A0E0">
      <w:pPr>
        <w:pStyle w:val="29"/>
        <w:snapToGrid w:val="0"/>
        <w:spacing w:line="360" w:lineRule="auto"/>
        <w:ind w:right="42" w:rightChars="20" w:firstLine="422" w:firstLineChars="200"/>
        <w:jc w:val="left"/>
        <w:rPr>
          <w:rFonts w:asciiTheme="minorEastAsia" w:hAnsiTheme="minorEastAsia" w:eastAsiaTheme="minorEastAsia"/>
          <w:b/>
          <w:color w:val="auto"/>
          <w:szCs w:val="21"/>
          <w:highlight w:val="none"/>
        </w:rPr>
      </w:pPr>
      <w:r>
        <w:rPr>
          <w:rFonts w:asciiTheme="minorEastAsia" w:hAnsiTheme="minorEastAsia" w:eastAsiaTheme="minorEastAsia"/>
          <w:b/>
          <w:color w:val="auto"/>
          <w:szCs w:val="21"/>
          <w:highlight w:val="none"/>
        </w:rPr>
        <w:t>（五）错误修正</w:t>
      </w:r>
    </w:p>
    <w:p w14:paraId="192D45CC">
      <w:pPr>
        <w:pStyle w:val="29"/>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投标文件如果出现计算或表达上的错误，修正错误的原则如下：</w:t>
      </w:r>
    </w:p>
    <w:p w14:paraId="7F8DBC15">
      <w:pPr>
        <w:pStyle w:val="29"/>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r>
        <w:rPr>
          <w:rFonts w:asciiTheme="minorEastAsia" w:hAnsiTheme="minorEastAsia" w:eastAsiaTheme="minorEastAsia"/>
          <w:color w:val="auto"/>
          <w:szCs w:val="21"/>
          <w:highlight w:val="none"/>
        </w:rPr>
        <w:t>投标文件的大写金额和小写金额不一致的，以大写金额为准；</w:t>
      </w:r>
    </w:p>
    <w:p w14:paraId="790DBFA6">
      <w:pPr>
        <w:pStyle w:val="29"/>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r>
        <w:rPr>
          <w:rFonts w:asciiTheme="minorEastAsia" w:hAnsiTheme="minorEastAsia" w:eastAsiaTheme="minorEastAsia"/>
          <w:color w:val="auto"/>
          <w:szCs w:val="21"/>
          <w:highlight w:val="none"/>
        </w:rPr>
        <w:t>总价金额与按单价汇总金额不一致的，以单价金额计算结果为准；</w:t>
      </w:r>
    </w:p>
    <w:p w14:paraId="25CB5C70">
      <w:pPr>
        <w:pStyle w:val="29"/>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r>
        <w:rPr>
          <w:rFonts w:asciiTheme="minorEastAsia" w:hAnsiTheme="minorEastAsia" w:eastAsiaTheme="minorEastAsia"/>
          <w:color w:val="auto"/>
          <w:szCs w:val="21"/>
          <w:highlight w:val="none"/>
        </w:rPr>
        <w:t>对不同文字文本投标文件的解释发生异议的，以中文文本为准。</w:t>
      </w:r>
    </w:p>
    <w:p w14:paraId="79276E5E">
      <w:pPr>
        <w:pStyle w:val="29"/>
        <w:tabs>
          <w:tab w:val="left" w:pos="630"/>
        </w:tabs>
        <w:snapToGrid w:val="0"/>
        <w:spacing w:line="360" w:lineRule="auto"/>
        <w:ind w:right="42" w:rightChars="20" w:firstLine="422" w:firstLineChars="200"/>
        <w:jc w:val="left"/>
        <w:rPr>
          <w:rFonts w:asciiTheme="minorEastAsia" w:hAnsiTheme="minorEastAsia" w:eastAsiaTheme="minorEastAsia"/>
          <w:b/>
          <w:color w:val="auto"/>
          <w:szCs w:val="21"/>
          <w:highlight w:val="none"/>
        </w:rPr>
      </w:pPr>
      <w:r>
        <w:rPr>
          <w:rFonts w:asciiTheme="minorEastAsia" w:hAnsiTheme="minorEastAsia" w:eastAsiaTheme="minorEastAsia"/>
          <w:b/>
          <w:color w:val="auto"/>
          <w:szCs w:val="21"/>
          <w:highlight w:val="none"/>
        </w:rPr>
        <w:t>（六）评标原则和评标办法</w:t>
      </w:r>
    </w:p>
    <w:p w14:paraId="59050D12">
      <w:pPr>
        <w:pStyle w:val="29"/>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17F7BE81">
      <w:pPr>
        <w:pStyle w:val="29"/>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评标办法。本项目评标办法是</w:t>
      </w:r>
      <w:r>
        <w:rPr>
          <w:rFonts w:hint="eastAsia" w:asciiTheme="minorEastAsia" w:hAnsiTheme="minorEastAsia" w:eastAsiaTheme="minorEastAsia"/>
          <w:color w:val="auto"/>
          <w:szCs w:val="21"/>
          <w:highlight w:val="none"/>
        </w:rPr>
        <w:t xml:space="preserve"> 综合评标法</w:t>
      </w:r>
      <w:r>
        <w:rPr>
          <w:rFonts w:asciiTheme="minorEastAsia" w:hAnsiTheme="minorEastAsia" w:eastAsiaTheme="minorEastAsia"/>
          <w:color w:val="auto"/>
          <w:szCs w:val="21"/>
          <w:highlight w:val="none"/>
        </w:rPr>
        <w:t xml:space="preserve"> ，具体评标内容及评分标准等详见《第四章：评标办法及评分标准》。</w:t>
      </w:r>
    </w:p>
    <w:p w14:paraId="050EC35A">
      <w:pPr>
        <w:pStyle w:val="29"/>
        <w:snapToGrid w:val="0"/>
        <w:spacing w:line="360" w:lineRule="auto"/>
        <w:ind w:right="42" w:rightChars="20" w:firstLine="422" w:firstLineChars="200"/>
        <w:jc w:val="left"/>
        <w:rPr>
          <w:rFonts w:asciiTheme="minorEastAsia" w:hAnsiTheme="minorEastAsia" w:eastAsiaTheme="minorEastAsia"/>
          <w:b/>
          <w:color w:val="auto"/>
          <w:szCs w:val="21"/>
          <w:highlight w:val="none"/>
        </w:rPr>
      </w:pPr>
      <w:r>
        <w:rPr>
          <w:rFonts w:asciiTheme="minorEastAsia" w:hAnsiTheme="minorEastAsia" w:eastAsiaTheme="minorEastAsia"/>
          <w:b/>
          <w:color w:val="auto"/>
          <w:szCs w:val="21"/>
          <w:highlight w:val="none"/>
        </w:rPr>
        <w:t>（七）评标过程的监控</w:t>
      </w:r>
    </w:p>
    <w:p w14:paraId="57039DE4">
      <w:pPr>
        <w:pStyle w:val="29"/>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本项目评标过程实行全程录音、录像监控</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投标人在评标过程中所进行的</w:t>
      </w:r>
      <w:r>
        <w:rPr>
          <w:rFonts w:hint="eastAsia" w:asciiTheme="minorEastAsia" w:hAnsiTheme="minorEastAsia" w:eastAsiaTheme="minorEastAsia"/>
          <w:color w:val="auto"/>
          <w:szCs w:val="21"/>
          <w:highlight w:val="none"/>
        </w:rPr>
        <w:t>试</w:t>
      </w:r>
      <w:r>
        <w:rPr>
          <w:rFonts w:asciiTheme="minorEastAsia" w:hAnsiTheme="minorEastAsia" w:eastAsiaTheme="minorEastAsia"/>
          <w:color w:val="auto"/>
          <w:szCs w:val="21"/>
          <w:highlight w:val="none"/>
        </w:rPr>
        <w:t>图影响评标结果的不公正活动，可能导致其投标被拒绝。</w:t>
      </w:r>
    </w:p>
    <w:p w14:paraId="0A975698">
      <w:pPr>
        <w:pStyle w:val="29"/>
        <w:snapToGrid w:val="0"/>
        <w:spacing w:line="360" w:lineRule="auto"/>
        <w:ind w:right="42" w:rightChars="20" w:firstLine="422" w:firstLineChars="200"/>
        <w:jc w:val="left"/>
        <w:outlineLvl w:val="1"/>
        <w:rPr>
          <w:rFonts w:asciiTheme="minorEastAsia" w:hAnsiTheme="minorEastAsia" w:eastAsiaTheme="minorEastAsia"/>
          <w:b/>
          <w:color w:val="auto"/>
          <w:szCs w:val="21"/>
          <w:highlight w:val="none"/>
        </w:rPr>
      </w:pPr>
      <w:bookmarkStart w:id="278" w:name="_Toc33535371"/>
      <w:bookmarkStart w:id="279" w:name="_Toc19997"/>
      <w:bookmarkStart w:id="280" w:name="_Toc50012887"/>
      <w:r>
        <w:rPr>
          <w:rFonts w:hint="eastAsia" w:asciiTheme="minorEastAsia" w:hAnsiTheme="minorEastAsia" w:eastAsiaTheme="minorEastAsia"/>
          <w:b/>
          <w:color w:val="auto"/>
          <w:szCs w:val="21"/>
          <w:highlight w:val="none"/>
        </w:rPr>
        <w:t>六、定标</w:t>
      </w:r>
      <w:bookmarkEnd w:id="278"/>
      <w:bookmarkEnd w:id="279"/>
      <w:bookmarkEnd w:id="280"/>
    </w:p>
    <w:p w14:paraId="1ABCD5EC">
      <w:pPr>
        <w:pStyle w:val="29"/>
        <w:snapToGrid w:val="0"/>
        <w:spacing w:line="360" w:lineRule="auto"/>
        <w:ind w:right="42" w:rightChars="20" w:firstLine="422" w:firstLineChars="200"/>
        <w:jc w:val="left"/>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（一）确定中标人。</w:t>
      </w:r>
    </w:p>
    <w:p w14:paraId="481D76AC">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rPr>
        <w:t>、采购代理机构</w:t>
      </w:r>
      <w:r>
        <w:rPr>
          <w:rFonts w:asciiTheme="minorEastAsia" w:hAnsiTheme="minorEastAsia" w:eastAsiaTheme="minorEastAsia"/>
          <w:color w:val="auto"/>
          <w:szCs w:val="21"/>
          <w:highlight w:val="none"/>
        </w:rPr>
        <w:t>在评标结束后2个工作日内将评标报告交采购人确认，同时在发布招标公告的网站上对评标结果进行</w:t>
      </w:r>
      <w:r>
        <w:rPr>
          <w:rFonts w:hint="eastAsia" w:asciiTheme="minorEastAsia" w:hAnsiTheme="minorEastAsia" w:eastAsiaTheme="minorEastAsia"/>
          <w:color w:val="auto"/>
          <w:szCs w:val="21"/>
          <w:highlight w:val="none"/>
        </w:rPr>
        <w:t>公告</w:t>
      </w:r>
      <w:r>
        <w:rPr>
          <w:rFonts w:asciiTheme="minorEastAsia" w:hAnsiTheme="minorEastAsia" w:eastAsiaTheme="minorEastAsia"/>
          <w:color w:val="auto"/>
          <w:szCs w:val="21"/>
          <w:highlight w:val="none"/>
        </w:rPr>
        <w:t>。</w:t>
      </w:r>
    </w:p>
    <w:p w14:paraId="026A3C74">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投标人对评标结果无异议的，采购人应在收到评标报告后5个工作日内对评标结果进行确认。如有投标人对评标结果提出质疑的，采购人可在质疑处理完毕后确定中标人。</w:t>
      </w:r>
    </w:p>
    <w:p w14:paraId="50BAFDC4">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 在公告中标结果的同时，采购代理机构向中标人发出中标通知书。</w:t>
      </w:r>
    </w:p>
    <w:p w14:paraId="4769E658">
      <w:pPr>
        <w:pStyle w:val="29"/>
        <w:snapToGrid w:val="0"/>
        <w:spacing w:line="360" w:lineRule="auto"/>
        <w:ind w:right="42" w:rightChars="20" w:firstLine="422" w:firstLineChars="200"/>
        <w:jc w:val="left"/>
        <w:outlineLvl w:val="1"/>
        <w:rPr>
          <w:rFonts w:asciiTheme="minorEastAsia" w:hAnsiTheme="minorEastAsia" w:eastAsiaTheme="minorEastAsia"/>
          <w:b/>
          <w:color w:val="auto"/>
          <w:szCs w:val="21"/>
          <w:highlight w:val="none"/>
        </w:rPr>
      </w:pPr>
      <w:bookmarkStart w:id="281" w:name="_Toc5136"/>
      <w:bookmarkStart w:id="282" w:name="_Toc50012888"/>
      <w:bookmarkStart w:id="283" w:name="_Toc33535372"/>
      <w:r>
        <w:rPr>
          <w:rFonts w:hint="eastAsia" w:asciiTheme="minorEastAsia" w:hAnsiTheme="minorEastAsia" w:eastAsiaTheme="minorEastAsia"/>
          <w:b/>
          <w:color w:val="auto"/>
          <w:szCs w:val="21"/>
          <w:highlight w:val="none"/>
        </w:rPr>
        <w:t>七、合同授予</w:t>
      </w:r>
      <w:bookmarkEnd w:id="281"/>
      <w:bookmarkEnd w:id="282"/>
      <w:bookmarkEnd w:id="283"/>
    </w:p>
    <w:p w14:paraId="570FB886">
      <w:pPr>
        <w:snapToGrid w:val="0"/>
        <w:spacing w:line="360" w:lineRule="auto"/>
        <w:ind w:right="42" w:rightChars="20" w:firstLine="422" w:firstLineChars="200"/>
        <w:jc w:val="left"/>
        <w:rPr>
          <w:rFonts w:asciiTheme="minorEastAsia" w:hAnsiTheme="minorEastAsia" w:eastAsiaTheme="minorEastAsia"/>
          <w:bCs/>
          <w:color w:val="auto"/>
          <w:szCs w:val="21"/>
          <w:highlight w:val="none"/>
        </w:rPr>
      </w:pPr>
      <w:r>
        <w:rPr>
          <w:rFonts w:hint="eastAsia" w:asciiTheme="minorEastAsia" w:hAnsiTheme="minorEastAsia" w:eastAsiaTheme="minorEastAsia"/>
          <w:b/>
          <w:bCs/>
          <w:color w:val="auto"/>
          <w:szCs w:val="21"/>
          <w:highlight w:val="none"/>
        </w:rPr>
        <w:t>（一）签订合同</w:t>
      </w:r>
    </w:p>
    <w:p w14:paraId="727C4A18">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rPr>
        <w:t>、采购人与</w:t>
      </w:r>
      <w:r>
        <w:rPr>
          <w:rFonts w:asciiTheme="minorEastAsia" w:hAnsiTheme="minorEastAsia" w:eastAsiaTheme="minorEastAsia"/>
          <w:color w:val="auto"/>
          <w:szCs w:val="21"/>
          <w:highlight w:val="none"/>
        </w:rPr>
        <w:t>中标人应</w:t>
      </w:r>
      <w:r>
        <w:rPr>
          <w:rFonts w:hint="eastAsia" w:asciiTheme="minorEastAsia" w:hAnsiTheme="minorEastAsia" w:eastAsiaTheme="minorEastAsia"/>
          <w:color w:val="auto"/>
          <w:szCs w:val="21"/>
          <w:highlight w:val="none"/>
        </w:rPr>
        <w:t>当在中标公示发出之日起30日内签订政府采购合同。同时，采购机构对合同内容进行审查，如发现与采购结果和投标承诺内容不一致的，将予以纠正。</w:t>
      </w:r>
    </w:p>
    <w:p w14:paraId="22BCA628">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中标人拖延、拒签合同的,将被取消中标资格</w:t>
      </w:r>
      <w:r>
        <w:rPr>
          <w:rFonts w:hint="eastAsia" w:asciiTheme="minorEastAsia" w:hAnsiTheme="minorEastAsia" w:eastAsiaTheme="minorEastAsia"/>
          <w:color w:val="auto"/>
          <w:szCs w:val="21"/>
          <w:highlight w:val="none"/>
        </w:rPr>
        <w:t>，并报监督管理部门</w:t>
      </w:r>
      <w:r>
        <w:rPr>
          <w:rFonts w:asciiTheme="minorEastAsia" w:hAnsiTheme="minorEastAsia" w:eastAsiaTheme="minorEastAsia"/>
          <w:color w:val="auto"/>
          <w:szCs w:val="21"/>
          <w:highlight w:val="none"/>
        </w:rPr>
        <w:t>。</w:t>
      </w:r>
    </w:p>
    <w:p w14:paraId="72EEC970">
      <w:pPr>
        <w:pStyle w:val="29"/>
        <w:snapToGrid w:val="0"/>
        <w:spacing w:line="360" w:lineRule="auto"/>
        <w:ind w:right="42" w:rightChars="20" w:firstLine="422" w:firstLineChars="200"/>
        <w:jc w:val="left"/>
        <w:rPr>
          <w:rFonts w:hint="eastAsia" w:asciiTheme="minorEastAsia" w:hAnsiTheme="minorEastAsia" w:eastAsiaTheme="minorEastAsia"/>
          <w:color w:val="auto"/>
          <w:szCs w:val="21"/>
          <w:highlight w:val="none"/>
        </w:rPr>
      </w:pPr>
      <w:r>
        <w:rPr>
          <w:rFonts w:asciiTheme="minorEastAsia" w:hAnsiTheme="minorEastAsia" w:eastAsiaTheme="minorEastAsia"/>
          <w:b/>
          <w:color w:val="auto"/>
          <w:szCs w:val="21"/>
          <w:highlight w:val="none"/>
        </w:rPr>
        <w:t>（二）</w:t>
      </w:r>
      <w:r>
        <w:rPr>
          <w:rFonts w:hint="eastAsia" w:asciiTheme="minorEastAsia" w:hAnsiTheme="minorEastAsia" w:eastAsiaTheme="minorEastAsia"/>
          <w:color w:val="auto"/>
          <w:szCs w:val="21"/>
          <w:highlight w:val="none"/>
        </w:rPr>
        <w:t>履约保证金的收取及退还：无。</w:t>
      </w:r>
    </w:p>
    <w:p w14:paraId="553481C2">
      <w:pPr>
        <w:spacing w:line="360" w:lineRule="auto"/>
        <w:ind w:firstLine="422" w:firstLineChars="200"/>
        <w:jc w:val="left"/>
        <w:rPr>
          <w:rFonts w:hint="eastAsia" w:ascii="宋体" w:hAnsi="宋体" w:cs="宋体"/>
          <w:b/>
          <w:bCs/>
          <w:color w:val="auto"/>
          <w:sz w:val="48"/>
          <w:szCs w:val="48"/>
          <w:highlight w:val="none"/>
        </w:rPr>
      </w:pPr>
      <w:r>
        <w:rPr>
          <w:rFonts w:hint="eastAsia" w:cs="Times New Roman" w:asciiTheme="minorEastAsia" w:hAnsiTheme="minorEastAsia" w:eastAsiaTheme="minorEastAsia"/>
          <w:b/>
          <w:color w:val="auto"/>
          <w:kern w:val="2"/>
          <w:sz w:val="21"/>
          <w:szCs w:val="21"/>
          <w:highlight w:val="none"/>
          <w:lang w:val="en-US" w:eastAsia="zh-CN" w:bidi="ar-SA"/>
        </w:rPr>
        <w:t>八、验收</w:t>
      </w:r>
    </w:p>
    <w:p w14:paraId="354CAC8E">
      <w:pPr>
        <w:snapToGrid w:val="0"/>
        <w:spacing w:line="360" w:lineRule="auto"/>
        <w:ind w:right="42" w:rightChars="20" w:firstLine="420" w:firstLineChars="200"/>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C51CF38">
      <w:pPr>
        <w:snapToGrid w:val="0"/>
        <w:spacing w:line="360" w:lineRule="auto"/>
        <w:ind w:right="42" w:rightChars="20" w:firstLine="420" w:firstLineChars="200"/>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2.采购人可以邀请参加本项目的其他供应商或者第三方机构参与验收。参与验收的供应商或者第三方机构的意见作为验收书的参考资料一并存档。</w:t>
      </w:r>
    </w:p>
    <w:p w14:paraId="34935270">
      <w:pPr>
        <w:snapToGrid w:val="0"/>
        <w:spacing w:line="360" w:lineRule="auto"/>
        <w:ind w:right="42" w:rightChars="20" w:firstLine="420" w:firstLineChars="200"/>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3.明确验收程序。政府采购项目的履约验收分为简易程序验收、一般程序验收两种方式。</w:t>
      </w:r>
    </w:p>
    <w:p w14:paraId="100C0CAF">
      <w:pPr>
        <w:snapToGrid w:val="0"/>
        <w:spacing w:line="360" w:lineRule="auto"/>
        <w:ind w:right="42" w:rightChars="20" w:firstLine="420" w:firstLineChars="200"/>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3.1预算金额在采购限额标准以上的政府采购项目原则上采用一般程序验收。一般程序包括制定验收方案、实施验收、出具验收报告（政府采购履约验收书）、验收结果公告及资料归档。工程类项目应当按照行业管理部门规定的标准、方法和内容进行验收。</w:t>
      </w:r>
    </w:p>
    <w:p w14:paraId="2519EFA8">
      <w:pPr>
        <w:snapToGrid w:val="0"/>
        <w:spacing w:line="360" w:lineRule="auto"/>
        <w:ind w:right="42" w:rightChars="20" w:firstLine="420" w:firstLineChars="200"/>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3.2集中采购目录以内、预算金额在采购限额标准以下的采购，预算金额在采购限额标准以上、公开招标数额以下功能简单且属于标准定制的货物类采购或需求单一且属于通用的服务类采购可以适用简易验收程序。简易验收至少应包含确定验收标准、明确验收人员、验收并出具结果、公告及归档几个程序。采购人按照简易程序组织验收的，参照单位内控自行指定相关专业人员，在中标、成交供应商交付货物、工程或者提供服务时进行验收。</w:t>
      </w:r>
    </w:p>
    <w:p w14:paraId="1263D0D5">
      <w:pPr>
        <w:snapToGrid w:val="0"/>
        <w:spacing w:line="360" w:lineRule="auto"/>
        <w:ind w:right="42" w:rightChars="20" w:firstLine="420" w:firstLineChars="200"/>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3.3强化验收管理。采购人应当根据项目特点、履约风险控制等需要，采取一次性整体验收或分期验收方式。对于采购人和使用人分离的采购项目，应当邀请实际使用人参与验收。采购人或其委托的采购代理机构可以邀请参加本项目的其他供应商或第三方专业机构及专家参与验收，相关验收意见作为验收书的参考资料。政府向社会公众提供的公共服务项目，验收时应当邀请服务对象参与并出具意见。</w:t>
      </w:r>
    </w:p>
    <w:p w14:paraId="799BE58A">
      <w:pPr>
        <w:snapToGrid w:val="0"/>
        <w:spacing w:line="360" w:lineRule="auto"/>
        <w:ind w:right="42" w:rightChars="20" w:firstLine="420" w:firstLineChars="200"/>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3.4公开验收结果。对于政府向社会公众提供的公共服务项目，采购人应当在验收结束之日起2个工作日内，将验收结果向社会公告，接受社会监督。</w:t>
      </w:r>
    </w:p>
    <w:p w14:paraId="74FDF9C3">
      <w:pPr>
        <w:snapToGrid w:val="0"/>
        <w:spacing w:line="360" w:lineRule="auto"/>
        <w:ind w:right="42" w:rightChars="20" w:firstLine="420" w:firstLineChars="200"/>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履约验收合格的，采购人应当根据政府采购合同约定及时向供应商支付采购资金、退还履约保证金，不得拖延、拖欠或非法扣留；履约未经验收、验收不合格的以及验收部分不合格，且影响整体功能的，采购人除支付合理比例的预付款及合同约定进度款外不再支付采购资金；履约验收不合格的，采购人应责令供应商限期整改，向供应商发出整改通知书，整改结束，重新组织验收。采购合同的履行、违约责任和解决争议的方式等适用《中华人民共和国民法典》。供应商在履约过程中有政府采购法律法规规定的违法违规情形的，采购人应当及时报告本级财政部部门。</w:t>
      </w:r>
    </w:p>
    <w:p w14:paraId="0FAA5505">
      <w:pPr>
        <w:snapToGrid w:val="0"/>
        <w:spacing w:line="360" w:lineRule="auto"/>
        <w:ind w:right="42" w:rightChars="20" w:firstLine="420" w:firstLineChars="200"/>
        <w:jc w:val="left"/>
        <w:rPr>
          <w:rFonts w:hint="eastAsia" w:asciiTheme="minorEastAsia" w:hAnsiTheme="minorEastAsia" w:eastAsiaTheme="minorEastAsia"/>
          <w:color w:val="auto"/>
          <w:szCs w:val="21"/>
          <w:highlight w:val="none"/>
        </w:rPr>
        <w:sectPr>
          <w:pgSz w:w="11905" w:h="16838"/>
          <w:pgMar w:top="1440" w:right="1803" w:bottom="1440" w:left="1803" w:header="851" w:footer="992" w:gutter="0"/>
          <w:pgBorders>
            <w:top w:val="none" w:sz="0" w:space="0"/>
            <w:left w:val="none" w:sz="0" w:space="0"/>
            <w:bottom w:val="none" w:sz="0" w:space="0"/>
            <w:right w:val="none" w:sz="0" w:space="0"/>
          </w:pgBorders>
          <w:cols w:space="0" w:num="1"/>
          <w:docGrid w:type="lines" w:linePitch="319" w:charSpace="0"/>
        </w:sectPr>
      </w:pPr>
    </w:p>
    <w:p w14:paraId="516E676A">
      <w:pPr>
        <w:pStyle w:val="44"/>
        <w:rPr>
          <w:color w:val="auto"/>
          <w:highlight w:val="none"/>
        </w:rPr>
      </w:pPr>
    </w:p>
    <w:bookmarkEnd w:id="206"/>
    <w:p w14:paraId="1DDE872E">
      <w:pPr>
        <w:pStyle w:val="164"/>
        <w:ind w:right="42" w:rightChars="20"/>
        <w:rPr>
          <w:rFonts w:asciiTheme="minorEastAsia" w:hAnsiTheme="minorEastAsia" w:eastAsiaTheme="minorEastAsia"/>
          <w:b w:val="0"/>
          <w:color w:val="auto"/>
          <w:highlight w:val="none"/>
        </w:rPr>
      </w:pPr>
      <w:bookmarkStart w:id="284" w:name="_Toc27157"/>
      <w:bookmarkStart w:id="285" w:name="_Toc493511776"/>
      <w:bookmarkStart w:id="286" w:name="_Toc170792807"/>
      <w:bookmarkStart w:id="287" w:name="_Toc177870559"/>
      <w:r>
        <w:rPr>
          <w:rStyle w:val="70"/>
          <w:rFonts w:hint="eastAsia" w:cs="微软雅黑" w:asciiTheme="minorEastAsia" w:hAnsiTheme="minorEastAsia" w:eastAsiaTheme="minorEastAsia"/>
          <w:b/>
          <w:color w:val="auto"/>
          <w:highlight w:val="none"/>
        </w:rPr>
        <w:t>第四章  评标办法及评分标准</w:t>
      </w:r>
      <w:bookmarkEnd w:id="284"/>
      <w:bookmarkEnd w:id="285"/>
    </w:p>
    <w:p w14:paraId="48AEF904">
      <w:pPr>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为公正、公平、科学地选择中标人，根据《中华人民共和国政府采购法》等有关法律法规的规定，并结合本项目的实际，制定本办法。</w:t>
      </w:r>
    </w:p>
    <w:bookmarkEnd w:id="286"/>
    <w:bookmarkEnd w:id="287"/>
    <w:p w14:paraId="138F2510">
      <w:pPr>
        <w:spacing w:line="360" w:lineRule="auto"/>
        <w:ind w:right="42" w:rightChars="20" w:firstLine="422" w:firstLineChars="200"/>
        <w:jc w:val="left"/>
        <w:rPr>
          <w:rFonts w:asciiTheme="minorEastAsia" w:hAnsiTheme="minorEastAsia" w:eastAsiaTheme="minorEastAsia"/>
          <w:b/>
          <w:color w:val="auto"/>
          <w:szCs w:val="21"/>
          <w:highlight w:val="none"/>
        </w:rPr>
      </w:pPr>
      <w:bookmarkStart w:id="288" w:name="_Toc170792802"/>
      <w:r>
        <w:rPr>
          <w:rFonts w:hint="eastAsia" w:asciiTheme="minorEastAsia" w:hAnsiTheme="minorEastAsia" w:eastAsiaTheme="minorEastAsia"/>
          <w:b/>
          <w:color w:val="auto"/>
          <w:szCs w:val="21"/>
          <w:highlight w:val="none"/>
        </w:rPr>
        <w:t>一、总则</w:t>
      </w:r>
    </w:p>
    <w:p w14:paraId="78EF4492">
      <w:pPr>
        <w:spacing w:line="360" w:lineRule="auto"/>
        <w:ind w:right="42" w:rightChars="20" w:firstLine="420" w:firstLineChars="200"/>
        <w:jc w:val="left"/>
        <w:rPr>
          <w:rFonts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本次评标采用综合评分法，总分为100分，其中价格分</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0分，技术资信及商务分</w:t>
      </w:r>
      <w:r>
        <w:rPr>
          <w:rFonts w:hint="eastAsia" w:asciiTheme="minorEastAsia" w:hAnsiTheme="minorEastAsia" w:eastAsiaTheme="minorEastAsia"/>
          <w:color w:val="auto"/>
          <w:szCs w:val="21"/>
          <w:highlight w:val="none"/>
          <w:lang w:val="en-US" w:eastAsia="zh-CN"/>
        </w:rPr>
        <w:t>9</w:t>
      </w:r>
      <w:r>
        <w:rPr>
          <w:rFonts w:hint="eastAsia" w:asciiTheme="minorEastAsia" w:hAnsiTheme="minorEastAsia" w:eastAsiaTheme="minorEastAsia"/>
          <w:color w:val="auto"/>
          <w:szCs w:val="21"/>
          <w:highlight w:val="none"/>
        </w:rPr>
        <w:t>0分。合格投标人的评标得分为各项目汇总得分，中标候选资格按评标得分由高到低顺序排列，得分相同的，按投标报价由低到高顺序排列；得分且投标报价相同的，按技术得分由高到低顺序排列。排名</w:t>
      </w:r>
      <w:r>
        <w:rPr>
          <w:rFonts w:hint="eastAsia" w:asciiTheme="minorEastAsia" w:hAnsiTheme="minorEastAsia" w:eastAsiaTheme="minorEastAsia"/>
          <w:b/>
          <w:color w:val="auto"/>
          <w:szCs w:val="21"/>
          <w:highlight w:val="none"/>
        </w:rPr>
        <w:t>第一</w:t>
      </w:r>
      <w:r>
        <w:rPr>
          <w:rFonts w:hint="eastAsia" w:asciiTheme="minorEastAsia" w:hAnsiTheme="minorEastAsia" w:eastAsiaTheme="minorEastAsia"/>
          <w:color w:val="auto"/>
          <w:szCs w:val="21"/>
          <w:highlight w:val="none"/>
        </w:rPr>
        <w:t>的投标人为中标候选人，排名第二的投标人为候补中标候选人……其他投标人中标候选资格依此类推。</w:t>
      </w:r>
      <w:r>
        <w:rPr>
          <w:rFonts w:hint="eastAsia" w:asciiTheme="minorEastAsia" w:hAnsiTheme="minorEastAsia" w:eastAsiaTheme="minorEastAsia"/>
          <w:bCs/>
          <w:color w:val="auto"/>
          <w:szCs w:val="21"/>
          <w:highlight w:val="none"/>
        </w:rPr>
        <w:t>评分过程中采用四舍五入法，并保留小数2位。</w:t>
      </w:r>
    </w:p>
    <w:p w14:paraId="1B452B9A">
      <w:pPr>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投标人评标</w:t>
      </w:r>
      <w:r>
        <w:rPr>
          <w:rFonts w:hint="eastAsia" w:asciiTheme="minorEastAsia" w:hAnsiTheme="minorEastAsia" w:eastAsiaTheme="minorEastAsia"/>
          <w:bCs/>
          <w:color w:val="auto"/>
          <w:szCs w:val="21"/>
          <w:highlight w:val="none"/>
        </w:rPr>
        <w:t>综合得分=价格分+(技术分+资信、商务及其他分)</w:t>
      </w:r>
    </w:p>
    <w:p w14:paraId="5C3B2AD8">
      <w:pPr>
        <w:spacing w:line="360" w:lineRule="auto"/>
        <w:ind w:right="42" w:rightChars="20" w:firstLine="422" w:firstLineChars="200"/>
        <w:jc w:val="left"/>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二、评标内容及标准</w:t>
      </w:r>
    </w:p>
    <w:p w14:paraId="7F0CB58D">
      <w:pPr>
        <w:pStyle w:val="29"/>
        <w:tabs>
          <w:tab w:val="left" w:pos="630"/>
        </w:tabs>
        <w:spacing w:line="360" w:lineRule="auto"/>
        <w:ind w:right="42" w:rightChars="20" w:firstLine="422" w:firstLineChars="200"/>
        <w:jc w:val="left"/>
        <w:rPr>
          <w:rFonts w:asciiTheme="minorEastAsia" w:hAnsiTheme="minorEastAsia" w:eastAsiaTheme="minorEastAsia"/>
          <w:b/>
          <w:color w:val="auto"/>
          <w:szCs w:val="21"/>
          <w:highlight w:val="none"/>
        </w:rPr>
      </w:pPr>
      <w:bookmarkStart w:id="289" w:name="_Toc416422800"/>
      <w:bookmarkStart w:id="290" w:name="_Toc417992896"/>
      <w:bookmarkStart w:id="291" w:name="_Toc493511826"/>
      <w:bookmarkStart w:id="292" w:name="_Toc28829"/>
      <w:r>
        <w:rPr>
          <w:rFonts w:hint="eastAsia" w:asciiTheme="minorEastAsia" w:hAnsiTheme="minorEastAsia" w:eastAsiaTheme="minorEastAsia"/>
          <w:b/>
          <w:color w:val="auto"/>
          <w:szCs w:val="21"/>
          <w:highlight w:val="none"/>
        </w:rPr>
        <w:t>（一）价格分（</w:t>
      </w:r>
      <w:r>
        <w:rPr>
          <w:rFonts w:hint="eastAsia" w:asciiTheme="minorEastAsia" w:hAnsiTheme="minorEastAsia" w:eastAsiaTheme="minorEastAsia"/>
          <w:b/>
          <w:color w:val="auto"/>
          <w:szCs w:val="21"/>
          <w:highlight w:val="none"/>
          <w:lang w:val="en-US" w:eastAsia="zh-CN"/>
        </w:rPr>
        <w:t>10</w:t>
      </w:r>
      <w:r>
        <w:rPr>
          <w:rFonts w:hint="eastAsia" w:asciiTheme="minorEastAsia" w:hAnsiTheme="minorEastAsia" w:eastAsiaTheme="minorEastAsia"/>
          <w:b/>
          <w:color w:val="auto"/>
          <w:szCs w:val="21"/>
          <w:highlight w:val="none"/>
        </w:rPr>
        <w:t>分）</w:t>
      </w:r>
    </w:p>
    <w:p w14:paraId="505D2E5F">
      <w:pPr>
        <w:pStyle w:val="29"/>
        <w:tabs>
          <w:tab w:val="left" w:pos="630"/>
        </w:tabs>
        <w:spacing w:line="360" w:lineRule="auto"/>
        <w:ind w:right="42" w:rightChars="20" w:firstLine="420" w:firstLineChars="200"/>
        <w:jc w:val="left"/>
        <w:rPr>
          <w:rFonts w:hAnsi="宋体" w:cs="宋体"/>
          <w:color w:val="auto"/>
          <w:highlight w:val="none"/>
          <w:lang w:val="zh-CN"/>
        </w:rPr>
      </w:pPr>
      <w:r>
        <w:rPr>
          <w:rFonts w:hint="eastAsia" w:asciiTheme="minorEastAsia" w:hAnsiTheme="minorEastAsia" w:eastAsiaTheme="minorEastAsia"/>
          <w:bCs/>
          <w:color w:val="auto"/>
          <w:szCs w:val="21"/>
          <w:highlight w:val="none"/>
        </w:rPr>
        <w:t>1、价格分采用低价优先法计算，即满足招标文件要求且投标价格最低的投标报价为评标基准价</w:t>
      </w:r>
      <w:r>
        <w:rPr>
          <w:rFonts w:hint="eastAsia" w:hAnsi="宋体" w:cs="宋体"/>
          <w:color w:val="auto"/>
          <w:highlight w:val="none"/>
          <w:lang w:val="zh-CN"/>
        </w:rPr>
        <w:t>，其价格分为满分。其他的报价分统一按下列公式计算：</w:t>
      </w:r>
    </w:p>
    <w:p w14:paraId="6BDED9ED">
      <w:pPr>
        <w:pStyle w:val="29"/>
        <w:tabs>
          <w:tab w:val="left" w:pos="630"/>
        </w:tabs>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hAnsi="宋体" w:cs="宋体"/>
          <w:color w:val="auto"/>
          <w:highlight w:val="none"/>
          <w:lang w:val="zh-CN"/>
        </w:rPr>
        <w:t>投标报价得分=(评标基准价／投标报价)×价格权值（</w:t>
      </w:r>
      <w:r>
        <w:rPr>
          <w:rFonts w:hint="eastAsia" w:hAnsi="宋体" w:cs="宋体"/>
          <w:color w:val="auto"/>
          <w:highlight w:val="none"/>
          <w:lang w:val="en-US" w:eastAsia="zh-CN"/>
        </w:rPr>
        <w:t>10</w:t>
      </w:r>
      <w:r>
        <w:rPr>
          <w:rFonts w:hint="eastAsia" w:hAnsi="宋体" w:cs="宋体"/>
          <w:color w:val="auto"/>
          <w:highlight w:val="none"/>
          <w:lang w:val="zh-CN"/>
        </w:rPr>
        <w:t>%）×100。</w:t>
      </w:r>
    </w:p>
    <w:p w14:paraId="6E7ABE9A">
      <w:pPr>
        <w:pStyle w:val="29"/>
        <w:tabs>
          <w:tab w:val="left" w:pos="630"/>
        </w:tabs>
        <w:spacing w:line="360" w:lineRule="auto"/>
        <w:ind w:right="42" w:rightChars="20" w:firstLine="420" w:firstLineChars="200"/>
        <w:jc w:val="left"/>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2、投标人的投标报价超过采购人设定的最高限价（总价及单价），将作为无效标。</w:t>
      </w:r>
    </w:p>
    <w:p w14:paraId="0A990000">
      <w:pPr>
        <w:pStyle w:val="29"/>
        <w:tabs>
          <w:tab w:val="left" w:pos="630"/>
        </w:tabs>
        <w:spacing w:line="360" w:lineRule="auto"/>
        <w:ind w:right="42" w:rightChars="20"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zh-CN"/>
        </w:rPr>
        <w:t>3、</w:t>
      </w:r>
      <w:r>
        <w:rPr>
          <w:rFonts w:hint="eastAsia" w:ascii="宋体" w:hAnsi="宋体" w:eastAsia="宋体" w:cs="宋体"/>
          <w:color w:val="auto"/>
          <w:highlight w:val="none"/>
          <w:lang w:val="en-US" w:eastAsia="zh-CN"/>
        </w:rPr>
        <w:t>政府采购评审中出现下列情形之一的，评审委员会应当启动异常低价投标（响应）审查程序：</w:t>
      </w:r>
    </w:p>
    <w:p w14:paraId="5BAD5AEF">
      <w:pPr>
        <w:pStyle w:val="29"/>
        <w:tabs>
          <w:tab w:val="left" w:pos="630"/>
        </w:tabs>
        <w:spacing w:line="360" w:lineRule="auto"/>
        <w:ind w:right="42" w:rightChars="20"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（1）投标（响应）报价低于全部通过符合性审查供应商投标（响应）报价平均值50%的，即投标（响应）报价&lt;全部通过符合性审查供应商投标（响应）报价平均值×50%；</w:t>
      </w:r>
    </w:p>
    <w:p w14:paraId="533B7ED8">
      <w:pPr>
        <w:pStyle w:val="29"/>
        <w:tabs>
          <w:tab w:val="left" w:pos="630"/>
        </w:tabs>
        <w:spacing w:line="360" w:lineRule="auto"/>
        <w:ind w:right="42" w:rightChars="20" w:firstLine="420" w:firstLineChars="200"/>
        <w:jc w:val="left"/>
        <w:rPr>
          <w:rFonts w:hint="eastAsia" w:ascii="Times New Roman" w:hAnsi="Times New Roman" w:eastAsia="宋体" w:cs="Times New Roman"/>
          <w:b w:val="0"/>
          <w:color w:val="auto"/>
          <w:kern w:val="2"/>
          <w:sz w:val="21"/>
          <w:szCs w:val="24"/>
          <w:highlight w:val="none"/>
          <w:lang w:val="en-US" w:eastAsia="zh-CN" w:bidi="ar-SA"/>
        </w:rPr>
      </w:pPr>
      <w:r>
        <w:rPr>
          <w:rFonts w:hint="eastAsia" w:ascii="宋体" w:hAnsi="宋体" w:eastAsia="宋体" w:cs="宋体"/>
          <w:color w:val="auto"/>
          <w:highlight w:val="none"/>
          <w:lang w:val="en-US" w:eastAsia="zh-CN"/>
        </w:rPr>
        <w:t>（2）投标（响应）报价</w:t>
      </w:r>
      <w:r>
        <w:rPr>
          <w:rFonts w:hint="eastAsia" w:ascii="Times New Roman" w:hAnsi="Times New Roman" w:eastAsia="宋体" w:cs="Times New Roman"/>
          <w:b w:val="0"/>
          <w:color w:val="auto"/>
          <w:kern w:val="2"/>
          <w:sz w:val="21"/>
          <w:szCs w:val="24"/>
          <w:highlight w:val="none"/>
          <w:lang w:val="en-US" w:eastAsia="zh-CN" w:bidi="ar-SA"/>
        </w:rPr>
        <w:t>低于通过符合性审查的次低报价供应商投标（响应）报价50%的，即投标（响应）报价&lt;通过符合性审查的次低报价供应商投标（响应）报价×50%；</w:t>
      </w:r>
    </w:p>
    <w:p w14:paraId="63538D85">
      <w:pPr>
        <w:pStyle w:val="4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45" w:firstLine="480" w:firstLineChars="200"/>
        <w:jc w:val="both"/>
        <w:textAlignment w:val="auto"/>
        <w:rPr>
          <w:rFonts w:hint="eastAsia" w:ascii="Times New Roman" w:hAnsi="Times New Roman" w:eastAsia="宋体" w:cs="Times New Roman"/>
          <w:b w:val="0"/>
          <w:color w:val="auto"/>
          <w:kern w:val="2"/>
          <w:sz w:val="21"/>
          <w:szCs w:val="24"/>
          <w:highlight w:val="none"/>
          <w:lang w:val="en-US" w:eastAsia="zh-CN" w:bidi="ar-SA"/>
        </w:rPr>
      </w:pPr>
      <w:r>
        <w:rPr>
          <w:rFonts w:hint="eastAsia" w:ascii="宋体" w:hAnsi="宋体" w:eastAsia="宋体" w:cs="宋体"/>
          <w:color w:val="auto"/>
          <w:highlight w:val="none"/>
          <w:lang w:val="en-US" w:eastAsia="zh-CN"/>
        </w:rPr>
        <w:t>（3）</w:t>
      </w:r>
      <w:r>
        <w:rPr>
          <w:rFonts w:hint="eastAsia" w:ascii="Times New Roman" w:hAnsi="Times New Roman" w:eastAsia="宋体" w:cs="Times New Roman"/>
          <w:b w:val="0"/>
          <w:color w:val="auto"/>
          <w:kern w:val="2"/>
          <w:sz w:val="21"/>
          <w:szCs w:val="24"/>
          <w:highlight w:val="none"/>
          <w:lang w:val="en-US" w:eastAsia="zh-CN" w:bidi="ar-SA"/>
        </w:rPr>
        <w:t>投标（响应）报价低于采购项目最高限价45%的，即投标（响应）报价&lt;采购项目最高限价×45%；</w:t>
      </w:r>
    </w:p>
    <w:p w14:paraId="2C0B5BD1">
      <w:pPr>
        <w:pStyle w:val="4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45" w:firstLine="480" w:firstLineChars="200"/>
        <w:jc w:val="both"/>
        <w:textAlignment w:val="auto"/>
        <w:rPr>
          <w:rFonts w:hint="eastAsia" w:ascii="Times New Roman" w:hAnsi="Times New Roman" w:eastAsia="宋体" w:cs="Times New Roman"/>
          <w:b w:val="0"/>
          <w:color w:val="auto"/>
          <w:kern w:val="2"/>
          <w:sz w:val="21"/>
          <w:szCs w:val="24"/>
          <w:highlight w:val="none"/>
          <w:lang w:val="en-US" w:eastAsia="zh-CN" w:bidi="ar-SA"/>
        </w:rPr>
      </w:pPr>
      <w:r>
        <w:rPr>
          <w:rFonts w:hint="eastAsia" w:ascii="宋体" w:hAnsi="宋体" w:eastAsia="宋体" w:cs="宋体"/>
          <w:color w:val="auto"/>
          <w:highlight w:val="none"/>
          <w:lang w:val="en-US" w:eastAsia="zh-CN"/>
        </w:rPr>
        <w:t>（4）</w:t>
      </w:r>
      <w:r>
        <w:rPr>
          <w:rFonts w:hint="eastAsia" w:ascii="Times New Roman" w:hAnsi="Times New Roman" w:eastAsia="宋体" w:cs="Times New Roman"/>
          <w:b w:val="0"/>
          <w:color w:val="auto"/>
          <w:kern w:val="2"/>
          <w:sz w:val="21"/>
          <w:szCs w:val="24"/>
          <w:highlight w:val="none"/>
          <w:lang w:val="en-US" w:eastAsia="zh-CN" w:bidi="ar-SA"/>
        </w:rPr>
        <w:t>评审委员会基于专业判断，认为供应商报价过低，有可能影响产品质量或者不能诚信履约的其他情形。</w:t>
      </w:r>
    </w:p>
    <w:p w14:paraId="56013390">
      <w:pPr>
        <w:pStyle w:val="4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45" w:right="45" w:firstLine="420" w:firstLineChars="200"/>
        <w:jc w:val="both"/>
        <w:textAlignment w:val="auto"/>
        <w:rPr>
          <w:rFonts w:hint="eastAsia" w:ascii="Times New Roman" w:hAnsi="Times New Roman" w:eastAsia="宋体" w:cs="Times New Roman"/>
          <w:b w:val="0"/>
          <w:color w:val="auto"/>
          <w:kern w:val="2"/>
          <w:sz w:val="21"/>
          <w:szCs w:val="24"/>
          <w:highlight w:val="none"/>
          <w:lang w:val="en-US" w:eastAsia="zh-CN" w:bidi="ar-SA"/>
        </w:rPr>
      </w:pPr>
      <w:r>
        <w:rPr>
          <w:rFonts w:hint="eastAsia" w:ascii="Times New Roman" w:hAnsi="Times New Roman" w:eastAsia="宋体" w:cs="Times New Roman"/>
          <w:b w:val="0"/>
          <w:color w:val="auto"/>
          <w:kern w:val="2"/>
          <w:sz w:val="21"/>
          <w:szCs w:val="24"/>
          <w:highlight w:val="none"/>
          <w:lang w:val="en-US" w:eastAsia="zh-CN" w:bidi="ar-SA"/>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2CCE6F9">
      <w:pPr>
        <w:pStyle w:val="4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45" w:right="45" w:firstLine="420" w:firstLineChars="200"/>
        <w:jc w:val="both"/>
        <w:textAlignment w:val="auto"/>
        <w:rPr>
          <w:rFonts w:hint="eastAsia" w:ascii="Times New Roman" w:hAnsi="Times New Roman" w:eastAsia="宋体" w:cs="Times New Roman"/>
          <w:b w:val="0"/>
          <w:color w:val="auto"/>
          <w:kern w:val="2"/>
          <w:sz w:val="21"/>
          <w:szCs w:val="24"/>
          <w:highlight w:val="none"/>
          <w:lang w:val="en-US" w:eastAsia="zh-CN" w:bidi="ar-SA"/>
        </w:rPr>
      </w:pPr>
      <w:r>
        <w:rPr>
          <w:rFonts w:hint="eastAsia" w:ascii="Times New Roman" w:hAnsi="Times New Roman" w:eastAsia="宋体" w:cs="Times New Roman"/>
          <w:b w:val="0"/>
          <w:color w:val="auto"/>
          <w:kern w:val="2"/>
          <w:sz w:val="21"/>
          <w:szCs w:val="24"/>
          <w:highlight w:val="none"/>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BAA4FE3">
      <w:pPr>
        <w:pStyle w:val="4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45" w:right="45" w:firstLine="420" w:firstLineChars="200"/>
        <w:jc w:val="both"/>
        <w:textAlignment w:val="auto"/>
        <w:rPr>
          <w:rFonts w:hint="eastAsia" w:ascii="Times New Roman" w:hAnsi="Times New Roman" w:eastAsia="宋体" w:cs="Times New Roman"/>
          <w:b w:val="0"/>
          <w:color w:val="auto"/>
          <w:kern w:val="2"/>
          <w:sz w:val="21"/>
          <w:szCs w:val="24"/>
          <w:highlight w:val="none"/>
          <w:lang w:val="en-US" w:eastAsia="zh-CN" w:bidi="ar-SA"/>
        </w:rPr>
      </w:pPr>
      <w:r>
        <w:rPr>
          <w:rFonts w:hint="eastAsia" w:ascii="Times New Roman" w:hAnsi="Times New Roman" w:eastAsia="宋体" w:cs="Times New Roman"/>
          <w:b w:val="0"/>
          <w:color w:val="auto"/>
          <w:kern w:val="2"/>
          <w:sz w:val="21"/>
          <w:szCs w:val="24"/>
          <w:highlight w:val="none"/>
          <w:lang w:val="en-US" w:eastAsia="zh-CN" w:bidi="ar-SA"/>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C4D164C">
      <w:pPr>
        <w:pStyle w:val="4"/>
        <w:spacing w:line="360" w:lineRule="auto"/>
        <w:ind w:firstLine="422"/>
        <w:rPr>
          <w:rFonts w:hint="eastAsia" w:ascii="Times New Roman" w:hAnsi="Times New Roman" w:eastAsia="宋体" w:cs="Times New Roman"/>
          <w:b w:val="0"/>
          <w:color w:val="auto"/>
          <w:kern w:val="2"/>
          <w:sz w:val="21"/>
          <w:szCs w:val="24"/>
          <w:highlight w:val="none"/>
          <w:lang w:val="en-US" w:eastAsia="zh-CN" w:bidi="ar-SA"/>
        </w:rPr>
      </w:pPr>
      <w:r>
        <w:rPr>
          <w:rFonts w:hint="eastAsia" w:ascii="Times New Roman" w:hAnsi="Times New Roman" w:eastAsia="宋体" w:cs="Times New Roman"/>
          <w:b w:val="0"/>
          <w:color w:val="auto"/>
          <w:kern w:val="2"/>
          <w:sz w:val="21"/>
          <w:szCs w:val="24"/>
          <w:highlight w:val="none"/>
          <w:lang w:val="en-US" w:eastAsia="zh-CN" w:bidi="ar-SA"/>
        </w:rPr>
        <w:t>异常低价投标（响应）审查的启动原因、审查意见和审查结果应当在评审报告中记录，并随供应商提供的相关书面说明及证明材料，以及评审委员会有关互联网浏览、查询历史一并归档。</w:t>
      </w:r>
    </w:p>
    <w:p w14:paraId="081D34BF">
      <w:pPr>
        <w:numPr>
          <w:ilvl w:val="0"/>
          <w:numId w:val="5"/>
        </w:numPr>
        <w:spacing w:line="360" w:lineRule="auto"/>
        <w:ind w:right="42" w:rightChars="20" w:firstLine="422" w:firstLineChars="200"/>
        <w:jc w:val="left"/>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技术资信分：（</w:t>
      </w:r>
      <w:r>
        <w:rPr>
          <w:rFonts w:hint="eastAsia" w:asciiTheme="minorEastAsia" w:hAnsiTheme="minorEastAsia" w:eastAsiaTheme="minorEastAsia"/>
          <w:b/>
          <w:bCs/>
          <w:color w:val="auto"/>
          <w:szCs w:val="21"/>
          <w:highlight w:val="none"/>
          <w:lang w:val="en-US" w:eastAsia="zh-CN"/>
        </w:rPr>
        <w:t>90</w:t>
      </w:r>
      <w:r>
        <w:rPr>
          <w:rFonts w:hint="eastAsia" w:asciiTheme="minorEastAsia" w:hAnsiTheme="minorEastAsia" w:eastAsiaTheme="minorEastAsia"/>
          <w:b/>
          <w:bCs/>
          <w:color w:val="auto"/>
          <w:szCs w:val="21"/>
          <w:highlight w:val="none"/>
        </w:rPr>
        <w:t>分）</w:t>
      </w:r>
    </w:p>
    <w:p w14:paraId="6CA4253C">
      <w:pPr>
        <w:pStyle w:val="14"/>
        <w:rPr>
          <w:color w:val="auto"/>
          <w:highlight w:val="none"/>
        </w:rPr>
      </w:pPr>
    </w:p>
    <w:tbl>
      <w:tblPr>
        <w:tblStyle w:val="53"/>
        <w:tblW w:w="519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296"/>
        <w:gridCol w:w="5991"/>
        <w:gridCol w:w="782"/>
      </w:tblGrid>
      <w:tr w14:paraId="2DCDDC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6" w:type="pct"/>
            <w:tcBorders>
              <w:tl2br w:val="nil"/>
              <w:tr2bl w:val="nil"/>
            </w:tcBorders>
            <w:vAlign w:val="center"/>
          </w:tcPr>
          <w:p w14:paraId="39781183">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序号</w:t>
            </w:r>
          </w:p>
        </w:tc>
        <w:tc>
          <w:tcPr>
            <w:tcW w:w="733" w:type="pct"/>
            <w:tcBorders>
              <w:tl2br w:val="nil"/>
              <w:tr2bl w:val="nil"/>
            </w:tcBorders>
            <w:vAlign w:val="center"/>
          </w:tcPr>
          <w:p w14:paraId="01697D03">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评分内容</w:t>
            </w:r>
          </w:p>
        </w:tc>
        <w:tc>
          <w:tcPr>
            <w:tcW w:w="3388" w:type="pct"/>
            <w:tcBorders>
              <w:tl2br w:val="nil"/>
              <w:tr2bl w:val="nil"/>
            </w:tcBorders>
            <w:vAlign w:val="center"/>
          </w:tcPr>
          <w:p w14:paraId="2CC4EC7F">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评标标准</w:t>
            </w:r>
          </w:p>
        </w:tc>
        <w:tc>
          <w:tcPr>
            <w:tcW w:w="442" w:type="pct"/>
            <w:tcBorders>
              <w:tl2br w:val="nil"/>
              <w:tr2bl w:val="nil"/>
            </w:tcBorders>
            <w:vAlign w:val="center"/>
          </w:tcPr>
          <w:p w14:paraId="2C885D41">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val="en-US" w:eastAsia="zh-CN"/>
              </w:rPr>
              <w:t>分值</w:t>
            </w:r>
          </w:p>
        </w:tc>
      </w:tr>
      <w:tr w14:paraId="61712C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436" w:type="pct"/>
            <w:tcBorders>
              <w:tl2br w:val="nil"/>
              <w:tr2bl w:val="nil"/>
            </w:tcBorders>
            <w:vAlign w:val="center"/>
          </w:tcPr>
          <w:p w14:paraId="54A7263C">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p>
        </w:tc>
        <w:tc>
          <w:tcPr>
            <w:tcW w:w="733" w:type="pct"/>
            <w:tcBorders>
              <w:tl2br w:val="nil"/>
              <w:tr2bl w:val="nil"/>
            </w:tcBorders>
            <w:vAlign w:val="center"/>
          </w:tcPr>
          <w:p w14:paraId="20A79D21">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业绩（1分）</w:t>
            </w:r>
          </w:p>
        </w:tc>
        <w:tc>
          <w:tcPr>
            <w:tcW w:w="3388" w:type="pct"/>
            <w:tcBorders>
              <w:tl2br w:val="nil"/>
              <w:tr2bl w:val="nil"/>
            </w:tcBorders>
            <w:vAlign w:val="center"/>
          </w:tcPr>
          <w:p w14:paraId="30D9B114">
            <w:pPr>
              <w:keepNext w:val="0"/>
              <w:keepLines w:val="0"/>
              <w:widowControl/>
              <w:suppressLineNumbers w:val="0"/>
              <w:snapToGrid w:val="0"/>
              <w:spacing w:before="0" w:beforeAutospacing="0" w:after="0" w:afterAutospacing="0" w:line="340" w:lineRule="exact"/>
              <w:ind w:left="0" w:right="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供应商自投标截止时间前三年以来(自投标截止日起往前</w:t>
            </w:r>
            <w:r>
              <w:rPr>
                <w:rFonts w:hint="eastAsia" w:asciiTheme="minorEastAsia" w:hAnsiTheme="minorEastAsia" w:eastAsiaTheme="minorEastAsia" w:cstheme="minorEastAsia"/>
                <w:color w:val="auto"/>
                <w:sz w:val="21"/>
                <w:szCs w:val="21"/>
                <w:highlight w:val="none"/>
                <w:lang w:val="en-US" w:eastAsia="zh-CN"/>
              </w:rPr>
              <w:t>追</w:t>
            </w:r>
            <w:r>
              <w:rPr>
                <w:rFonts w:hint="eastAsia" w:asciiTheme="minorEastAsia" w:hAnsiTheme="minorEastAsia" w:eastAsiaTheme="minorEastAsia" w:cstheme="minorEastAsia"/>
                <w:color w:val="auto"/>
                <w:sz w:val="21"/>
                <w:szCs w:val="21"/>
                <w:highlight w:val="none"/>
              </w:rPr>
              <w:t>溯3年，以合同签订时间为准）的同类项目业绩的成功案例，每提供一个得</w:t>
            </w:r>
            <w:r>
              <w:rPr>
                <w:rFonts w:hint="eastAsia" w:asciiTheme="minorEastAsia" w:hAnsiTheme="minorEastAsia" w:eastAsiaTheme="minorEastAsia" w:cstheme="minorEastAsia"/>
                <w:color w:val="auto"/>
                <w:sz w:val="21"/>
                <w:szCs w:val="21"/>
                <w:highlight w:val="none"/>
                <w:lang w:val="en-US" w:eastAsia="zh-CN"/>
              </w:rPr>
              <w:t>0.1</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val="en-US" w:eastAsia="zh-CN"/>
              </w:rPr>
              <w:t>最高得1分</w:t>
            </w:r>
            <w:r>
              <w:rPr>
                <w:rFonts w:hint="eastAsia" w:asciiTheme="minorEastAsia" w:hAnsiTheme="minorEastAsia" w:eastAsiaTheme="minorEastAsia" w:cstheme="minorEastAsia"/>
                <w:color w:val="auto"/>
                <w:sz w:val="21"/>
                <w:szCs w:val="21"/>
                <w:highlight w:val="none"/>
              </w:rPr>
              <w:t>。</w:t>
            </w:r>
          </w:p>
          <w:p w14:paraId="16C20F85">
            <w:pPr>
              <w:keepNext w:val="0"/>
              <w:keepLines w:val="0"/>
              <w:widowControl/>
              <w:suppressLineNumbers w:val="0"/>
              <w:snapToGrid w:val="0"/>
              <w:spacing w:before="0" w:beforeAutospacing="0" w:after="0" w:afterAutospacing="0" w:line="340" w:lineRule="exact"/>
              <w:ind w:left="0" w:right="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注：投标文件中提供合同完整复印件并加盖公章</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rPr>
              <w:t>未提供相应材料或材料不全的</w:t>
            </w:r>
            <w:r>
              <w:rPr>
                <w:rFonts w:hint="eastAsia" w:asciiTheme="minorEastAsia" w:hAnsiTheme="minorEastAsia" w:eastAsiaTheme="minorEastAsia" w:cstheme="minorEastAsia"/>
                <w:b/>
                <w:bCs/>
                <w:color w:val="auto"/>
                <w:sz w:val="21"/>
                <w:szCs w:val="21"/>
                <w:highlight w:val="none"/>
                <w:lang w:val="en-US" w:eastAsia="zh-CN"/>
              </w:rPr>
              <w:t>不得分</w:t>
            </w:r>
            <w:r>
              <w:rPr>
                <w:rFonts w:hint="eastAsia" w:asciiTheme="minorEastAsia" w:hAnsiTheme="minorEastAsia" w:eastAsiaTheme="minorEastAsia" w:cstheme="minorEastAsia"/>
                <w:b/>
                <w:bCs/>
                <w:color w:val="auto"/>
                <w:sz w:val="21"/>
                <w:szCs w:val="21"/>
                <w:highlight w:val="none"/>
              </w:rPr>
              <w:t>。</w:t>
            </w:r>
          </w:p>
        </w:tc>
        <w:tc>
          <w:tcPr>
            <w:tcW w:w="442" w:type="pct"/>
            <w:tcBorders>
              <w:tl2br w:val="nil"/>
              <w:tr2bl w:val="nil"/>
            </w:tcBorders>
            <w:vAlign w:val="center"/>
          </w:tcPr>
          <w:p w14:paraId="4FBA782E">
            <w:pPr>
              <w:keepNext w:val="0"/>
              <w:keepLines w:val="0"/>
              <w:widowControl/>
              <w:suppressLineNumbers w:val="0"/>
              <w:snapToGrid w:val="0"/>
              <w:spacing w:before="0" w:beforeAutospacing="0" w:after="0" w:afterAutospacing="0" w:line="340" w:lineRule="exact"/>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p>
        </w:tc>
      </w:tr>
      <w:tr w14:paraId="33611E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436" w:type="pct"/>
            <w:tcBorders>
              <w:tl2br w:val="nil"/>
              <w:tr2bl w:val="nil"/>
            </w:tcBorders>
            <w:vAlign w:val="center"/>
          </w:tcPr>
          <w:p w14:paraId="534731B0">
            <w:pPr>
              <w:keepNext w:val="0"/>
              <w:keepLines w:val="0"/>
              <w:suppressLineNumbers w:val="0"/>
              <w:snapToGrid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733" w:type="pct"/>
            <w:tcBorders>
              <w:tl2br w:val="nil"/>
              <w:tr2bl w:val="nil"/>
            </w:tcBorders>
            <w:vAlign w:val="center"/>
          </w:tcPr>
          <w:p w14:paraId="374A918F">
            <w:pPr>
              <w:keepNext w:val="0"/>
              <w:keepLines w:val="0"/>
              <w:suppressLineNumbers w:val="0"/>
              <w:snapToGrid w:val="0"/>
              <w:spacing w:before="0" w:beforeAutospacing="0" w:after="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企业证书</w:t>
            </w:r>
            <w:r>
              <w:rPr>
                <w:rFonts w:hint="eastAsia" w:cstheme="minorEastAsia"/>
                <w:color w:val="auto"/>
                <w:kern w:val="2"/>
                <w:sz w:val="21"/>
                <w:szCs w:val="21"/>
                <w:highlight w:val="none"/>
                <w:lang w:val="en-US" w:eastAsia="zh-CN" w:bidi="ar-SA"/>
              </w:rPr>
              <w:t>（3分）</w:t>
            </w:r>
          </w:p>
        </w:tc>
        <w:tc>
          <w:tcPr>
            <w:tcW w:w="3388" w:type="pct"/>
            <w:tcBorders>
              <w:tl2br w:val="nil"/>
              <w:tr2bl w:val="nil"/>
            </w:tcBorders>
            <w:vAlign w:val="center"/>
          </w:tcPr>
          <w:p w14:paraId="181E062B">
            <w:pPr>
              <w:keepNext w:val="0"/>
              <w:keepLines w:val="0"/>
              <w:widowControl/>
              <w:suppressLineNumbers w:val="0"/>
              <w:snapToGrid w:val="0"/>
              <w:spacing w:before="0" w:beforeAutospacing="0" w:after="0" w:afterAutospacing="0" w:line="340" w:lineRule="exact"/>
              <w:ind w:left="0" w:right="0"/>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具有有效期内的质量管理体系认证证书、环境管理体系证书、职业健康安全管理体系认证证书的</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每提供一个</w:t>
            </w:r>
            <w:r>
              <w:rPr>
                <w:rFonts w:hint="eastAsia" w:asciiTheme="minorEastAsia" w:hAnsiTheme="minorEastAsia" w:eastAsiaTheme="minorEastAsia" w:cstheme="minorEastAsia"/>
                <w:color w:val="auto"/>
                <w:sz w:val="24"/>
                <w:szCs w:val="24"/>
                <w:highlight w:val="none"/>
              </w:rPr>
              <w:t>得</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分，本项最高得</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w:t>
            </w:r>
          </w:p>
          <w:p w14:paraId="3AE3C307">
            <w:pPr>
              <w:keepNext w:val="0"/>
              <w:keepLines w:val="0"/>
              <w:widowControl/>
              <w:suppressLineNumbers w:val="0"/>
              <w:snapToGrid w:val="0"/>
              <w:spacing w:before="0" w:beforeAutospacing="0" w:after="0" w:afterAutospacing="0" w:line="340" w:lineRule="exact"/>
              <w:ind w:left="0" w:leftChars="0" w:right="0" w:rightChars="0"/>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注：提供相应证书复印件及全国认证认可信息公共服务平台（http://cx.cnca.cn)）网站查询截图（查询状态为有效）并加盖公章</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rPr>
              <w:t>未提供相应材料或材料不全的</w:t>
            </w:r>
            <w:r>
              <w:rPr>
                <w:rFonts w:hint="eastAsia" w:asciiTheme="minorEastAsia" w:hAnsiTheme="minorEastAsia" w:eastAsiaTheme="minorEastAsia" w:cstheme="minorEastAsia"/>
                <w:b/>
                <w:bCs/>
                <w:color w:val="auto"/>
                <w:sz w:val="21"/>
                <w:szCs w:val="21"/>
                <w:highlight w:val="none"/>
                <w:lang w:val="en-US" w:eastAsia="zh-CN"/>
              </w:rPr>
              <w:t>不得分</w:t>
            </w:r>
            <w:r>
              <w:rPr>
                <w:rFonts w:hint="eastAsia" w:asciiTheme="minorEastAsia" w:hAnsiTheme="minorEastAsia" w:eastAsiaTheme="minorEastAsia" w:cstheme="minorEastAsia"/>
                <w:b/>
                <w:bCs/>
                <w:color w:val="auto"/>
                <w:sz w:val="21"/>
                <w:szCs w:val="21"/>
                <w:highlight w:val="none"/>
              </w:rPr>
              <w:t>。</w:t>
            </w:r>
          </w:p>
        </w:tc>
        <w:tc>
          <w:tcPr>
            <w:tcW w:w="442" w:type="pct"/>
            <w:tcBorders>
              <w:tl2br w:val="nil"/>
              <w:tr2bl w:val="nil"/>
            </w:tcBorders>
            <w:vAlign w:val="center"/>
          </w:tcPr>
          <w:p w14:paraId="76835FD0">
            <w:pPr>
              <w:keepNext w:val="0"/>
              <w:keepLines w:val="0"/>
              <w:widowControl/>
              <w:suppressLineNumbers w:val="0"/>
              <w:snapToGrid w:val="0"/>
              <w:spacing w:before="0" w:beforeAutospacing="0" w:after="0" w:afterAutospacing="0" w:line="340" w:lineRule="exact"/>
              <w:ind w:left="0" w:right="0"/>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w:t>
            </w:r>
          </w:p>
        </w:tc>
      </w:tr>
      <w:tr w14:paraId="012AD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436" w:type="pct"/>
            <w:tcBorders>
              <w:tl2br w:val="nil"/>
              <w:tr2bl w:val="nil"/>
            </w:tcBorders>
            <w:shd w:val="clear" w:color="auto" w:fill="auto"/>
            <w:vAlign w:val="center"/>
          </w:tcPr>
          <w:p w14:paraId="3512D4BD">
            <w:pPr>
              <w:keepNext w:val="0"/>
              <w:keepLines w:val="0"/>
              <w:suppressLineNumbers w:val="0"/>
              <w:snapToGrid w:val="0"/>
              <w:spacing w:before="0" w:beforeAutospacing="0" w:after="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3</w:t>
            </w:r>
          </w:p>
        </w:tc>
        <w:tc>
          <w:tcPr>
            <w:tcW w:w="733" w:type="pct"/>
            <w:tcBorders>
              <w:tl2br w:val="nil"/>
              <w:tr2bl w:val="nil"/>
            </w:tcBorders>
            <w:vAlign w:val="center"/>
          </w:tcPr>
          <w:p w14:paraId="085BD852">
            <w:pPr>
              <w:pStyle w:val="101"/>
              <w:spacing w:line="360" w:lineRule="auto"/>
              <w:ind w:left="0" w:lef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项目团队</w:t>
            </w:r>
            <w:r>
              <w:rPr>
                <w:rFonts w:hint="eastAsia" w:cstheme="minorEastAsia"/>
                <w:color w:val="auto"/>
                <w:kern w:val="2"/>
                <w:sz w:val="21"/>
                <w:szCs w:val="21"/>
                <w:highlight w:val="none"/>
                <w:lang w:val="en-US" w:eastAsia="zh-CN" w:bidi="ar-SA"/>
              </w:rPr>
              <w:t>（5分）</w:t>
            </w:r>
          </w:p>
        </w:tc>
        <w:tc>
          <w:tcPr>
            <w:tcW w:w="3388" w:type="pct"/>
            <w:tcBorders>
              <w:tl2br w:val="nil"/>
              <w:tr2bl w:val="nil"/>
            </w:tcBorders>
            <w:vAlign w:val="center"/>
          </w:tcPr>
          <w:p w14:paraId="5C727B89">
            <w:pPr>
              <w:pStyle w:val="101"/>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拟派项目团队成员具有农业类相关专业职称，高级职称1个得</w:t>
            </w:r>
            <w:r>
              <w:rPr>
                <w:rFonts w:hint="eastAsia" w:cstheme="minorEastAsia"/>
                <w:color w:val="auto"/>
                <w:kern w:val="2"/>
                <w:sz w:val="21"/>
                <w:szCs w:val="21"/>
                <w:highlight w:val="none"/>
                <w:lang w:val="en-US" w:eastAsia="zh-CN" w:bidi="ar-SA"/>
              </w:rPr>
              <w:t>1</w:t>
            </w:r>
            <w:r>
              <w:rPr>
                <w:rFonts w:hint="eastAsia" w:asciiTheme="minorEastAsia" w:hAnsiTheme="minorEastAsia" w:eastAsiaTheme="minorEastAsia" w:cstheme="minorEastAsia"/>
                <w:color w:val="auto"/>
                <w:kern w:val="2"/>
                <w:sz w:val="21"/>
                <w:szCs w:val="21"/>
                <w:highlight w:val="none"/>
                <w:lang w:val="en-US" w:eastAsia="zh-CN" w:bidi="ar-SA"/>
              </w:rPr>
              <w:t>分，中级职称1个得</w:t>
            </w:r>
            <w:r>
              <w:rPr>
                <w:rFonts w:hint="eastAsia" w:cstheme="minorEastAsia"/>
                <w:color w:val="auto"/>
                <w:kern w:val="2"/>
                <w:sz w:val="21"/>
                <w:szCs w:val="21"/>
                <w:highlight w:val="none"/>
                <w:lang w:val="en-US" w:eastAsia="zh-CN" w:bidi="ar-SA"/>
              </w:rPr>
              <w:t>0.5</w:t>
            </w:r>
            <w:r>
              <w:rPr>
                <w:rFonts w:hint="eastAsia" w:asciiTheme="minorEastAsia" w:hAnsiTheme="minorEastAsia" w:eastAsiaTheme="minorEastAsia" w:cstheme="minorEastAsia"/>
                <w:color w:val="auto"/>
                <w:kern w:val="2"/>
                <w:sz w:val="21"/>
                <w:szCs w:val="21"/>
                <w:highlight w:val="none"/>
                <w:lang w:val="en-US" w:eastAsia="zh-CN" w:bidi="ar-SA"/>
              </w:rPr>
              <w:t>分，本项最高得</w:t>
            </w:r>
            <w:r>
              <w:rPr>
                <w:rFonts w:hint="eastAsia" w:cstheme="minorEastAsia"/>
                <w:color w:val="auto"/>
                <w:kern w:val="2"/>
                <w:sz w:val="21"/>
                <w:szCs w:val="21"/>
                <w:highlight w:val="none"/>
                <w:lang w:val="en-US" w:eastAsia="zh-CN" w:bidi="ar-SA"/>
              </w:rPr>
              <w:t>5</w:t>
            </w:r>
            <w:r>
              <w:rPr>
                <w:rFonts w:hint="eastAsia" w:asciiTheme="minorEastAsia" w:hAnsiTheme="minorEastAsia" w:eastAsiaTheme="minorEastAsia" w:cstheme="minorEastAsia"/>
                <w:color w:val="auto"/>
                <w:kern w:val="2"/>
                <w:sz w:val="21"/>
                <w:szCs w:val="21"/>
                <w:highlight w:val="none"/>
                <w:lang w:val="en-US" w:eastAsia="zh-CN" w:bidi="ar-SA"/>
              </w:rPr>
              <w:t>分。</w:t>
            </w:r>
          </w:p>
          <w:p w14:paraId="6D17E192">
            <w:pPr>
              <w:pStyle w:val="101"/>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lang w:val="en-US" w:eastAsia="zh-CN"/>
              </w:rPr>
              <w:t>注：</w:t>
            </w:r>
            <w:r>
              <w:rPr>
                <w:rFonts w:hint="eastAsia" w:asciiTheme="minorEastAsia" w:hAnsiTheme="minorEastAsia" w:eastAsiaTheme="minorEastAsia" w:cstheme="minorEastAsia"/>
                <w:b/>
                <w:bCs/>
                <w:color w:val="auto"/>
                <w:kern w:val="2"/>
                <w:sz w:val="21"/>
                <w:szCs w:val="21"/>
                <w:highlight w:val="none"/>
                <w:lang w:val="en-US" w:eastAsia="zh-CN" w:bidi="ar-SA"/>
              </w:rPr>
              <w:t>必须为供应商本单位在职员工，提供人员相关证书以及本项目投标截止时间前三个月内任意一个月社保缴纳证明材料并加盖公章，</w:t>
            </w:r>
            <w:r>
              <w:rPr>
                <w:rFonts w:hint="eastAsia" w:asciiTheme="minorEastAsia" w:hAnsiTheme="minorEastAsia" w:eastAsiaTheme="minorEastAsia" w:cstheme="minorEastAsia"/>
                <w:b/>
                <w:bCs/>
                <w:color w:val="auto"/>
                <w:sz w:val="21"/>
                <w:szCs w:val="21"/>
                <w:highlight w:val="none"/>
                <w:lang w:val="en-US" w:eastAsia="zh-CN"/>
              </w:rPr>
              <w:t>未按要求提供不得分</w:t>
            </w:r>
            <w:r>
              <w:rPr>
                <w:rFonts w:hint="eastAsia" w:asciiTheme="minorEastAsia" w:hAnsiTheme="minorEastAsia" w:eastAsiaTheme="minorEastAsia" w:cstheme="minorEastAsia"/>
                <w:b/>
                <w:bCs/>
                <w:color w:val="auto"/>
                <w:sz w:val="21"/>
                <w:szCs w:val="21"/>
                <w:highlight w:val="none"/>
              </w:rPr>
              <w:t>。</w:t>
            </w:r>
          </w:p>
        </w:tc>
        <w:tc>
          <w:tcPr>
            <w:tcW w:w="442" w:type="pct"/>
            <w:tcBorders>
              <w:tl2br w:val="nil"/>
              <w:tr2bl w:val="nil"/>
            </w:tcBorders>
            <w:vAlign w:val="center"/>
          </w:tcPr>
          <w:p w14:paraId="12F84D55">
            <w:pPr>
              <w:keepNext w:val="0"/>
              <w:keepLines w:val="0"/>
              <w:widowControl/>
              <w:suppressLineNumbers w:val="0"/>
              <w:snapToGrid w:val="0"/>
              <w:spacing w:before="0" w:beforeAutospacing="0" w:after="0" w:afterAutospacing="0" w:line="340" w:lineRule="exact"/>
              <w:ind w:left="0" w:right="0"/>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w:t>
            </w:r>
          </w:p>
        </w:tc>
      </w:tr>
      <w:tr w14:paraId="346738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436" w:type="pct"/>
            <w:tcBorders>
              <w:tl2br w:val="nil"/>
              <w:tr2bl w:val="nil"/>
            </w:tcBorders>
            <w:shd w:val="clear" w:color="auto" w:fill="auto"/>
            <w:vAlign w:val="center"/>
          </w:tcPr>
          <w:p w14:paraId="7974AB65">
            <w:pPr>
              <w:keepNext w:val="0"/>
              <w:keepLines w:val="0"/>
              <w:suppressLineNumbers w:val="0"/>
              <w:snapToGrid w:val="0"/>
              <w:spacing w:before="0" w:beforeAutospacing="0" w:after="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4</w:t>
            </w:r>
          </w:p>
        </w:tc>
        <w:tc>
          <w:tcPr>
            <w:tcW w:w="733" w:type="pct"/>
            <w:vMerge w:val="restart"/>
            <w:tcBorders>
              <w:tl2br w:val="nil"/>
              <w:tr2bl w:val="nil"/>
            </w:tcBorders>
            <w:vAlign w:val="center"/>
          </w:tcPr>
          <w:p w14:paraId="1D6F7E99">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服务方案（30分）</w:t>
            </w:r>
          </w:p>
        </w:tc>
        <w:tc>
          <w:tcPr>
            <w:tcW w:w="3388" w:type="pct"/>
            <w:tcBorders>
              <w:tl2br w:val="nil"/>
              <w:tr2bl w:val="nil"/>
            </w:tcBorders>
            <w:vAlign w:val="center"/>
          </w:tcPr>
          <w:p w14:paraId="3707A615">
            <w:pPr>
              <w:pStyle w:val="101"/>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投标人提供的</w:t>
            </w:r>
            <w:r>
              <w:rPr>
                <w:rFonts w:hint="eastAsia" w:cstheme="minorEastAsia"/>
                <w:color w:val="auto"/>
                <w:kern w:val="2"/>
                <w:sz w:val="21"/>
                <w:szCs w:val="21"/>
                <w:highlight w:val="none"/>
                <w:lang w:val="en-US" w:eastAsia="zh-CN" w:bidi="ar-SA"/>
              </w:rPr>
              <w:t>关于本项目</w:t>
            </w:r>
            <w:r>
              <w:rPr>
                <w:rFonts w:hint="eastAsia" w:asciiTheme="minorEastAsia" w:hAnsiTheme="minorEastAsia" w:eastAsiaTheme="minorEastAsia" w:cstheme="minorEastAsia"/>
                <w:color w:val="auto"/>
                <w:kern w:val="2"/>
                <w:sz w:val="21"/>
                <w:szCs w:val="21"/>
                <w:highlight w:val="none"/>
                <w:lang w:val="en-US" w:eastAsia="zh-CN" w:bidi="ar-SA"/>
              </w:rPr>
              <w:t>水稻统防统治整建制建设项目</w:t>
            </w:r>
            <w:r>
              <w:rPr>
                <w:rFonts w:hint="eastAsia" w:cstheme="minorEastAsia"/>
                <w:color w:val="auto"/>
                <w:kern w:val="2"/>
                <w:sz w:val="21"/>
                <w:szCs w:val="21"/>
                <w:highlight w:val="none"/>
                <w:lang w:val="en-US" w:eastAsia="zh-CN" w:bidi="ar-SA"/>
              </w:rPr>
              <w:t>服务</w:t>
            </w:r>
            <w:r>
              <w:rPr>
                <w:rFonts w:hint="eastAsia" w:asciiTheme="minorEastAsia" w:hAnsiTheme="minorEastAsia" w:eastAsiaTheme="minorEastAsia" w:cstheme="minorEastAsia"/>
                <w:color w:val="auto"/>
                <w:kern w:val="2"/>
                <w:sz w:val="21"/>
                <w:szCs w:val="21"/>
                <w:highlight w:val="none"/>
                <w:lang w:val="en-US" w:eastAsia="zh-CN" w:bidi="ar-SA"/>
              </w:rPr>
              <w:t>方案详细完整、逻辑清晰、科学合理</w:t>
            </w:r>
            <w:r>
              <w:rPr>
                <w:rFonts w:hint="eastAsia" w:ascii="宋体" w:hAnsi="宋体"/>
                <w:color w:val="auto"/>
                <w:sz w:val="21"/>
                <w:szCs w:val="21"/>
                <w:highlight w:val="none"/>
              </w:rPr>
              <w:t>（评分范围：</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4，3，2，1，0）</w:t>
            </w:r>
            <w:r>
              <w:rPr>
                <w:rFonts w:hint="eastAsia" w:asciiTheme="minorEastAsia" w:hAnsiTheme="minorEastAsia" w:eastAsiaTheme="minorEastAsia" w:cstheme="minorEastAsia"/>
                <w:color w:val="auto"/>
                <w:kern w:val="2"/>
                <w:sz w:val="21"/>
                <w:szCs w:val="21"/>
                <w:highlight w:val="none"/>
                <w:lang w:val="en-US" w:eastAsia="zh-CN" w:bidi="ar-SA"/>
              </w:rPr>
              <w:t>。</w:t>
            </w:r>
          </w:p>
        </w:tc>
        <w:tc>
          <w:tcPr>
            <w:tcW w:w="442" w:type="pct"/>
            <w:tcBorders>
              <w:tl2br w:val="nil"/>
              <w:tr2bl w:val="nil"/>
            </w:tcBorders>
            <w:vAlign w:val="center"/>
          </w:tcPr>
          <w:p w14:paraId="389F9B12">
            <w:pPr>
              <w:keepNext w:val="0"/>
              <w:keepLines w:val="0"/>
              <w:widowControl/>
              <w:suppressLineNumbers w:val="0"/>
              <w:snapToGrid w:val="0"/>
              <w:spacing w:before="0" w:beforeAutospacing="0" w:after="0" w:afterAutospacing="0" w:line="340" w:lineRule="exact"/>
              <w:ind w:left="0" w:right="0"/>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w:t>
            </w:r>
          </w:p>
        </w:tc>
      </w:tr>
      <w:tr w14:paraId="216735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436" w:type="pct"/>
            <w:tcBorders>
              <w:tl2br w:val="nil"/>
              <w:tr2bl w:val="nil"/>
            </w:tcBorders>
            <w:shd w:val="clear" w:color="auto" w:fill="auto"/>
            <w:vAlign w:val="center"/>
          </w:tcPr>
          <w:p w14:paraId="63B1BDD2">
            <w:pPr>
              <w:keepNext w:val="0"/>
              <w:keepLines w:val="0"/>
              <w:suppressLineNumbers w:val="0"/>
              <w:snapToGrid w:val="0"/>
              <w:spacing w:before="0" w:beforeAutospacing="0" w:after="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5</w:t>
            </w:r>
          </w:p>
        </w:tc>
        <w:tc>
          <w:tcPr>
            <w:tcW w:w="733" w:type="pct"/>
            <w:vMerge w:val="continue"/>
            <w:tcBorders>
              <w:tl2br w:val="nil"/>
              <w:tr2bl w:val="nil"/>
            </w:tcBorders>
            <w:vAlign w:val="center"/>
          </w:tcPr>
          <w:p w14:paraId="3D6B9BC1">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3388" w:type="pct"/>
            <w:tcBorders>
              <w:tl2br w:val="nil"/>
              <w:tr2bl w:val="nil"/>
            </w:tcBorders>
            <w:vAlign w:val="center"/>
          </w:tcPr>
          <w:p w14:paraId="07669C08">
            <w:pPr>
              <w:pStyle w:val="101"/>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投标人提供的农药使用量</w:t>
            </w:r>
            <w:r>
              <w:rPr>
                <w:rFonts w:hint="eastAsia" w:cstheme="minorEastAsia"/>
                <w:color w:val="auto"/>
                <w:kern w:val="2"/>
                <w:sz w:val="21"/>
                <w:szCs w:val="21"/>
                <w:highlight w:val="none"/>
                <w:lang w:val="en-US" w:eastAsia="zh-CN" w:bidi="ar-SA"/>
              </w:rPr>
              <w:t>样本户</w:t>
            </w:r>
            <w:r>
              <w:rPr>
                <w:rFonts w:hint="eastAsia" w:asciiTheme="minorEastAsia" w:hAnsiTheme="minorEastAsia" w:eastAsiaTheme="minorEastAsia" w:cstheme="minorEastAsia"/>
                <w:color w:val="auto"/>
                <w:kern w:val="2"/>
                <w:sz w:val="21"/>
                <w:szCs w:val="21"/>
                <w:highlight w:val="none"/>
                <w:lang w:val="en-US" w:eastAsia="zh-CN" w:bidi="ar-SA"/>
              </w:rPr>
              <w:t>调查</w:t>
            </w:r>
            <w:r>
              <w:rPr>
                <w:rFonts w:hint="eastAsia" w:cstheme="minorEastAsia"/>
                <w:color w:val="auto"/>
                <w:kern w:val="2"/>
                <w:sz w:val="21"/>
                <w:szCs w:val="21"/>
                <w:highlight w:val="none"/>
                <w:lang w:val="en-US" w:eastAsia="zh-CN" w:bidi="ar-SA"/>
              </w:rPr>
              <w:t>服务</w:t>
            </w:r>
            <w:r>
              <w:rPr>
                <w:rFonts w:hint="eastAsia" w:asciiTheme="minorEastAsia" w:hAnsiTheme="minorEastAsia" w:eastAsiaTheme="minorEastAsia" w:cstheme="minorEastAsia"/>
                <w:color w:val="auto"/>
                <w:kern w:val="2"/>
                <w:sz w:val="21"/>
                <w:szCs w:val="21"/>
                <w:highlight w:val="none"/>
                <w:lang w:val="en-US" w:eastAsia="zh-CN" w:bidi="ar-SA"/>
              </w:rPr>
              <w:t>方案详细完整、逻辑清晰、科学合理</w:t>
            </w:r>
            <w:r>
              <w:rPr>
                <w:rFonts w:hint="eastAsia" w:ascii="宋体" w:hAnsi="宋体"/>
                <w:color w:val="auto"/>
                <w:sz w:val="21"/>
                <w:szCs w:val="21"/>
                <w:highlight w:val="none"/>
              </w:rPr>
              <w:t>（评分范围：</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4，3，2，1，0）</w:t>
            </w:r>
            <w:r>
              <w:rPr>
                <w:rFonts w:hint="eastAsia" w:asciiTheme="minorEastAsia" w:hAnsiTheme="minorEastAsia" w:eastAsiaTheme="minorEastAsia" w:cstheme="minorEastAsia"/>
                <w:color w:val="auto"/>
                <w:kern w:val="2"/>
                <w:sz w:val="21"/>
                <w:szCs w:val="21"/>
                <w:highlight w:val="none"/>
                <w:lang w:val="en-US" w:eastAsia="zh-CN" w:bidi="ar-SA"/>
              </w:rPr>
              <w:t>。</w:t>
            </w:r>
          </w:p>
        </w:tc>
        <w:tc>
          <w:tcPr>
            <w:tcW w:w="442" w:type="pct"/>
            <w:tcBorders>
              <w:tl2br w:val="nil"/>
              <w:tr2bl w:val="nil"/>
            </w:tcBorders>
            <w:vAlign w:val="center"/>
          </w:tcPr>
          <w:p w14:paraId="3B6DD0D3">
            <w:pPr>
              <w:keepNext w:val="0"/>
              <w:keepLines w:val="0"/>
              <w:widowControl/>
              <w:suppressLineNumbers w:val="0"/>
              <w:snapToGrid w:val="0"/>
              <w:spacing w:before="0" w:beforeAutospacing="0" w:after="0" w:afterAutospacing="0" w:line="340" w:lineRule="exact"/>
              <w:ind w:left="0" w:right="0"/>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w:t>
            </w:r>
          </w:p>
        </w:tc>
      </w:tr>
      <w:tr w14:paraId="40EC8F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436" w:type="pct"/>
            <w:tcBorders>
              <w:tl2br w:val="nil"/>
              <w:tr2bl w:val="nil"/>
            </w:tcBorders>
            <w:shd w:val="clear" w:color="auto" w:fill="auto"/>
            <w:vAlign w:val="center"/>
          </w:tcPr>
          <w:p w14:paraId="4975CC51">
            <w:pPr>
              <w:keepNext w:val="0"/>
              <w:keepLines w:val="0"/>
              <w:suppressLineNumbers w:val="0"/>
              <w:snapToGrid w:val="0"/>
              <w:spacing w:before="0" w:beforeAutospacing="0" w:after="0" w:afterAutospacing="0"/>
              <w:ind w:left="0" w:leftChars="0" w:right="0" w:rightChars="0"/>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w:t>
            </w:r>
          </w:p>
        </w:tc>
        <w:tc>
          <w:tcPr>
            <w:tcW w:w="733" w:type="pct"/>
            <w:vMerge w:val="continue"/>
            <w:tcBorders>
              <w:tl2br w:val="nil"/>
              <w:tr2bl w:val="nil"/>
            </w:tcBorders>
            <w:vAlign w:val="center"/>
          </w:tcPr>
          <w:p w14:paraId="08B9B1FE">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3388" w:type="pct"/>
            <w:tcBorders>
              <w:tl2br w:val="nil"/>
              <w:tr2bl w:val="nil"/>
            </w:tcBorders>
            <w:shd w:val="clear" w:color="auto" w:fill="auto"/>
            <w:vAlign w:val="center"/>
          </w:tcPr>
          <w:p w14:paraId="59C0050F">
            <w:pPr>
              <w:pStyle w:val="101"/>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投标人提供的农药使用量</w:t>
            </w:r>
            <w:r>
              <w:rPr>
                <w:rFonts w:hint="eastAsia" w:cstheme="minorEastAsia"/>
                <w:color w:val="auto"/>
                <w:kern w:val="2"/>
                <w:sz w:val="21"/>
                <w:szCs w:val="21"/>
                <w:highlight w:val="none"/>
                <w:lang w:val="en-US" w:eastAsia="zh-CN" w:bidi="ar-SA"/>
              </w:rPr>
              <w:t>样本户数据分析服务</w:t>
            </w:r>
            <w:r>
              <w:rPr>
                <w:rFonts w:hint="eastAsia" w:asciiTheme="minorEastAsia" w:hAnsiTheme="minorEastAsia" w:eastAsiaTheme="minorEastAsia" w:cstheme="minorEastAsia"/>
                <w:color w:val="auto"/>
                <w:kern w:val="2"/>
                <w:sz w:val="21"/>
                <w:szCs w:val="21"/>
                <w:highlight w:val="none"/>
                <w:lang w:val="en-US" w:eastAsia="zh-CN" w:bidi="ar-SA"/>
              </w:rPr>
              <w:t>方案详细完整、逻辑清晰、科学合理</w:t>
            </w:r>
            <w:r>
              <w:rPr>
                <w:rFonts w:hint="eastAsia" w:ascii="宋体" w:hAnsi="宋体"/>
                <w:color w:val="auto"/>
                <w:sz w:val="21"/>
                <w:szCs w:val="21"/>
                <w:highlight w:val="none"/>
              </w:rPr>
              <w:t>（评分范围：</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4，3，2，1，0）</w:t>
            </w:r>
            <w:r>
              <w:rPr>
                <w:rFonts w:hint="eastAsia" w:asciiTheme="minorEastAsia" w:hAnsiTheme="minorEastAsia" w:eastAsiaTheme="minorEastAsia" w:cstheme="minorEastAsia"/>
                <w:color w:val="auto"/>
                <w:kern w:val="2"/>
                <w:sz w:val="21"/>
                <w:szCs w:val="21"/>
                <w:highlight w:val="none"/>
                <w:lang w:val="en-US" w:eastAsia="zh-CN" w:bidi="ar-SA"/>
              </w:rPr>
              <w:t>。</w:t>
            </w:r>
          </w:p>
        </w:tc>
        <w:tc>
          <w:tcPr>
            <w:tcW w:w="442" w:type="pct"/>
            <w:tcBorders>
              <w:tl2br w:val="nil"/>
              <w:tr2bl w:val="nil"/>
            </w:tcBorders>
            <w:shd w:val="clear" w:color="auto" w:fill="auto"/>
            <w:vAlign w:val="center"/>
          </w:tcPr>
          <w:p w14:paraId="5B1D1AA8">
            <w:pPr>
              <w:keepNext w:val="0"/>
              <w:keepLines w:val="0"/>
              <w:widowControl/>
              <w:suppressLineNumbers w:val="0"/>
              <w:snapToGrid w:val="0"/>
              <w:spacing w:before="0" w:beforeAutospacing="0" w:after="0" w:afterAutospacing="0" w:line="340" w:lineRule="exact"/>
              <w:ind w:left="0" w:leftChars="0" w:right="0" w:right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5</w:t>
            </w:r>
          </w:p>
        </w:tc>
      </w:tr>
      <w:tr w14:paraId="6E15E8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436" w:type="pct"/>
            <w:tcBorders>
              <w:tl2br w:val="nil"/>
              <w:tr2bl w:val="nil"/>
            </w:tcBorders>
            <w:shd w:val="clear" w:color="auto" w:fill="auto"/>
            <w:vAlign w:val="center"/>
          </w:tcPr>
          <w:p w14:paraId="4F50A48A">
            <w:pPr>
              <w:keepNext w:val="0"/>
              <w:keepLines w:val="0"/>
              <w:suppressLineNumbers w:val="0"/>
              <w:snapToGrid w:val="0"/>
              <w:spacing w:before="0" w:beforeAutospacing="0" w:after="0" w:afterAutospacing="0"/>
              <w:ind w:left="0" w:leftChars="0" w:right="0" w:rightChars="0"/>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w:t>
            </w:r>
          </w:p>
        </w:tc>
        <w:tc>
          <w:tcPr>
            <w:tcW w:w="733" w:type="pct"/>
            <w:vMerge w:val="continue"/>
            <w:tcBorders>
              <w:tl2br w:val="nil"/>
              <w:tr2bl w:val="nil"/>
            </w:tcBorders>
            <w:vAlign w:val="center"/>
          </w:tcPr>
          <w:p w14:paraId="7F0D27F8">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3388" w:type="pct"/>
            <w:tcBorders>
              <w:tl2br w:val="nil"/>
              <w:tr2bl w:val="nil"/>
            </w:tcBorders>
            <w:vAlign w:val="center"/>
          </w:tcPr>
          <w:p w14:paraId="635C2398">
            <w:pPr>
              <w:pStyle w:val="101"/>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Theme="minorEastAsia" w:hAnsiTheme="minorEastAsia" w:eastAsiaTheme="minorEastAsia" w:cstheme="minorEastAsia"/>
                <w:color w:val="auto"/>
                <w:kern w:val="2"/>
                <w:sz w:val="21"/>
                <w:szCs w:val="21"/>
                <w:highlight w:val="none"/>
                <w:lang w:val="en-US" w:eastAsia="zh-CN" w:bidi="ar-SA"/>
              </w:rPr>
            </w:pPr>
            <w:r>
              <w:rPr>
                <w:rFonts w:hint="eastAsia" w:cstheme="minorEastAsia"/>
                <w:color w:val="auto"/>
                <w:kern w:val="2"/>
                <w:sz w:val="21"/>
                <w:szCs w:val="21"/>
                <w:highlight w:val="none"/>
                <w:lang w:val="en-US" w:eastAsia="zh-CN" w:bidi="ar-SA"/>
              </w:rPr>
              <w:t>投标人针对本项目的技术方案（包括但不限于采集、分析、成果报告等）</w:t>
            </w:r>
            <w:r>
              <w:rPr>
                <w:rFonts w:hint="eastAsia" w:ascii="宋体" w:hAnsi="宋体"/>
                <w:color w:val="auto"/>
                <w:sz w:val="21"/>
                <w:szCs w:val="21"/>
                <w:highlight w:val="none"/>
              </w:rPr>
              <w:t>（评分范围：</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4，3，2，1，0）</w:t>
            </w:r>
            <w:r>
              <w:rPr>
                <w:rFonts w:hint="eastAsia" w:asciiTheme="minorEastAsia" w:hAnsiTheme="minorEastAsia" w:eastAsiaTheme="minorEastAsia" w:cstheme="minorEastAsia"/>
                <w:color w:val="auto"/>
                <w:kern w:val="2"/>
                <w:sz w:val="21"/>
                <w:szCs w:val="21"/>
                <w:highlight w:val="none"/>
                <w:lang w:val="en-US" w:eastAsia="zh-CN" w:bidi="ar-SA"/>
              </w:rPr>
              <w:t>。</w:t>
            </w:r>
          </w:p>
        </w:tc>
        <w:tc>
          <w:tcPr>
            <w:tcW w:w="442" w:type="pct"/>
            <w:tcBorders>
              <w:tl2br w:val="nil"/>
              <w:tr2bl w:val="nil"/>
            </w:tcBorders>
            <w:vAlign w:val="center"/>
          </w:tcPr>
          <w:p w14:paraId="254CB9C0">
            <w:pPr>
              <w:keepNext w:val="0"/>
              <w:keepLines w:val="0"/>
              <w:widowControl/>
              <w:suppressLineNumbers w:val="0"/>
              <w:snapToGrid w:val="0"/>
              <w:spacing w:before="0" w:beforeAutospacing="0" w:after="0" w:afterAutospacing="0" w:line="340" w:lineRule="exact"/>
              <w:ind w:left="0" w:right="0"/>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w:t>
            </w:r>
          </w:p>
        </w:tc>
      </w:tr>
      <w:tr w14:paraId="7315AF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436" w:type="pct"/>
            <w:tcBorders>
              <w:tl2br w:val="nil"/>
              <w:tr2bl w:val="nil"/>
            </w:tcBorders>
            <w:shd w:val="clear" w:color="auto" w:fill="auto"/>
            <w:vAlign w:val="center"/>
          </w:tcPr>
          <w:p w14:paraId="7AB326AF">
            <w:pPr>
              <w:keepNext w:val="0"/>
              <w:keepLines w:val="0"/>
              <w:suppressLineNumbers w:val="0"/>
              <w:snapToGrid w:val="0"/>
              <w:spacing w:before="0" w:beforeAutospacing="0" w:after="0" w:afterAutospacing="0"/>
              <w:ind w:left="0" w:leftChars="0" w:right="0" w:rightChars="0"/>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w:t>
            </w:r>
          </w:p>
        </w:tc>
        <w:tc>
          <w:tcPr>
            <w:tcW w:w="733" w:type="pct"/>
            <w:vMerge w:val="continue"/>
            <w:tcBorders>
              <w:tl2br w:val="nil"/>
              <w:tr2bl w:val="nil"/>
            </w:tcBorders>
            <w:vAlign w:val="center"/>
          </w:tcPr>
          <w:p w14:paraId="29364365">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3388" w:type="pct"/>
            <w:tcBorders>
              <w:tl2br w:val="nil"/>
              <w:tr2bl w:val="nil"/>
            </w:tcBorders>
            <w:vAlign w:val="center"/>
          </w:tcPr>
          <w:p w14:paraId="6C0BF6FC">
            <w:pPr>
              <w:pStyle w:val="101"/>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cstheme="minorEastAsia"/>
                <w:color w:val="auto"/>
                <w:kern w:val="2"/>
                <w:sz w:val="21"/>
                <w:szCs w:val="21"/>
                <w:highlight w:val="none"/>
                <w:lang w:val="en-US" w:eastAsia="zh-CN" w:bidi="ar-SA"/>
              </w:rPr>
            </w:pPr>
            <w:r>
              <w:rPr>
                <w:rFonts w:hint="eastAsia" w:cstheme="minorEastAsia"/>
                <w:color w:val="auto"/>
                <w:kern w:val="2"/>
                <w:sz w:val="21"/>
                <w:szCs w:val="21"/>
                <w:highlight w:val="none"/>
                <w:lang w:val="en-US" w:eastAsia="zh-CN" w:bidi="ar-SA"/>
              </w:rPr>
              <w:t>投标人的飞防作业规程专业、规范、完整</w:t>
            </w:r>
            <w:r>
              <w:rPr>
                <w:rFonts w:hint="eastAsia" w:asciiTheme="minorEastAsia" w:hAnsiTheme="minorEastAsia" w:eastAsiaTheme="minorEastAsia" w:cstheme="minorEastAsia"/>
                <w:color w:val="auto"/>
                <w:kern w:val="2"/>
                <w:sz w:val="21"/>
                <w:szCs w:val="21"/>
                <w:highlight w:val="none"/>
                <w:lang w:val="en-US" w:eastAsia="zh-CN" w:bidi="ar-SA"/>
              </w:rPr>
              <w:t>、逻辑清晰、科学合理</w:t>
            </w:r>
            <w:r>
              <w:rPr>
                <w:rFonts w:hint="eastAsia" w:ascii="宋体" w:hAnsi="宋体"/>
                <w:color w:val="auto"/>
                <w:sz w:val="21"/>
                <w:szCs w:val="21"/>
                <w:highlight w:val="none"/>
              </w:rPr>
              <w:t>（评分范围：</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4，3，2，1，0）</w:t>
            </w:r>
            <w:r>
              <w:rPr>
                <w:rFonts w:hint="eastAsia" w:asciiTheme="minorEastAsia" w:hAnsiTheme="minorEastAsia" w:eastAsiaTheme="minorEastAsia" w:cstheme="minorEastAsia"/>
                <w:color w:val="auto"/>
                <w:kern w:val="2"/>
                <w:sz w:val="21"/>
                <w:szCs w:val="21"/>
                <w:highlight w:val="none"/>
                <w:lang w:val="en-US" w:eastAsia="zh-CN" w:bidi="ar-SA"/>
              </w:rPr>
              <w:t>。</w:t>
            </w:r>
          </w:p>
        </w:tc>
        <w:tc>
          <w:tcPr>
            <w:tcW w:w="442" w:type="pct"/>
            <w:tcBorders>
              <w:tl2br w:val="nil"/>
              <w:tr2bl w:val="nil"/>
            </w:tcBorders>
            <w:vAlign w:val="center"/>
          </w:tcPr>
          <w:p w14:paraId="09C31C0E">
            <w:pPr>
              <w:keepNext w:val="0"/>
              <w:keepLines w:val="0"/>
              <w:widowControl/>
              <w:suppressLineNumbers w:val="0"/>
              <w:snapToGrid w:val="0"/>
              <w:spacing w:before="0" w:beforeAutospacing="0" w:after="0" w:afterAutospacing="0" w:line="340" w:lineRule="exact"/>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w:t>
            </w:r>
          </w:p>
        </w:tc>
      </w:tr>
      <w:tr w14:paraId="20B996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436" w:type="pct"/>
            <w:tcBorders>
              <w:tl2br w:val="nil"/>
              <w:tr2bl w:val="nil"/>
            </w:tcBorders>
            <w:shd w:val="clear" w:color="auto" w:fill="auto"/>
            <w:vAlign w:val="center"/>
          </w:tcPr>
          <w:p w14:paraId="7FA73128">
            <w:pPr>
              <w:keepNext w:val="0"/>
              <w:keepLines w:val="0"/>
              <w:suppressLineNumbers w:val="0"/>
              <w:snapToGrid w:val="0"/>
              <w:spacing w:before="0" w:beforeAutospacing="0" w:after="0" w:afterAutospacing="0"/>
              <w:ind w:left="0" w:leftChars="0" w:right="0" w:rightChars="0"/>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9</w:t>
            </w:r>
          </w:p>
        </w:tc>
        <w:tc>
          <w:tcPr>
            <w:tcW w:w="733" w:type="pct"/>
            <w:vMerge w:val="continue"/>
            <w:tcBorders>
              <w:tl2br w:val="nil"/>
              <w:tr2bl w:val="nil"/>
            </w:tcBorders>
            <w:vAlign w:val="center"/>
          </w:tcPr>
          <w:p w14:paraId="730D2805">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3388" w:type="pct"/>
            <w:tcBorders>
              <w:tl2br w:val="nil"/>
              <w:tr2bl w:val="nil"/>
            </w:tcBorders>
            <w:vAlign w:val="center"/>
          </w:tcPr>
          <w:p w14:paraId="4A15FCF1">
            <w:pPr>
              <w:pStyle w:val="101"/>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Theme="minorEastAsia" w:hAnsiTheme="minorEastAsia" w:eastAsiaTheme="minorEastAsia" w:cstheme="minorEastAsia"/>
                <w:color w:val="auto"/>
                <w:kern w:val="2"/>
                <w:sz w:val="21"/>
                <w:szCs w:val="21"/>
                <w:highlight w:val="none"/>
                <w:lang w:val="en-US" w:eastAsia="zh-CN" w:bidi="ar-SA"/>
              </w:rPr>
            </w:pPr>
            <w:r>
              <w:rPr>
                <w:rFonts w:hint="eastAsia" w:cstheme="minorEastAsia"/>
                <w:color w:val="auto"/>
                <w:kern w:val="2"/>
                <w:sz w:val="21"/>
                <w:szCs w:val="21"/>
                <w:highlight w:val="none"/>
                <w:lang w:val="en-US" w:eastAsia="zh-CN" w:bidi="ar-SA"/>
              </w:rPr>
              <w:t>针对本项目的人员培训方案、现有技术解读</w:t>
            </w:r>
            <w:r>
              <w:rPr>
                <w:rFonts w:hint="eastAsia" w:ascii="宋体" w:hAnsi="宋体"/>
                <w:color w:val="auto"/>
                <w:sz w:val="21"/>
                <w:szCs w:val="21"/>
                <w:highlight w:val="none"/>
              </w:rPr>
              <w:t>（评分范围：</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4，3，2，1，0）</w:t>
            </w:r>
            <w:r>
              <w:rPr>
                <w:rFonts w:hint="eastAsia" w:asciiTheme="minorEastAsia" w:hAnsiTheme="minorEastAsia" w:eastAsiaTheme="minorEastAsia" w:cstheme="minorEastAsia"/>
                <w:color w:val="auto"/>
                <w:kern w:val="2"/>
                <w:sz w:val="21"/>
                <w:szCs w:val="21"/>
                <w:highlight w:val="none"/>
                <w:lang w:val="en-US" w:eastAsia="zh-CN" w:bidi="ar-SA"/>
              </w:rPr>
              <w:t>。</w:t>
            </w:r>
          </w:p>
        </w:tc>
        <w:tc>
          <w:tcPr>
            <w:tcW w:w="442" w:type="pct"/>
            <w:tcBorders>
              <w:tl2br w:val="nil"/>
              <w:tr2bl w:val="nil"/>
            </w:tcBorders>
            <w:vAlign w:val="center"/>
          </w:tcPr>
          <w:p w14:paraId="7724E90B">
            <w:pPr>
              <w:keepNext w:val="0"/>
              <w:keepLines w:val="0"/>
              <w:widowControl/>
              <w:suppressLineNumbers w:val="0"/>
              <w:snapToGrid w:val="0"/>
              <w:spacing w:before="0" w:beforeAutospacing="0" w:after="0" w:afterAutospacing="0" w:line="340" w:lineRule="exact"/>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w:t>
            </w:r>
          </w:p>
        </w:tc>
      </w:tr>
      <w:tr w14:paraId="1ACD4D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436" w:type="pct"/>
            <w:tcBorders>
              <w:tl2br w:val="nil"/>
              <w:tr2bl w:val="nil"/>
            </w:tcBorders>
            <w:shd w:val="clear" w:color="auto" w:fill="auto"/>
            <w:vAlign w:val="center"/>
          </w:tcPr>
          <w:p w14:paraId="641683FA">
            <w:pPr>
              <w:keepNext w:val="0"/>
              <w:keepLines w:val="0"/>
              <w:suppressLineNumbers w:val="0"/>
              <w:snapToGrid w:val="0"/>
              <w:spacing w:before="0" w:beforeAutospacing="0" w:after="0" w:afterAutospacing="0"/>
              <w:ind w:left="0" w:leftChars="0" w:right="0" w:rightChars="0"/>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w:t>
            </w:r>
          </w:p>
        </w:tc>
        <w:tc>
          <w:tcPr>
            <w:tcW w:w="733" w:type="pct"/>
            <w:vMerge w:val="restart"/>
            <w:tcBorders>
              <w:tl2br w:val="nil"/>
              <w:tr2bl w:val="nil"/>
            </w:tcBorders>
            <w:vAlign w:val="center"/>
          </w:tcPr>
          <w:p w14:paraId="322DB538">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实施方案（45分）</w:t>
            </w:r>
          </w:p>
        </w:tc>
        <w:tc>
          <w:tcPr>
            <w:tcW w:w="3388" w:type="pct"/>
            <w:tcBorders>
              <w:tl2br w:val="nil"/>
              <w:tr2bl w:val="nil"/>
            </w:tcBorders>
            <w:shd w:val="clear" w:color="auto" w:fill="auto"/>
            <w:vAlign w:val="center"/>
          </w:tcPr>
          <w:p w14:paraId="7C59F448">
            <w:pPr>
              <w:pStyle w:val="101"/>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投标人提供的项目实施团队结构合理、成员职责分工明确</w:t>
            </w:r>
            <w:r>
              <w:rPr>
                <w:rFonts w:hint="eastAsia" w:ascii="宋体" w:hAnsi="宋体"/>
                <w:color w:val="auto"/>
                <w:sz w:val="21"/>
                <w:szCs w:val="21"/>
                <w:highlight w:val="none"/>
              </w:rPr>
              <w:t>（评分范围：</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4，3，2，1，0）</w:t>
            </w:r>
            <w:r>
              <w:rPr>
                <w:rFonts w:hint="eastAsia" w:asciiTheme="minorEastAsia" w:hAnsiTheme="minorEastAsia" w:eastAsiaTheme="minorEastAsia" w:cstheme="minorEastAsia"/>
                <w:color w:val="auto"/>
                <w:kern w:val="2"/>
                <w:sz w:val="21"/>
                <w:szCs w:val="21"/>
                <w:highlight w:val="none"/>
                <w:lang w:val="en-US" w:eastAsia="zh-CN" w:bidi="ar-SA"/>
              </w:rPr>
              <w:t>。</w:t>
            </w:r>
          </w:p>
        </w:tc>
        <w:tc>
          <w:tcPr>
            <w:tcW w:w="442" w:type="pct"/>
            <w:tcBorders>
              <w:tl2br w:val="nil"/>
              <w:tr2bl w:val="nil"/>
            </w:tcBorders>
            <w:shd w:val="clear" w:color="auto" w:fill="auto"/>
            <w:vAlign w:val="center"/>
          </w:tcPr>
          <w:p w14:paraId="44999F79">
            <w:pPr>
              <w:keepNext w:val="0"/>
              <w:keepLines w:val="0"/>
              <w:widowControl/>
              <w:suppressLineNumbers w:val="0"/>
              <w:snapToGrid w:val="0"/>
              <w:spacing w:before="0" w:beforeAutospacing="0" w:after="0" w:afterAutospacing="0" w:line="340" w:lineRule="exact"/>
              <w:ind w:left="0" w:leftChars="0" w:right="0" w:right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5</w:t>
            </w:r>
          </w:p>
        </w:tc>
      </w:tr>
      <w:tr w14:paraId="757AA9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436" w:type="pct"/>
            <w:tcBorders>
              <w:tl2br w:val="nil"/>
              <w:tr2bl w:val="nil"/>
            </w:tcBorders>
            <w:shd w:val="clear" w:color="auto" w:fill="auto"/>
            <w:vAlign w:val="center"/>
          </w:tcPr>
          <w:p w14:paraId="2616825C">
            <w:pPr>
              <w:keepNext w:val="0"/>
              <w:keepLines w:val="0"/>
              <w:suppressLineNumbers w:val="0"/>
              <w:snapToGrid w:val="0"/>
              <w:spacing w:before="0" w:beforeAutospacing="0" w:after="0" w:afterAutospacing="0"/>
              <w:ind w:left="0" w:leftChars="0" w:right="0" w:rightChars="0"/>
              <w:jc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11</w:t>
            </w:r>
          </w:p>
        </w:tc>
        <w:tc>
          <w:tcPr>
            <w:tcW w:w="733" w:type="pct"/>
            <w:vMerge w:val="continue"/>
            <w:tcBorders>
              <w:tl2br w:val="nil"/>
              <w:tr2bl w:val="nil"/>
            </w:tcBorders>
            <w:vAlign w:val="center"/>
          </w:tcPr>
          <w:p w14:paraId="3DA0A395">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color w:val="auto"/>
                <w:kern w:val="2"/>
                <w:sz w:val="21"/>
                <w:szCs w:val="21"/>
                <w:highlight w:val="none"/>
                <w:lang w:val="en-US" w:eastAsia="zh-CN" w:bidi="ar-SA"/>
              </w:rPr>
            </w:pPr>
          </w:p>
        </w:tc>
        <w:tc>
          <w:tcPr>
            <w:tcW w:w="3388" w:type="pct"/>
            <w:tcBorders>
              <w:tl2br w:val="nil"/>
              <w:tr2bl w:val="nil"/>
            </w:tcBorders>
            <w:vAlign w:val="center"/>
          </w:tcPr>
          <w:p w14:paraId="64FA21D8">
            <w:pPr>
              <w:pStyle w:val="101"/>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cstheme="minorEastAsia"/>
                <w:color w:val="auto"/>
                <w:kern w:val="2"/>
                <w:sz w:val="21"/>
                <w:szCs w:val="21"/>
                <w:highlight w:val="none"/>
                <w:lang w:val="en-US" w:eastAsia="zh-CN" w:bidi="ar-SA"/>
              </w:rPr>
              <w:t>（1）</w:t>
            </w:r>
            <w:r>
              <w:rPr>
                <w:rFonts w:hint="eastAsia" w:asciiTheme="minorEastAsia" w:hAnsiTheme="minorEastAsia" w:eastAsiaTheme="minorEastAsia" w:cstheme="minorEastAsia"/>
                <w:color w:val="auto"/>
                <w:kern w:val="2"/>
                <w:sz w:val="21"/>
                <w:szCs w:val="21"/>
                <w:highlight w:val="none"/>
                <w:lang w:val="en-US" w:eastAsia="zh-CN" w:bidi="ar-SA"/>
              </w:rPr>
              <w:t>投标人提供的项目实施各阶段时间安排科学合理，节点明确，高质高效</w:t>
            </w:r>
            <w:r>
              <w:rPr>
                <w:rFonts w:hint="eastAsia" w:ascii="宋体" w:hAnsi="宋体"/>
                <w:color w:val="auto"/>
                <w:sz w:val="21"/>
                <w:szCs w:val="21"/>
                <w:highlight w:val="none"/>
              </w:rPr>
              <w:t>（评分范围：</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4，3，2，1，0）</w:t>
            </w:r>
            <w:r>
              <w:rPr>
                <w:rFonts w:hint="eastAsia" w:asciiTheme="minorEastAsia" w:hAnsiTheme="minorEastAsia" w:eastAsiaTheme="minorEastAsia" w:cstheme="minorEastAsia"/>
                <w:color w:val="auto"/>
                <w:kern w:val="2"/>
                <w:sz w:val="21"/>
                <w:szCs w:val="21"/>
                <w:highlight w:val="none"/>
                <w:lang w:val="en-US" w:eastAsia="zh-CN" w:bidi="ar-SA"/>
              </w:rPr>
              <w:t>。</w:t>
            </w:r>
          </w:p>
          <w:p w14:paraId="5992CCB9">
            <w:pPr>
              <w:pStyle w:val="101"/>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Theme="minorEastAsia" w:hAnsiTheme="minorEastAsia" w:eastAsiaTheme="minorEastAsia" w:cstheme="minorEastAsia"/>
                <w:color w:val="auto"/>
                <w:kern w:val="2"/>
                <w:sz w:val="21"/>
                <w:szCs w:val="21"/>
                <w:highlight w:val="none"/>
                <w:lang w:val="en-US" w:eastAsia="zh-CN" w:bidi="ar-SA"/>
              </w:rPr>
            </w:pPr>
            <w:r>
              <w:rPr>
                <w:rFonts w:hint="eastAsia" w:cstheme="minorEastAsia"/>
                <w:color w:val="auto"/>
                <w:kern w:val="2"/>
                <w:sz w:val="21"/>
                <w:szCs w:val="21"/>
                <w:highlight w:val="none"/>
                <w:lang w:val="en-US" w:eastAsia="zh-CN" w:bidi="ar-SA"/>
              </w:rPr>
              <w:t>（2）</w:t>
            </w:r>
            <w:r>
              <w:rPr>
                <w:rFonts w:hint="eastAsia" w:asciiTheme="minorEastAsia" w:hAnsiTheme="minorEastAsia" w:eastAsiaTheme="minorEastAsia" w:cstheme="minorEastAsia"/>
                <w:color w:val="auto"/>
                <w:kern w:val="2"/>
                <w:sz w:val="21"/>
                <w:szCs w:val="21"/>
                <w:highlight w:val="none"/>
                <w:lang w:val="en-US" w:eastAsia="zh-CN" w:bidi="ar-SA"/>
              </w:rPr>
              <w:t>投标人提供的项目实施各阶段</w:t>
            </w:r>
            <w:r>
              <w:rPr>
                <w:rFonts w:hint="eastAsia" w:cstheme="minorEastAsia"/>
                <w:color w:val="auto"/>
                <w:kern w:val="2"/>
                <w:sz w:val="21"/>
                <w:szCs w:val="21"/>
                <w:highlight w:val="none"/>
                <w:lang w:val="en-US" w:eastAsia="zh-CN" w:bidi="ar-SA"/>
              </w:rPr>
              <w:t>实施频次、间隔，科学合理</w:t>
            </w:r>
            <w:r>
              <w:rPr>
                <w:rFonts w:hint="eastAsia" w:ascii="宋体" w:hAnsi="宋体"/>
                <w:color w:val="auto"/>
                <w:sz w:val="21"/>
                <w:szCs w:val="21"/>
                <w:highlight w:val="none"/>
              </w:rPr>
              <w:t>（评分范围：</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4，3，2，1，0）</w:t>
            </w:r>
            <w:r>
              <w:rPr>
                <w:rFonts w:hint="eastAsia" w:asciiTheme="minorEastAsia" w:hAnsiTheme="minorEastAsia" w:eastAsiaTheme="minorEastAsia" w:cstheme="minorEastAsia"/>
                <w:color w:val="auto"/>
                <w:kern w:val="2"/>
                <w:sz w:val="21"/>
                <w:szCs w:val="21"/>
                <w:highlight w:val="none"/>
                <w:lang w:val="en-US" w:eastAsia="zh-CN" w:bidi="ar-SA"/>
              </w:rPr>
              <w:t>。</w:t>
            </w:r>
          </w:p>
        </w:tc>
        <w:tc>
          <w:tcPr>
            <w:tcW w:w="442" w:type="pct"/>
            <w:tcBorders>
              <w:tl2br w:val="nil"/>
              <w:tr2bl w:val="nil"/>
            </w:tcBorders>
            <w:vAlign w:val="center"/>
          </w:tcPr>
          <w:p w14:paraId="0B555321">
            <w:pPr>
              <w:keepNext w:val="0"/>
              <w:keepLines w:val="0"/>
              <w:widowControl/>
              <w:suppressLineNumbers w:val="0"/>
              <w:snapToGrid w:val="0"/>
              <w:spacing w:before="0" w:beforeAutospacing="0" w:after="0" w:afterAutospacing="0" w:line="340" w:lineRule="exact"/>
              <w:ind w:left="0" w:right="0"/>
              <w:jc w:val="center"/>
              <w:textAlignment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10</w:t>
            </w:r>
          </w:p>
        </w:tc>
      </w:tr>
      <w:tr w14:paraId="4444A1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436" w:type="pct"/>
            <w:tcBorders>
              <w:tl2br w:val="nil"/>
              <w:tr2bl w:val="nil"/>
            </w:tcBorders>
            <w:vAlign w:val="center"/>
          </w:tcPr>
          <w:p w14:paraId="29B8C92A">
            <w:pPr>
              <w:keepNext w:val="0"/>
              <w:keepLines w:val="0"/>
              <w:suppressLineNumbers w:val="0"/>
              <w:snapToGrid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12</w:t>
            </w:r>
          </w:p>
        </w:tc>
        <w:tc>
          <w:tcPr>
            <w:tcW w:w="733" w:type="pct"/>
            <w:vMerge w:val="continue"/>
            <w:tcBorders>
              <w:tl2br w:val="nil"/>
              <w:tr2bl w:val="nil"/>
            </w:tcBorders>
            <w:vAlign w:val="center"/>
          </w:tcPr>
          <w:p w14:paraId="43D40297">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3388" w:type="pct"/>
            <w:tcBorders>
              <w:tl2br w:val="nil"/>
              <w:tr2bl w:val="nil"/>
            </w:tcBorders>
            <w:vAlign w:val="center"/>
          </w:tcPr>
          <w:p w14:paraId="158082FC">
            <w:pPr>
              <w:pStyle w:val="101"/>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Theme="minorEastAsia" w:hAnsiTheme="minorEastAsia" w:eastAsiaTheme="minorEastAsia" w:cstheme="minorEastAsia"/>
                <w:color w:val="auto"/>
                <w:kern w:val="2"/>
                <w:sz w:val="21"/>
                <w:szCs w:val="21"/>
                <w:highlight w:val="none"/>
                <w:lang w:val="en-US" w:eastAsia="zh-CN" w:bidi="ar-SA"/>
              </w:rPr>
            </w:pPr>
            <w:r>
              <w:rPr>
                <w:rFonts w:hint="eastAsia" w:cstheme="minorEastAsia"/>
                <w:color w:val="auto"/>
                <w:kern w:val="2"/>
                <w:sz w:val="21"/>
                <w:szCs w:val="21"/>
                <w:highlight w:val="none"/>
                <w:lang w:val="en-US" w:eastAsia="zh-CN" w:bidi="ar-SA"/>
              </w:rPr>
              <w:t>药品储存方案，出入库、存储、出库方案，各节点落实责任人，对临期或失效产品的轮换方案、质量保障方案</w:t>
            </w:r>
            <w:r>
              <w:rPr>
                <w:rFonts w:hint="eastAsia" w:ascii="宋体" w:hAnsi="宋体"/>
                <w:color w:val="auto"/>
                <w:sz w:val="21"/>
                <w:szCs w:val="21"/>
                <w:highlight w:val="none"/>
              </w:rPr>
              <w:t>（评分范围：</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4，3，2，1，0）</w:t>
            </w:r>
            <w:r>
              <w:rPr>
                <w:rFonts w:hint="eastAsia" w:asciiTheme="minorEastAsia" w:hAnsiTheme="minorEastAsia" w:eastAsiaTheme="minorEastAsia" w:cstheme="minorEastAsia"/>
                <w:color w:val="auto"/>
                <w:kern w:val="2"/>
                <w:sz w:val="21"/>
                <w:szCs w:val="21"/>
                <w:highlight w:val="none"/>
                <w:lang w:val="en-US" w:eastAsia="zh-CN" w:bidi="ar-SA"/>
              </w:rPr>
              <w:t>。</w:t>
            </w:r>
          </w:p>
        </w:tc>
        <w:tc>
          <w:tcPr>
            <w:tcW w:w="442" w:type="pct"/>
            <w:tcBorders>
              <w:tl2br w:val="nil"/>
              <w:tr2bl w:val="nil"/>
            </w:tcBorders>
            <w:vAlign w:val="center"/>
          </w:tcPr>
          <w:p w14:paraId="750A7BED">
            <w:pPr>
              <w:keepNext w:val="0"/>
              <w:keepLines w:val="0"/>
              <w:widowControl/>
              <w:suppressLineNumbers w:val="0"/>
              <w:snapToGrid w:val="0"/>
              <w:spacing w:before="0" w:beforeAutospacing="0" w:after="0" w:afterAutospacing="0" w:line="340" w:lineRule="exact"/>
              <w:ind w:left="0" w:right="0"/>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w:t>
            </w:r>
          </w:p>
        </w:tc>
      </w:tr>
      <w:tr w14:paraId="461748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436" w:type="pct"/>
            <w:tcBorders>
              <w:tl2br w:val="nil"/>
              <w:tr2bl w:val="nil"/>
            </w:tcBorders>
            <w:vAlign w:val="center"/>
          </w:tcPr>
          <w:p w14:paraId="0F08F66D">
            <w:pPr>
              <w:keepNext w:val="0"/>
              <w:keepLines w:val="0"/>
              <w:suppressLineNumbers w:val="0"/>
              <w:snapToGrid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13</w:t>
            </w:r>
          </w:p>
        </w:tc>
        <w:tc>
          <w:tcPr>
            <w:tcW w:w="733" w:type="pct"/>
            <w:vMerge w:val="continue"/>
            <w:tcBorders>
              <w:tl2br w:val="nil"/>
              <w:tr2bl w:val="nil"/>
            </w:tcBorders>
            <w:vAlign w:val="center"/>
          </w:tcPr>
          <w:p w14:paraId="7ACAD6E9">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3388" w:type="pct"/>
            <w:tcBorders>
              <w:tl2br w:val="nil"/>
              <w:tr2bl w:val="nil"/>
            </w:tcBorders>
            <w:vAlign w:val="center"/>
          </w:tcPr>
          <w:p w14:paraId="44BE8343">
            <w:pPr>
              <w:pStyle w:val="101"/>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投标人提供的项目实施环节（包括所用投入</w:t>
            </w:r>
            <w:r>
              <w:rPr>
                <w:rFonts w:hint="eastAsia" w:cstheme="minorEastAsia"/>
                <w:color w:val="auto"/>
                <w:kern w:val="2"/>
                <w:sz w:val="21"/>
                <w:szCs w:val="21"/>
                <w:highlight w:val="none"/>
                <w:lang w:val="en-US" w:eastAsia="zh-CN" w:bidi="ar-SA"/>
              </w:rPr>
              <w:t>设备（0-2.5分）</w:t>
            </w:r>
            <w:r>
              <w:rPr>
                <w:rFonts w:hint="eastAsia" w:asciiTheme="minorEastAsia" w:hAnsiTheme="minorEastAsia" w:eastAsiaTheme="minorEastAsia" w:cstheme="minorEastAsia"/>
                <w:color w:val="auto"/>
                <w:kern w:val="2"/>
                <w:sz w:val="21"/>
                <w:szCs w:val="21"/>
                <w:highlight w:val="none"/>
                <w:lang w:val="en-US" w:eastAsia="zh-CN" w:bidi="ar-SA"/>
              </w:rPr>
              <w:t>、</w:t>
            </w:r>
            <w:r>
              <w:rPr>
                <w:rFonts w:hint="eastAsia" w:cstheme="minorEastAsia"/>
                <w:color w:val="auto"/>
                <w:kern w:val="2"/>
                <w:sz w:val="21"/>
                <w:szCs w:val="21"/>
                <w:highlight w:val="none"/>
                <w:lang w:val="en-US" w:eastAsia="zh-CN" w:bidi="ar-SA"/>
              </w:rPr>
              <w:t>用药安全（0-2.5分）</w:t>
            </w:r>
            <w:r>
              <w:rPr>
                <w:rFonts w:hint="eastAsia" w:asciiTheme="minorEastAsia" w:hAnsiTheme="minorEastAsia" w:eastAsiaTheme="minorEastAsia" w:cstheme="minorEastAsia"/>
                <w:color w:val="auto"/>
                <w:kern w:val="2"/>
                <w:sz w:val="21"/>
                <w:szCs w:val="21"/>
                <w:highlight w:val="none"/>
                <w:lang w:val="en-US" w:eastAsia="zh-CN" w:bidi="ar-SA"/>
              </w:rPr>
              <w:t>、周边环境</w:t>
            </w:r>
            <w:r>
              <w:rPr>
                <w:rFonts w:hint="eastAsia" w:cstheme="minorEastAsia"/>
                <w:color w:val="auto"/>
                <w:kern w:val="2"/>
                <w:sz w:val="21"/>
                <w:szCs w:val="21"/>
                <w:highlight w:val="none"/>
                <w:lang w:val="en-US" w:eastAsia="zh-CN" w:bidi="ar-SA"/>
              </w:rPr>
              <w:t>（0-2.5分）</w:t>
            </w:r>
            <w:r>
              <w:rPr>
                <w:rFonts w:hint="eastAsia" w:asciiTheme="minorEastAsia" w:hAnsiTheme="minorEastAsia" w:eastAsiaTheme="minorEastAsia" w:cstheme="minorEastAsia"/>
                <w:color w:val="auto"/>
                <w:kern w:val="2"/>
                <w:sz w:val="21"/>
                <w:szCs w:val="21"/>
                <w:highlight w:val="none"/>
                <w:lang w:val="en-US" w:eastAsia="zh-CN" w:bidi="ar-SA"/>
              </w:rPr>
              <w:t>、人员安全</w:t>
            </w:r>
            <w:r>
              <w:rPr>
                <w:rFonts w:hint="eastAsia" w:cstheme="minorEastAsia"/>
                <w:color w:val="auto"/>
                <w:kern w:val="2"/>
                <w:sz w:val="21"/>
                <w:szCs w:val="21"/>
                <w:highlight w:val="none"/>
                <w:lang w:val="en-US" w:eastAsia="zh-CN" w:bidi="ar-SA"/>
              </w:rPr>
              <w:t>（0-2.5分）</w:t>
            </w:r>
            <w:r>
              <w:rPr>
                <w:rFonts w:hint="eastAsia" w:asciiTheme="minorEastAsia" w:hAnsiTheme="minorEastAsia" w:eastAsiaTheme="minorEastAsia" w:cstheme="minorEastAsia"/>
                <w:color w:val="auto"/>
                <w:kern w:val="2"/>
                <w:sz w:val="21"/>
                <w:szCs w:val="21"/>
                <w:highlight w:val="none"/>
                <w:lang w:val="en-US" w:eastAsia="zh-CN" w:bidi="ar-SA"/>
              </w:rPr>
              <w:t>等）质量和安生产保障，专业规范</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各项</w:t>
            </w:r>
            <w:r>
              <w:rPr>
                <w:rFonts w:hint="eastAsia" w:ascii="宋体" w:hAnsi="宋体"/>
                <w:color w:val="auto"/>
                <w:sz w:val="21"/>
                <w:szCs w:val="21"/>
                <w:highlight w:val="none"/>
              </w:rPr>
              <w:t>评分范围：</w:t>
            </w:r>
            <w:r>
              <w:rPr>
                <w:rFonts w:hint="eastAsia" w:ascii="宋体" w:hAnsi="宋体"/>
                <w:color w:val="auto"/>
                <w:sz w:val="21"/>
                <w:szCs w:val="21"/>
                <w:highlight w:val="none"/>
                <w:lang w:val="en-US" w:eastAsia="zh-CN"/>
              </w:rPr>
              <w:t>2.5，</w:t>
            </w:r>
            <w:r>
              <w:rPr>
                <w:rFonts w:hint="eastAsia" w:ascii="宋体" w:hAnsi="宋体"/>
                <w:color w:val="auto"/>
                <w:sz w:val="21"/>
                <w:szCs w:val="21"/>
                <w:highlight w:val="none"/>
              </w:rPr>
              <w:t>2，1，0）</w:t>
            </w:r>
            <w:r>
              <w:rPr>
                <w:rFonts w:hint="eastAsia" w:asciiTheme="minorEastAsia" w:hAnsiTheme="minorEastAsia" w:eastAsiaTheme="minorEastAsia" w:cstheme="minorEastAsia"/>
                <w:color w:val="auto"/>
                <w:kern w:val="2"/>
                <w:sz w:val="21"/>
                <w:szCs w:val="21"/>
                <w:highlight w:val="none"/>
                <w:lang w:val="en-US" w:eastAsia="zh-CN" w:bidi="ar-SA"/>
              </w:rPr>
              <w:t>。</w:t>
            </w:r>
          </w:p>
        </w:tc>
        <w:tc>
          <w:tcPr>
            <w:tcW w:w="442" w:type="pct"/>
            <w:tcBorders>
              <w:tl2br w:val="nil"/>
              <w:tr2bl w:val="nil"/>
            </w:tcBorders>
            <w:vAlign w:val="center"/>
          </w:tcPr>
          <w:p w14:paraId="6A6AEDBA">
            <w:pPr>
              <w:keepNext w:val="0"/>
              <w:keepLines w:val="0"/>
              <w:widowControl/>
              <w:suppressLineNumbers w:val="0"/>
              <w:snapToGrid w:val="0"/>
              <w:spacing w:before="0" w:beforeAutospacing="0" w:after="0" w:afterAutospacing="0" w:line="340" w:lineRule="exact"/>
              <w:ind w:left="0" w:right="0"/>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w:t>
            </w:r>
          </w:p>
        </w:tc>
      </w:tr>
      <w:tr w14:paraId="07B770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436" w:type="pct"/>
            <w:tcBorders>
              <w:tl2br w:val="nil"/>
              <w:tr2bl w:val="nil"/>
            </w:tcBorders>
            <w:vAlign w:val="center"/>
          </w:tcPr>
          <w:p w14:paraId="6DE925AC">
            <w:pPr>
              <w:keepNext w:val="0"/>
              <w:keepLines w:val="0"/>
              <w:suppressLineNumbers w:val="0"/>
              <w:snapToGrid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14</w:t>
            </w:r>
          </w:p>
        </w:tc>
        <w:tc>
          <w:tcPr>
            <w:tcW w:w="733" w:type="pct"/>
            <w:vMerge w:val="continue"/>
            <w:tcBorders>
              <w:tl2br w:val="nil"/>
              <w:tr2bl w:val="nil"/>
            </w:tcBorders>
            <w:vAlign w:val="center"/>
          </w:tcPr>
          <w:p w14:paraId="3411BC90">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3388" w:type="pct"/>
            <w:tcBorders>
              <w:tl2br w:val="nil"/>
              <w:tr2bl w:val="nil"/>
            </w:tcBorders>
            <w:vAlign w:val="center"/>
          </w:tcPr>
          <w:p w14:paraId="0F68850A">
            <w:pPr>
              <w:pStyle w:val="101"/>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Theme="minorEastAsia" w:hAnsiTheme="minorEastAsia" w:eastAsiaTheme="minorEastAsia" w:cstheme="minorEastAsia"/>
                <w:color w:val="auto"/>
                <w:kern w:val="2"/>
                <w:sz w:val="21"/>
                <w:szCs w:val="21"/>
                <w:highlight w:val="none"/>
                <w:lang w:val="en-US" w:eastAsia="zh-CN" w:bidi="ar-SA"/>
              </w:rPr>
            </w:pPr>
            <w:r>
              <w:rPr>
                <w:rFonts w:hint="eastAsia" w:cstheme="minorEastAsia"/>
                <w:color w:val="auto"/>
                <w:kern w:val="2"/>
                <w:sz w:val="21"/>
                <w:szCs w:val="21"/>
                <w:highlight w:val="none"/>
                <w:lang w:val="en-US" w:eastAsia="zh-CN" w:bidi="ar-SA"/>
              </w:rPr>
              <w:t>针对项目成果报告的安全性、真实性、科学性、准确性的保障方案</w:t>
            </w:r>
            <w:r>
              <w:rPr>
                <w:rFonts w:hint="eastAsia" w:ascii="宋体" w:hAnsi="宋体"/>
                <w:color w:val="auto"/>
                <w:sz w:val="21"/>
                <w:szCs w:val="21"/>
                <w:highlight w:val="none"/>
              </w:rPr>
              <w:t>（评分范围：</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4，3，2，1，0）</w:t>
            </w:r>
            <w:r>
              <w:rPr>
                <w:rFonts w:hint="eastAsia" w:asciiTheme="minorEastAsia" w:hAnsiTheme="minorEastAsia" w:eastAsiaTheme="minorEastAsia" w:cstheme="minorEastAsia"/>
                <w:color w:val="auto"/>
                <w:kern w:val="2"/>
                <w:sz w:val="21"/>
                <w:szCs w:val="21"/>
                <w:highlight w:val="none"/>
                <w:lang w:val="en-US" w:eastAsia="zh-CN" w:bidi="ar-SA"/>
              </w:rPr>
              <w:t>。</w:t>
            </w:r>
          </w:p>
        </w:tc>
        <w:tc>
          <w:tcPr>
            <w:tcW w:w="442" w:type="pct"/>
            <w:tcBorders>
              <w:tl2br w:val="nil"/>
              <w:tr2bl w:val="nil"/>
            </w:tcBorders>
            <w:vAlign w:val="center"/>
          </w:tcPr>
          <w:p w14:paraId="21230D38">
            <w:pPr>
              <w:keepNext w:val="0"/>
              <w:keepLines w:val="0"/>
              <w:widowControl/>
              <w:suppressLineNumbers w:val="0"/>
              <w:snapToGrid w:val="0"/>
              <w:spacing w:before="0" w:beforeAutospacing="0" w:after="0" w:afterAutospacing="0" w:line="340" w:lineRule="exact"/>
              <w:ind w:left="0" w:right="0"/>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w:t>
            </w:r>
          </w:p>
        </w:tc>
      </w:tr>
      <w:tr w14:paraId="195F97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436" w:type="pct"/>
            <w:tcBorders>
              <w:tl2br w:val="nil"/>
              <w:tr2bl w:val="nil"/>
            </w:tcBorders>
            <w:vAlign w:val="center"/>
          </w:tcPr>
          <w:p w14:paraId="2F739891">
            <w:pPr>
              <w:keepNext w:val="0"/>
              <w:keepLines w:val="0"/>
              <w:suppressLineNumbers w:val="0"/>
              <w:snapToGrid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15</w:t>
            </w:r>
          </w:p>
        </w:tc>
        <w:tc>
          <w:tcPr>
            <w:tcW w:w="733" w:type="pct"/>
            <w:vMerge w:val="continue"/>
            <w:tcBorders>
              <w:tl2br w:val="nil"/>
              <w:tr2bl w:val="nil"/>
            </w:tcBorders>
            <w:vAlign w:val="center"/>
          </w:tcPr>
          <w:p w14:paraId="06A743B4">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3388" w:type="pct"/>
            <w:tcBorders>
              <w:tl2br w:val="nil"/>
              <w:tr2bl w:val="nil"/>
            </w:tcBorders>
            <w:vAlign w:val="center"/>
          </w:tcPr>
          <w:p w14:paraId="540A7326">
            <w:pPr>
              <w:pStyle w:val="101"/>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cstheme="minorEastAsia"/>
                <w:color w:val="auto"/>
                <w:kern w:val="2"/>
                <w:sz w:val="21"/>
                <w:szCs w:val="21"/>
                <w:highlight w:val="none"/>
                <w:lang w:val="en-US" w:eastAsia="zh-CN" w:bidi="ar-SA"/>
              </w:rPr>
            </w:pPr>
            <w:r>
              <w:rPr>
                <w:rFonts w:hint="eastAsia" w:ascii="宋体" w:hAnsi="宋体"/>
                <w:color w:val="auto"/>
                <w:highlight w:val="none"/>
              </w:rPr>
              <w:t>根据</w:t>
            </w:r>
            <w:r>
              <w:rPr>
                <w:rFonts w:hint="eastAsia" w:ascii="宋体" w:hAnsi="宋体"/>
                <w:color w:val="auto"/>
                <w:highlight w:val="none"/>
                <w:lang w:val="en-US" w:eastAsia="zh-CN"/>
              </w:rPr>
              <w:t>投标人</w:t>
            </w:r>
            <w:r>
              <w:rPr>
                <w:rFonts w:hint="eastAsia" w:ascii="宋体" w:hAnsi="宋体"/>
                <w:color w:val="auto"/>
                <w:highlight w:val="none"/>
              </w:rPr>
              <w:t>提供的</w:t>
            </w:r>
            <w:r>
              <w:rPr>
                <w:rFonts w:ascii="宋体" w:hAnsi="宋体"/>
                <w:color w:val="auto"/>
                <w:szCs w:val="21"/>
                <w:highlight w:val="none"/>
              </w:rPr>
              <w:t>提供保密制度，确保</w:t>
            </w:r>
            <w:r>
              <w:rPr>
                <w:rFonts w:hint="eastAsia" w:ascii="宋体" w:hAnsi="宋体"/>
                <w:color w:val="auto"/>
                <w:szCs w:val="21"/>
                <w:highlight w:val="none"/>
                <w:lang w:val="en-US" w:eastAsia="zh-CN"/>
              </w:rPr>
              <w:t>区内农业现状</w:t>
            </w:r>
            <w:r>
              <w:rPr>
                <w:rFonts w:ascii="宋体" w:hAnsi="宋体"/>
                <w:color w:val="auto"/>
                <w:szCs w:val="21"/>
                <w:highlight w:val="none"/>
              </w:rPr>
              <w:t>、</w:t>
            </w:r>
            <w:r>
              <w:rPr>
                <w:rFonts w:hint="eastAsia" w:ascii="宋体" w:hAnsi="宋体"/>
                <w:color w:val="auto"/>
                <w:szCs w:val="21"/>
                <w:highlight w:val="none"/>
                <w:lang w:val="en-US" w:eastAsia="zh-CN"/>
              </w:rPr>
              <w:t>水稻统防统治情况数据等</w:t>
            </w:r>
            <w:r>
              <w:rPr>
                <w:rFonts w:hint="eastAsia" w:ascii="宋体" w:hAnsi="宋体"/>
                <w:color w:val="auto"/>
                <w:szCs w:val="21"/>
                <w:highlight w:val="none"/>
              </w:rPr>
              <w:t>，提供泄露追责等责任机制（评分范围：</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4，3，2，1，0</w:t>
            </w:r>
            <w:r>
              <w:rPr>
                <w:rFonts w:hint="eastAsia" w:ascii="宋体" w:hAnsi="宋体"/>
                <w:color w:val="auto"/>
                <w:szCs w:val="21"/>
                <w:highlight w:val="none"/>
              </w:rPr>
              <w:t>）</w:t>
            </w:r>
          </w:p>
        </w:tc>
        <w:tc>
          <w:tcPr>
            <w:tcW w:w="442" w:type="pct"/>
            <w:tcBorders>
              <w:tl2br w:val="nil"/>
              <w:tr2bl w:val="nil"/>
            </w:tcBorders>
            <w:vAlign w:val="center"/>
          </w:tcPr>
          <w:p w14:paraId="619495D3">
            <w:pPr>
              <w:keepNext w:val="0"/>
              <w:keepLines w:val="0"/>
              <w:widowControl/>
              <w:suppressLineNumbers w:val="0"/>
              <w:snapToGrid w:val="0"/>
              <w:spacing w:before="0" w:beforeAutospacing="0" w:after="0" w:afterAutospacing="0" w:line="340" w:lineRule="exact"/>
              <w:ind w:left="0" w:right="0"/>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w:t>
            </w:r>
          </w:p>
        </w:tc>
      </w:tr>
      <w:tr w14:paraId="2B571E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436" w:type="pct"/>
            <w:tcBorders>
              <w:tl2br w:val="nil"/>
              <w:tr2bl w:val="nil"/>
            </w:tcBorders>
            <w:vAlign w:val="center"/>
          </w:tcPr>
          <w:p w14:paraId="2979CFA7">
            <w:pPr>
              <w:keepNext w:val="0"/>
              <w:keepLines w:val="0"/>
              <w:suppressLineNumbers w:val="0"/>
              <w:snapToGrid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16</w:t>
            </w:r>
          </w:p>
        </w:tc>
        <w:tc>
          <w:tcPr>
            <w:tcW w:w="733" w:type="pct"/>
            <w:vMerge w:val="continue"/>
            <w:tcBorders>
              <w:tl2br w:val="nil"/>
              <w:tr2bl w:val="nil"/>
            </w:tcBorders>
            <w:vAlign w:val="center"/>
          </w:tcPr>
          <w:p w14:paraId="3678DD68">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3388" w:type="pct"/>
            <w:tcBorders>
              <w:tl2br w:val="nil"/>
              <w:tr2bl w:val="nil"/>
            </w:tcBorders>
            <w:vAlign w:val="center"/>
          </w:tcPr>
          <w:p w14:paraId="29813A08">
            <w:pPr>
              <w:pStyle w:val="101"/>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投标人提供的对各类突发事件（如安全事件、自然灾害等）的应急保障有制定详细应急预案，解决措施合理</w:t>
            </w:r>
            <w:r>
              <w:rPr>
                <w:rFonts w:hint="eastAsia" w:ascii="宋体" w:hAnsi="宋体"/>
                <w:color w:val="auto"/>
                <w:sz w:val="21"/>
                <w:szCs w:val="21"/>
                <w:highlight w:val="none"/>
              </w:rPr>
              <w:t>（评分范围：</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4，3，2，1，0）</w:t>
            </w:r>
            <w:r>
              <w:rPr>
                <w:rFonts w:hint="eastAsia" w:asciiTheme="minorEastAsia" w:hAnsiTheme="minorEastAsia" w:eastAsiaTheme="minorEastAsia" w:cstheme="minorEastAsia"/>
                <w:color w:val="auto"/>
                <w:kern w:val="2"/>
                <w:sz w:val="21"/>
                <w:szCs w:val="21"/>
                <w:highlight w:val="none"/>
                <w:lang w:val="en-US" w:eastAsia="zh-CN" w:bidi="ar-SA"/>
              </w:rPr>
              <w:t>。</w:t>
            </w:r>
          </w:p>
        </w:tc>
        <w:tc>
          <w:tcPr>
            <w:tcW w:w="442" w:type="pct"/>
            <w:tcBorders>
              <w:tl2br w:val="nil"/>
              <w:tr2bl w:val="nil"/>
            </w:tcBorders>
            <w:vAlign w:val="center"/>
          </w:tcPr>
          <w:p w14:paraId="12831860">
            <w:pPr>
              <w:keepNext w:val="0"/>
              <w:keepLines w:val="0"/>
              <w:widowControl/>
              <w:suppressLineNumbers w:val="0"/>
              <w:snapToGrid w:val="0"/>
              <w:spacing w:before="0" w:beforeAutospacing="0" w:after="0" w:afterAutospacing="0" w:line="340" w:lineRule="exact"/>
              <w:ind w:left="0" w:right="0"/>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w:t>
            </w:r>
          </w:p>
        </w:tc>
      </w:tr>
      <w:tr w14:paraId="7E3D1A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436" w:type="pct"/>
            <w:tcBorders>
              <w:tl2br w:val="nil"/>
              <w:tr2bl w:val="nil"/>
            </w:tcBorders>
            <w:vAlign w:val="center"/>
          </w:tcPr>
          <w:p w14:paraId="636FAA59">
            <w:pPr>
              <w:keepNext w:val="0"/>
              <w:keepLines w:val="0"/>
              <w:suppressLineNumbers w:val="0"/>
              <w:snapToGrid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17</w:t>
            </w:r>
          </w:p>
        </w:tc>
        <w:tc>
          <w:tcPr>
            <w:tcW w:w="733" w:type="pct"/>
            <w:tcBorders>
              <w:tl2br w:val="nil"/>
              <w:tr2bl w:val="nil"/>
            </w:tcBorders>
            <w:vAlign w:val="center"/>
          </w:tcPr>
          <w:p w14:paraId="5B108117">
            <w:pPr>
              <w:pStyle w:val="101"/>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售后服务</w:t>
            </w:r>
            <w:r>
              <w:rPr>
                <w:rFonts w:hint="eastAsia" w:cstheme="minorEastAsia"/>
                <w:color w:val="auto"/>
                <w:kern w:val="2"/>
                <w:sz w:val="21"/>
                <w:szCs w:val="21"/>
                <w:highlight w:val="none"/>
                <w:lang w:val="en-US" w:eastAsia="zh-CN" w:bidi="ar-SA"/>
              </w:rPr>
              <w:t>（5分）</w:t>
            </w:r>
          </w:p>
        </w:tc>
        <w:tc>
          <w:tcPr>
            <w:tcW w:w="3388" w:type="pct"/>
            <w:tcBorders>
              <w:tl2br w:val="nil"/>
              <w:tr2bl w:val="nil"/>
            </w:tcBorders>
            <w:vAlign w:val="center"/>
          </w:tcPr>
          <w:p w14:paraId="4CD16F62">
            <w:pPr>
              <w:pStyle w:val="101"/>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投标人提供的售后服务方案，包括售后服务机构设置、服务响应到场时间、技术疑难解答及处置措施等内容完整详细、科学合理、可行性</w:t>
            </w:r>
            <w:r>
              <w:rPr>
                <w:rFonts w:hint="eastAsia" w:ascii="宋体" w:hAnsi="宋体"/>
                <w:color w:val="auto"/>
                <w:sz w:val="21"/>
                <w:szCs w:val="21"/>
                <w:highlight w:val="none"/>
              </w:rPr>
              <w:t>（评分范围：</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4，3，2，1，0）</w:t>
            </w:r>
            <w:r>
              <w:rPr>
                <w:rFonts w:hint="eastAsia" w:asciiTheme="minorEastAsia" w:hAnsiTheme="minorEastAsia" w:eastAsiaTheme="minorEastAsia" w:cstheme="minorEastAsia"/>
                <w:color w:val="auto"/>
                <w:kern w:val="2"/>
                <w:sz w:val="21"/>
                <w:szCs w:val="21"/>
                <w:highlight w:val="none"/>
                <w:lang w:val="en-US" w:eastAsia="zh-CN" w:bidi="ar-SA"/>
              </w:rPr>
              <w:t>。</w:t>
            </w:r>
          </w:p>
        </w:tc>
        <w:tc>
          <w:tcPr>
            <w:tcW w:w="442" w:type="pct"/>
            <w:tcBorders>
              <w:tl2br w:val="nil"/>
              <w:tr2bl w:val="nil"/>
            </w:tcBorders>
            <w:vAlign w:val="center"/>
          </w:tcPr>
          <w:p w14:paraId="06CF8035">
            <w:pPr>
              <w:keepNext w:val="0"/>
              <w:keepLines w:val="0"/>
              <w:widowControl/>
              <w:suppressLineNumbers w:val="0"/>
              <w:snapToGrid w:val="0"/>
              <w:spacing w:before="0" w:beforeAutospacing="0" w:after="0" w:afterAutospacing="0" w:line="340" w:lineRule="exact"/>
              <w:ind w:left="0" w:right="0"/>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w:t>
            </w:r>
          </w:p>
        </w:tc>
      </w:tr>
      <w:tr w14:paraId="64A1AF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436" w:type="pct"/>
            <w:tcBorders>
              <w:tl2br w:val="nil"/>
              <w:tr2bl w:val="nil"/>
            </w:tcBorders>
            <w:vAlign w:val="center"/>
          </w:tcPr>
          <w:p w14:paraId="6F7493C9">
            <w:pPr>
              <w:keepNext w:val="0"/>
              <w:keepLines w:val="0"/>
              <w:suppressLineNumbers w:val="0"/>
              <w:snapToGrid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18</w:t>
            </w:r>
          </w:p>
        </w:tc>
        <w:tc>
          <w:tcPr>
            <w:tcW w:w="733" w:type="pct"/>
            <w:tcBorders>
              <w:tl2br w:val="nil"/>
              <w:tr2bl w:val="nil"/>
            </w:tcBorders>
            <w:vAlign w:val="center"/>
          </w:tcPr>
          <w:p w14:paraId="53C02827">
            <w:pPr>
              <w:keepNext w:val="0"/>
              <w:keepLines w:val="0"/>
              <w:pageBreakBefore w:val="0"/>
              <w:widowControl w:val="0"/>
              <w:kinsoku/>
              <w:wordWrap/>
              <w:overflowPunct/>
              <w:topLinePunct w:val="0"/>
              <w:autoSpaceDE/>
              <w:autoSpaceDN/>
              <w:bidi w:val="0"/>
              <w:adjustRightInd w:val="0"/>
              <w:snapToGrid/>
              <w:spacing w:line="3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配套或优惠条件（1分）</w:t>
            </w:r>
          </w:p>
        </w:tc>
        <w:tc>
          <w:tcPr>
            <w:tcW w:w="3388" w:type="pct"/>
            <w:tcBorders>
              <w:tl2br w:val="nil"/>
              <w:tr2bl w:val="nil"/>
            </w:tcBorders>
            <w:vAlign w:val="center"/>
          </w:tcPr>
          <w:p w14:paraId="6C824B85">
            <w:pPr>
              <w:keepNext w:val="0"/>
              <w:keepLines w:val="0"/>
              <w:pageBreakBefore w:val="0"/>
              <w:widowControl w:val="0"/>
              <w:kinsoku/>
              <w:wordWrap/>
              <w:overflowPunct/>
              <w:topLinePunct w:val="0"/>
              <w:autoSpaceDE/>
              <w:autoSpaceDN/>
              <w:bidi w:val="0"/>
              <w:snapToGrid/>
              <w:spacing w:line="340" w:lineRule="exact"/>
              <w:textAlignment w:val="auto"/>
              <w:rPr>
                <w:rFonts w:hint="eastAsia" w:asciiTheme="minorEastAsia" w:hAnsiTheme="minorEastAsia" w:eastAsiaTheme="minorEastAsia" w:cstheme="minorEastAsia"/>
                <w:color w:val="auto"/>
                <w:kern w:val="2"/>
                <w:sz w:val="21"/>
                <w:szCs w:val="21"/>
                <w:highlight w:val="none"/>
                <w:lang w:val="en-US" w:eastAsia="zh-CN" w:bidi="ar-SA"/>
              </w:rPr>
            </w:pPr>
            <w:bookmarkStart w:id="386" w:name="_GoBack"/>
            <w:r>
              <w:rPr>
                <w:rFonts w:hint="eastAsia" w:asciiTheme="minorEastAsia" w:hAnsiTheme="minorEastAsia" w:eastAsiaTheme="minorEastAsia" w:cstheme="minorEastAsia"/>
                <w:color w:val="auto"/>
                <w:kern w:val="2"/>
                <w:sz w:val="21"/>
                <w:szCs w:val="21"/>
                <w:highlight w:val="none"/>
                <w:lang w:val="en-US" w:eastAsia="zh-CN" w:bidi="ar-SA"/>
              </w:rPr>
              <w:t>投标人对本项目提供其他配套优惠条件的（不涉及报价），1条被采纳的得1分，最多1分，缺项的得0分。</w:t>
            </w:r>
            <w:bookmarkEnd w:id="386"/>
          </w:p>
        </w:tc>
        <w:tc>
          <w:tcPr>
            <w:tcW w:w="442" w:type="pct"/>
            <w:tcBorders>
              <w:tl2br w:val="nil"/>
              <w:tr2bl w:val="nil"/>
            </w:tcBorders>
            <w:vAlign w:val="center"/>
          </w:tcPr>
          <w:p w14:paraId="7FE01C73">
            <w:pPr>
              <w:keepNext w:val="0"/>
              <w:keepLines w:val="0"/>
              <w:widowControl/>
              <w:suppressLineNumbers w:val="0"/>
              <w:snapToGrid w:val="0"/>
              <w:spacing w:before="0" w:beforeAutospacing="0" w:after="0" w:afterAutospacing="0" w:line="340" w:lineRule="exact"/>
              <w:ind w:left="0" w:right="0"/>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p>
        </w:tc>
      </w:tr>
    </w:tbl>
    <w:p w14:paraId="4F2769E7">
      <w:pPr>
        <w:pStyle w:val="101"/>
        <w:rPr>
          <w:rFonts w:hint="eastAsia"/>
          <w:color w:val="auto"/>
          <w:highlight w:val="none"/>
        </w:rPr>
      </w:pPr>
    </w:p>
    <w:p w14:paraId="6F2F020F">
      <w:pPr>
        <w:pStyle w:val="101"/>
        <w:rPr>
          <w:rFonts w:hint="eastAsia" w:hAnsi="宋体"/>
          <w:bCs/>
          <w:color w:val="auto"/>
          <w:szCs w:val="21"/>
          <w:highlight w:val="none"/>
        </w:rPr>
        <w:sectPr>
          <w:pgSz w:w="11905" w:h="16838"/>
          <w:pgMar w:top="1440" w:right="1803" w:bottom="1440" w:left="1803" w:header="851" w:footer="992" w:gutter="0"/>
          <w:pgBorders>
            <w:top w:val="none" w:sz="0" w:space="0"/>
            <w:left w:val="none" w:sz="0" w:space="0"/>
            <w:bottom w:val="none" w:sz="0" w:space="0"/>
            <w:right w:val="none" w:sz="0" w:space="0"/>
          </w:pgBorders>
          <w:cols w:space="0" w:num="1"/>
          <w:docGrid w:type="lines" w:linePitch="319" w:charSpace="0"/>
        </w:sectPr>
      </w:pPr>
      <w:r>
        <w:rPr>
          <w:rFonts w:hint="eastAsia"/>
          <w:color w:val="auto"/>
          <w:highlight w:val="none"/>
        </w:rPr>
        <w:t>注：评标委员会独立打分，</w:t>
      </w:r>
      <w:r>
        <w:rPr>
          <w:rFonts w:hint="eastAsia"/>
          <w:color w:val="auto"/>
          <w:highlight w:val="none"/>
          <w:lang w:val="en-US" w:eastAsia="zh-CN"/>
        </w:rPr>
        <w:t>最终结果</w:t>
      </w:r>
      <w:r>
        <w:rPr>
          <w:rFonts w:hint="eastAsia"/>
          <w:color w:val="auto"/>
          <w:highlight w:val="none"/>
        </w:rPr>
        <w:t>保留小数点后2位小数，所有有效评分的平均分作为对应投标人的技术资信得分。</w:t>
      </w:r>
      <w:r>
        <w:rPr>
          <w:rFonts w:hint="eastAsia" w:hAnsi="宋体"/>
          <w:bCs/>
          <w:color w:val="auto"/>
          <w:szCs w:val="21"/>
          <w:highlight w:val="none"/>
        </w:rPr>
        <w:t>建议在制作投标书时，在目录后附一个评分索引表，方便查找。</w:t>
      </w:r>
    </w:p>
    <w:p w14:paraId="0C018A9E">
      <w:pPr>
        <w:pStyle w:val="101"/>
        <w:rPr>
          <w:color w:val="auto"/>
          <w:highlight w:val="none"/>
        </w:rPr>
      </w:pPr>
    </w:p>
    <w:p w14:paraId="6CC0EB29">
      <w:pPr>
        <w:pStyle w:val="164"/>
        <w:ind w:right="42" w:rightChars="20"/>
        <w:rPr>
          <w:rFonts w:asciiTheme="minorEastAsia" w:hAnsiTheme="minorEastAsia" w:eastAsiaTheme="minorEastAsia"/>
          <w:color w:val="auto"/>
          <w:highlight w:val="none"/>
        </w:rPr>
      </w:pPr>
      <w:r>
        <w:rPr>
          <w:rStyle w:val="70"/>
          <w:rFonts w:hint="eastAsia" w:cs="微软雅黑" w:asciiTheme="minorEastAsia" w:hAnsiTheme="minorEastAsia" w:eastAsiaTheme="minorEastAsia"/>
          <w:b w:val="0"/>
          <w:color w:val="auto"/>
          <w:highlight w:val="none"/>
        </w:rPr>
        <w:t>第五章  政府采购合同</w:t>
      </w:r>
      <w:bookmarkEnd w:id="289"/>
      <w:bookmarkEnd w:id="290"/>
      <w:bookmarkEnd w:id="291"/>
      <w:bookmarkEnd w:id="292"/>
    </w:p>
    <w:p w14:paraId="058180E5">
      <w:pPr>
        <w:pStyle w:val="39"/>
        <w:spacing w:before="0" w:after="0" w:line="360" w:lineRule="auto"/>
        <w:ind w:right="42" w:rightChars="20" w:firstLine="422" w:firstLineChars="200"/>
        <w:outlineLvl w:val="0"/>
        <w:rPr>
          <w:rFonts w:asciiTheme="minorEastAsia" w:hAnsiTheme="minorEastAsia" w:eastAsiaTheme="minorEastAsia"/>
          <w:color w:val="auto"/>
          <w:sz w:val="21"/>
          <w:szCs w:val="21"/>
          <w:highlight w:val="none"/>
        </w:rPr>
      </w:pPr>
      <w:bookmarkStart w:id="293" w:name="_Toc24052"/>
      <w:bookmarkStart w:id="294" w:name="_Toc427915780"/>
      <w:bookmarkStart w:id="295" w:name="_Toc493511827"/>
      <w:bookmarkStart w:id="296" w:name="_Toc417992897"/>
      <w:bookmarkStart w:id="297" w:name="_Toc416422801"/>
      <w:bookmarkStart w:id="298" w:name="_Toc50012906"/>
      <w:bookmarkStart w:id="299" w:name="_Toc416422466"/>
      <w:r>
        <w:rPr>
          <w:rFonts w:hint="eastAsia" w:asciiTheme="minorEastAsia" w:hAnsiTheme="minorEastAsia" w:eastAsiaTheme="minorEastAsia"/>
          <w:color w:val="auto"/>
          <w:sz w:val="21"/>
          <w:szCs w:val="21"/>
          <w:highlight w:val="none"/>
        </w:rPr>
        <w:t>政府采购合同</w:t>
      </w:r>
      <w:bookmarkEnd w:id="293"/>
      <w:bookmarkEnd w:id="294"/>
      <w:bookmarkEnd w:id="295"/>
      <w:bookmarkEnd w:id="296"/>
      <w:bookmarkEnd w:id="297"/>
      <w:bookmarkEnd w:id="298"/>
      <w:bookmarkEnd w:id="299"/>
    </w:p>
    <w:p w14:paraId="1B6FA29F">
      <w:pPr>
        <w:spacing w:line="360" w:lineRule="auto"/>
        <w:ind w:right="42" w:rightChars="20" w:firstLine="422" w:firstLineChars="200"/>
        <w:jc w:val="cente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一、通用必备条款部份</w:t>
      </w:r>
    </w:p>
    <w:p w14:paraId="2FED2029">
      <w:pPr>
        <w:pStyle w:val="29"/>
        <w:snapToGrid w:val="0"/>
        <w:spacing w:line="360" w:lineRule="auto"/>
        <w:ind w:right="42" w:rightChars="20" w:firstLine="422" w:firstLineChars="200"/>
        <w:jc w:val="left"/>
        <w:rPr>
          <w:rFonts w:asciiTheme="minorEastAsia" w:hAnsiTheme="minorEastAsia" w:eastAsiaTheme="minorEastAsia"/>
          <w:bCs/>
          <w:color w:val="auto"/>
          <w:szCs w:val="21"/>
          <w:highlight w:val="none"/>
        </w:rPr>
      </w:pPr>
      <w:r>
        <w:rPr>
          <w:rFonts w:hint="eastAsia" w:asciiTheme="minorEastAsia" w:hAnsiTheme="minorEastAsia" w:eastAsiaTheme="minorEastAsia"/>
          <w:b/>
          <w:color w:val="auto"/>
          <w:szCs w:val="21"/>
          <w:highlight w:val="none"/>
        </w:rPr>
        <w:t>合同</w:t>
      </w:r>
      <w:r>
        <w:rPr>
          <w:rFonts w:asciiTheme="minorEastAsia" w:hAnsiTheme="minorEastAsia" w:eastAsiaTheme="minorEastAsia"/>
          <w:b/>
          <w:color w:val="auto"/>
          <w:szCs w:val="21"/>
          <w:highlight w:val="none"/>
        </w:rPr>
        <w:t>编号：</w:t>
      </w:r>
    </w:p>
    <w:p w14:paraId="6050E4EC">
      <w:pPr>
        <w:pStyle w:val="29"/>
        <w:snapToGrid w:val="0"/>
        <w:spacing w:line="360" w:lineRule="auto"/>
        <w:ind w:right="42" w:rightChars="20" w:firstLine="422" w:firstLineChars="200"/>
        <w:jc w:val="left"/>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 xml:space="preserve">政府采购计划（预算）确认号：  </w:t>
      </w:r>
    </w:p>
    <w:p w14:paraId="7C483DD8">
      <w:pPr>
        <w:pStyle w:val="29"/>
        <w:snapToGrid w:val="0"/>
        <w:spacing w:line="360" w:lineRule="auto"/>
        <w:ind w:right="42" w:rightChars="20" w:firstLine="422"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预算金额</w:t>
      </w:r>
      <w:r>
        <w:rPr>
          <w:rFonts w:hint="eastAsia" w:asciiTheme="minorEastAsia" w:hAnsiTheme="minorEastAsia" w:eastAsiaTheme="minorEastAsia"/>
          <w:color w:val="auto"/>
          <w:szCs w:val="21"/>
          <w:highlight w:val="none"/>
        </w:rPr>
        <w:t xml:space="preserve">： </w:t>
      </w:r>
    </w:p>
    <w:p w14:paraId="66D7A328">
      <w:pPr>
        <w:snapToGrid w:val="0"/>
        <w:spacing w:line="360" w:lineRule="auto"/>
        <w:ind w:right="42" w:rightChars="20" w:firstLine="422"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采购人（以下称甲方）：</w:t>
      </w:r>
    </w:p>
    <w:p w14:paraId="220ADF95">
      <w:pPr>
        <w:pStyle w:val="29"/>
        <w:snapToGrid w:val="0"/>
        <w:spacing w:line="360" w:lineRule="auto"/>
        <w:ind w:right="42" w:rightChars="20" w:firstLine="422" w:firstLineChars="200"/>
        <w:jc w:val="left"/>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投标人（以下称乙方）：</w:t>
      </w:r>
    </w:p>
    <w:p w14:paraId="6EB238CC">
      <w:pPr>
        <w:pStyle w:val="29"/>
        <w:snapToGrid w:val="0"/>
        <w:spacing w:line="360" w:lineRule="auto"/>
        <w:ind w:right="42" w:rightChars="20" w:firstLine="422"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采购代理机构：</w:t>
      </w:r>
    </w:p>
    <w:p w14:paraId="60221152">
      <w:pPr>
        <w:pStyle w:val="29"/>
        <w:snapToGrid w:val="0"/>
        <w:spacing w:line="360" w:lineRule="auto"/>
        <w:ind w:right="42" w:rightChars="20" w:firstLine="422"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采购方式：</w:t>
      </w:r>
      <w:r>
        <w:rPr>
          <w:rFonts w:hint="eastAsia" w:asciiTheme="minorEastAsia" w:hAnsiTheme="minorEastAsia" w:eastAsiaTheme="minorEastAsia"/>
          <w:color w:val="auto"/>
          <w:szCs w:val="21"/>
          <w:highlight w:val="none"/>
        </w:rPr>
        <w:t>公开招标</w:t>
      </w:r>
    </w:p>
    <w:p w14:paraId="31719B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根据《中华人民共和国政府采购法》、《中华人民共和国民法典》等法律法规的规定，甲、乙双方按照</w:t>
      </w:r>
      <w:r>
        <w:rPr>
          <w:rFonts w:hint="eastAsia" w:cs="Tahoma" w:asciiTheme="minorEastAsia" w:hAnsiTheme="minorEastAsia" w:eastAsiaTheme="minorEastAsia"/>
          <w:bCs/>
          <w:color w:val="auto"/>
          <w:kern w:val="36"/>
          <w:szCs w:val="21"/>
          <w:highlight w:val="none"/>
        </w:rPr>
        <w:t>项目</w:t>
      </w:r>
      <w:r>
        <w:rPr>
          <w:rFonts w:hint="eastAsia" w:asciiTheme="minorEastAsia" w:hAnsiTheme="minorEastAsia" w:eastAsiaTheme="minorEastAsia"/>
          <w:color w:val="auto"/>
          <w:szCs w:val="21"/>
          <w:highlight w:val="none"/>
        </w:rPr>
        <w:t>采购结果签订本合同。</w:t>
      </w:r>
    </w:p>
    <w:p w14:paraId="3ED321C3">
      <w:pPr>
        <w:shd w:val="clear" w:color="auto" w:fill="FFFFFF"/>
        <w:tabs>
          <w:tab w:val="left" w:pos="916"/>
          <w:tab w:val="left" w:pos="1832"/>
          <w:tab w:val="left" w:pos="2748"/>
        </w:tabs>
        <w:spacing w:line="360" w:lineRule="auto"/>
        <w:ind w:right="42" w:rightChars="20" w:firstLine="422" w:firstLineChars="200"/>
        <w:jc w:val="left"/>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第一条 合同组成</w:t>
      </w:r>
      <w:r>
        <w:rPr>
          <w:rFonts w:asciiTheme="minorEastAsia" w:hAnsiTheme="minorEastAsia" w:eastAsiaTheme="minorEastAsia"/>
          <w:b/>
          <w:color w:val="auto"/>
          <w:szCs w:val="21"/>
          <w:highlight w:val="none"/>
        </w:rPr>
        <w:tab/>
      </w:r>
    </w:p>
    <w:p w14:paraId="0BAFD5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本次政府采购活动的相关文件为本合同的组成部分，这些文件包括但不限于：</w:t>
      </w:r>
    </w:p>
    <w:p w14:paraId="26D5AD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1、本合同文本；</w:t>
      </w:r>
    </w:p>
    <w:p w14:paraId="66D37E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2、采购文件与采购投标文件；</w:t>
      </w:r>
    </w:p>
    <w:p w14:paraId="1A90E7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3、中标或成交通知书；</w:t>
      </w:r>
    </w:p>
    <w:p w14:paraId="1BCB41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组成本合同的所有文件必须为书面形式。政府采购合同备案时，须提供以上1、3两项，如由社会中介机构代理，须提供代理协议，合同如有变更的，须提供变更协议。</w:t>
      </w:r>
    </w:p>
    <w:p w14:paraId="4C8D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42" w:rightChars="20" w:firstLine="422" w:firstLineChars="200"/>
        <w:jc w:val="left"/>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第二条 合同标的与相关属性</w:t>
      </w:r>
    </w:p>
    <w:p w14:paraId="00AAAEF6">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1、本次采购的是</w:t>
      </w:r>
      <w:r>
        <w:rPr>
          <w:rFonts w:hint="eastAsia" w:asciiTheme="minorEastAsia" w:hAnsiTheme="minorEastAsia" w:eastAsiaTheme="minorEastAsia"/>
          <w:color w:val="auto"/>
          <w:szCs w:val="21"/>
          <w:highlight w:val="none"/>
          <w:u w:val="single"/>
        </w:rPr>
        <w:t xml:space="preserve">                    </w:t>
      </w:r>
      <w:r>
        <w:rPr>
          <w:rFonts w:hint="eastAsia" w:cs="Tahoma" w:asciiTheme="minorEastAsia" w:hAnsiTheme="minorEastAsia" w:eastAsiaTheme="minorEastAsia"/>
          <w:bCs/>
          <w:color w:val="auto"/>
          <w:kern w:val="36"/>
          <w:szCs w:val="21"/>
          <w:highlight w:val="none"/>
        </w:rPr>
        <w:t>项目</w:t>
      </w:r>
    </w:p>
    <w:p w14:paraId="6EE03C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2、乙方是否属于中小微企业：□是□否</w:t>
      </w:r>
    </w:p>
    <w:p w14:paraId="256932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3、本合同项下产品属于（可多选）：□环保产品；□节能产品；□进口产品</w:t>
      </w:r>
    </w:p>
    <w:p w14:paraId="4C75A5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42" w:rightChars="20" w:firstLine="422" w:firstLineChars="200"/>
        <w:jc w:val="left"/>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第三条 合同价款</w:t>
      </w:r>
    </w:p>
    <w:p w14:paraId="05A2A0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1、本合同项下总价款为（大写）</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人民币，分项价款见“价格清单”（如有）”。</w:t>
      </w:r>
    </w:p>
    <w:p w14:paraId="127FA58D">
      <w:pPr>
        <w:widowControl/>
        <w:spacing w:line="460" w:lineRule="exact"/>
        <w:ind w:right="42" w:rightChars="20" w:firstLine="480"/>
        <w:rPr>
          <w:rFonts w:asciiTheme="minorEastAsia" w:hAnsiTheme="minorEastAsia" w:eastAsiaTheme="minorEastAsia"/>
          <w:b/>
          <w:bCs/>
          <w:color w:val="auto"/>
          <w:szCs w:val="21"/>
          <w:highlight w:val="none"/>
        </w:rPr>
      </w:pPr>
      <w:r>
        <w:rPr>
          <w:rFonts w:hint="eastAsia" w:asciiTheme="minorEastAsia" w:hAnsiTheme="minorEastAsia" w:eastAsiaTheme="minorEastAsia"/>
          <w:color w:val="auto"/>
          <w:szCs w:val="21"/>
          <w:highlight w:val="none"/>
        </w:rPr>
        <w:t>2、本合同总价款含所有</w:t>
      </w:r>
      <w:r>
        <w:rPr>
          <w:rFonts w:hint="eastAsia" w:asciiTheme="minorEastAsia" w:hAnsiTheme="minorEastAsia" w:eastAsiaTheme="minorEastAsia"/>
          <w:b/>
          <w:bCs/>
          <w:color w:val="auto"/>
          <w:szCs w:val="21"/>
          <w:highlight w:val="none"/>
        </w:rPr>
        <w:t xml:space="preserve"> (</w:t>
      </w:r>
      <w:r>
        <w:rPr>
          <w:rFonts w:hint="eastAsia" w:ascii="宋体" w:hAnsi="宋体" w:eastAsia="宋体" w:cs="宋体"/>
          <w:color w:val="auto"/>
          <w:szCs w:val="21"/>
          <w:highlight w:val="none"/>
        </w:rPr>
        <w:t>包括完成招标范围内的服务、设备、劳务、管理、风险费、保险、利润、税金、工伤保险费、耐水洗RFID标签制作、缝制及所需耐水洗RFID标签及服务配套的软件硬件设备所需一切费用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包括：RFID移动终端、便携蓝牙条码打印机、热塑标签打印机、热压机、数据库服务器及医护制服智能交接柜的服务系统等软硬件设备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耐水洗RFID标签必须保证服务期内正常使用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政策性文件规定的各项应有费用及合同包含的所有风险责任等所有费用。</w:t>
      </w:r>
      <w:r>
        <w:rPr>
          <w:rFonts w:hint="eastAsia" w:asciiTheme="minorEastAsia" w:hAnsiTheme="minorEastAsia" w:eastAsiaTheme="minorEastAsia"/>
          <w:b/>
          <w:bCs/>
          <w:color w:val="auto"/>
          <w:szCs w:val="21"/>
          <w:highlight w:val="none"/>
        </w:rPr>
        <w:t>)</w:t>
      </w:r>
    </w:p>
    <w:p w14:paraId="0029D7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3、本合同付款方式为以下第</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 xml:space="preserve"> 项：</w:t>
      </w:r>
    </w:p>
    <w:p w14:paraId="18A6DB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（1）本合同项下的采购资金系甲方自行支付，付款程序为 </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w:t>
      </w:r>
    </w:p>
    <w:p w14:paraId="38456C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（2）本合同项下的采购资金须财政直接支付，付款程序为 </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w:t>
      </w:r>
    </w:p>
    <w:p w14:paraId="7E00D2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（3）其他方式：</w:t>
      </w:r>
      <w:r>
        <w:rPr>
          <w:rFonts w:hint="eastAsia" w:asciiTheme="minorEastAsia" w:hAnsiTheme="minorEastAsia" w:eastAsiaTheme="minorEastAsia"/>
          <w:color w:val="auto"/>
          <w:szCs w:val="21"/>
          <w:highlight w:val="none"/>
          <w:u w:val="single"/>
        </w:rPr>
        <w:t xml:space="preserve">                    </w:t>
      </w:r>
    </w:p>
    <w:p w14:paraId="7E2088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4、本合同项下的采购资金付款进度按招投标文件规定，未规定时按以下第 </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项支付：</w:t>
      </w:r>
    </w:p>
    <w:p w14:paraId="4B9C0C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（1）一次性付款：乙方合同履行达到 </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（条件）时，一次性付款；</w:t>
      </w:r>
    </w:p>
    <w:p w14:paraId="78C34E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（2）分期付款</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时支付</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 xml:space="preserve">时支付 </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 xml:space="preserve">时支付 </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 xml:space="preserve"> ；</w:t>
      </w:r>
    </w:p>
    <w:p w14:paraId="184DBC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若收取了履约保证金，则不应重复设置尾款支付条件。</w:t>
      </w:r>
    </w:p>
    <w:p w14:paraId="4D4284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42" w:rightChars="20" w:firstLine="422" w:firstLineChars="200"/>
        <w:jc w:val="left"/>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第四条 履约保证金</w:t>
      </w:r>
    </w:p>
    <w:p w14:paraId="21BC1F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按以下第 </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项处理：</w:t>
      </w:r>
    </w:p>
    <w:p w14:paraId="53CA10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1、本项目设置履约保证金，乙方应于</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（时间）向甲方提交履约保证金</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 xml:space="preserve"> 元（不得高于本合同金额的1%）。履约保证金在 </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（时间）退还乙方。</w:t>
      </w:r>
    </w:p>
    <w:p w14:paraId="59CB87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2、本项目不设置履约保证金</w:t>
      </w:r>
    </w:p>
    <w:p w14:paraId="6841DE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42" w:rightChars="20" w:firstLine="422" w:firstLineChars="200"/>
        <w:jc w:val="left"/>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第五条 合同的变更和终止</w:t>
      </w:r>
    </w:p>
    <w:p w14:paraId="4F1C4E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除《政府采购法》第49条、第50条第二款规定的情形外，本合同一经签订，甲乙双方不得擅自终止合同或对合同实质性条款进行变更。确有特殊情况的，须经同级财政部门备案同意。</w:t>
      </w:r>
    </w:p>
    <w:p w14:paraId="659B60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42" w:rightChars="20" w:firstLine="422" w:firstLineChars="200"/>
        <w:jc w:val="left"/>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第六条 合同的转让与分包</w:t>
      </w:r>
    </w:p>
    <w:p w14:paraId="381DF9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乙方不得擅自部分或全部转让其应履行的合同义务。乙方分包的，应经过甲方书面同意。</w:t>
      </w:r>
    </w:p>
    <w:p w14:paraId="10569A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42" w:rightChars="20" w:firstLine="422" w:firstLineChars="200"/>
        <w:jc w:val="left"/>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第七条 争议的解决</w:t>
      </w:r>
    </w:p>
    <w:p w14:paraId="5120C1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1、因履行本合同引起的或与本合同有关的争议，甲、乙双方应首先通过友好协商解决，如果协商不能解决争议，则采取以下第</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种方式解决争议：</w:t>
      </w:r>
    </w:p>
    <w:p w14:paraId="252B69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（1）向甲方所在地有管辖权的人民法院提起诉讼；</w:t>
      </w:r>
    </w:p>
    <w:p w14:paraId="649EB6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（2）向 </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仲裁委员申请仲裁。</w:t>
      </w:r>
    </w:p>
    <w:p w14:paraId="30A46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42" w:rightChars="20" w:firstLine="422" w:firstLineChars="200"/>
        <w:jc w:val="left"/>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第八条 合同备案及其他</w:t>
      </w:r>
    </w:p>
    <w:p w14:paraId="1B90A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本合同一式五份，甲乙双方各执二份，一份送招标代理机构存档。</w:t>
      </w:r>
    </w:p>
    <w:p w14:paraId="0A4BFC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42" w:rightChars="20" w:firstLine="422" w:firstLineChars="200"/>
        <w:jc w:val="left"/>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二、特殊专用条款部份</w:t>
      </w:r>
    </w:p>
    <w:p w14:paraId="4F25BB95">
      <w:pPr>
        <w:numPr>
          <w:ilvl w:val="0"/>
          <w:numId w:val="6"/>
        </w:numPr>
        <w:autoSpaceDE w:val="0"/>
        <w:autoSpaceDN w:val="0"/>
        <w:adjustRightInd w:val="0"/>
        <w:spacing w:line="360" w:lineRule="auto"/>
        <w:ind w:left="0" w:right="42" w:rightChars="20" w:firstLine="422" w:firstLineChars="200"/>
        <w:jc w:val="left"/>
        <w:rPr>
          <w:rFonts w:asciiTheme="minorEastAsia" w:hAnsiTheme="minorEastAsia" w:eastAsiaTheme="minorEastAsia"/>
          <w:b/>
          <w:color w:val="auto"/>
          <w:kern w:val="36"/>
          <w:szCs w:val="21"/>
          <w:highlight w:val="none"/>
        </w:rPr>
      </w:pPr>
      <w:r>
        <w:rPr>
          <w:rFonts w:hint="eastAsia" w:asciiTheme="minorEastAsia" w:hAnsiTheme="minorEastAsia" w:eastAsiaTheme="minorEastAsia"/>
          <w:b/>
          <w:color w:val="auto"/>
          <w:kern w:val="36"/>
          <w:szCs w:val="21"/>
          <w:highlight w:val="none"/>
        </w:rPr>
        <w:t>服务内容</w:t>
      </w:r>
    </w:p>
    <w:p w14:paraId="05C68B54">
      <w:pPr>
        <w:autoSpaceDE w:val="0"/>
        <w:autoSpaceDN w:val="0"/>
        <w:adjustRightInd w:val="0"/>
        <w:spacing w:line="360" w:lineRule="auto"/>
        <w:ind w:right="42" w:rightChars="20" w:firstLine="422" w:firstLineChars="200"/>
        <w:jc w:val="left"/>
        <w:rPr>
          <w:rFonts w:asciiTheme="minorEastAsia" w:hAnsiTheme="minorEastAsia" w:eastAsiaTheme="minorEastAsia"/>
          <w:b/>
          <w:color w:val="auto"/>
          <w:kern w:val="36"/>
          <w:szCs w:val="21"/>
          <w:highlight w:val="none"/>
        </w:rPr>
      </w:pPr>
      <w:r>
        <w:rPr>
          <w:rFonts w:asciiTheme="minorEastAsia" w:hAnsiTheme="minorEastAsia" w:eastAsiaTheme="minorEastAsia"/>
          <w:b/>
          <w:color w:val="auto"/>
          <w:kern w:val="36"/>
          <w:szCs w:val="21"/>
          <w:highlight w:val="none"/>
        </w:rPr>
        <w:t>……</w:t>
      </w:r>
    </w:p>
    <w:p w14:paraId="027CF8E6">
      <w:pPr>
        <w:pStyle w:val="29"/>
        <w:snapToGrid w:val="0"/>
        <w:spacing w:line="360" w:lineRule="auto"/>
        <w:ind w:right="42" w:rightChars="20" w:firstLine="422" w:firstLineChars="200"/>
        <w:jc w:val="left"/>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 xml:space="preserve">第二条 </w:t>
      </w:r>
      <w:r>
        <w:rPr>
          <w:rFonts w:asciiTheme="minorEastAsia" w:hAnsiTheme="minorEastAsia" w:eastAsiaTheme="minorEastAsia"/>
          <w:b/>
          <w:color w:val="auto"/>
          <w:szCs w:val="21"/>
          <w:highlight w:val="none"/>
        </w:rPr>
        <w:t>合同履行时间、履行方式及履行地点</w:t>
      </w:r>
    </w:p>
    <w:p w14:paraId="3DFB28EF">
      <w:pPr>
        <w:pStyle w:val="29"/>
        <w:snapToGrid w:val="0"/>
        <w:spacing w:line="360" w:lineRule="auto"/>
        <w:ind w:right="42" w:rightChars="20" w:firstLine="420" w:firstLineChars="200"/>
        <w:jc w:val="left"/>
        <w:rPr>
          <w:rFonts w:asciiTheme="minorEastAsia" w:hAnsiTheme="minorEastAsia" w:eastAsiaTheme="minorEastAsia"/>
          <w:bCs/>
          <w:color w:val="auto"/>
          <w:szCs w:val="21"/>
          <w:highlight w:val="none"/>
        </w:rPr>
      </w:pPr>
      <w:r>
        <w:rPr>
          <w:rFonts w:asciiTheme="minorEastAsia" w:hAnsiTheme="minorEastAsia" w:eastAsiaTheme="minorEastAsia"/>
          <w:bCs/>
          <w:color w:val="auto"/>
          <w:szCs w:val="21"/>
          <w:highlight w:val="none"/>
        </w:rPr>
        <w:t>1</w:t>
      </w:r>
      <w:r>
        <w:rPr>
          <w:rFonts w:hint="eastAsia" w:asciiTheme="minorEastAsia" w:hAnsiTheme="minorEastAsia" w:eastAsiaTheme="minorEastAsia"/>
          <w:bCs/>
          <w:color w:val="auto"/>
          <w:szCs w:val="21"/>
          <w:highlight w:val="none"/>
        </w:rPr>
        <w:t>、</w:t>
      </w:r>
      <w:r>
        <w:rPr>
          <w:rFonts w:hint="eastAsia" w:asciiTheme="minorEastAsia" w:hAnsiTheme="minorEastAsia" w:eastAsiaTheme="minorEastAsia"/>
          <w:bCs/>
          <w:color w:val="auto"/>
          <w:szCs w:val="21"/>
          <w:highlight w:val="none"/>
          <w:lang w:val="en-US" w:eastAsia="zh-CN"/>
        </w:rPr>
        <w:t>服务期</w:t>
      </w:r>
      <w:r>
        <w:rPr>
          <w:rFonts w:asciiTheme="minorEastAsia" w:hAnsiTheme="minorEastAsia" w:eastAsiaTheme="minorEastAsia"/>
          <w:bCs/>
          <w:color w:val="auto"/>
          <w:szCs w:val="21"/>
          <w:highlight w:val="none"/>
        </w:rPr>
        <w:t>：</w:t>
      </w:r>
    </w:p>
    <w:p w14:paraId="7DAE590A">
      <w:pPr>
        <w:pStyle w:val="29"/>
        <w:snapToGrid w:val="0"/>
        <w:spacing w:line="360" w:lineRule="auto"/>
        <w:ind w:right="42" w:rightChars="20" w:firstLine="420" w:firstLineChars="200"/>
        <w:jc w:val="left"/>
        <w:rPr>
          <w:rFonts w:asciiTheme="minorEastAsia" w:hAnsiTheme="minorEastAsia" w:eastAsiaTheme="minorEastAsia"/>
          <w:bCs/>
          <w:color w:val="auto"/>
          <w:szCs w:val="21"/>
          <w:highlight w:val="none"/>
        </w:rPr>
      </w:pPr>
      <w:r>
        <w:rPr>
          <w:rFonts w:asciiTheme="minorEastAsia" w:hAnsiTheme="minorEastAsia" w:eastAsiaTheme="minorEastAsia"/>
          <w:bCs/>
          <w:color w:val="auto"/>
          <w:szCs w:val="21"/>
          <w:highlight w:val="none"/>
        </w:rPr>
        <w:t>2</w:t>
      </w:r>
      <w:r>
        <w:rPr>
          <w:rFonts w:hint="eastAsia" w:asciiTheme="minorEastAsia" w:hAnsiTheme="minorEastAsia" w:eastAsiaTheme="minorEastAsia"/>
          <w:bCs/>
          <w:color w:val="auto"/>
          <w:szCs w:val="21"/>
          <w:highlight w:val="none"/>
        </w:rPr>
        <w:t>、</w:t>
      </w:r>
      <w:r>
        <w:rPr>
          <w:rFonts w:asciiTheme="minorEastAsia" w:hAnsiTheme="minorEastAsia" w:eastAsiaTheme="minorEastAsia"/>
          <w:color w:val="auto"/>
          <w:szCs w:val="21"/>
          <w:highlight w:val="none"/>
        </w:rPr>
        <w:t>履行方式</w:t>
      </w:r>
      <w:r>
        <w:rPr>
          <w:rFonts w:asciiTheme="minorEastAsia" w:hAnsiTheme="minorEastAsia" w:eastAsiaTheme="minorEastAsia"/>
          <w:bCs/>
          <w:color w:val="auto"/>
          <w:szCs w:val="21"/>
          <w:highlight w:val="none"/>
        </w:rPr>
        <w:t>：</w:t>
      </w:r>
    </w:p>
    <w:p w14:paraId="111B14FE">
      <w:pPr>
        <w:pStyle w:val="29"/>
        <w:snapToGrid w:val="0"/>
        <w:spacing w:line="360" w:lineRule="auto"/>
        <w:ind w:right="42" w:rightChars="20" w:firstLine="420" w:firstLineChars="200"/>
        <w:jc w:val="left"/>
        <w:rPr>
          <w:rFonts w:asciiTheme="minorEastAsia" w:hAnsiTheme="minorEastAsia" w:eastAsiaTheme="minorEastAsia"/>
          <w:bCs/>
          <w:color w:val="auto"/>
          <w:szCs w:val="21"/>
          <w:highlight w:val="none"/>
        </w:rPr>
      </w:pPr>
      <w:r>
        <w:rPr>
          <w:rFonts w:asciiTheme="minorEastAsia" w:hAnsiTheme="minorEastAsia" w:eastAsiaTheme="minorEastAsia"/>
          <w:bCs/>
          <w:color w:val="auto"/>
          <w:szCs w:val="21"/>
          <w:highlight w:val="none"/>
        </w:rPr>
        <w:t>3</w:t>
      </w:r>
      <w:r>
        <w:rPr>
          <w:rFonts w:hint="eastAsia" w:asciiTheme="minorEastAsia" w:hAnsiTheme="minorEastAsia" w:eastAsiaTheme="minorEastAsia"/>
          <w:bCs/>
          <w:color w:val="auto"/>
          <w:szCs w:val="21"/>
          <w:highlight w:val="none"/>
        </w:rPr>
        <w:t>、</w:t>
      </w:r>
      <w:r>
        <w:rPr>
          <w:rFonts w:hint="eastAsia" w:asciiTheme="minorEastAsia" w:hAnsiTheme="minorEastAsia" w:eastAsiaTheme="minorEastAsia"/>
          <w:color w:val="auto"/>
          <w:szCs w:val="21"/>
          <w:highlight w:val="none"/>
          <w:lang w:val="en-US" w:eastAsia="zh-CN"/>
        </w:rPr>
        <w:t>服务</w:t>
      </w:r>
      <w:r>
        <w:rPr>
          <w:rFonts w:asciiTheme="minorEastAsia" w:hAnsiTheme="minorEastAsia" w:eastAsiaTheme="minorEastAsia"/>
          <w:color w:val="auto"/>
          <w:szCs w:val="21"/>
          <w:highlight w:val="none"/>
        </w:rPr>
        <w:t>地点</w:t>
      </w:r>
      <w:r>
        <w:rPr>
          <w:rFonts w:asciiTheme="minorEastAsia" w:hAnsiTheme="minorEastAsia" w:eastAsiaTheme="minorEastAsia"/>
          <w:bCs/>
          <w:color w:val="auto"/>
          <w:szCs w:val="21"/>
          <w:highlight w:val="none"/>
        </w:rPr>
        <w:t>：</w:t>
      </w:r>
    </w:p>
    <w:p w14:paraId="08827CEB">
      <w:pPr>
        <w:pStyle w:val="29"/>
        <w:snapToGrid w:val="0"/>
        <w:spacing w:line="360" w:lineRule="auto"/>
        <w:ind w:right="42" w:rightChars="20" w:firstLine="422" w:firstLineChars="200"/>
        <w:jc w:val="left"/>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第</w:t>
      </w:r>
      <w:r>
        <w:rPr>
          <w:rFonts w:asciiTheme="minorEastAsia" w:hAnsiTheme="minorEastAsia" w:eastAsiaTheme="minorEastAsia"/>
          <w:b/>
          <w:color w:val="auto"/>
          <w:szCs w:val="21"/>
          <w:highlight w:val="none"/>
        </w:rPr>
        <w:t>三</w:t>
      </w:r>
      <w:r>
        <w:rPr>
          <w:rFonts w:hint="eastAsia" w:asciiTheme="minorEastAsia" w:hAnsiTheme="minorEastAsia" w:eastAsiaTheme="minorEastAsia"/>
          <w:b/>
          <w:color w:val="auto"/>
          <w:szCs w:val="21"/>
          <w:highlight w:val="none"/>
        </w:rPr>
        <w:t xml:space="preserve">条 </w:t>
      </w:r>
      <w:r>
        <w:rPr>
          <w:rFonts w:asciiTheme="minorEastAsia" w:hAnsiTheme="minorEastAsia" w:eastAsiaTheme="minorEastAsia"/>
          <w:b/>
          <w:color w:val="auto"/>
          <w:szCs w:val="21"/>
          <w:highlight w:val="none"/>
        </w:rPr>
        <w:t>技术资料</w:t>
      </w:r>
    </w:p>
    <w:p w14:paraId="38CE7BC5">
      <w:pPr>
        <w:pStyle w:val="29"/>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乙方应按招标文件规定的时间向甲方提供有关技术资料。</w:t>
      </w:r>
    </w:p>
    <w:p w14:paraId="3D027D38">
      <w:pPr>
        <w:pStyle w:val="29"/>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7C47907B">
      <w:pPr>
        <w:pStyle w:val="29"/>
        <w:snapToGrid w:val="0"/>
        <w:spacing w:line="360" w:lineRule="auto"/>
        <w:ind w:right="42" w:rightChars="20" w:firstLine="422" w:firstLineChars="200"/>
        <w:jc w:val="left"/>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第</w:t>
      </w:r>
      <w:r>
        <w:rPr>
          <w:rFonts w:asciiTheme="minorEastAsia" w:hAnsiTheme="minorEastAsia" w:eastAsiaTheme="minorEastAsia"/>
          <w:b/>
          <w:color w:val="auto"/>
          <w:szCs w:val="21"/>
          <w:highlight w:val="none"/>
        </w:rPr>
        <w:t>四</w:t>
      </w:r>
      <w:r>
        <w:rPr>
          <w:rFonts w:hint="eastAsia" w:asciiTheme="minorEastAsia" w:hAnsiTheme="minorEastAsia" w:eastAsiaTheme="minorEastAsia"/>
          <w:b/>
          <w:color w:val="auto"/>
          <w:szCs w:val="21"/>
          <w:highlight w:val="none"/>
        </w:rPr>
        <w:t xml:space="preserve">条 </w:t>
      </w:r>
      <w:r>
        <w:rPr>
          <w:rFonts w:asciiTheme="minorEastAsia" w:hAnsiTheme="minorEastAsia" w:eastAsiaTheme="minorEastAsia"/>
          <w:b/>
          <w:color w:val="auto"/>
          <w:szCs w:val="21"/>
          <w:highlight w:val="none"/>
        </w:rPr>
        <w:t>知识产权</w:t>
      </w:r>
    </w:p>
    <w:p w14:paraId="28D044F5">
      <w:pPr>
        <w:pStyle w:val="29"/>
        <w:snapToGrid w:val="0"/>
        <w:spacing w:line="360" w:lineRule="auto"/>
        <w:ind w:right="42" w:rightChars="20" w:firstLine="420" w:firstLineChars="200"/>
        <w:jc w:val="left"/>
        <w:rPr>
          <w:rFonts w:asciiTheme="minorEastAsia" w:hAnsiTheme="minorEastAsia" w:eastAsiaTheme="minorEastAsia"/>
          <w:b/>
          <w:bCs/>
          <w:color w:val="auto"/>
          <w:szCs w:val="21"/>
          <w:highlight w:val="none"/>
        </w:rPr>
      </w:pPr>
      <w:r>
        <w:rPr>
          <w:rFonts w:asciiTheme="minorEastAsia" w:hAnsiTheme="minorEastAsia" w:eastAsiaTheme="minorEastAsia"/>
          <w:color w:val="auto"/>
          <w:szCs w:val="21"/>
          <w:highlight w:val="none"/>
        </w:rPr>
        <w:t>乙方应保证提供服务过程中不会侵犯任何第三方的</w:t>
      </w:r>
      <w:r>
        <w:rPr>
          <w:rFonts w:asciiTheme="minorEastAsia" w:hAnsiTheme="minorEastAsia" w:eastAsiaTheme="minorEastAsia"/>
          <w:b/>
          <w:color w:val="auto"/>
          <w:szCs w:val="21"/>
          <w:highlight w:val="none"/>
        </w:rPr>
        <w:t>知识产权</w:t>
      </w:r>
      <w:r>
        <w:rPr>
          <w:rFonts w:asciiTheme="minorEastAsia" w:hAnsiTheme="minorEastAsia" w:eastAsiaTheme="minorEastAsia"/>
          <w:b/>
          <w:bCs/>
          <w:color w:val="auto"/>
          <w:szCs w:val="21"/>
          <w:highlight w:val="none"/>
        </w:rPr>
        <w:t>。</w:t>
      </w:r>
    </w:p>
    <w:p w14:paraId="5FDF4F65">
      <w:pPr>
        <w:pStyle w:val="29"/>
        <w:snapToGrid w:val="0"/>
        <w:spacing w:line="360" w:lineRule="auto"/>
        <w:ind w:right="42" w:rightChars="20" w:firstLine="422" w:firstLineChars="200"/>
        <w:jc w:val="left"/>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 xml:space="preserve">第五条 </w:t>
      </w:r>
      <w:r>
        <w:rPr>
          <w:rFonts w:asciiTheme="minorEastAsia" w:hAnsiTheme="minorEastAsia" w:eastAsiaTheme="minorEastAsia"/>
          <w:b/>
          <w:color w:val="auto"/>
          <w:szCs w:val="21"/>
          <w:highlight w:val="none"/>
        </w:rPr>
        <w:t>履约保证金</w:t>
      </w:r>
    </w:p>
    <w:p w14:paraId="01566FE1">
      <w:pPr>
        <w:pStyle w:val="29"/>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乙方交纳人民币</w:t>
      </w:r>
      <w:r>
        <w:rPr>
          <w:rFonts w:hint="eastAsia" w:asciiTheme="minorEastAsia" w:hAnsiTheme="minorEastAsia" w:eastAsiaTheme="minorEastAsia"/>
          <w:color w:val="auto"/>
          <w:szCs w:val="21"/>
          <w:highlight w:val="none"/>
          <w:u w:val="single"/>
        </w:rPr>
        <w:t xml:space="preserve">      </w:t>
      </w:r>
      <w:r>
        <w:rPr>
          <w:rFonts w:asciiTheme="minorEastAsia" w:hAnsiTheme="minorEastAsia" w:eastAsiaTheme="minorEastAsia"/>
          <w:color w:val="auto"/>
          <w:szCs w:val="21"/>
          <w:highlight w:val="none"/>
        </w:rPr>
        <w:t>元作为本合同的履约保证金。</w:t>
      </w:r>
    </w:p>
    <w:p w14:paraId="2F51C192">
      <w:pPr>
        <w:snapToGrid w:val="0"/>
        <w:spacing w:line="360" w:lineRule="auto"/>
        <w:ind w:right="42" w:rightChars="20" w:firstLine="422" w:firstLineChars="200"/>
        <w:jc w:val="left"/>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第六条 税费</w:t>
      </w:r>
    </w:p>
    <w:p w14:paraId="373A9BCF">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本合同执行中相关的一切税费均由</w:t>
      </w:r>
      <w:r>
        <w:rPr>
          <w:rFonts w:asciiTheme="minorEastAsia" w:hAnsiTheme="minorEastAsia" w:eastAsiaTheme="minorEastAsia"/>
          <w:color w:val="auto"/>
          <w:szCs w:val="21"/>
          <w:highlight w:val="none"/>
        </w:rPr>
        <w:t>乙</w:t>
      </w:r>
      <w:r>
        <w:rPr>
          <w:rFonts w:hint="eastAsia" w:asciiTheme="minorEastAsia" w:hAnsiTheme="minorEastAsia" w:eastAsiaTheme="minorEastAsia"/>
          <w:color w:val="auto"/>
          <w:szCs w:val="21"/>
          <w:highlight w:val="none"/>
        </w:rPr>
        <w:t>方负担。</w:t>
      </w:r>
    </w:p>
    <w:p w14:paraId="0F4CE2B7">
      <w:pPr>
        <w:pStyle w:val="29"/>
        <w:snapToGrid w:val="0"/>
        <w:spacing w:line="360" w:lineRule="auto"/>
        <w:ind w:right="42" w:rightChars="20" w:firstLine="422" w:firstLineChars="200"/>
        <w:jc w:val="left"/>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 xml:space="preserve">第七条 </w:t>
      </w:r>
      <w:r>
        <w:rPr>
          <w:rFonts w:asciiTheme="minorEastAsia" w:hAnsiTheme="minorEastAsia" w:eastAsiaTheme="minorEastAsia"/>
          <w:b/>
          <w:color w:val="auto"/>
          <w:szCs w:val="21"/>
          <w:highlight w:val="none"/>
        </w:rPr>
        <w:t>违约责任</w:t>
      </w:r>
    </w:p>
    <w:p w14:paraId="709F1C80">
      <w:pPr>
        <w:pStyle w:val="29"/>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r>
        <w:rPr>
          <w:rFonts w:asciiTheme="minorEastAsia" w:hAnsiTheme="minorEastAsia" w:eastAsiaTheme="minorEastAsia"/>
          <w:color w:val="auto"/>
          <w:szCs w:val="21"/>
          <w:highlight w:val="none"/>
        </w:rPr>
        <w:t>甲方无正当理由拒收接受服务的，甲方向乙方偿付合同款项百分之五作为违约金。</w:t>
      </w:r>
    </w:p>
    <w:p w14:paraId="4AF67C78">
      <w:pPr>
        <w:pStyle w:val="29"/>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r>
        <w:rPr>
          <w:rFonts w:asciiTheme="minorEastAsia" w:hAnsiTheme="minorEastAsia" w:eastAsiaTheme="minorEastAsia"/>
          <w:color w:val="auto"/>
          <w:szCs w:val="21"/>
          <w:highlight w:val="none"/>
        </w:rPr>
        <w:t>甲方无故逾期验收和办理款项支付手续的,甲方应按逾期付款总额每日万分之五向乙方支付违约金。</w:t>
      </w:r>
    </w:p>
    <w:p w14:paraId="0FD71D6D">
      <w:pPr>
        <w:pStyle w:val="29"/>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3</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乙方</w:t>
      </w:r>
      <w:r>
        <w:rPr>
          <w:rFonts w:hint="eastAsia" w:asciiTheme="minorEastAsia" w:hAnsiTheme="minorEastAsia" w:eastAsiaTheme="minorEastAsia"/>
          <w:color w:val="auto"/>
          <w:szCs w:val="21"/>
          <w:highlight w:val="none"/>
        </w:rPr>
        <w:t>未能如</w:t>
      </w:r>
      <w:r>
        <w:rPr>
          <w:rFonts w:asciiTheme="minorEastAsia" w:hAnsiTheme="minorEastAsia" w:eastAsiaTheme="minorEastAsia"/>
          <w:color w:val="auto"/>
          <w:szCs w:val="21"/>
          <w:highlight w:val="none"/>
        </w:rPr>
        <w:t>期提供服务的，每日向甲方支付</w:t>
      </w:r>
      <w:r>
        <w:rPr>
          <w:rFonts w:hint="eastAsia" w:asciiTheme="minorEastAsia" w:hAnsiTheme="minorEastAsia" w:eastAsiaTheme="minorEastAsia"/>
          <w:color w:val="auto"/>
          <w:szCs w:val="21"/>
          <w:highlight w:val="none"/>
        </w:rPr>
        <w:t>合同款项的</w:t>
      </w:r>
      <w:r>
        <w:rPr>
          <w:rFonts w:asciiTheme="minorEastAsia" w:hAnsiTheme="minorEastAsia" w:eastAsiaTheme="minorEastAsia"/>
          <w:color w:val="auto"/>
          <w:szCs w:val="21"/>
          <w:highlight w:val="none"/>
        </w:rPr>
        <w:t>千分之六</w:t>
      </w:r>
      <w:r>
        <w:rPr>
          <w:rFonts w:hint="eastAsia" w:asciiTheme="minorEastAsia" w:hAnsiTheme="minorEastAsia" w:eastAsiaTheme="minorEastAsia"/>
          <w:color w:val="auto"/>
          <w:szCs w:val="21"/>
          <w:highlight w:val="none"/>
        </w:rPr>
        <w:t>作为</w:t>
      </w:r>
      <w:r>
        <w:rPr>
          <w:rFonts w:asciiTheme="minorEastAsia" w:hAnsiTheme="minorEastAsia" w:eastAsiaTheme="minorEastAsia"/>
          <w:color w:val="auto"/>
          <w:szCs w:val="21"/>
          <w:highlight w:val="none"/>
        </w:rPr>
        <w:t>违约金。乙方超过约定日期10个工作日</w:t>
      </w:r>
      <w:r>
        <w:rPr>
          <w:rFonts w:hint="eastAsia" w:asciiTheme="minorEastAsia" w:hAnsiTheme="minorEastAsia" w:eastAsiaTheme="minorEastAsia"/>
          <w:color w:val="auto"/>
          <w:szCs w:val="21"/>
          <w:highlight w:val="none"/>
        </w:rPr>
        <w:t>仍</w:t>
      </w:r>
      <w:r>
        <w:rPr>
          <w:rFonts w:asciiTheme="minorEastAsia" w:hAnsiTheme="minorEastAsia" w:eastAsiaTheme="minorEastAsia"/>
          <w:color w:val="auto"/>
          <w:szCs w:val="21"/>
          <w:highlight w:val="none"/>
        </w:rPr>
        <w:t>不能</w:t>
      </w:r>
      <w:r>
        <w:rPr>
          <w:rFonts w:hint="eastAsia" w:asciiTheme="minorEastAsia" w:hAnsiTheme="minorEastAsia" w:eastAsiaTheme="minorEastAsia"/>
          <w:color w:val="auto"/>
          <w:szCs w:val="21"/>
          <w:highlight w:val="none"/>
        </w:rPr>
        <w:t>提供服务</w:t>
      </w:r>
      <w:r>
        <w:rPr>
          <w:rFonts w:asciiTheme="minorEastAsia" w:hAnsiTheme="minorEastAsia" w:eastAsiaTheme="minorEastAsia"/>
          <w:color w:val="auto"/>
          <w:szCs w:val="21"/>
          <w:highlight w:val="none"/>
        </w:rPr>
        <w:t>的，甲方可解除本合同。乙方因</w:t>
      </w:r>
      <w:r>
        <w:rPr>
          <w:rFonts w:hint="eastAsia" w:asciiTheme="minorEastAsia" w:hAnsiTheme="minorEastAsia" w:eastAsiaTheme="minorEastAsia"/>
          <w:color w:val="auto"/>
          <w:szCs w:val="21"/>
          <w:highlight w:val="none"/>
        </w:rPr>
        <w:t>未能如</w:t>
      </w:r>
      <w:r>
        <w:rPr>
          <w:rFonts w:asciiTheme="minorEastAsia" w:hAnsiTheme="minorEastAsia" w:eastAsiaTheme="minorEastAsia"/>
          <w:color w:val="auto"/>
          <w:szCs w:val="21"/>
          <w:highlight w:val="none"/>
        </w:rPr>
        <w:t xml:space="preserve">期提供服务或因其他违约行为导致甲方解除合同的，乙方应向甲方支付合同总值5%的违约金，如造成甲方损失超过违约金的，超出部分由乙方继续承担赔偿责任。 </w:t>
      </w:r>
    </w:p>
    <w:p w14:paraId="238CA882">
      <w:pPr>
        <w:pStyle w:val="29"/>
        <w:snapToGrid w:val="0"/>
        <w:spacing w:line="360" w:lineRule="auto"/>
        <w:ind w:right="42" w:rightChars="20" w:firstLine="422" w:firstLineChars="200"/>
        <w:jc w:val="left"/>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 xml:space="preserve">第八条 </w:t>
      </w:r>
      <w:r>
        <w:rPr>
          <w:rFonts w:asciiTheme="minorEastAsia" w:hAnsiTheme="minorEastAsia" w:eastAsiaTheme="minorEastAsia"/>
          <w:b/>
          <w:color w:val="auto"/>
          <w:szCs w:val="21"/>
          <w:highlight w:val="none"/>
        </w:rPr>
        <w:t>不可抗力事件处理</w:t>
      </w:r>
    </w:p>
    <w:p w14:paraId="5B76A841">
      <w:pPr>
        <w:pStyle w:val="29"/>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在合同有效期内，任何一方因不可抗力事件导致不能履行合同，则合同履行期可延长，其延长期与不可抗力影响期相同。</w:t>
      </w:r>
    </w:p>
    <w:p w14:paraId="77DEC3D5">
      <w:pPr>
        <w:pStyle w:val="29"/>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rPr>
        <w:t>、不</w:t>
      </w:r>
      <w:r>
        <w:rPr>
          <w:rFonts w:asciiTheme="minorEastAsia" w:hAnsiTheme="minorEastAsia" w:eastAsiaTheme="minorEastAsia"/>
          <w:color w:val="auto"/>
          <w:szCs w:val="21"/>
          <w:highlight w:val="none"/>
        </w:rPr>
        <w:t>可抗力事件发生后，应立即通知对方，并寄送有关权威机构出具的证明。</w:t>
      </w:r>
    </w:p>
    <w:p w14:paraId="4DEAA156">
      <w:pPr>
        <w:pStyle w:val="29"/>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3</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不可抗力事件延续120天以上，双方应通过友好协商，确定是否继续履行合同。</w:t>
      </w:r>
    </w:p>
    <w:p w14:paraId="43EBEF04">
      <w:pPr>
        <w:pStyle w:val="29"/>
        <w:snapToGrid w:val="0"/>
        <w:spacing w:line="360" w:lineRule="auto"/>
        <w:ind w:right="42" w:rightChars="20" w:firstLine="422" w:firstLineChars="200"/>
        <w:jc w:val="left"/>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 xml:space="preserve">第九条 </w:t>
      </w:r>
      <w:r>
        <w:rPr>
          <w:rFonts w:asciiTheme="minorEastAsia" w:hAnsiTheme="minorEastAsia" w:eastAsiaTheme="minorEastAsia"/>
          <w:b/>
          <w:color w:val="auto"/>
          <w:szCs w:val="21"/>
          <w:highlight w:val="none"/>
        </w:rPr>
        <w:t>诉讼</w:t>
      </w:r>
    </w:p>
    <w:p w14:paraId="5DB22883">
      <w:pPr>
        <w:pStyle w:val="29"/>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双方在执行合同中所发生的一切争议，应通过协商解决。如协商不成，可向</w:t>
      </w:r>
      <w:r>
        <w:rPr>
          <w:rFonts w:hint="eastAsia" w:asciiTheme="minorEastAsia" w:hAnsiTheme="minorEastAsia" w:eastAsiaTheme="minorEastAsia"/>
          <w:color w:val="auto"/>
          <w:szCs w:val="21"/>
          <w:highlight w:val="none"/>
        </w:rPr>
        <w:t>甲方所在</w:t>
      </w:r>
      <w:r>
        <w:rPr>
          <w:rFonts w:asciiTheme="minorEastAsia" w:hAnsiTheme="minorEastAsia" w:eastAsiaTheme="minorEastAsia"/>
          <w:color w:val="auto"/>
          <w:szCs w:val="21"/>
          <w:highlight w:val="none"/>
        </w:rPr>
        <w:t>地法院起诉。</w:t>
      </w:r>
    </w:p>
    <w:p w14:paraId="1E0F9E91">
      <w:pPr>
        <w:pStyle w:val="29"/>
        <w:snapToGrid w:val="0"/>
        <w:spacing w:line="360" w:lineRule="auto"/>
        <w:ind w:right="42" w:rightChars="20" w:firstLine="422" w:firstLineChars="200"/>
        <w:jc w:val="left"/>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 xml:space="preserve">第十条 </w:t>
      </w:r>
      <w:r>
        <w:rPr>
          <w:rFonts w:asciiTheme="minorEastAsia" w:hAnsiTheme="minorEastAsia" w:eastAsiaTheme="minorEastAsia"/>
          <w:b/>
          <w:color w:val="auto"/>
          <w:szCs w:val="21"/>
          <w:highlight w:val="none"/>
        </w:rPr>
        <w:t>合同生效及其它</w:t>
      </w:r>
    </w:p>
    <w:p w14:paraId="2D2B94B6">
      <w:pPr>
        <w:autoSpaceDE w:val="0"/>
        <w:autoSpaceDN w:val="0"/>
        <w:adjustRightIn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合同经双方法定代表人或授权委托代理人签字并加盖单位公章后生效。</w:t>
      </w:r>
    </w:p>
    <w:p w14:paraId="30754087">
      <w:pPr>
        <w:autoSpaceDE w:val="0"/>
        <w:autoSpaceDN w:val="0"/>
        <w:adjustRightIn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r>
        <w:rPr>
          <w:rFonts w:asciiTheme="minorEastAsia" w:hAnsiTheme="minorEastAsia" w:eastAsiaTheme="minorEastAsia"/>
          <w:color w:val="auto"/>
          <w:szCs w:val="21"/>
          <w:highlight w:val="none"/>
        </w:rPr>
        <w:t>本合同未尽事宜，遵照《</w:t>
      </w:r>
      <w:r>
        <w:rPr>
          <w:rFonts w:asciiTheme="minorEastAsia" w:hAnsiTheme="minorEastAsia" w:eastAsiaTheme="minorEastAsia"/>
          <w:color w:val="auto"/>
          <w:kern w:val="0"/>
          <w:szCs w:val="21"/>
          <w:highlight w:val="none"/>
        </w:rPr>
        <w:t>中华人民共和国</w:t>
      </w:r>
      <w:r>
        <w:rPr>
          <w:rFonts w:hint="eastAsia" w:asciiTheme="minorEastAsia" w:hAnsiTheme="minorEastAsia" w:eastAsiaTheme="minorEastAsia"/>
          <w:color w:val="auto"/>
          <w:kern w:val="0"/>
          <w:szCs w:val="21"/>
          <w:highlight w:val="none"/>
        </w:rPr>
        <w:t>民法典</w:t>
      </w:r>
      <w:r>
        <w:rPr>
          <w:rFonts w:asciiTheme="minorEastAsia" w:hAnsiTheme="minorEastAsia" w:eastAsiaTheme="minorEastAsia"/>
          <w:color w:val="auto"/>
          <w:szCs w:val="21"/>
          <w:highlight w:val="none"/>
        </w:rPr>
        <w:t>》有关条文执行。</w:t>
      </w:r>
    </w:p>
    <w:p w14:paraId="0407FE94">
      <w:pPr>
        <w:pStyle w:val="29"/>
        <w:snapToGrid w:val="0"/>
        <w:spacing w:line="360" w:lineRule="auto"/>
        <w:ind w:right="42" w:rightChars="20" w:firstLine="420" w:firstLineChars="200"/>
        <w:jc w:val="left"/>
        <w:rPr>
          <w:rFonts w:asciiTheme="minorEastAsia" w:hAnsiTheme="minorEastAsia" w:eastAsiaTheme="minorEastAsia"/>
          <w:color w:val="auto"/>
          <w:szCs w:val="21"/>
          <w:highlight w:val="none"/>
        </w:rPr>
      </w:pPr>
    </w:p>
    <w:p w14:paraId="5DC86EC7">
      <w:pPr>
        <w:pStyle w:val="29"/>
        <w:snapToGrid w:val="0"/>
        <w:spacing w:line="360" w:lineRule="auto"/>
        <w:ind w:right="42" w:rightChars="20" w:firstLine="420" w:firstLineChars="200"/>
        <w:jc w:val="left"/>
        <w:rPr>
          <w:rFonts w:asciiTheme="minorEastAsia" w:hAnsiTheme="minorEastAsia" w:eastAsiaTheme="minorEastAsia"/>
          <w:color w:val="auto"/>
          <w:szCs w:val="21"/>
          <w:highlight w:val="none"/>
        </w:rPr>
      </w:pPr>
    </w:p>
    <w:p w14:paraId="23394EAC">
      <w:pPr>
        <w:pStyle w:val="29"/>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 xml:space="preserve">甲方：           </w:t>
      </w:r>
      <w:r>
        <w:rPr>
          <w:rFonts w:hint="eastAsia" w:asciiTheme="minorEastAsia" w:hAnsiTheme="minorEastAsia" w:eastAsiaTheme="minorEastAsia"/>
          <w:color w:val="auto"/>
          <w:szCs w:val="21"/>
          <w:highlight w:val="none"/>
          <w:lang w:val="en-US" w:eastAsia="zh-CN"/>
        </w:rPr>
        <w:t xml:space="preserve">                   </w:t>
      </w:r>
      <w:r>
        <w:rPr>
          <w:rFonts w:asciiTheme="minorEastAsia" w:hAnsiTheme="minorEastAsia" w:eastAsiaTheme="minorEastAsia"/>
          <w:color w:val="auto"/>
          <w:szCs w:val="21"/>
          <w:highlight w:val="none"/>
        </w:rPr>
        <w:t xml:space="preserve">  乙方： </w:t>
      </w:r>
    </w:p>
    <w:p w14:paraId="7C1A10EC">
      <w:pPr>
        <w:pStyle w:val="29"/>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 xml:space="preserve">  地址：          </w:t>
      </w:r>
      <w:r>
        <w:rPr>
          <w:rFonts w:hint="eastAsia" w:asciiTheme="minorEastAsia" w:hAnsiTheme="minorEastAsia" w:eastAsiaTheme="minorEastAsia"/>
          <w:color w:val="auto"/>
          <w:szCs w:val="21"/>
          <w:highlight w:val="none"/>
          <w:lang w:val="en-US" w:eastAsia="zh-CN"/>
        </w:rPr>
        <w:t xml:space="preserve">                   </w:t>
      </w:r>
      <w:r>
        <w:rPr>
          <w:rFonts w:asciiTheme="minorEastAsia" w:hAnsiTheme="minorEastAsia" w:eastAsiaTheme="minorEastAsia"/>
          <w:color w:val="auto"/>
          <w:szCs w:val="21"/>
          <w:highlight w:val="none"/>
        </w:rPr>
        <w:t xml:space="preserve"> 地址： </w:t>
      </w:r>
    </w:p>
    <w:p w14:paraId="563795F5">
      <w:pPr>
        <w:pStyle w:val="29"/>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 xml:space="preserve">  法定</w:t>
      </w:r>
      <w:r>
        <w:rPr>
          <w:rFonts w:hint="eastAsia" w:asciiTheme="minorEastAsia" w:hAnsiTheme="minorEastAsia" w:eastAsiaTheme="minorEastAsia"/>
          <w:color w:val="auto"/>
          <w:szCs w:val="21"/>
          <w:highlight w:val="none"/>
        </w:rPr>
        <w:t>（授权）</w:t>
      </w:r>
      <w:r>
        <w:rPr>
          <w:rFonts w:asciiTheme="minorEastAsia" w:hAnsiTheme="minorEastAsia" w:eastAsiaTheme="minorEastAsia"/>
          <w:color w:val="auto"/>
          <w:szCs w:val="21"/>
          <w:highlight w:val="none"/>
        </w:rPr>
        <w:t>代表人：               法定</w:t>
      </w:r>
      <w:r>
        <w:rPr>
          <w:rFonts w:hint="eastAsia" w:asciiTheme="minorEastAsia" w:hAnsiTheme="minorEastAsia" w:eastAsiaTheme="minorEastAsia"/>
          <w:color w:val="auto"/>
          <w:szCs w:val="21"/>
          <w:highlight w:val="none"/>
        </w:rPr>
        <w:t>（授权）</w:t>
      </w:r>
      <w:r>
        <w:rPr>
          <w:rFonts w:asciiTheme="minorEastAsia" w:hAnsiTheme="minorEastAsia" w:eastAsiaTheme="minorEastAsia"/>
          <w:color w:val="auto"/>
          <w:szCs w:val="21"/>
          <w:highlight w:val="none"/>
        </w:rPr>
        <w:t>代表人：</w:t>
      </w:r>
    </w:p>
    <w:p w14:paraId="7CED6CA1">
      <w:pPr>
        <w:pStyle w:val="29"/>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联系电话：</w:t>
      </w:r>
    </w:p>
    <w:p w14:paraId="330F6695">
      <w:pPr>
        <w:pStyle w:val="29"/>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开户银行：</w:t>
      </w:r>
    </w:p>
    <w:p w14:paraId="4C73DE32">
      <w:pPr>
        <w:pStyle w:val="29"/>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银行账号：</w:t>
      </w:r>
    </w:p>
    <w:p w14:paraId="77ABFB5F">
      <w:pPr>
        <w:pStyle w:val="29"/>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 xml:space="preserve">  签</w:t>
      </w:r>
      <w:r>
        <w:rPr>
          <w:rFonts w:hint="eastAsia" w:asciiTheme="minorEastAsia" w:hAnsiTheme="minorEastAsia" w:eastAsiaTheme="minorEastAsia"/>
          <w:color w:val="auto"/>
          <w:szCs w:val="21"/>
          <w:highlight w:val="none"/>
        </w:rPr>
        <w:t>字日期</w:t>
      </w:r>
      <w:r>
        <w:rPr>
          <w:rFonts w:asciiTheme="minorEastAsia" w:hAnsiTheme="minorEastAsia" w:eastAsiaTheme="minorEastAsia"/>
          <w:color w:val="auto"/>
          <w:szCs w:val="21"/>
          <w:highlight w:val="none"/>
        </w:rPr>
        <w:t xml:space="preserve">：    年  月  日 </w:t>
      </w:r>
      <w:r>
        <w:rPr>
          <w:rFonts w:hint="eastAsia" w:asciiTheme="minorEastAsia" w:hAnsiTheme="minorEastAsia" w:eastAsiaTheme="minorEastAsia"/>
          <w:color w:val="auto"/>
          <w:szCs w:val="21"/>
          <w:highlight w:val="none"/>
          <w:lang w:val="en-US" w:eastAsia="zh-CN"/>
        </w:rPr>
        <w:t xml:space="preserve">            </w:t>
      </w:r>
      <w:r>
        <w:rPr>
          <w:rFonts w:asciiTheme="minorEastAsia" w:hAnsiTheme="minorEastAsia" w:eastAsiaTheme="minorEastAsia"/>
          <w:color w:val="auto"/>
          <w:szCs w:val="21"/>
          <w:highlight w:val="none"/>
        </w:rPr>
        <w:t>签</w:t>
      </w:r>
      <w:r>
        <w:rPr>
          <w:rFonts w:hint="eastAsia" w:asciiTheme="minorEastAsia" w:hAnsiTheme="minorEastAsia" w:eastAsiaTheme="minorEastAsia"/>
          <w:color w:val="auto"/>
          <w:szCs w:val="21"/>
          <w:highlight w:val="none"/>
        </w:rPr>
        <w:t>字</w:t>
      </w:r>
      <w:r>
        <w:rPr>
          <w:rFonts w:asciiTheme="minorEastAsia" w:hAnsiTheme="minorEastAsia" w:eastAsiaTheme="minorEastAsia"/>
          <w:color w:val="auto"/>
          <w:szCs w:val="21"/>
          <w:highlight w:val="none"/>
        </w:rPr>
        <w:t>日期：   年  月  日</w:t>
      </w:r>
    </w:p>
    <w:p w14:paraId="7F63FD00">
      <w:pPr>
        <w:pStyle w:val="164"/>
        <w:ind w:right="42" w:rightChars="20"/>
        <w:rPr>
          <w:rFonts w:asciiTheme="minorEastAsia" w:hAnsiTheme="minorEastAsia" w:eastAsiaTheme="minorEastAsia"/>
          <w:color w:val="auto"/>
          <w:highlight w:val="none"/>
        </w:rPr>
      </w:pPr>
      <w:r>
        <w:rPr>
          <w:rFonts w:asciiTheme="minorEastAsia" w:hAnsiTheme="minorEastAsia" w:eastAsiaTheme="minorEastAsia"/>
          <w:color w:val="auto"/>
          <w:highlight w:val="none"/>
        </w:rPr>
        <w:br w:type="page"/>
      </w:r>
      <w:bookmarkEnd w:id="288"/>
      <w:bookmarkStart w:id="300" w:name="_Toc493511828"/>
    </w:p>
    <w:p w14:paraId="4D2DD51E">
      <w:pPr>
        <w:pStyle w:val="3"/>
        <w:ind w:right="42" w:rightChars="20"/>
        <w:rPr>
          <w:rFonts w:cs="微软雅黑" w:asciiTheme="minorEastAsia" w:hAnsiTheme="minorEastAsia" w:eastAsiaTheme="minorEastAsia"/>
          <w:color w:val="auto"/>
          <w:highlight w:val="none"/>
        </w:rPr>
      </w:pPr>
      <w:bookmarkStart w:id="301" w:name="_Toc5531"/>
      <w:r>
        <w:rPr>
          <w:rFonts w:hint="eastAsia" w:cs="微软雅黑" w:asciiTheme="minorEastAsia" w:hAnsiTheme="minorEastAsia" w:eastAsiaTheme="minorEastAsia"/>
          <w:color w:val="auto"/>
          <w:highlight w:val="none"/>
        </w:rPr>
        <w:t>第六章　投标文件相关格式</w:t>
      </w:r>
      <w:bookmarkEnd w:id="300"/>
      <w:bookmarkEnd w:id="301"/>
    </w:p>
    <w:p w14:paraId="65F78634">
      <w:pPr>
        <w:spacing w:line="360" w:lineRule="auto"/>
        <w:ind w:right="42" w:rightChars="20" w:firstLine="420" w:firstLineChars="200"/>
        <w:jc w:val="left"/>
        <w:rPr>
          <w:rFonts w:asciiTheme="minorEastAsia" w:hAnsiTheme="minorEastAsia" w:eastAsiaTheme="minorEastAsia"/>
          <w:color w:val="auto"/>
          <w:szCs w:val="21"/>
          <w:highlight w:val="none"/>
        </w:rPr>
      </w:pPr>
    </w:p>
    <w:p w14:paraId="0BFDD60E">
      <w:pPr>
        <w:spacing w:line="360" w:lineRule="auto"/>
        <w:ind w:right="42" w:rightChars="20"/>
        <w:jc w:val="center"/>
        <w:rPr>
          <w:rFonts w:hint="eastAsia" w:asciiTheme="minorEastAsia" w:hAnsiTheme="minorEastAsia" w:eastAsiaTheme="minorEastAsia"/>
          <w:b/>
          <w:color w:val="auto"/>
          <w:highlight w:val="none"/>
          <w:lang w:eastAsia="zh-CN"/>
        </w:rPr>
      </w:pPr>
      <w:bookmarkStart w:id="302" w:name="_Toc50012909"/>
      <w:bookmarkStart w:id="303" w:name="_Toc430786287"/>
      <w:r>
        <w:rPr>
          <w:rFonts w:hint="eastAsia" w:asciiTheme="minorEastAsia" w:hAnsiTheme="minorEastAsia" w:eastAsiaTheme="minorEastAsia"/>
          <w:b/>
          <w:color w:val="auto"/>
          <w:highlight w:val="none"/>
          <w:lang w:eastAsia="zh-CN"/>
        </w:rPr>
        <w:t>秀洲区2026年农作物病虫害统防统治与绿色防控项目</w:t>
      </w:r>
    </w:p>
    <w:p w14:paraId="3CD37310">
      <w:pPr>
        <w:spacing w:line="360" w:lineRule="auto"/>
        <w:ind w:right="42" w:rightChars="20"/>
        <w:jc w:val="cente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资格投标文件/商务技术文件/报价文件</w:t>
      </w:r>
      <w:bookmarkEnd w:id="302"/>
    </w:p>
    <w:p w14:paraId="71B4F9AF">
      <w:pPr>
        <w:spacing w:line="360" w:lineRule="auto"/>
        <w:ind w:right="42" w:rightChars="20"/>
        <w:jc w:val="center"/>
        <w:rPr>
          <w:rFonts w:asciiTheme="minorEastAsia" w:hAnsiTheme="minorEastAsia" w:eastAsiaTheme="minorEastAsia"/>
          <w:b/>
          <w:color w:val="auto"/>
          <w:szCs w:val="21"/>
          <w:highlight w:val="none"/>
        </w:rPr>
      </w:pPr>
      <w:bookmarkStart w:id="304" w:name="_Toc50012910"/>
      <w:r>
        <w:rPr>
          <w:rFonts w:hint="eastAsia" w:asciiTheme="minorEastAsia" w:hAnsiTheme="minorEastAsia" w:eastAsiaTheme="minorEastAsia"/>
          <w:b/>
          <w:color w:val="auto"/>
          <w:szCs w:val="21"/>
          <w:highlight w:val="none"/>
        </w:rPr>
        <w:t>项目编号：</w:t>
      </w:r>
      <w:bookmarkEnd w:id="304"/>
    </w:p>
    <w:p w14:paraId="5E848149">
      <w:pPr>
        <w:spacing w:line="360" w:lineRule="auto"/>
        <w:ind w:right="42" w:rightChars="20"/>
        <w:jc w:val="center"/>
        <w:rPr>
          <w:rFonts w:asciiTheme="minorEastAsia" w:hAnsiTheme="minorEastAsia" w:eastAsiaTheme="minorEastAsia"/>
          <w:b/>
          <w:color w:val="auto"/>
          <w:szCs w:val="21"/>
          <w:highlight w:val="none"/>
        </w:rPr>
      </w:pPr>
    </w:p>
    <w:p w14:paraId="2631E351">
      <w:pPr>
        <w:spacing w:line="360" w:lineRule="auto"/>
        <w:ind w:right="42" w:rightChars="20"/>
        <w:jc w:val="center"/>
        <w:rPr>
          <w:rFonts w:asciiTheme="minorEastAsia" w:hAnsiTheme="minorEastAsia" w:eastAsiaTheme="minorEastAsia"/>
          <w:b/>
          <w:color w:val="auto"/>
          <w:szCs w:val="21"/>
          <w:highlight w:val="none"/>
        </w:rPr>
      </w:pPr>
    </w:p>
    <w:p w14:paraId="309B073B">
      <w:pPr>
        <w:spacing w:line="360" w:lineRule="auto"/>
        <w:ind w:right="42" w:rightChars="20"/>
        <w:jc w:val="center"/>
        <w:rPr>
          <w:rFonts w:asciiTheme="minorEastAsia" w:hAnsiTheme="minorEastAsia" w:eastAsiaTheme="minorEastAsia"/>
          <w:b/>
          <w:color w:val="auto"/>
          <w:szCs w:val="21"/>
          <w:highlight w:val="none"/>
        </w:rPr>
      </w:pPr>
      <w:bookmarkStart w:id="305" w:name="_Toc50012911"/>
      <w:r>
        <w:rPr>
          <w:rFonts w:hint="eastAsia" w:asciiTheme="minorEastAsia" w:hAnsiTheme="minorEastAsia" w:eastAsiaTheme="minorEastAsia"/>
          <w:b/>
          <w:color w:val="auto"/>
          <w:szCs w:val="21"/>
          <w:highlight w:val="none"/>
        </w:rPr>
        <w:t>投</w:t>
      </w:r>
      <w:bookmarkEnd w:id="305"/>
    </w:p>
    <w:p w14:paraId="5D74ADC3">
      <w:pPr>
        <w:spacing w:line="360" w:lineRule="auto"/>
        <w:ind w:right="42" w:rightChars="20"/>
        <w:jc w:val="center"/>
        <w:rPr>
          <w:rFonts w:asciiTheme="minorEastAsia" w:hAnsiTheme="minorEastAsia" w:eastAsiaTheme="minorEastAsia"/>
          <w:b/>
          <w:color w:val="auto"/>
          <w:szCs w:val="21"/>
          <w:highlight w:val="none"/>
        </w:rPr>
      </w:pPr>
      <w:bookmarkStart w:id="306" w:name="_Toc50012912"/>
      <w:r>
        <w:rPr>
          <w:rFonts w:hint="eastAsia" w:asciiTheme="minorEastAsia" w:hAnsiTheme="minorEastAsia" w:eastAsiaTheme="minorEastAsia"/>
          <w:b/>
          <w:color w:val="auto"/>
          <w:szCs w:val="21"/>
          <w:highlight w:val="none"/>
        </w:rPr>
        <w:t>标</w:t>
      </w:r>
      <w:bookmarkEnd w:id="306"/>
    </w:p>
    <w:p w14:paraId="04388EA4">
      <w:pPr>
        <w:spacing w:line="360" w:lineRule="auto"/>
        <w:ind w:right="42" w:rightChars="20"/>
        <w:jc w:val="center"/>
        <w:rPr>
          <w:rFonts w:asciiTheme="minorEastAsia" w:hAnsiTheme="minorEastAsia" w:eastAsiaTheme="minorEastAsia"/>
          <w:b/>
          <w:color w:val="auto"/>
          <w:szCs w:val="21"/>
          <w:highlight w:val="none"/>
        </w:rPr>
      </w:pPr>
      <w:bookmarkStart w:id="307" w:name="_Toc50012913"/>
      <w:r>
        <w:rPr>
          <w:rFonts w:hint="eastAsia" w:asciiTheme="minorEastAsia" w:hAnsiTheme="minorEastAsia" w:eastAsiaTheme="minorEastAsia"/>
          <w:b/>
          <w:color w:val="auto"/>
          <w:szCs w:val="21"/>
          <w:highlight w:val="none"/>
        </w:rPr>
        <w:t>文</w:t>
      </w:r>
      <w:bookmarkEnd w:id="307"/>
    </w:p>
    <w:p w14:paraId="4F465BC6">
      <w:pPr>
        <w:spacing w:line="360" w:lineRule="auto"/>
        <w:ind w:right="42" w:rightChars="20"/>
        <w:jc w:val="center"/>
        <w:rPr>
          <w:rFonts w:asciiTheme="minorEastAsia" w:hAnsiTheme="minorEastAsia" w:eastAsiaTheme="minorEastAsia"/>
          <w:b/>
          <w:color w:val="auto"/>
          <w:szCs w:val="21"/>
          <w:highlight w:val="none"/>
        </w:rPr>
      </w:pPr>
      <w:bookmarkStart w:id="308" w:name="_Toc50012914"/>
      <w:r>
        <w:rPr>
          <w:rFonts w:hint="eastAsia" w:asciiTheme="minorEastAsia" w:hAnsiTheme="minorEastAsia" w:eastAsiaTheme="minorEastAsia"/>
          <w:b/>
          <w:color w:val="auto"/>
          <w:szCs w:val="21"/>
          <w:highlight w:val="none"/>
        </w:rPr>
        <w:t>件</w:t>
      </w:r>
      <w:bookmarkEnd w:id="308"/>
    </w:p>
    <w:p w14:paraId="2A07F27E">
      <w:pPr>
        <w:spacing w:line="360" w:lineRule="auto"/>
        <w:ind w:right="42" w:rightChars="20"/>
        <w:rPr>
          <w:rFonts w:asciiTheme="minorEastAsia" w:hAnsiTheme="minorEastAsia" w:eastAsiaTheme="minorEastAsia"/>
          <w:b/>
          <w:color w:val="auto"/>
          <w:szCs w:val="21"/>
          <w:highlight w:val="none"/>
        </w:rPr>
      </w:pPr>
    </w:p>
    <w:p w14:paraId="4B99A866">
      <w:pPr>
        <w:spacing w:line="360" w:lineRule="auto"/>
        <w:ind w:right="42" w:rightChars="20"/>
        <w:rPr>
          <w:rFonts w:asciiTheme="minorEastAsia" w:hAnsiTheme="minorEastAsia" w:eastAsiaTheme="minorEastAsia"/>
          <w:b/>
          <w:color w:val="auto"/>
          <w:szCs w:val="21"/>
          <w:highlight w:val="none"/>
        </w:rPr>
      </w:pPr>
    </w:p>
    <w:p w14:paraId="4EEF1E56">
      <w:pPr>
        <w:spacing w:line="360" w:lineRule="auto"/>
        <w:ind w:right="42" w:rightChars="20"/>
        <w:rPr>
          <w:rFonts w:asciiTheme="minorEastAsia" w:hAnsiTheme="minorEastAsia" w:eastAsiaTheme="minorEastAsia"/>
          <w:b/>
          <w:color w:val="auto"/>
          <w:szCs w:val="21"/>
          <w:highlight w:val="none"/>
        </w:rPr>
      </w:pPr>
    </w:p>
    <w:p w14:paraId="74F76F7A">
      <w:pPr>
        <w:spacing w:line="360" w:lineRule="auto"/>
        <w:ind w:right="42" w:rightChars="20" w:firstLine="2319" w:firstLineChars="1100"/>
        <w:rPr>
          <w:rFonts w:asciiTheme="minorEastAsia" w:hAnsiTheme="minorEastAsia" w:eastAsiaTheme="minorEastAsia"/>
          <w:b/>
          <w:color w:val="auto"/>
          <w:szCs w:val="21"/>
          <w:highlight w:val="none"/>
        </w:rPr>
      </w:pPr>
      <w:bookmarkStart w:id="309" w:name="_Toc50012915"/>
      <w:r>
        <w:rPr>
          <w:rFonts w:hint="eastAsia" w:asciiTheme="minorEastAsia" w:hAnsiTheme="minorEastAsia" w:eastAsiaTheme="minorEastAsia"/>
          <w:b/>
          <w:color w:val="auto"/>
          <w:szCs w:val="21"/>
          <w:highlight w:val="none"/>
        </w:rPr>
        <w:t>投标人全称：（加盖单位公章）</w:t>
      </w:r>
      <w:bookmarkEnd w:id="309"/>
    </w:p>
    <w:p w14:paraId="1A5510AB">
      <w:pPr>
        <w:spacing w:line="360" w:lineRule="auto"/>
        <w:ind w:right="42" w:rightChars="20"/>
        <w:rPr>
          <w:rFonts w:asciiTheme="minorEastAsia" w:hAnsiTheme="minorEastAsia" w:eastAsiaTheme="minorEastAsia"/>
          <w:b/>
          <w:color w:val="auto"/>
          <w:szCs w:val="21"/>
          <w:highlight w:val="none"/>
        </w:rPr>
      </w:pPr>
    </w:p>
    <w:p w14:paraId="668955E1">
      <w:pPr>
        <w:spacing w:line="360" w:lineRule="auto"/>
        <w:ind w:right="42" w:rightChars="20"/>
        <w:jc w:val="center"/>
        <w:rPr>
          <w:rFonts w:asciiTheme="minorEastAsia" w:hAnsiTheme="minorEastAsia" w:eastAsiaTheme="minorEastAsia"/>
          <w:b/>
          <w:color w:val="auto"/>
          <w:szCs w:val="21"/>
          <w:highlight w:val="none"/>
        </w:rPr>
      </w:pPr>
      <w:bookmarkStart w:id="310" w:name="_Toc50012916"/>
      <w:r>
        <w:rPr>
          <w:rFonts w:hint="eastAsia" w:asciiTheme="minorEastAsia" w:hAnsiTheme="minorEastAsia" w:eastAsiaTheme="minorEastAsia"/>
          <w:b/>
          <w:color w:val="auto"/>
          <w:szCs w:val="21"/>
          <w:highlight w:val="none"/>
        </w:rPr>
        <w:t>年   月   日</w:t>
      </w:r>
      <w:bookmarkEnd w:id="310"/>
    </w:p>
    <w:bookmarkEnd w:id="303"/>
    <w:p w14:paraId="406947B5">
      <w:pPr>
        <w:snapToGrid w:val="0"/>
        <w:spacing w:line="360" w:lineRule="auto"/>
        <w:ind w:right="42" w:rightChars="20" w:firstLine="422" w:firstLineChars="200"/>
        <w:jc w:val="cente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br w:type="page"/>
      </w:r>
    </w:p>
    <w:p w14:paraId="201169C0">
      <w:pPr>
        <w:snapToGrid w:val="0"/>
        <w:spacing w:line="360" w:lineRule="auto"/>
        <w:ind w:right="42" w:rightChars="20" w:firstLine="422" w:firstLineChars="200"/>
        <w:jc w:val="center"/>
        <w:rPr>
          <w:rFonts w:cs="方正小标宋简体" w:asciiTheme="minorEastAsia" w:hAnsiTheme="minorEastAsia" w:eastAsiaTheme="minorEastAsia"/>
          <w:b/>
          <w:color w:val="auto"/>
          <w:szCs w:val="21"/>
          <w:highlight w:val="none"/>
        </w:rPr>
      </w:pPr>
      <w:r>
        <w:rPr>
          <w:rFonts w:hint="eastAsia" w:cs="方正小标宋简体" w:asciiTheme="minorEastAsia" w:hAnsiTheme="minorEastAsia" w:eastAsiaTheme="minorEastAsia"/>
          <w:b/>
          <w:color w:val="auto"/>
          <w:szCs w:val="21"/>
          <w:highlight w:val="none"/>
        </w:rPr>
        <w:t>政府</w:t>
      </w:r>
      <w:r>
        <w:rPr>
          <w:rFonts w:cs="方正小标宋简体" w:asciiTheme="minorEastAsia" w:hAnsiTheme="minorEastAsia" w:eastAsiaTheme="minorEastAsia"/>
          <w:b/>
          <w:color w:val="auto"/>
          <w:szCs w:val="21"/>
          <w:highlight w:val="none"/>
        </w:rPr>
        <w:t>采购活动现场确认声明书</w:t>
      </w:r>
    </w:p>
    <w:p w14:paraId="0D6DAC36">
      <w:pPr>
        <w:pStyle w:val="168"/>
        <w:snapToGrid w:val="0"/>
        <w:spacing w:line="360" w:lineRule="auto"/>
        <w:ind w:right="42" w:rightChars="20" w:firstLine="422" w:firstLineChars="200"/>
        <w:jc w:val="left"/>
        <w:rPr>
          <w:rFonts w:cs="宋体" w:asciiTheme="minorEastAsia" w:hAnsiTheme="minorEastAsia" w:eastAsiaTheme="minorEastAsia"/>
          <w:b/>
          <w:color w:val="auto"/>
          <w:sz w:val="21"/>
          <w:szCs w:val="21"/>
          <w:highlight w:val="none"/>
        </w:rPr>
      </w:pPr>
    </w:p>
    <w:p w14:paraId="6CC1B7C1">
      <w:pPr>
        <w:pStyle w:val="168"/>
        <w:snapToGrid w:val="0"/>
        <w:spacing w:line="360" w:lineRule="auto"/>
        <w:ind w:right="42" w:rightChars="20" w:firstLine="422" w:firstLineChars="200"/>
        <w:jc w:val="left"/>
        <w:rPr>
          <w:rFonts w:cs="宋体" w:asciiTheme="minorEastAsia" w:hAnsiTheme="minorEastAsia" w:eastAsiaTheme="minorEastAsia"/>
          <w:b/>
          <w:color w:val="auto"/>
          <w:sz w:val="21"/>
          <w:szCs w:val="21"/>
          <w:highlight w:val="none"/>
        </w:rPr>
      </w:pPr>
      <w:r>
        <w:rPr>
          <w:rFonts w:cs="宋体" w:asciiTheme="minorEastAsia" w:hAnsiTheme="minorEastAsia" w:eastAsiaTheme="minorEastAsia"/>
          <w:b/>
          <w:color w:val="auto"/>
          <w:sz w:val="21"/>
          <w:szCs w:val="21"/>
          <w:highlight w:val="none"/>
        </w:rPr>
        <w:t>（要求</w:t>
      </w:r>
      <w:r>
        <w:rPr>
          <w:rFonts w:hint="eastAsia" w:cs="宋体" w:asciiTheme="minorEastAsia" w:hAnsiTheme="minorEastAsia" w:eastAsiaTheme="minorEastAsia"/>
          <w:b/>
          <w:color w:val="auto"/>
          <w:sz w:val="21"/>
          <w:szCs w:val="21"/>
          <w:highlight w:val="none"/>
        </w:rPr>
        <w:t>在电子投标文件解密后，</w:t>
      </w:r>
      <w:r>
        <w:rPr>
          <w:rFonts w:hint="eastAsia" w:cs="宋体" w:asciiTheme="minorEastAsia" w:hAnsiTheme="minorEastAsia" w:eastAsiaTheme="minorEastAsia"/>
          <w:b/>
          <w:color w:val="auto"/>
          <w:sz w:val="21"/>
          <w:szCs w:val="21"/>
          <w:highlight w:val="none"/>
          <w:lang w:val="en-US" w:eastAsia="zh-CN"/>
        </w:rPr>
        <w:t>发送至376790573@qq.com电子邮箱内</w:t>
      </w:r>
      <w:r>
        <w:rPr>
          <w:rFonts w:cs="宋体" w:asciiTheme="minorEastAsia" w:hAnsiTheme="minorEastAsia" w:eastAsiaTheme="minorEastAsia"/>
          <w:b/>
          <w:color w:val="auto"/>
          <w:sz w:val="21"/>
          <w:szCs w:val="21"/>
          <w:highlight w:val="none"/>
        </w:rPr>
        <w:t>）</w:t>
      </w:r>
    </w:p>
    <w:p w14:paraId="28C148B0">
      <w:pPr>
        <w:pStyle w:val="168"/>
        <w:snapToGrid w:val="0"/>
        <w:spacing w:line="360" w:lineRule="auto"/>
        <w:ind w:right="42" w:rightChars="20"/>
        <w:jc w:val="left"/>
        <w:rPr>
          <w:rFonts w:asciiTheme="minorEastAsia" w:hAnsiTheme="minorEastAsia" w:eastAsiaTheme="minorEastAsia"/>
          <w:b/>
          <w:color w:val="auto"/>
          <w:sz w:val="21"/>
          <w:szCs w:val="21"/>
          <w:highlight w:val="none"/>
        </w:rPr>
      </w:pPr>
      <w:r>
        <w:rPr>
          <w:rFonts w:hint="eastAsia" w:cs="Arial" w:asciiTheme="minorEastAsia" w:hAnsiTheme="minorEastAsia" w:eastAsiaTheme="minorEastAsia"/>
          <w:b/>
          <w:color w:val="auto"/>
          <w:kern w:val="0"/>
          <w:sz w:val="21"/>
          <w:szCs w:val="21"/>
          <w:highlight w:val="none"/>
          <w:u w:val="single"/>
          <w:lang w:eastAsia="zh-CN"/>
        </w:rPr>
        <w:t>嘉兴市秀洲区农业农村和水利局</w:t>
      </w:r>
      <w:r>
        <w:rPr>
          <w:rFonts w:hint="eastAsia" w:cs="Arial" w:asciiTheme="minorEastAsia" w:hAnsiTheme="minorEastAsia" w:eastAsiaTheme="minorEastAsia"/>
          <w:b/>
          <w:color w:val="auto"/>
          <w:kern w:val="0"/>
          <w:sz w:val="21"/>
          <w:szCs w:val="21"/>
          <w:highlight w:val="none"/>
          <w:u w:val="single"/>
        </w:rPr>
        <w:t xml:space="preserve">  </w:t>
      </w:r>
      <w:r>
        <w:rPr>
          <w:rFonts w:asciiTheme="minorEastAsia" w:hAnsiTheme="minorEastAsia" w:eastAsiaTheme="minorEastAsia"/>
          <w:color w:val="auto"/>
          <w:kern w:val="0"/>
          <w:sz w:val="21"/>
          <w:szCs w:val="21"/>
          <w:highlight w:val="none"/>
        </w:rPr>
        <w:t>：</w:t>
      </w:r>
    </w:p>
    <w:p w14:paraId="28B69CF1">
      <w:pPr>
        <w:pStyle w:val="168"/>
        <w:snapToGrid w:val="0"/>
        <w:spacing w:line="360" w:lineRule="auto"/>
        <w:ind w:right="42" w:rightChars="20" w:firstLine="444" w:firstLineChars="200"/>
        <w:rPr>
          <w:rFonts w:asciiTheme="minorEastAsia" w:hAnsiTheme="minorEastAsia" w:eastAsiaTheme="minorEastAsia"/>
          <w:color w:val="auto"/>
          <w:spacing w:val="6"/>
          <w:sz w:val="21"/>
          <w:szCs w:val="21"/>
          <w:highlight w:val="none"/>
        </w:rPr>
      </w:pPr>
      <w:r>
        <w:rPr>
          <w:rFonts w:asciiTheme="minorEastAsia" w:hAnsiTheme="minorEastAsia" w:eastAsiaTheme="minorEastAsia"/>
          <w:color w:val="auto"/>
          <w:spacing w:val="6"/>
          <w:sz w:val="21"/>
          <w:szCs w:val="21"/>
          <w:highlight w:val="none"/>
        </w:rPr>
        <w:t>本人经由</w:t>
      </w:r>
      <w:r>
        <w:rPr>
          <w:rFonts w:asciiTheme="minorEastAsia" w:hAnsiTheme="minorEastAsia" w:eastAsiaTheme="minorEastAsia"/>
          <w:color w:val="auto"/>
          <w:spacing w:val="6"/>
          <w:sz w:val="21"/>
          <w:szCs w:val="21"/>
          <w:highlight w:val="none"/>
          <w:u w:val="single"/>
        </w:rPr>
        <w:t xml:space="preserve">                  （单位）</w:t>
      </w:r>
      <w:r>
        <w:rPr>
          <w:rFonts w:asciiTheme="minorEastAsia" w:hAnsiTheme="minorEastAsia" w:eastAsiaTheme="minorEastAsia"/>
          <w:color w:val="auto"/>
          <w:spacing w:val="6"/>
          <w:sz w:val="21"/>
          <w:szCs w:val="21"/>
          <w:highlight w:val="none"/>
        </w:rPr>
        <w:t>负责人</w:t>
      </w:r>
      <w:r>
        <w:rPr>
          <w:rFonts w:asciiTheme="minorEastAsia" w:hAnsiTheme="minorEastAsia" w:eastAsiaTheme="minorEastAsia"/>
          <w:color w:val="auto"/>
          <w:spacing w:val="6"/>
          <w:sz w:val="21"/>
          <w:szCs w:val="21"/>
          <w:highlight w:val="none"/>
          <w:u w:val="single"/>
        </w:rPr>
        <w:t xml:space="preserve">        （姓名）</w:t>
      </w:r>
      <w:r>
        <w:rPr>
          <w:rFonts w:asciiTheme="minorEastAsia" w:hAnsiTheme="minorEastAsia" w:eastAsiaTheme="minorEastAsia"/>
          <w:color w:val="auto"/>
          <w:spacing w:val="6"/>
          <w:sz w:val="21"/>
          <w:szCs w:val="21"/>
          <w:highlight w:val="none"/>
        </w:rPr>
        <w:t>合法授权参加</w:t>
      </w:r>
      <w:r>
        <w:rPr>
          <w:rFonts w:hint="eastAsia" w:asciiTheme="minorEastAsia" w:hAnsiTheme="minorEastAsia" w:eastAsiaTheme="minorEastAsia"/>
          <w:b/>
          <w:color w:val="auto"/>
          <w:spacing w:val="6"/>
          <w:sz w:val="21"/>
          <w:szCs w:val="21"/>
          <w:highlight w:val="none"/>
          <w:u w:val="single"/>
          <w:lang w:eastAsia="zh-CN"/>
        </w:rPr>
        <w:t>秀洲区2026年农作物病虫害统防统治与绿色防控项目</w:t>
      </w:r>
      <w:r>
        <w:rPr>
          <w:rFonts w:asciiTheme="minorEastAsia" w:hAnsiTheme="minorEastAsia" w:eastAsiaTheme="minorEastAsia"/>
          <w:color w:val="auto"/>
          <w:spacing w:val="6"/>
          <w:sz w:val="21"/>
          <w:szCs w:val="21"/>
          <w:highlight w:val="none"/>
        </w:rPr>
        <w:t>（编号：</w:t>
      </w:r>
      <w:r>
        <w:rPr>
          <w:rFonts w:hint="eastAsia" w:asciiTheme="minorEastAsia" w:hAnsiTheme="minorEastAsia" w:eastAsiaTheme="minorEastAsia"/>
          <w:color w:val="auto"/>
          <w:spacing w:val="6"/>
          <w:sz w:val="21"/>
          <w:szCs w:val="21"/>
          <w:highlight w:val="none"/>
          <w:u w:val="single"/>
          <w:lang w:eastAsia="zh-CN"/>
        </w:rPr>
        <w:t>330411260350010000006-大地-DDZX-JX（2026）第22号</w:t>
      </w:r>
      <w:r>
        <w:rPr>
          <w:rFonts w:asciiTheme="minorEastAsia" w:hAnsiTheme="minorEastAsia" w:eastAsiaTheme="minorEastAsia"/>
          <w:color w:val="auto"/>
          <w:spacing w:val="6"/>
          <w:sz w:val="21"/>
          <w:szCs w:val="21"/>
          <w:highlight w:val="none"/>
        </w:rPr>
        <w:t xml:space="preserve">）政府采购活动，经与本单位法人代表（负责人）联系确认，现就有关公平竞争事项郑重声明如下： </w:t>
      </w:r>
    </w:p>
    <w:p w14:paraId="7BB3C95E">
      <w:pPr>
        <w:pStyle w:val="162"/>
        <w:widowControl/>
        <w:numPr>
          <w:ilvl w:val="0"/>
          <w:numId w:val="7"/>
        </w:numPr>
        <w:snapToGrid w:val="0"/>
        <w:spacing w:line="360" w:lineRule="auto"/>
        <w:ind w:right="42" w:rightChars="20" w:firstLine="420" w:firstLineChars="200"/>
        <w:jc w:val="left"/>
        <w:rPr>
          <w:rFonts w:hint="default"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本单位与采购人之间 </w:t>
      </w:r>
      <w:r>
        <w:rPr>
          <w:rFonts w:cs="宋体"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 xml:space="preserve">不存在利害关系 </w:t>
      </w:r>
      <w:r>
        <w:rPr>
          <w:rFonts w:cs="宋体"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存在下列利害关系：</w:t>
      </w:r>
    </w:p>
    <w:p w14:paraId="076EDD7B">
      <w:pPr>
        <w:pStyle w:val="162"/>
        <w:widowControl/>
        <w:snapToGrid w:val="0"/>
        <w:spacing w:line="360" w:lineRule="auto"/>
        <w:ind w:right="42" w:rightChars="20" w:firstLine="420" w:firstLineChars="200"/>
        <w:jc w:val="left"/>
        <w:rPr>
          <w:rFonts w:hint="default"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  A.投资关系    B.行政隶属关系    C.业务指导关系</w:t>
      </w:r>
    </w:p>
    <w:p w14:paraId="25268C6D">
      <w:pPr>
        <w:pStyle w:val="162"/>
        <w:widowControl/>
        <w:snapToGrid w:val="0"/>
        <w:spacing w:line="360" w:lineRule="auto"/>
        <w:ind w:right="42" w:rightChars="20" w:firstLine="420" w:firstLineChars="200"/>
        <w:jc w:val="left"/>
        <w:rPr>
          <w:rFonts w:hint="default"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  D.其他可能</w:t>
      </w:r>
      <w:r>
        <w:rPr>
          <w:rFonts w:asciiTheme="minorEastAsia" w:hAnsiTheme="minorEastAsia" w:eastAsiaTheme="minorEastAsia"/>
          <w:color w:val="auto"/>
          <w:szCs w:val="21"/>
          <w:highlight w:val="none"/>
        </w:rPr>
        <w:t>影响采购公正的</w:t>
      </w:r>
      <w:r>
        <w:rPr>
          <w:rFonts w:asciiTheme="minorEastAsia" w:hAnsiTheme="minorEastAsia" w:eastAsiaTheme="minorEastAsia"/>
          <w:color w:val="auto"/>
          <w:kern w:val="0"/>
          <w:szCs w:val="21"/>
          <w:highlight w:val="none"/>
        </w:rPr>
        <w:t>利害关系</w:t>
      </w:r>
      <w:r>
        <w:rPr>
          <w:rFonts w:asciiTheme="minorEastAsia" w:hAnsiTheme="minorEastAsia" w:eastAsiaTheme="minorEastAsia"/>
          <w:color w:val="auto"/>
          <w:kern w:val="0"/>
          <w:szCs w:val="21"/>
          <w:highlight w:val="none"/>
          <w:u w:val="single"/>
        </w:rPr>
        <w:t xml:space="preserve">（如有，请如实说明）                 </w:t>
      </w:r>
      <w:r>
        <w:rPr>
          <w:rFonts w:asciiTheme="minorEastAsia" w:hAnsiTheme="minorEastAsia" w:eastAsiaTheme="minorEastAsia"/>
          <w:color w:val="auto"/>
          <w:kern w:val="0"/>
          <w:szCs w:val="21"/>
          <w:highlight w:val="none"/>
        </w:rPr>
        <w:t>。</w:t>
      </w:r>
    </w:p>
    <w:p w14:paraId="1CE07316">
      <w:pPr>
        <w:pStyle w:val="162"/>
        <w:widowControl/>
        <w:snapToGrid w:val="0"/>
        <w:spacing w:line="360" w:lineRule="auto"/>
        <w:ind w:right="42" w:rightChars="20" w:firstLine="444" w:firstLineChars="200"/>
        <w:jc w:val="left"/>
        <w:rPr>
          <w:rFonts w:hint="default" w:asciiTheme="minorEastAsia" w:hAnsiTheme="minorEastAsia" w:eastAsiaTheme="minorEastAsia"/>
          <w:color w:val="auto"/>
          <w:kern w:val="0"/>
          <w:szCs w:val="21"/>
          <w:highlight w:val="none"/>
        </w:rPr>
      </w:pPr>
      <w:r>
        <w:rPr>
          <w:rFonts w:asciiTheme="minorEastAsia" w:hAnsiTheme="minorEastAsia" w:eastAsiaTheme="minorEastAsia"/>
          <w:color w:val="auto"/>
          <w:spacing w:val="6"/>
          <w:szCs w:val="21"/>
          <w:highlight w:val="none"/>
        </w:rPr>
        <w:t xml:space="preserve">  二、</w:t>
      </w:r>
      <w:r>
        <w:rPr>
          <w:rFonts w:asciiTheme="minorEastAsia" w:hAnsiTheme="minorEastAsia" w:eastAsiaTheme="minorEastAsia"/>
          <w:color w:val="auto"/>
          <w:kern w:val="0"/>
          <w:szCs w:val="21"/>
          <w:highlight w:val="none"/>
        </w:rPr>
        <w:t xml:space="preserve">现已清楚知道参加本项目采购活动的其他所有投标人名称，本单位 </w:t>
      </w:r>
      <w:r>
        <w:rPr>
          <w:rFonts w:cs="宋体" w:asciiTheme="minorEastAsia" w:hAnsiTheme="minorEastAsia" w:eastAsiaTheme="minorEastAsia"/>
          <w:color w:val="auto"/>
          <w:kern w:val="0"/>
          <w:szCs w:val="21"/>
          <w:highlight w:val="none"/>
        </w:rPr>
        <w:t>□与其他所有投标人之间均</w:t>
      </w:r>
      <w:r>
        <w:rPr>
          <w:rFonts w:asciiTheme="minorEastAsia" w:hAnsiTheme="minorEastAsia" w:eastAsiaTheme="minorEastAsia"/>
          <w:color w:val="auto"/>
          <w:kern w:val="0"/>
          <w:szCs w:val="21"/>
          <w:highlight w:val="none"/>
        </w:rPr>
        <w:t xml:space="preserve">不存在利害关系 </w:t>
      </w:r>
      <w:r>
        <w:rPr>
          <w:rFonts w:cs="宋体" w:asciiTheme="minorEastAsia" w:hAnsiTheme="minorEastAsia" w:eastAsiaTheme="minorEastAsia"/>
          <w:color w:val="auto"/>
          <w:kern w:val="0"/>
          <w:szCs w:val="21"/>
          <w:highlight w:val="none"/>
        </w:rPr>
        <w:t>□与</w:t>
      </w:r>
      <w:r>
        <w:rPr>
          <w:rFonts w:cs="宋体" w:asciiTheme="minorEastAsia" w:hAnsiTheme="minorEastAsia" w:eastAsiaTheme="minorEastAsia"/>
          <w:color w:val="auto"/>
          <w:kern w:val="0"/>
          <w:szCs w:val="21"/>
          <w:highlight w:val="none"/>
          <w:u w:val="single"/>
        </w:rPr>
        <w:t xml:space="preserve">           （投标人名称）</w:t>
      </w:r>
      <w:r>
        <w:rPr>
          <w:rFonts w:cs="宋体" w:asciiTheme="minorEastAsia" w:hAnsiTheme="minorEastAsia" w:eastAsiaTheme="minorEastAsia"/>
          <w:color w:val="auto"/>
          <w:kern w:val="0"/>
          <w:szCs w:val="21"/>
          <w:highlight w:val="none"/>
        </w:rPr>
        <w:t>之间</w:t>
      </w:r>
      <w:r>
        <w:rPr>
          <w:rFonts w:asciiTheme="minorEastAsia" w:hAnsiTheme="minorEastAsia" w:eastAsiaTheme="minorEastAsia"/>
          <w:color w:val="auto"/>
          <w:kern w:val="0"/>
          <w:szCs w:val="21"/>
          <w:highlight w:val="none"/>
        </w:rPr>
        <w:t>存在下列利害关系：</w:t>
      </w:r>
    </w:p>
    <w:p w14:paraId="6A0797A9">
      <w:pPr>
        <w:pStyle w:val="168"/>
        <w:snapToGrid w:val="0"/>
        <w:spacing w:line="360" w:lineRule="auto"/>
        <w:ind w:right="42" w:rightChars="20" w:firstLine="420" w:firstLineChars="200"/>
        <w:jc w:val="left"/>
        <w:rPr>
          <w:rFonts w:asciiTheme="minorEastAsia" w:hAnsiTheme="minorEastAsia" w:eastAsiaTheme="minorEastAsia"/>
          <w:color w:val="auto"/>
          <w:kern w:val="0"/>
          <w:sz w:val="21"/>
          <w:szCs w:val="21"/>
          <w:highlight w:val="none"/>
        </w:rPr>
      </w:pPr>
      <w:r>
        <w:rPr>
          <w:rFonts w:asciiTheme="minorEastAsia" w:hAnsiTheme="minorEastAsia" w:eastAsiaTheme="minorEastAsia"/>
          <w:color w:val="auto"/>
          <w:kern w:val="0"/>
          <w:sz w:val="21"/>
          <w:szCs w:val="21"/>
          <w:highlight w:val="none"/>
        </w:rPr>
        <w:t xml:space="preserve">  A.法定代表人或负责人或实际控制人是同一人</w:t>
      </w:r>
    </w:p>
    <w:p w14:paraId="6ADAC354">
      <w:pPr>
        <w:pStyle w:val="168"/>
        <w:snapToGrid w:val="0"/>
        <w:spacing w:line="360" w:lineRule="auto"/>
        <w:ind w:right="42" w:rightChars="20" w:firstLine="420" w:firstLineChars="200"/>
        <w:jc w:val="left"/>
        <w:rPr>
          <w:rFonts w:asciiTheme="minorEastAsia" w:hAnsiTheme="minorEastAsia" w:eastAsiaTheme="minorEastAsia"/>
          <w:color w:val="auto"/>
          <w:spacing w:val="6"/>
          <w:sz w:val="21"/>
          <w:szCs w:val="21"/>
          <w:highlight w:val="none"/>
        </w:rPr>
      </w:pPr>
      <w:r>
        <w:rPr>
          <w:rFonts w:asciiTheme="minorEastAsia" w:hAnsiTheme="minorEastAsia" w:eastAsiaTheme="minorEastAsia"/>
          <w:color w:val="auto"/>
          <w:kern w:val="0"/>
          <w:sz w:val="21"/>
          <w:szCs w:val="21"/>
          <w:highlight w:val="none"/>
        </w:rPr>
        <w:t xml:space="preserve">  B.法定代表人或负责人或实际控制人是夫妻关系</w:t>
      </w:r>
    </w:p>
    <w:p w14:paraId="44CA7882">
      <w:pPr>
        <w:pStyle w:val="168"/>
        <w:snapToGrid w:val="0"/>
        <w:spacing w:line="360" w:lineRule="auto"/>
        <w:ind w:right="42" w:rightChars="20" w:firstLine="420" w:firstLineChars="200"/>
        <w:jc w:val="left"/>
        <w:rPr>
          <w:rFonts w:asciiTheme="minorEastAsia" w:hAnsiTheme="minorEastAsia" w:eastAsiaTheme="minorEastAsia"/>
          <w:color w:val="auto"/>
          <w:spacing w:val="6"/>
          <w:sz w:val="21"/>
          <w:szCs w:val="21"/>
          <w:highlight w:val="none"/>
        </w:rPr>
      </w:pPr>
      <w:r>
        <w:rPr>
          <w:rFonts w:asciiTheme="minorEastAsia" w:hAnsiTheme="minorEastAsia" w:eastAsiaTheme="minorEastAsia"/>
          <w:color w:val="auto"/>
          <w:kern w:val="0"/>
          <w:sz w:val="21"/>
          <w:szCs w:val="21"/>
          <w:highlight w:val="none"/>
        </w:rPr>
        <w:t xml:space="preserve">  C.法定代表人或负责人或实际控制人是直系血亲关系</w:t>
      </w:r>
    </w:p>
    <w:p w14:paraId="6049E835">
      <w:pPr>
        <w:pStyle w:val="168"/>
        <w:snapToGrid w:val="0"/>
        <w:spacing w:line="360" w:lineRule="auto"/>
        <w:ind w:right="42" w:rightChars="20" w:firstLine="420" w:firstLineChars="200"/>
        <w:jc w:val="left"/>
        <w:rPr>
          <w:rFonts w:asciiTheme="minorEastAsia" w:hAnsiTheme="minorEastAsia" w:eastAsiaTheme="minorEastAsia"/>
          <w:color w:val="auto"/>
          <w:spacing w:val="6"/>
          <w:sz w:val="21"/>
          <w:szCs w:val="21"/>
          <w:highlight w:val="none"/>
        </w:rPr>
      </w:pPr>
      <w:r>
        <w:rPr>
          <w:rFonts w:asciiTheme="minorEastAsia" w:hAnsiTheme="minorEastAsia" w:eastAsiaTheme="minorEastAsia"/>
          <w:color w:val="auto"/>
          <w:kern w:val="0"/>
          <w:sz w:val="21"/>
          <w:szCs w:val="21"/>
          <w:highlight w:val="none"/>
        </w:rPr>
        <w:t xml:space="preserve">  D.法定代表人或负责人或实际控制人存在三代以内旁系血亲关系</w:t>
      </w:r>
    </w:p>
    <w:p w14:paraId="6B7CC2CF">
      <w:pPr>
        <w:pStyle w:val="168"/>
        <w:snapToGrid w:val="0"/>
        <w:spacing w:line="360" w:lineRule="auto"/>
        <w:ind w:right="42" w:rightChars="20" w:firstLine="420" w:firstLineChars="200"/>
        <w:jc w:val="left"/>
        <w:rPr>
          <w:rFonts w:asciiTheme="minorEastAsia" w:hAnsiTheme="minorEastAsia" w:eastAsiaTheme="minorEastAsia"/>
          <w:color w:val="auto"/>
          <w:kern w:val="0"/>
          <w:sz w:val="21"/>
          <w:szCs w:val="21"/>
          <w:highlight w:val="none"/>
        </w:rPr>
      </w:pPr>
      <w:r>
        <w:rPr>
          <w:rFonts w:asciiTheme="minorEastAsia" w:hAnsiTheme="minorEastAsia" w:eastAsiaTheme="minorEastAsia"/>
          <w:color w:val="auto"/>
          <w:kern w:val="0"/>
          <w:sz w:val="21"/>
          <w:szCs w:val="21"/>
          <w:highlight w:val="none"/>
        </w:rPr>
        <w:t xml:space="preserve">  E.法定代表人或负责人或实际控制人存在近姻亲关系</w:t>
      </w:r>
    </w:p>
    <w:p w14:paraId="467D48E0">
      <w:pPr>
        <w:pStyle w:val="168"/>
        <w:snapToGrid w:val="0"/>
        <w:spacing w:line="360" w:lineRule="auto"/>
        <w:ind w:right="42" w:rightChars="20" w:firstLine="420" w:firstLineChars="200"/>
        <w:jc w:val="left"/>
        <w:rPr>
          <w:rFonts w:asciiTheme="minorEastAsia" w:hAnsiTheme="minorEastAsia" w:eastAsiaTheme="minorEastAsia"/>
          <w:color w:val="auto"/>
          <w:kern w:val="0"/>
          <w:sz w:val="21"/>
          <w:szCs w:val="21"/>
          <w:highlight w:val="none"/>
        </w:rPr>
      </w:pPr>
      <w:r>
        <w:rPr>
          <w:rFonts w:asciiTheme="minorEastAsia" w:hAnsiTheme="minorEastAsia" w:eastAsiaTheme="minorEastAsia"/>
          <w:color w:val="auto"/>
          <w:kern w:val="0"/>
          <w:sz w:val="21"/>
          <w:szCs w:val="21"/>
          <w:highlight w:val="none"/>
        </w:rPr>
        <w:t xml:space="preserve">  F.法定代表人或负责人或实际控制人存在股份控制或实际控制关系</w:t>
      </w:r>
    </w:p>
    <w:p w14:paraId="1B9BAC33">
      <w:pPr>
        <w:pStyle w:val="168"/>
        <w:snapToGrid w:val="0"/>
        <w:spacing w:line="360" w:lineRule="auto"/>
        <w:ind w:right="42" w:rightChars="20" w:firstLine="420" w:firstLineChars="200"/>
        <w:jc w:val="left"/>
        <w:rPr>
          <w:rFonts w:asciiTheme="minorEastAsia" w:hAnsiTheme="minorEastAsia" w:eastAsiaTheme="minorEastAsia"/>
          <w:color w:val="auto"/>
          <w:kern w:val="0"/>
          <w:sz w:val="21"/>
          <w:szCs w:val="21"/>
          <w:highlight w:val="none"/>
        </w:rPr>
      </w:pPr>
      <w:r>
        <w:rPr>
          <w:rFonts w:asciiTheme="minorEastAsia" w:hAnsiTheme="minorEastAsia" w:eastAsiaTheme="minorEastAsia"/>
          <w:color w:val="auto"/>
          <w:kern w:val="0"/>
          <w:sz w:val="21"/>
          <w:szCs w:val="21"/>
          <w:highlight w:val="none"/>
        </w:rPr>
        <w:t xml:space="preserve">  G.存在共同直接或间接投资设立子公司、联营企业和合营企业情况</w:t>
      </w:r>
    </w:p>
    <w:p w14:paraId="327CA845">
      <w:pPr>
        <w:pStyle w:val="168"/>
        <w:snapToGrid w:val="0"/>
        <w:spacing w:line="360" w:lineRule="auto"/>
        <w:ind w:right="42" w:rightChars="20" w:firstLine="420" w:firstLineChars="200"/>
        <w:jc w:val="left"/>
        <w:rPr>
          <w:rFonts w:asciiTheme="minorEastAsia" w:hAnsiTheme="minorEastAsia" w:eastAsiaTheme="minorEastAsia"/>
          <w:color w:val="auto"/>
          <w:sz w:val="21"/>
          <w:szCs w:val="21"/>
          <w:highlight w:val="none"/>
        </w:rPr>
      </w:pPr>
      <w:r>
        <w:rPr>
          <w:rFonts w:asciiTheme="minorEastAsia" w:hAnsiTheme="minorEastAsia" w:eastAsiaTheme="minorEastAsia"/>
          <w:color w:val="auto"/>
          <w:kern w:val="0"/>
          <w:sz w:val="21"/>
          <w:szCs w:val="21"/>
          <w:highlight w:val="none"/>
        </w:rPr>
        <w:t xml:space="preserve">  H.存在分级代理或代销关系、同一生产制造商关系、</w:t>
      </w:r>
      <w:r>
        <w:rPr>
          <w:rFonts w:asciiTheme="minorEastAsia" w:hAnsiTheme="minorEastAsia" w:eastAsiaTheme="minorEastAsia"/>
          <w:color w:val="auto"/>
          <w:sz w:val="21"/>
          <w:szCs w:val="21"/>
          <w:highlight w:val="none"/>
        </w:rPr>
        <w:t>管理关系、重要业务（占主营业务收入50%以上）或重要财务往来关系（如融资）等其他实质性控制关系</w:t>
      </w:r>
    </w:p>
    <w:p w14:paraId="2C0EC6EC">
      <w:pPr>
        <w:pStyle w:val="168"/>
        <w:snapToGrid w:val="0"/>
        <w:spacing w:line="360" w:lineRule="auto"/>
        <w:ind w:right="42" w:rightChars="20" w:firstLine="420" w:firstLineChars="200"/>
        <w:jc w:val="left"/>
        <w:rPr>
          <w:rFonts w:asciiTheme="minorEastAsia" w:hAnsiTheme="minorEastAsia" w:eastAsiaTheme="minorEastAsia"/>
          <w:color w:val="auto"/>
          <w:spacing w:val="6"/>
          <w:sz w:val="21"/>
          <w:szCs w:val="21"/>
          <w:highlight w:val="none"/>
        </w:rPr>
      </w:pPr>
      <w:r>
        <w:rPr>
          <w:rFonts w:asciiTheme="minorEastAsia" w:hAnsiTheme="minorEastAsia" w:eastAsiaTheme="minorEastAsia"/>
          <w:color w:val="auto"/>
          <w:sz w:val="21"/>
          <w:szCs w:val="21"/>
          <w:highlight w:val="none"/>
        </w:rPr>
        <w:t xml:space="preserve">    I</w:t>
      </w:r>
      <w:r>
        <w:rPr>
          <w:rFonts w:asciiTheme="minorEastAsia" w:hAnsiTheme="minorEastAsia" w:eastAsiaTheme="minorEastAsia"/>
          <w:color w:val="auto"/>
          <w:kern w:val="0"/>
          <w:sz w:val="21"/>
          <w:szCs w:val="21"/>
          <w:highlight w:val="none"/>
        </w:rPr>
        <w:t>.</w:t>
      </w:r>
      <w:r>
        <w:rPr>
          <w:rFonts w:asciiTheme="minorEastAsia" w:hAnsiTheme="minorEastAsia" w:eastAsiaTheme="minorEastAsia"/>
          <w:color w:val="auto"/>
          <w:sz w:val="21"/>
          <w:szCs w:val="21"/>
          <w:highlight w:val="none"/>
        </w:rPr>
        <w:t>其他利害关系情况</w:t>
      </w:r>
      <w:r>
        <w:rPr>
          <w:rFonts w:asciiTheme="minorEastAsia" w:hAnsiTheme="minorEastAsia" w:eastAsiaTheme="minorEastAsia"/>
          <w:color w:val="auto"/>
          <w:kern w:val="0"/>
          <w:sz w:val="21"/>
          <w:szCs w:val="21"/>
          <w:highlight w:val="none"/>
        </w:rPr>
        <w:t>。</w:t>
      </w:r>
    </w:p>
    <w:p w14:paraId="4B01CC3C">
      <w:pPr>
        <w:pStyle w:val="162"/>
        <w:widowControl/>
        <w:numPr>
          <w:ilvl w:val="0"/>
          <w:numId w:val="8"/>
        </w:numPr>
        <w:snapToGrid w:val="0"/>
        <w:spacing w:line="360" w:lineRule="auto"/>
        <w:ind w:right="42" w:rightChars="20" w:firstLine="420" w:firstLineChars="200"/>
        <w:jc w:val="left"/>
        <w:rPr>
          <w:rFonts w:hint="default" w:asciiTheme="minorEastAsia" w:hAnsiTheme="minorEastAsia" w:eastAsiaTheme="minorEastAsia"/>
          <w:color w:val="auto"/>
          <w:kern w:val="0"/>
          <w:szCs w:val="21"/>
          <w:highlight w:val="none"/>
        </w:rPr>
      </w:pPr>
      <w:r>
        <w:rPr>
          <w:rFonts w:asciiTheme="minorEastAsia" w:hAnsiTheme="minorEastAsia" w:eastAsiaTheme="minorEastAsia"/>
          <w:color w:val="auto"/>
          <w:szCs w:val="21"/>
          <w:highlight w:val="none"/>
        </w:rPr>
        <w:t>现已清楚知道并</w:t>
      </w:r>
      <w:r>
        <w:rPr>
          <w:rFonts w:asciiTheme="minorEastAsia" w:hAnsiTheme="minorEastAsia" w:eastAsiaTheme="minorEastAsia"/>
          <w:color w:val="auto"/>
          <w:kern w:val="0"/>
          <w:szCs w:val="21"/>
          <w:highlight w:val="none"/>
        </w:rPr>
        <w:t>严格遵守政府采购法律法规和现场纪律。</w:t>
      </w:r>
    </w:p>
    <w:p w14:paraId="22F2AA1A">
      <w:pPr>
        <w:pStyle w:val="162"/>
        <w:widowControl/>
        <w:numPr>
          <w:ilvl w:val="0"/>
          <w:numId w:val="8"/>
        </w:numPr>
        <w:snapToGrid w:val="0"/>
        <w:spacing w:line="360" w:lineRule="auto"/>
        <w:ind w:right="42" w:rightChars="20" w:firstLine="420" w:firstLineChars="200"/>
        <w:jc w:val="left"/>
        <w:rPr>
          <w:rFonts w:hint="default"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我发现投标人之间存在或可能存在上述第二条第项利害关系。</w:t>
      </w:r>
    </w:p>
    <w:p w14:paraId="4622071A">
      <w:pPr>
        <w:pStyle w:val="168"/>
        <w:snapToGrid w:val="0"/>
        <w:spacing w:line="360" w:lineRule="auto"/>
        <w:ind w:right="42" w:rightChars="20" w:firstLine="420" w:firstLineChars="200"/>
        <w:jc w:val="left"/>
        <w:rPr>
          <w:rFonts w:asciiTheme="minorEastAsia" w:hAnsiTheme="minorEastAsia" w:eastAsiaTheme="minorEastAsia"/>
          <w:color w:val="auto"/>
          <w:sz w:val="21"/>
          <w:szCs w:val="21"/>
          <w:highlight w:val="none"/>
        </w:rPr>
      </w:pPr>
    </w:p>
    <w:p w14:paraId="02EEEFA6">
      <w:pPr>
        <w:pStyle w:val="168"/>
        <w:snapToGrid w:val="0"/>
        <w:spacing w:line="360" w:lineRule="auto"/>
        <w:ind w:right="42" w:rightChars="20" w:firstLine="420" w:firstLineChars="200"/>
        <w:jc w:val="left"/>
        <w:rPr>
          <w:rFonts w:asciiTheme="minorEastAsia" w:hAnsiTheme="minorEastAsia" w:eastAsiaTheme="minorEastAsia"/>
          <w:color w:val="auto"/>
          <w:sz w:val="21"/>
          <w:szCs w:val="21"/>
          <w:highlight w:val="none"/>
        </w:rPr>
      </w:pPr>
    </w:p>
    <w:p w14:paraId="3CF7264C">
      <w:pPr>
        <w:pStyle w:val="168"/>
        <w:snapToGrid w:val="0"/>
        <w:spacing w:line="360" w:lineRule="auto"/>
        <w:ind w:right="42" w:rightChars="20" w:firstLine="420" w:firstLineChars="200"/>
        <w:jc w:val="lef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法定代表人或其授权代表签字（或盖章）</w:t>
      </w:r>
      <w:r>
        <w:rPr>
          <w:rFonts w:asciiTheme="minorEastAsia" w:hAnsiTheme="minorEastAsia" w:eastAsiaTheme="minorEastAsia"/>
          <w:color w:val="auto"/>
          <w:sz w:val="21"/>
          <w:szCs w:val="21"/>
          <w:highlight w:val="none"/>
        </w:rPr>
        <w:t>：</w:t>
      </w:r>
    </w:p>
    <w:p w14:paraId="30B166D8">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 xml:space="preserve"> 年  月  日</w:t>
      </w:r>
    </w:p>
    <w:p w14:paraId="68FD0641">
      <w:pPr>
        <w:pStyle w:val="14"/>
        <w:rPr>
          <w:color w:val="auto"/>
          <w:highlight w:val="none"/>
        </w:rPr>
      </w:pPr>
    </w:p>
    <w:p w14:paraId="781C4742">
      <w:pPr>
        <w:snapToGrid w:val="0"/>
        <w:spacing w:line="360" w:lineRule="auto"/>
        <w:ind w:right="42" w:rightChars="20" w:firstLine="422" w:firstLineChars="200"/>
        <w:jc w:val="left"/>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br w:type="page"/>
      </w:r>
      <w:r>
        <w:rPr>
          <w:rFonts w:hint="eastAsia" w:asciiTheme="minorEastAsia" w:hAnsiTheme="minorEastAsia" w:eastAsiaTheme="minorEastAsia"/>
          <w:b/>
          <w:color w:val="auto"/>
          <w:szCs w:val="21"/>
          <w:highlight w:val="none"/>
        </w:rPr>
        <w:t>投标声明书格式：</w:t>
      </w:r>
    </w:p>
    <w:p w14:paraId="0C07071F">
      <w:pPr>
        <w:snapToGrid w:val="0"/>
        <w:spacing w:line="360" w:lineRule="auto"/>
        <w:ind w:right="42" w:rightChars="20" w:firstLine="422" w:firstLineChars="200"/>
        <w:jc w:val="cente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投标声明书</w:t>
      </w:r>
    </w:p>
    <w:p w14:paraId="1C95AA09">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致：</w:t>
      </w:r>
      <w:r>
        <w:rPr>
          <w:rFonts w:hint="eastAsia" w:cs="Arial" w:asciiTheme="minorEastAsia" w:hAnsiTheme="minorEastAsia" w:eastAsiaTheme="minorEastAsia"/>
          <w:color w:val="auto"/>
          <w:kern w:val="0"/>
          <w:szCs w:val="21"/>
          <w:highlight w:val="none"/>
          <w:u w:val="single"/>
          <w:lang w:eastAsia="zh-CN"/>
        </w:rPr>
        <w:t>嘉兴市秀洲区农业农村和水利局</w:t>
      </w:r>
      <w:r>
        <w:rPr>
          <w:rFonts w:hint="eastAsia" w:cs="Arial" w:asciiTheme="minorEastAsia" w:hAnsiTheme="minorEastAsia" w:eastAsiaTheme="minorEastAsia"/>
          <w:color w:val="auto"/>
          <w:kern w:val="0"/>
          <w:szCs w:val="21"/>
          <w:highlight w:val="none"/>
          <w:u w:val="single"/>
        </w:rPr>
        <w:t xml:space="preserve">  </w:t>
      </w:r>
      <w:r>
        <w:rPr>
          <w:rFonts w:hint="eastAsia" w:asciiTheme="minorEastAsia" w:hAnsiTheme="minorEastAsia" w:eastAsiaTheme="minorEastAsia"/>
          <w:color w:val="auto"/>
          <w:szCs w:val="21"/>
          <w:highlight w:val="none"/>
        </w:rPr>
        <w:t>（招标采购单位名称）：</w:t>
      </w:r>
    </w:p>
    <w:p w14:paraId="38CBA002">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u w:val="single"/>
        </w:rPr>
        <w:t>（投标人名称）</w:t>
      </w:r>
      <w:r>
        <w:rPr>
          <w:rFonts w:hint="eastAsia" w:asciiTheme="minorEastAsia" w:hAnsiTheme="minorEastAsia" w:eastAsiaTheme="minorEastAsia"/>
          <w:color w:val="auto"/>
          <w:szCs w:val="21"/>
          <w:highlight w:val="none"/>
        </w:rPr>
        <w:t>系中华人民共和国合法企业，经营地址</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w:t>
      </w:r>
    </w:p>
    <w:p w14:paraId="49D7E87F">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我</w:t>
      </w:r>
      <w:r>
        <w:rPr>
          <w:rFonts w:hint="eastAsia" w:asciiTheme="minorEastAsia" w:hAnsiTheme="minorEastAsia" w:eastAsiaTheme="minorEastAsia"/>
          <w:color w:val="auto"/>
          <w:szCs w:val="21"/>
          <w:highlight w:val="none"/>
          <w:u w:val="single"/>
        </w:rPr>
        <w:t>（姓名）</w:t>
      </w:r>
      <w:r>
        <w:rPr>
          <w:rFonts w:hint="eastAsia" w:asciiTheme="minorEastAsia" w:hAnsiTheme="minorEastAsia" w:eastAsiaTheme="minorEastAsia"/>
          <w:color w:val="auto"/>
          <w:szCs w:val="21"/>
          <w:highlight w:val="none"/>
        </w:rPr>
        <w:t>系</w:t>
      </w:r>
      <w:r>
        <w:rPr>
          <w:rFonts w:hint="eastAsia" w:asciiTheme="minorEastAsia" w:hAnsiTheme="minorEastAsia" w:eastAsiaTheme="minorEastAsia"/>
          <w:color w:val="auto"/>
          <w:szCs w:val="21"/>
          <w:highlight w:val="none"/>
          <w:u w:val="single"/>
        </w:rPr>
        <w:t>（投标人名称）</w:t>
      </w:r>
      <w:r>
        <w:rPr>
          <w:rFonts w:hint="eastAsia" w:asciiTheme="minorEastAsia" w:hAnsiTheme="minorEastAsia" w:eastAsiaTheme="minorEastAsia"/>
          <w:color w:val="auto"/>
          <w:szCs w:val="21"/>
          <w:highlight w:val="none"/>
        </w:rPr>
        <w:t>的法定代表人，我方愿意参加贵方组织的项目的投标，为便于贵方公正、择优地确定中标人及其投标产品和服务，我方就本次投标有关事项郑重声明如下：</w:t>
      </w:r>
    </w:p>
    <w:p w14:paraId="2C72C7D3">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我方向贵方提交的所有投标文件、资料都是准确的和真实的</w:t>
      </w:r>
      <w:r>
        <w:rPr>
          <w:rFonts w:hint="eastAsia" w:asciiTheme="minorEastAsia" w:hAnsiTheme="minorEastAsia" w:eastAsiaTheme="minorEastAsia"/>
          <w:color w:val="auto"/>
          <w:szCs w:val="21"/>
          <w:highlight w:val="none"/>
        </w:rPr>
        <w:t>。</w:t>
      </w:r>
    </w:p>
    <w:p w14:paraId="1060122A">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我方不是采购人的附属机构；在获知本项目采购信息后，与采购人聘请的为此项目提供咨询服务的公司及其附属机构没有任何联系。</w:t>
      </w:r>
    </w:p>
    <w:p w14:paraId="468059A9">
      <w:pPr>
        <w:snapToGrid w:val="0"/>
        <w:spacing w:line="360" w:lineRule="auto"/>
        <w:ind w:right="42" w:rightChars="20" w:firstLine="48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pacing w:val="15"/>
          <w:kern w:val="0"/>
          <w:szCs w:val="21"/>
          <w:highlight w:val="none"/>
        </w:rPr>
        <w:t>3</w:t>
      </w:r>
      <w:r>
        <w:rPr>
          <w:rFonts w:hint="eastAsia" w:asciiTheme="minorEastAsia" w:hAnsiTheme="minorEastAsia" w:eastAsiaTheme="minorEastAsia"/>
          <w:color w:val="auto"/>
          <w:spacing w:val="15"/>
          <w:kern w:val="0"/>
          <w:szCs w:val="21"/>
          <w:highlight w:val="none"/>
        </w:rPr>
        <w:t>、</w:t>
      </w:r>
      <w:r>
        <w:rPr>
          <w:rFonts w:asciiTheme="minorEastAsia" w:hAnsiTheme="minorEastAsia" w:eastAsiaTheme="minorEastAsia"/>
          <w:color w:val="auto"/>
          <w:spacing w:val="15"/>
          <w:kern w:val="0"/>
          <w:szCs w:val="21"/>
          <w:highlight w:val="none"/>
        </w:rPr>
        <w:t>我方此次向贵方提供的</w:t>
      </w:r>
      <w:r>
        <w:rPr>
          <w:rFonts w:hint="eastAsia" w:asciiTheme="minorEastAsia" w:hAnsiTheme="minorEastAsia" w:eastAsiaTheme="minorEastAsia"/>
          <w:color w:val="auto"/>
          <w:spacing w:val="15"/>
          <w:kern w:val="0"/>
          <w:szCs w:val="21"/>
          <w:highlight w:val="none"/>
        </w:rPr>
        <w:t>服务内容为</w:t>
      </w:r>
      <w:r>
        <w:rPr>
          <w:rFonts w:hint="eastAsia" w:asciiTheme="minorEastAsia" w:hAnsiTheme="minorEastAsia" w:eastAsiaTheme="minorEastAsia"/>
          <w:color w:val="auto"/>
          <w:szCs w:val="21"/>
          <w:highlight w:val="none"/>
        </w:rPr>
        <w:t>。</w:t>
      </w:r>
    </w:p>
    <w:p w14:paraId="035D08A6">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4</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我方诚意提请贵方关注：</w:t>
      </w:r>
      <w:r>
        <w:rPr>
          <w:rFonts w:hint="eastAsia" w:asciiTheme="minorEastAsia" w:hAnsiTheme="minorEastAsia" w:eastAsiaTheme="minorEastAsia"/>
          <w:color w:val="auto"/>
          <w:szCs w:val="21"/>
          <w:highlight w:val="none"/>
        </w:rPr>
        <w:t>近期</w:t>
      </w:r>
      <w:r>
        <w:rPr>
          <w:rFonts w:asciiTheme="minorEastAsia" w:hAnsiTheme="minorEastAsia" w:eastAsiaTheme="minorEastAsia"/>
          <w:color w:val="auto"/>
          <w:szCs w:val="21"/>
          <w:highlight w:val="none"/>
        </w:rPr>
        <w:t>有关</w:t>
      </w:r>
      <w:r>
        <w:rPr>
          <w:rFonts w:hint="eastAsia" w:asciiTheme="minorEastAsia" w:hAnsiTheme="minorEastAsia" w:eastAsiaTheme="minorEastAsia"/>
          <w:color w:val="auto"/>
          <w:szCs w:val="21"/>
          <w:highlight w:val="none"/>
        </w:rPr>
        <w:t>项目的售后服务等方面的重大决策和事项有：</w:t>
      </w:r>
    </w:p>
    <w:p w14:paraId="25C922AA">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u w:val="single"/>
        </w:rPr>
        <w:t>　　　　　　　　　　　　　　　　　　　　　　　　　　</w:t>
      </w:r>
    </w:p>
    <w:p w14:paraId="6DAB2424">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5</w:t>
      </w:r>
      <w:r>
        <w:rPr>
          <w:rFonts w:hint="eastAsia" w:asciiTheme="minorEastAsia" w:hAnsiTheme="minorEastAsia" w:eastAsiaTheme="minorEastAsia"/>
          <w:color w:val="auto"/>
          <w:szCs w:val="21"/>
          <w:highlight w:val="none"/>
        </w:rPr>
        <w:t>、我方及由本人担任法定代表人的其他机构</w:t>
      </w:r>
      <w:r>
        <w:rPr>
          <w:rFonts w:asciiTheme="minorEastAsia" w:hAnsiTheme="minorEastAsia" w:eastAsiaTheme="minorEastAsia"/>
          <w:color w:val="auto"/>
          <w:szCs w:val="21"/>
          <w:highlight w:val="none"/>
        </w:rPr>
        <w:t>最近三年内被</w:t>
      </w:r>
      <w:r>
        <w:rPr>
          <w:rFonts w:hint="eastAsia" w:asciiTheme="minorEastAsia" w:hAnsiTheme="minorEastAsia" w:eastAsiaTheme="minorEastAsia"/>
          <w:color w:val="auto"/>
          <w:szCs w:val="21"/>
          <w:highlight w:val="none"/>
        </w:rPr>
        <w:t>通报或者被处罚的</w:t>
      </w:r>
      <w:r>
        <w:rPr>
          <w:rFonts w:asciiTheme="minorEastAsia" w:hAnsiTheme="minorEastAsia" w:eastAsiaTheme="minorEastAsia"/>
          <w:color w:val="auto"/>
          <w:szCs w:val="21"/>
          <w:highlight w:val="none"/>
        </w:rPr>
        <w:t>违法行为有：</w:t>
      </w:r>
    </w:p>
    <w:p w14:paraId="558867A0">
      <w:pPr>
        <w:snapToGrid w:val="0"/>
        <w:spacing w:line="360" w:lineRule="auto"/>
        <w:ind w:right="42" w:rightChars="20" w:firstLine="420" w:firstLineChars="200"/>
        <w:jc w:val="left"/>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u w:val="single"/>
        </w:rPr>
        <w:t>　　　　　　　　　　　　　　　　　　　　　　　　　　　</w:t>
      </w:r>
    </w:p>
    <w:p w14:paraId="54DE582D">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6、以上事项如有虚假或隐瞒，我方愿意承担一切后果，并不再寻求任何旨在减轻或免除法律责任的辩解。</w:t>
      </w:r>
    </w:p>
    <w:p w14:paraId="624AC886">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p>
    <w:p w14:paraId="07C95E1D">
      <w:pPr>
        <w:pStyle w:val="168"/>
        <w:snapToGrid w:val="0"/>
        <w:spacing w:line="360" w:lineRule="auto"/>
        <w:ind w:right="42" w:rightChars="20" w:firstLine="420" w:firstLineChars="200"/>
        <w:jc w:val="lef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法定代表人或其授权代表签字（或盖章）</w:t>
      </w:r>
      <w:r>
        <w:rPr>
          <w:rFonts w:asciiTheme="minorEastAsia" w:hAnsiTheme="minorEastAsia" w:eastAsiaTheme="minorEastAsia"/>
          <w:color w:val="auto"/>
          <w:sz w:val="21"/>
          <w:szCs w:val="21"/>
          <w:highlight w:val="none"/>
        </w:rPr>
        <w:t>：</w:t>
      </w:r>
    </w:p>
    <w:p w14:paraId="10B15842">
      <w:pPr>
        <w:snapToGrid w:val="0"/>
        <w:spacing w:line="360" w:lineRule="auto"/>
        <w:ind w:right="42" w:rightChars="20" w:firstLine="420" w:firstLineChars="200"/>
        <w:jc w:val="left"/>
        <w:rPr>
          <w:rFonts w:asciiTheme="minorEastAsia" w:hAnsiTheme="minorEastAsia" w:eastAsiaTheme="minorEastAsia"/>
          <w:color w:val="auto"/>
          <w:szCs w:val="21"/>
          <w:highlight w:val="none"/>
          <w:u w:val="single"/>
        </w:rPr>
      </w:pPr>
    </w:p>
    <w:p w14:paraId="4E9A9E9D">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shd w:val="clear" w:color="auto" w:fill="FFFFFF"/>
        </w:rPr>
        <w:t>投标人名称：（CA签章）</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 xml:space="preserve">                      年    月    日</w:t>
      </w:r>
    </w:p>
    <w:p w14:paraId="0A115515">
      <w:pPr>
        <w:snapToGrid w:val="0"/>
        <w:spacing w:line="360" w:lineRule="auto"/>
        <w:ind w:right="42" w:rightChars="20" w:firstLine="422" w:firstLineChars="200"/>
        <w:jc w:val="left"/>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br w:type="page"/>
      </w:r>
      <w:r>
        <w:rPr>
          <w:rFonts w:hint="eastAsia" w:asciiTheme="minorEastAsia" w:hAnsiTheme="minorEastAsia" w:eastAsiaTheme="minorEastAsia"/>
          <w:b/>
          <w:color w:val="auto"/>
          <w:szCs w:val="21"/>
          <w:highlight w:val="none"/>
        </w:rPr>
        <w:t>法定代表人授权委托书格式：</w:t>
      </w:r>
    </w:p>
    <w:p w14:paraId="368ABE3A">
      <w:pPr>
        <w:snapToGrid w:val="0"/>
        <w:spacing w:line="360" w:lineRule="auto"/>
        <w:ind w:right="42" w:rightChars="20" w:firstLine="422" w:firstLineChars="200"/>
        <w:jc w:val="cente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法定代表人授权委托书</w:t>
      </w:r>
    </w:p>
    <w:p w14:paraId="2A065A56">
      <w:pPr>
        <w:snapToGrid w:val="0"/>
        <w:spacing w:line="360" w:lineRule="auto"/>
        <w:ind w:right="42" w:rightChars="20" w:firstLine="420" w:firstLineChars="200"/>
        <w:jc w:val="left"/>
        <w:rPr>
          <w:rFonts w:asciiTheme="minorEastAsia" w:hAnsiTheme="minorEastAsia" w:eastAsiaTheme="minorEastAsia"/>
          <w:bCs/>
          <w:color w:val="auto"/>
          <w:szCs w:val="21"/>
          <w:highlight w:val="none"/>
        </w:rPr>
      </w:pPr>
    </w:p>
    <w:p w14:paraId="303F64CF">
      <w:pPr>
        <w:snapToGrid w:val="0"/>
        <w:spacing w:line="360" w:lineRule="auto"/>
        <w:ind w:right="42" w:rightChars="20" w:firstLine="420" w:firstLineChars="200"/>
        <w:jc w:val="left"/>
        <w:rPr>
          <w:rFonts w:asciiTheme="minorEastAsia" w:hAnsiTheme="minorEastAsia" w:eastAsiaTheme="minorEastAsia"/>
          <w:b/>
          <w:bCs/>
          <w:color w:val="auto"/>
          <w:szCs w:val="21"/>
          <w:highlight w:val="none"/>
        </w:rPr>
      </w:pPr>
      <w:r>
        <w:rPr>
          <w:rFonts w:hint="eastAsia" w:asciiTheme="minorEastAsia" w:hAnsiTheme="minorEastAsia" w:eastAsiaTheme="minorEastAsia"/>
          <w:bCs/>
          <w:color w:val="auto"/>
          <w:szCs w:val="21"/>
          <w:highlight w:val="none"/>
        </w:rPr>
        <w:t>致：</w:t>
      </w:r>
      <w:r>
        <w:rPr>
          <w:rFonts w:hint="eastAsia" w:cs="Arial" w:asciiTheme="minorEastAsia" w:hAnsiTheme="minorEastAsia" w:eastAsiaTheme="minorEastAsia"/>
          <w:color w:val="auto"/>
          <w:kern w:val="0"/>
          <w:szCs w:val="21"/>
          <w:highlight w:val="none"/>
          <w:u w:val="single"/>
          <w:lang w:eastAsia="zh-CN"/>
        </w:rPr>
        <w:t>嘉兴市秀洲区农业农村和水利局</w:t>
      </w:r>
      <w:r>
        <w:rPr>
          <w:rFonts w:hint="eastAsia" w:cs="Arial" w:asciiTheme="minorEastAsia" w:hAnsiTheme="minorEastAsia" w:eastAsiaTheme="minorEastAsia"/>
          <w:color w:val="auto"/>
          <w:kern w:val="0"/>
          <w:szCs w:val="21"/>
          <w:highlight w:val="none"/>
          <w:u w:val="single"/>
        </w:rPr>
        <w:t xml:space="preserve">  </w:t>
      </w:r>
      <w:r>
        <w:rPr>
          <w:rFonts w:hint="eastAsia" w:asciiTheme="minorEastAsia" w:hAnsiTheme="minorEastAsia" w:eastAsiaTheme="minorEastAsia"/>
          <w:color w:val="auto"/>
          <w:szCs w:val="21"/>
          <w:highlight w:val="none"/>
        </w:rPr>
        <w:t>（招标采购单位名称）：</w:t>
      </w:r>
    </w:p>
    <w:p w14:paraId="663508FF">
      <w:pPr>
        <w:shd w:val="clear" w:color="auto" w:fill="FFFFFF"/>
        <w:snapToGrid w:val="0"/>
        <w:spacing w:line="360" w:lineRule="auto"/>
        <w:ind w:right="42" w:rightChars="20"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lang w:val="zh-CN"/>
        </w:rPr>
        <w:t xml:space="preserve"> 兹委派我公司</w:t>
      </w:r>
      <w:r>
        <w:rPr>
          <w:rFonts w:hint="eastAsia" w:cs="宋体" w:asciiTheme="minorEastAsia" w:hAnsiTheme="minorEastAsia" w:eastAsiaTheme="minorEastAsia"/>
          <w:color w:val="auto"/>
          <w:kern w:val="0"/>
          <w:szCs w:val="21"/>
          <w:highlight w:val="none"/>
          <w:u w:val="single"/>
          <w:lang w:val="zh-CN"/>
        </w:rPr>
        <w:t>先生/女士</w:t>
      </w:r>
      <w:r>
        <w:rPr>
          <w:rFonts w:hint="eastAsia" w:cs="宋体" w:asciiTheme="minorEastAsia" w:hAnsiTheme="minorEastAsia" w:eastAsiaTheme="minorEastAsia"/>
          <w:color w:val="auto"/>
          <w:kern w:val="0"/>
          <w:szCs w:val="21"/>
          <w:highlight w:val="none"/>
          <w:lang w:val="zh-CN"/>
        </w:rPr>
        <w:t>(其在本公司的职务是：</w:t>
      </w:r>
      <w:r>
        <w:rPr>
          <w:rFonts w:hint="eastAsia" w:cs="宋体" w:asciiTheme="minorEastAsia" w:hAnsiTheme="minorEastAsia" w:eastAsiaTheme="minorEastAsia"/>
          <w:color w:val="auto"/>
          <w:kern w:val="0"/>
          <w:szCs w:val="21"/>
          <w:highlight w:val="none"/>
          <w:u w:val="single"/>
        </w:rPr>
        <w:t xml:space="preserve">          </w:t>
      </w:r>
      <w:r>
        <w:rPr>
          <w:rFonts w:hint="eastAsia" w:cs="宋体" w:asciiTheme="minorEastAsia" w:hAnsiTheme="minorEastAsia" w:eastAsiaTheme="minorEastAsia"/>
          <w:color w:val="auto"/>
          <w:kern w:val="0"/>
          <w:szCs w:val="21"/>
          <w:highlight w:val="none"/>
          <w:lang w:val="zh-CN"/>
        </w:rPr>
        <w:t>，联系电话：</w:t>
      </w:r>
      <w:r>
        <w:rPr>
          <w:rFonts w:hint="eastAsia" w:cs="宋体" w:asciiTheme="minorEastAsia" w:hAnsiTheme="minorEastAsia" w:eastAsiaTheme="minorEastAsia"/>
          <w:color w:val="auto"/>
          <w:kern w:val="0"/>
          <w:szCs w:val="21"/>
          <w:highlight w:val="none"/>
          <w:u w:val="single"/>
        </w:rPr>
        <w:t xml:space="preserve">       </w:t>
      </w:r>
      <w:r>
        <w:rPr>
          <w:rFonts w:hint="eastAsia" w:cs="宋体" w:asciiTheme="minorEastAsia" w:hAnsiTheme="minorEastAsia" w:eastAsiaTheme="minorEastAsia"/>
          <w:color w:val="auto"/>
          <w:kern w:val="0"/>
          <w:szCs w:val="21"/>
          <w:highlight w:val="none"/>
          <w:lang w:val="zh-CN"/>
        </w:rPr>
        <w:t>手机：</w:t>
      </w:r>
      <w:r>
        <w:rPr>
          <w:rFonts w:hint="eastAsia" w:cs="宋体" w:asciiTheme="minorEastAsia" w:hAnsiTheme="minorEastAsia" w:eastAsiaTheme="minorEastAsia"/>
          <w:color w:val="auto"/>
          <w:kern w:val="0"/>
          <w:szCs w:val="21"/>
          <w:highlight w:val="none"/>
          <w:u w:val="single"/>
        </w:rPr>
        <w:t xml:space="preserve">       </w:t>
      </w:r>
      <w:r>
        <w:rPr>
          <w:rFonts w:hint="eastAsia" w:cs="宋体" w:asciiTheme="minorEastAsia" w:hAnsiTheme="minorEastAsia" w:eastAsiaTheme="minorEastAsia"/>
          <w:color w:val="auto"/>
          <w:kern w:val="0"/>
          <w:szCs w:val="21"/>
          <w:highlight w:val="none"/>
          <w:lang w:val="zh-CN"/>
        </w:rPr>
        <w:t>传真：</w:t>
      </w:r>
      <w:r>
        <w:rPr>
          <w:rFonts w:hint="eastAsia" w:cs="宋体" w:asciiTheme="minorEastAsia" w:hAnsiTheme="minorEastAsia" w:eastAsiaTheme="minorEastAsia"/>
          <w:color w:val="auto"/>
          <w:kern w:val="0"/>
          <w:szCs w:val="21"/>
          <w:highlight w:val="none"/>
          <w:u w:val="single"/>
        </w:rPr>
        <w:t xml:space="preserve">       </w:t>
      </w:r>
      <w:r>
        <w:rPr>
          <w:rFonts w:hint="eastAsia" w:cs="宋体" w:asciiTheme="minorEastAsia" w:hAnsiTheme="minorEastAsia" w:eastAsiaTheme="minorEastAsia"/>
          <w:color w:val="auto"/>
          <w:kern w:val="0"/>
          <w:szCs w:val="21"/>
          <w:highlight w:val="none"/>
          <w:lang w:val="zh-CN"/>
        </w:rPr>
        <w:t>)，代表我公司全权处理</w:t>
      </w:r>
      <w:r>
        <w:rPr>
          <w:rFonts w:hint="eastAsia" w:asciiTheme="minorEastAsia" w:hAnsiTheme="minorEastAsia" w:eastAsiaTheme="minorEastAsia"/>
          <w:b/>
          <w:bCs/>
          <w:color w:val="auto"/>
          <w:szCs w:val="21"/>
          <w:highlight w:val="none"/>
          <w:u w:val="single"/>
          <w:lang w:val="zh-CN"/>
        </w:rPr>
        <w:t>秀洲区2026年农作物病虫害统防统治与绿色防控项目</w:t>
      </w:r>
      <w:r>
        <w:rPr>
          <w:rFonts w:hint="eastAsia" w:cs="宋体" w:asciiTheme="minorEastAsia" w:hAnsiTheme="minorEastAsia" w:eastAsiaTheme="minorEastAsia"/>
          <w:color w:val="auto"/>
          <w:szCs w:val="21"/>
          <w:highlight w:val="none"/>
        </w:rPr>
        <w:t>(编号：</w:t>
      </w:r>
      <w:r>
        <w:rPr>
          <w:rFonts w:hint="eastAsia" w:cs="宋体" w:asciiTheme="minorEastAsia" w:hAnsiTheme="minorEastAsia" w:eastAsiaTheme="minorEastAsia"/>
          <w:color w:val="auto"/>
          <w:szCs w:val="21"/>
          <w:highlight w:val="none"/>
          <w:lang w:eastAsia="zh-CN"/>
        </w:rPr>
        <w:t>330411260350010000006-大地-DDZX-JX（2026）第22号</w:t>
      </w:r>
      <w:r>
        <w:rPr>
          <w:rFonts w:hint="eastAsia" w:cs="宋体" w:asciiTheme="minorEastAsia" w:hAnsiTheme="minorEastAsia" w:eastAsiaTheme="minorEastAsia"/>
          <w:color w:val="auto"/>
          <w:szCs w:val="21"/>
          <w:highlight w:val="none"/>
        </w:rPr>
        <w:t>)政府采购投标的一切事项</w:t>
      </w:r>
      <w:r>
        <w:rPr>
          <w:rFonts w:hint="eastAsia" w:cs="宋体" w:asciiTheme="minorEastAsia" w:hAnsiTheme="minorEastAsia" w:eastAsiaTheme="minorEastAsia"/>
          <w:color w:val="auto"/>
          <w:kern w:val="0"/>
          <w:szCs w:val="21"/>
          <w:highlight w:val="none"/>
          <w:lang w:val="zh-CN"/>
        </w:rPr>
        <w:t>。</w:t>
      </w:r>
    </w:p>
    <w:p w14:paraId="0AB9157C">
      <w:pPr>
        <w:shd w:val="clear" w:color="auto" w:fill="FFFFFF"/>
        <w:snapToGrid w:val="0"/>
        <w:spacing w:line="360" w:lineRule="auto"/>
        <w:ind w:right="42" w:rightChars="20"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lang w:val="zh-CN"/>
        </w:rPr>
        <w:t xml:space="preserve">    特此告知。</w:t>
      </w:r>
    </w:p>
    <w:p w14:paraId="720687C3">
      <w:pPr>
        <w:shd w:val="clear" w:color="auto" w:fill="FFFFFF"/>
        <w:snapToGrid w:val="0"/>
        <w:spacing w:line="360" w:lineRule="auto"/>
        <w:ind w:right="42" w:rightChars="20" w:firstLine="420" w:firstLineChars="200"/>
        <w:jc w:val="left"/>
        <w:rPr>
          <w:rFonts w:cs="宋体" w:asciiTheme="minorEastAsia" w:hAnsiTheme="minorEastAsia" w:eastAsiaTheme="minorEastAsia"/>
          <w:color w:val="auto"/>
          <w:kern w:val="0"/>
          <w:szCs w:val="21"/>
          <w:highlight w:val="none"/>
        </w:rPr>
      </w:pPr>
    </w:p>
    <w:p w14:paraId="63891615">
      <w:pPr>
        <w:shd w:val="clear" w:color="auto" w:fill="FFFFFF"/>
        <w:snapToGrid w:val="0"/>
        <w:spacing w:line="360" w:lineRule="auto"/>
        <w:ind w:right="42" w:rightChars="20" w:firstLine="420" w:firstLineChars="200"/>
        <w:jc w:val="left"/>
        <w:rPr>
          <w:rFonts w:cs="宋体" w:asciiTheme="minorEastAsia" w:hAnsiTheme="minorEastAsia" w:eastAsiaTheme="minorEastAsia"/>
          <w:color w:val="auto"/>
          <w:kern w:val="0"/>
          <w:szCs w:val="21"/>
          <w:highlight w:val="none"/>
          <w:lang w:val="zh-CN"/>
        </w:rPr>
      </w:pPr>
    </w:p>
    <w:p w14:paraId="2F3EF590">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p>
    <w:p w14:paraId="0D6034D0">
      <w:pPr>
        <w:snapToGrid w:val="0"/>
        <w:spacing w:line="360" w:lineRule="auto"/>
        <w:ind w:right="42" w:rightChars="20" w:firstLine="420" w:firstLineChars="200"/>
        <w:jc w:val="left"/>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rPr>
        <w:t>被授权人签字（或盖章）：法定代表人签字（或盖章）：</w:t>
      </w:r>
    </w:p>
    <w:p w14:paraId="443191E3">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职务：职务：</w:t>
      </w:r>
    </w:p>
    <w:p w14:paraId="0D1C69BA">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被授权人身份证号码：</w:t>
      </w:r>
    </w:p>
    <w:p w14:paraId="13510314">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p>
    <w:p w14:paraId="798B8B37">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shd w:val="clear" w:color="auto" w:fill="FFFFFF"/>
        </w:rPr>
        <w:t>投标人名称：（CA签章）</w:t>
      </w:r>
    </w:p>
    <w:p w14:paraId="77B53D4B">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年月日</w:t>
      </w:r>
    </w:p>
    <w:p w14:paraId="7B3459F4">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p>
    <w:p w14:paraId="144FB30A">
      <w:pPr>
        <w:pStyle w:val="21"/>
        <w:rPr>
          <w:rFonts w:asciiTheme="minorEastAsia" w:hAnsiTheme="minorEastAsia" w:eastAsiaTheme="minorEastAsia"/>
          <w:color w:val="auto"/>
          <w:szCs w:val="21"/>
          <w:highlight w:val="none"/>
        </w:rPr>
      </w:pPr>
    </w:p>
    <w:p w14:paraId="0C489605">
      <w:pPr>
        <w:pStyle w:val="22"/>
        <w:ind w:firstLine="210"/>
        <w:rPr>
          <w:rFonts w:asciiTheme="minorEastAsia" w:hAnsiTheme="minorEastAsia" w:eastAsiaTheme="minorEastAsia"/>
          <w:color w:val="auto"/>
          <w:szCs w:val="21"/>
          <w:highlight w:val="none"/>
        </w:rPr>
      </w:pPr>
    </w:p>
    <w:p w14:paraId="0B20EBAD">
      <w:pPr>
        <w:rPr>
          <w:rFonts w:asciiTheme="minorEastAsia" w:hAnsiTheme="minorEastAsia" w:eastAsiaTheme="minorEastAsia"/>
          <w:color w:val="auto"/>
          <w:szCs w:val="21"/>
          <w:highlight w:val="none"/>
        </w:rPr>
      </w:pPr>
    </w:p>
    <w:p w14:paraId="1BADEC68">
      <w:pPr>
        <w:pStyle w:val="21"/>
        <w:rPr>
          <w:rFonts w:asciiTheme="minorEastAsia" w:hAnsiTheme="minorEastAsia" w:eastAsiaTheme="minorEastAsia"/>
          <w:color w:val="auto"/>
          <w:szCs w:val="21"/>
          <w:highlight w:val="none"/>
        </w:rPr>
      </w:pPr>
    </w:p>
    <w:p w14:paraId="1BAD3120">
      <w:pPr>
        <w:pStyle w:val="22"/>
        <w:ind w:firstLine="210"/>
        <w:rPr>
          <w:rFonts w:asciiTheme="minorEastAsia" w:hAnsiTheme="minorEastAsia" w:eastAsiaTheme="minorEastAsia"/>
          <w:color w:val="auto"/>
          <w:szCs w:val="21"/>
          <w:highlight w:val="none"/>
        </w:rPr>
      </w:pPr>
    </w:p>
    <w:p w14:paraId="0B7828FB">
      <w:pPr>
        <w:rPr>
          <w:rFonts w:asciiTheme="minorEastAsia" w:hAnsiTheme="minorEastAsia" w:eastAsiaTheme="minorEastAsia"/>
          <w:color w:val="auto"/>
          <w:szCs w:val="21"/>
          <w:highlight w:val="none"/>
        </w:rPr>
      </w:pPr>
    </w:p>
    <w:p w14:paraId="4F1B3CB2">
      <w:pPr>
        <w:pStyle w:val="21"/>
        <w:rPr>
          <w:rFonts w:asciiTheme="minorEastAsia" w:hAnsiTheme="minorEastAsia" w:eastAsiaTheme="minorEastAsia"/>
          <w:color w:val="auto"/>
          <w:szCs w:val="21"/>
          <w:highlight w:val="none"/>
        </w:rPr>
      </w:pPr>
    </w:p>
    <w:p w14:paraId="02254407">
      <w:pPr>
        <w:pStyle w:val="22"/>
        <w:ind w:firstLine="210"/>
        <w:rPr>
          <w:rFonts w:asciiTheme="minorEastAsia" w:hAnsiTheme="minorEastAsia" w:eastAsiaTheme="minorEastAsia"/>
          <w:color w:val="auto"/>
          <w:szCs w:val="21"/>
          <w:highlight w:val="none"/>
        </w:rPr>
      </w:pPr>
    </w:p>
    <w:p w14:paraId="066D0845">
      <w:pPr>
        <w:rPr>
          <w:rFonts w:asciiTheme="minorEastAsia" w:hAnsiTheme="minorEastAsia" w:eastAsiaTheme="minorEastAsia"/>
          <w:color w:val="auto"/>
          <w:szCs w:val="21"/>
          <w:highlight w:val="none"/>
        </w:rPr>
      </w:pPr>
    </w:p>
    <w:p w14:paraId="55F82C65">
      <w:pPr>
        <w:pStyle w:val="21"/>
        <w:rPr>
          <w:rFonts w:asciiTheme="minorEastAsia" w:hAnsiTheme="minorEastAsia" w:eastAsiaTheme="minorEastAsia"/>
          <w:color w:val="auto"/>
          <w:szCs w:val="21"/>
          <w:highlight w:val="none"/>
        </w:rPr>
      </w:pPr>
    </w:p>
    <w:p w14:paraId="02522AB7">
      <w:pPr>
        <w:pStyle w:val="22"/>
        <w:ind w:firstLine="210"/>
        <w:rPr>
          <w:rFonts w:asciiTheme="minorEastAsia" w:hAnsiTheme="minorEastAsia" w:eastAsiaTheme="minorEastAsia"/>
          <w:color w:val="auto"/>
          <w:szCs w:val="21"/>
          <w:highlight w:val="none"/>
        </w:rPr>
      </w:pPr>
    </w:p>
    <w:p w14:paraId="2C59C1F8">
      <w:pPr>
        <w:rPr>
          <w:rFonts w:asciiTheme="minorEastAsia" w:hAnsiTheme="minorEastAsia" w:eastAsiaTheme="minorEastAsia"/>
          <w:color w:val="auto"/>
          <w:szCs w:val="21"/>
          <w:highlight w:val="none"/>
        </w:rPr>
      </w:pPr>
    </w:p>
    <w:p w14:paraId="1ADB789E">
      <w:pPr>
        <w:pStyle w:val="21"/>
        <w:rPr>
          <w:rFonts w:asciiTheme="minorEastAsia" w:hAnsiTheme="minorEastAsia" w:eastAsiaTheme="minorEastAsia"/>
          <w:color w:val="auto"/>
          <w:szCs w:val="21"/>
          <w:highlight w:val="none"/>
        </w:rPr>
      </w:pPr>
    </w:p>
    <w:p w14:paraId="090E6557">
      <w:pPr>
        <w:pStyle w:val="22"/>
        <w:ind w:firstLine="210"/>
        <w:rPr>
          <w:rFonts w:asciiTheme="minorEastAsia" w:hAnsiTheme="minorEastAsia" w:eastAsiaTheme="minorEastAsia"/>
          <w:color w:val="auto"/>
          <w:szCs w:val="21"/>
          <w:highlight w:val="none"/>
        </w:rPr>
      </w:pPr>
    </w:p>
    <w:p w14:paraId="0D8488F1">
      <w:pPr>
        <w:rPr>
          <w:rFonts w:asciiTheme="minorEastAsia" w:hAnsiTheme="minorEastAsia" w:eastAsiaTheme="minorEastAsia"/>
          <w:color w:val="auto"/>
          <w:szCs w:val="21"/>
          <w:highlight w:val="none"/>
        </w:rPr>
      </w:pPr>
    </w:p>
    <w:p w14:paraId="7FC5A9A0">
      <w:pPr>
        <w:spacing w:line="360" w:lineRule="auto"/>
        <w:ind w:right="42" w:rightChars="20" w:firstLine="422" w:firstLineChars="200"/>
        <w:jc w:val="left"/>
        <w:rPr>
          <w:rFonts w:asciiTheme="minorEastAsia" w:hAnsiTheme="minorEastAsia" w:eastAsiaTheme="minorEastAsia"/>
          <w:b/>
          <w:color w:val="auto"/>
          <w:szCs w:val="21"/>
          <w:highlight w:val="none"/>
        </w:rPr>
      </w:pPr>
    </w:p>
    <w:p w14:paraId="0895BBBC">
      <w:pPr>
        <w:spacing w:line="360" w:lineRule="auto"/>
        <w:ind w:right="42" w:rightChars="20" w:firstLine="422" w:firstLineChars="200"/>
        <w:jc w:val="cente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承诺函</w:t>
      </w:r>
    </w:p>
    <w:p w14:paraId="5A200BBA">
      <w:pPr>
        <w:spacing w:line="360" w:lineRule="auto"/>
        <w:ind w:right="42" w:rightChars="20"/>
        <w:jc w:val="left"/>
        <w:rPr>
          <w:rFonts w:asciiTheme="minorEastAsia" w:hAnsiTheme="minorEastAsia" w:eastAsiaTheme="minorEastAsia"/>
          <w:color w:val="auto"/>
          <w:szCs w:val="21"/>
          <w:highlight w:val="none"/>
        </w:rPr>
      </w:pPr>
      <w:r>
        <w:rPr>
          <w:rFonts w:hint="eastAsia" w:cs="Arial" w:asciiTheme="minorEastAsia" w:hAnsiTheme="minorEastAsia" w:eastAsiaTheme="minorEastAsia"/>
          <w:b/>
          <w:color w:val="auto"/>
          <w:kern w:val="0"/>
          <w:szCs w:val="21"/>
          <w:highlight w:val="none"/>
          <w:u w:val="single"/>
          <w:lang w:eastAsia="zh-CN"/>
        </w:rPr>
        <w:t>嘉兴市秀洲区农业农村和水利局</w:t>
      </w:r>
      <w:r>
        <w:rPr>
          <w:rFonts w:hint="eastAsia" w:cs="Arial" w:asciiTheme="minorEastAsia" w:hAnsiTheme="minorEastAsia" w:eastAsiaTheme="minorEastAsia"/>
          <w:b/>
          <w:color w:val="auto"/>
          <w:kern w:val="0"/>
          <w:szCs w:val="21"/>
          <w:highlight w:val="none"/>
          <w:u w:val="single"/>
        </w:rPr>
        <w:t xml:space="preserve">  </w:t>
      </w:r>
      <w:r>
        <w:rPr>
          <w:rFonts w:hint="eastAsia" w:asciiTheme="minorEastAsia" w:hAnsiTheme="minorEastAsia" w:eastAsiaTheme="minorEastAsia"/>
          <w:color w:val="auto"/>
          <w:szCs w:val="21"/>
          <w:highlight w:val="none"/>
        </w:rPr>
        <w:t>：</w:t>
      </w:r>
    </w:p>
    <w:p w14:paraId="1832F584">
      <w:pPr>
        <w:snapToGrid w:val="0"/>
        <w:spacing w:line="360" w:lineRule="auto"/>
        <w:ind w:right="42" w:rightChars="20" w:firstLine="420" w:firstLineChars="200"/>
        <w:jc w:val="left"/>
        <w:rPr>
          <w:rFonts w:asciiTheme="minorEastAsia" w:hAnsiTheme="minorEastAsia" w:eastAsiaTheme="minorEastAsia"/>
          <w:color w:val="auto"/>
          <w:szCs w:val="21"/>
          <w:highlight w:val="none"/>
          <w:shd w:val="clear" w:color="auto" w:fill="FFFFFF"/>
        </w:rPr>
      </w:pPr>
    </w:p>
    <w:p w14:paraId="1DFB72B9">
      <w:pPr>
        <w:snapToGrid w:val="0"/>
        <w:spacing w:line="360" w:lineRule="auto"/>
        <w:ind w:right="42" w:rightChars="20"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shd w:val="clear" w:color="auto" w:fill="FFFFFF"/>
        </w:rPr>
        <w:t>本公司（公司名称）参加</w:t>
      </w:r>
      <w:r>
        <w:rPr>
          <w:rFonts w:hint="eastAsia" w:asciiTheme="minorEastAsia" w:hAnsiTheme="minorEastAsia" w:eastAsiaTheme="minorEastAsia"/>
          <w:b/>
          <w:color w:val="auto"/>
          <w:highlight w:val="none"/>
          <w:lang w:eastAsia="zh-CN"/>
        </w:rPr>
        <w:t>秀洲区2026年农作物病虫害统防统治与绿色防控项目</w:t>
      </w:r>
      <w:r>
        <w:rPr>
          <w:rFonts w:hint="eastAsia" w:asciiTheme="minorEastAsia" w:hAnsiTheme="minorEastAsia" w:eastAsiaTheme="minorEastAsia"/>
          <w:color w:val="auto"/>
          <w:szCs w:val="21"/>
          <w:highlight w:val="none"/>
          <w:shd w:val="clear" w:color="auto" w:fill="FFFFFF"/>
        </w:rPr>
        <w:t>投标活动，现承诺如下：</w:t>
      </w:r>
      <w:r>
        <w:rPr>
          <w:rFonts w:hint="eastAsia" w:asciiTheme="minorEastAsia" w:hAnsiTheme="minorEastAsia" w:eastAsiaTheme="minorEastAsia"/>
          <w:color w:val="auto"/>
          <w:szCs w:val="21"/>
          <w:highlight w:val="none"/>
        </w:rPr>
        <w:br w:type="textWrapping"/>
      </w:r>
      <w:r>
        <w:rPr>
          <w:rFonts w:hint="eastAsia" w:asciiTheme="minorEastAsia" w:hAnsiTheme="minorEastAsia" w:eastAsiaTheme="minorEastAsia"/>
          <w:color w:val="auto"/>
          <w:szCs w:val="21"/>
          <w:highlight w:val="none"/>
        </w:rPr>
        <w:t>（1）提供具有独立承担民事责任的能力；</w:t>
      </w:r>
    </w:p>
    <w:p w14:paraId="11D7A606">
      <w:pPr>
        <w:snapToGrid w:val="0"/>
        <w:spacing w:line="360" w:lineRule="auto"/>
        <w:ind w:right="42" w:rightChars="2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（2）具有良好的商业信誉和健全的财务会计制度；</w:t>
      </w:r>
    </w:p>
    <w:p w14:paraId="17C886A4">
      <w:pPr>
        <w:snapToGrid w:val="0"/>
        <w:spacing w:line="360" w:lineRule="auto"/>
        <w:ind w:right="42" w:rightChars="2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（3）具有履行合同所必需的设备和专业技术能力；</w:t>
      </w:r>
    </w:p>
    <w:p w14:paraId="54CBD7D3">
      <w:pPr>
        <w:snapToGrid w:val="0"/>
        <w:spacing w:line="360" w:lineRule="auto"/>
        <w:ind w:right="42" w:rightChars="2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（4）有依法缴纳税收和社会保障资金的良好记录；</w:t>
      </w:r>
    </w:p>
    <w:p w14:paraId="54C3B4A1">
      <w:pPr>
        <w:snapToGrid w:val="0"/>
        <w:spacing w:line="360" w:lineRule="auto"/>
        <w:ind w:right="42" w:rightChars="2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（5）参加政府采购活动前三年，在经营活动中没有重大违法记录、自招标公告发布之日起至投标截止日内任意时间的“信用中国”网站（www.creditchina.gov.cn）（未被信用中国网站</w:t>
      </w:r>
      <w:r>
        <w:rPr>
          <w:color w:val="auto"/>
          <w:highlight w:val="none"/>
        </w:rPr>
        <w:fldChar w:fldCharType="begin"/>
      </w:r>
      <w:r>
        <w:rPr>
          <w:color w:val="auto"/>
          <w:highlight w:val="none"/>
        </w:rPr>
        <w:instrText xml:space="preserve"> HYPERLINK \t "_blank" </w:instrText>
      </w:r>
      <w:r>
        <w:rPr>
          <w:color w:val="auto"/>
          <w:highlight w:val="none"/>
        </w:rPr>
        <w:fldChar w:fldCharType="separate"/>
      </w:r>
      <w:r>
        <w:rPr>
          <w:rFonts w:hint="eastAsia" w:asciiTheme="minorEastAsia" w:hAnsiTheme="minorEastAsia" w:eastAsiaTheme="minorEastAsia"/>
          <w:color w:val="auto"/>
          <w:highlight w:val="none"/>
        </w:rPr>
        <w:t>列入失信被执行人、重大税收违法案件当事人名单</w:t>
      </w:r>
      <w:r>
        <w:rPr>
          <w:rFonts w:hint="eastAsia" w:asciiTheme="minorEastAsia" w:hAnsiTheme="minorEastAsia" w:eastAsiaTheme="minorEastAsia"/>
          <w:color w:val="auto"/>
          <w:highlight w:val="none"/>
        </w:rPr>
        <w:fldChar w:fldCharType="end"/>
      </w:r>
      <w:r>
        <w:rPr>
          <w:rFonts w:asciiTheme="minorEastAsia" w:hAnsiTheme="minorEastAsia" w:eastAsiaTheme="minorEastAsia"/>
          <w:color w:val="auto"/>
          <w:szCs w:val="21"/>
          <w:highlight w:val="none"/>
        </w:rPr>
        <w:t>的）</w:t>
      </w:r>
      <w:r>
        <w:rPr>
          <w:rFonts w:hint="eastAsia" w:asciiTheme="minorEastAsia" w:hAnsiTheme="minorEastAsia" w:eastAsiaTheme="minorEastAsia"/>
          <w:color w:val="auto"/>
          <w:szCs w:val="21"/>
          <w:highlight w:val="none"/>
        </w:rPr>
        <w:t>、中国政府采购网（www.ccgp.gov.cn）（未被中国政府采购网</w:t>
      </w:r>
      <w:r>
        <w:rPr>
          <w:color w:val="auto"/>
          <w:highlight w:val="none"/>
        </w:rPr>
        <w:fldChar w:fldCharType="begin"/>
      </w:r>
      <w:r>
        <w:rPr>
          <w:color w:val="auto"/>
          <w:highlight w:val="none"/>
        </w:rPr>
        <w:instrText xml:space="preserve"> HYPERLINK \t "_blank" </w:instrText>
      </w:r>
      <w:r>
        <w:rPr>
          <w:color w:val="auto"/>
          <w:highlight w:val="none"/>
        </w:rPr>
        <w:fldChar w:fldCharType="separate"/>
      </w:r>
      <w:r>
        <w:rPr>
          <w:rFonts w:hint="eastAsia" w:asciiTheme="minorEastAsia" w:hAnsiTheme="minorEastAsia" w:eastAsiaTheme="minorEastAsia"/>
          <w:color w:val="auto"/>
          <w:highlight w:val="none"/>
        </w:rPr>
        <w:t>列入政府采购严重违法失信行为记录名单</w:t>
      </w:r>
      <w:r>
        <w:rPr>
          <w:rFonts w:hint="eastAsia" w:asciiTheme="minorEastAsia" w:hAnsiTheme="minorEastAsia" w:eastAsiaTheme="minorEastAsia"/>
          <w:color w:val="auto"/>
          <w:highlight w:val="none"/>
        </w:rPr>
        <w:fldChar w:fldCharType="end"/>
      </w:r>
      <w:r>
        <w:rPr>
          <w:rFonts w:asciiTheme="minorEastAsia" w:hAnsiTheme="minorEastAsia" w:eastAsiaTheme="minorEastAsia"/>
          <w:color w:val="auto"/>
          <w:szCs w:val="21"/>
          <w:highlight w:val="none"/>
        </w:rPr>
        <w:t>的</w:t>
      </w:r>
      <w:r>
        <w:rPr>
          <w:rFonts w:hint="eastAsia" w:asciiTheme="minorEastAsia" w:hAnsiTheme="minorEastAsia" w:eastAsiaTheme="minorEastAsia"/>
          <w:color w:val="auto"/>
          <w:szCs w:val="21"/>
          <w:highlight w:val="none"/>
        </w:rPr>
        <w:t>）也没有因违反《浙江省政府采购投标人注册及诚信管理暂行办法》被列入“黑名单”，正在处罚有效期；</w:t>
      </w:r>
    </w:p>
    <w:p w14:paraId="0819DC59">
      <w:pPr>
        <w:pStyle w:val="21"/>
        <w:rPr>
          <w:color w:val="auto"/>
          <w:highlight w:val="none"/>
        </w:rPr>
      </w:pPr>
      <w:r>
        <w:rPr>
          <w:rFonts w:hint="eastAsia" w:asciiTheme="minorEastAsia" w:hAnsiTheme="minorEastAsia" w:eastAsiaTheme="minorEastAsia"/>
          <w:color w:val="auto"/>
          <w:szCs w:val="21"/>
          <w:highlight w:val="none"/>
        </w:rPr>
        <w:t>（6）</w:t>
      </w:r>
      <w:r>
        <w:rPr>
          <w:rFonts w:hint="eastAsia" w:ascii="宋体" w:hAnsi="宋体" w:cs="宋体"/>
          <w:color w:val="auto"/>
          <w:szCs w:val="21"/>
          <w:highlight w:val="none"/>
          <w:lang w:bidi="ar"/>
        </w:rPr>
        <w:t>若中标后无法满足▲项的视为虚假应标并自愿赔偿采购人相关损失，采购人有权上报财政部门。</w:t>
      </w:r>
    </w:p>
    <w:p w14:paraId="50E09D0E">
      <w:pPr>
        <w:snapToGrid w:val="0"/>
        <w:spacing w:line="360" w:lineRule="auto"/>
        <w:ind w:right="42" w:rightChars="20" w:firstLine="420" w:firstLineChars="200"/>
        <w:jc w:val="left"/>
        <w:rPr>
          <w:rFonts w:hint="eastAsia" w:asciiTheme="minorEastAsia" w:hAnsiTheme="minorEastAsia" w:eastAsiaTheme="minorEastAsia"/>
          <w:color w:val="auto"/>
          <w:szCs w:val="21"/>
          <w:highlight w:val="none"/>
          <w:shd w:val="clear" w:color="auto" w:fill="FFFFFF"/>
        </w:rPr>
        <w:sectPr>
          <w:pgSz w:w="11905" w:h="16838"/>
          <w:pgMar w:top="1440" w:right="1803" w:bottom="1440" w:left="1803" w:header="851" w:footer="992" w:gutter="0"/>
          <w:pgBorders>
            <w:top w:val="none" w:sz="0" w:space="0"/>
            <w:left w:val="none" w:sz="0" w:space="0"/>
            <w:bottom w:val="none" w:sz="0" w:space="0"/>
            <w:right w:val="none" w:sz="0" w:space="0"/>
          </w:pgBorders>
          <w:cols w:space="0" w:num="1"/>
          <w:docGrid w:type="lines" w:linePitch="319" w:charSpace="0"/>
        </w:sectPr>
      </w:pPr>
      <w:r>
        <w:rPr>
          <w:rFonts w:hint="eastAsia" w:asciiTheme="minorEastAsia" w:hAnsiTheme="minorEastAsia" w:eastAsiaTheme="minorEastAsia"/>
          <w:color w:val="auto"/>
          <w:szCs w:val="21"/>
          <w:highlight w:val="none"/>
        </w:rPr>
        <w:br w:type="textWrapping"/>
      </w:r>
      <w:r>
        <w:rPr>
          <w:rFonts w:hint="eastAsia" w:asciiTheme="minorEastAsia" w:hAnsiTheme="minorEastAsia" w:eastAsiaTheme="minorEastAsia"/>
          <w:color w:val="auto"/>
          <w:szCs w:val="21"/>
          <w:highlight w:val="none"/>
        </w:rPr>
        <w:br w:type="textWrapping"/>
      </w:r>
      <w:r>
        <w:rPr>
          <w:rFonts w:hint="eastAsia" w:asciiTheme="minorEastAsia" w:hAnsiTheme="minorEastAsia" w:eastAsiaTheme="minorEastAsia"/>
          <w:color w:val="auto"/>
          <w:szCs w:val="21"/>
          <w:highlight w:val="none"/>
          <w:shd w:val="clear" w:color="auto" w:fill="FFFFFF"/>
        </w:rPr>
        <w:t>如违反以上承诺，本公司愿承担一切法律责任。</w:t>
      </w:r>
      <w:r>
        <w:rPr>
          <w:rFonts w:hint="eastAsia" w:asciiTheme="minorEastAsia" w:hAnsiTheme="minorEastAsia" w:eastAsiaTheme="minorEastAsia"/>
          <w:color w:val="auto"/>
          <w:szCs w:val="21"/>
          <w:highlight w:val="none"/>
        </w:rPr>
        <w:br w:type="textWrapping"/>
      </w:r>
      <w:r>
        <w:rPr>
          <w:rFonts w:hint="eastAsia" w:asciiTheme="minorEastAsia" w:hAnsiTheme="minorEastAsia" w:eastAsiaTheme="minorEastAsia"/>
          <w:color w:val="auto"/>
          <w:szCs w:val="21"/>
          <w:highlight w:val="none"/>
        </w:rPr>
        <w:br w:type="textWrapping"/>
      </w:r>
      <w:r>
        <w:rPr>
          <w:rFonts w:hint="eastAsia" w:asciiTheme="minorEastAsia" w:hAnsiTheme="minorEastAsia" w:eastAsiaTheme="minorEastAsia"/>
          <w:color w:val="auto"/>
          <w:szCs w:val="21"/>
          <w:highlight w:val="none"/>
        </w:rPr>
        <w:br w:type="textWrapping"/>
      </w:r>
      <w:r>
        <w:rPr>
          <w:rFonts w:hint="eastAsia" w:asciiTheme="minorEastAsia" w:hAnsiTheme="minorEastAsia" w:eastAsiaTheme="minorEastAsia"/>
          <w:color w:val="auto"/>
          <w:szCs w:val="21"/>
          <w:highlight w:val="none"/>
        </w:rPr>
        <w:br w:type="textWrapping"/>
      </w:r>
      <w:r>
        <w:rPr>
          <w:rFonts w:hint="eastAsia" w:asciiTheme="minorEastAsia" w:hAnsiTheme="minorEastAsia" w:eastAsiaTheme="minorEastAsia"/>
          <w:color w:val="auto"/>
          <w:szCs w:val="21"/>
          <w:highlight w:val="none"/>
          <w:shd w:val="clear" w:color="auto" w:fill="FFFFFF"/>
        </w:rPr>
        <w:t>投标人名称：（CA签章）</w:t>
      </w:r>
      <w:r>
        <w:rPr>
          <w:rFonts w:hint="eastAsia" w:asciiTheme="minorEastAsia" w:hAnsiTheme="minorEastAsia" w:eastAsiaTheme="minorEastAsia"/>
          <w:color w:val="auto"/>
          <w:szCs w:val="21"/>
          <w:highlight w:val="none"/>
        </w:rPr>
        <w:br w:type="textWrapping"/>
      </w:r>
      <w:r>
        <w:rPr>
          <w:rFonts w:hint="eastAsia" w:asciiTheme="minorEastAsia" w:hAnsiTheme="minorEastAsia" w:eastAsiaTheme="minorEastAsia"/>
          <w:color w:val="auto"/>
          <w:szCs w:val="21"/>
          <w:highlight w:val="none"/>
        </w:rPr>
        <w:br w:type="textWrapping"/>
      </w:r>
      <w:r>
        <w:rPr>
          <w:rFonts w:hint="eastAsia" w:asciiTheme="minorEastAsia" w:hAnsiTheme="minorEastAsia" w:eastAsiaTheme="minorEastAsia"/>
          <w:color w:val="auto"/>
          <w:szCs w:val="21"/>
          <w:highlight w:val="none"/>
        </w:rPr>
        <w:t>法定代表人或其授权代表签字（或盖章）</w:t>
      </w:r>
      <w:r>
        <w:rPr>
          <w:rFonts w:hint="eastAsia" w:asciiTheme="minorEastAsia" w:hAnsiTheme="minorEastAsia" w:eastAsiaTheme="minorEastAsia"/>
          <w:color w:val="auto"/>
          <w:szCs w:val="21"/>
          <w:highlight w:val="none"/>
          <w:shd w:val="clear" w:color="auto" w:fill="FFFFFF"/>
        </w:rPr>
        <w:t>：</w:t>
      </w:r>
      <w:r>
        <w:rPr>
          <w:rFonts w:hint="eastAsia" w:asciiTheme="minorEastAsia" w:hAnsiTheme="minorEastAsia" w:eastAsiaTheme="minorEastAsia"/>
          <w:color w:val="auto"/>
          <w:szCs w:val="21"/>
          <w:highlight w:val="none"/>
        </w:rPr>
        <w:br w:type="textWrapping"/>
      </w:r>
      <w:r>
        <w:rPr>
          <w:rFonts w:hint="eastAsia" w:asciiTheme="minorEastAsia" w:hAnsiTheme="minorEastAsia" w:eastAsiaTheme="minorEastAsia"/>
          <w:color w:val="auto"/>
          <w:szCs w:val="21"/>
          <w:highlight w:val="none"/>
        </w:rPr>
        <w:br w:type="textWrapping"/>
      </w:r>
      <w:r>
        <w:rPr>
          <w:rFonts w:hint="eastAsia" w:asciiTheme="minorEastAsia" w:hAnsiTheme="minorEastAsia" w:eastAsiaTheme="minorEastAsia"/>
          <w:color w:val="auto"/>
          <w:szCs w:val="21"/>
          <w:highlight w:val="none"/>
          <w:shd w:val="clear" w:color="auto" w:fill="FFFFFF"/>
        </w:rPr>
        <w:t>投标日期： 年 月 日</w:t>
      </w:r>
    </w:p>
    <w:p w14:paraId="04BE0D00">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p>
    <w:p w14:paraId="76C614B4">
      <w:pPr>
        <w:snapToGrid w:val="0"/>
        <w:spacing w:line="360" w:lineRule="auto"/>
        <w:ind w:right="42" w:rightChars="20" w:firstLine="422" w:firstLineChars="200"/>
        <w:jc w:val="left"/>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法定代表人授权委托书格式：</w:t>
      </w:r>
    </w:p>
    <w:p w14:paraId="4157EFD5">
      <w:pPr>
        <w:snapToGrid w:val="0"/>
        <w:spacing w:line="360" w:lineRule="auto"/>
        <w:ind w:right="42" w:rightChars="20" w:firstLine="422" w:firstLineChars="200"/>
        <w:jc w:val="cente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法定代表人授权委托书</w:t>
      </w:r>
    </w:p>
    <w:p w14:paraId="70CD2390">
      <w:pPr>
        <w:snapToGrid w:val="0"/>
        <w:spacing w:line="360" w:lineRule="auto"/>
        <w:ind w:right="42" w:rightChars="20" w:firstLine="420" w:firstLineChars="200"/>
        <w:jc w:val="left"/>
        <w:rPr>
          <w:rFonts w:asciiTheme="minorEastAsia" w:hAnsiTheme="minorEastAsia" w:eastAsiaTheme="minorEastAsia"/>
          <w:bCs/>
          <w:color w:val="auto"/>
          <w:szCs w:val="21"/>
          <w:highlight w:val="none"/>
        </w:rPr>
      </w:pPr>
    </w:p>
    <w:p w14:paraId="33F71259">
      <w:pPr>
        <w:snapToGrid w:val="0"/>
        <w:spacing w:line="360" w:lineRule="auto"/>
        <w:ind w:right="42" w:rightChars="20" w:firstLine="420" w:firstLineChars="200"/>
        <w:jc w:val="left"/>
        <w:rPr>
          <w:rFonts w:asciiTheme="minorEastAsia" w:hAnsiTheme="minorEastAsia" w:eastAsiaTheme="minorEastAsia"/>
          <w:b/>
          <w:bCs/>
          <w:color w:val="auto"/>
          <w:szCs w:val="21"/>
          <w:highlight w:val="none"/>
        </w:rPr>
      </w:pPr>
      <w:r>
        <w:rPr>
          <w:rFonts w:hint="eastAsia" w:asciiTheme="minorEastAsia" w:hAnsiTheme="minorEastAsia" w:eastAsiaTheme="minorEastAsia"/>
          <w:bCs/>
          <w:color w:val="auto"/>
          <w:szCs w:val="21"/>
          <w:highlight w:val="none"/>
        </w:rPr>
        <w:t>致：</w:t>
      </w:r>
      <w:r>
        <w:rPr>
          <w:rFonts w:hint="eastAsia" w:cs="Arial" w:asciiTheme="minorEastAsia" w:hAnsiTheme="minorEastAsia" w:eastAsiaTheme="minorEastAsia"/>
          <w:color w:val="auto"/>
          <w:kern w:val="0"/>
          <w:szCs w:val="21"/>
          <w:highlight w:val="none"/>
          <w:u w:val="single"/>
          <w:lang w:eastAsia="zh-CN"/>
        </w:rPr>
        <w:t>嘉兴市秀洲区农业农村和水利局</w:t>
      </w:r>
      <w:r>
        <w:rPr>
          <w:rFonts w:hint="eastAsia" w:cs="Arial" w:asciiTheme="minorEastAsia" w:hAnsiTheme="minorEastAsia" w:eastAsiaTheme="minorEastAsia"/>
          <w:color w:val="auto"/>
          <w:kern w:val="0"/>
          <w:szCs w:val="21"/>
          <w:highlight w:val="none"/>
          <w:u w:val="single"/>
        </w:rPr>
        <w:t xml:space="preserve"> </w:t>
      </w:r>
      <w:r>
        <w:rPr>
          <w:rFonts w:hint="eastAsia" w:asciiTheme="minorEastAsia" w:hAnsiTheme="minorEastAsia" w:eastAsiaTheme="minorEastAsia"/>
          <w:color w:val="auto"/>
          <w:szCs w:val="21"/>
          <w:highlight w:val="none"/>
        </w:rPr>
        <w:t>（招标采购单位名称）：</w:t>
      </w:r>
    </w:p>
    <w:p w14:paraId="64484682">
      <w:pPr>
        <w:shd w:val="clear" w:color="auto" w:fill="FFFFFF"/>
        <w:snapToGrid w:val="0"/>
        <w:spacing w:line="360" w:lineRule="auto"/>
        <w:ind w:right="42" w:rightChars="20"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lang w:val="zh-CN"/>
        </w:rPr>
        <w:t xml:space="preserve"> 兹委派我公司</w:t>
      </w:r>
      <w:r>
        <w:rPr>
          <w:rFonts w:hint="eastAsia" w:cs="宋体" w:asciiTheme="minorEastAsia" w:hAnsiTheme="minorEastAsia" w:eastAsiaTheme="minorEastAsia"/>
          <w:color w:val="auto"/>
          <w:kern w:val="0"/>
          <w:szCs w:val="21"/>
          <w:highlight w:val="none"/>
          <w:u w:val="single"/>
          <w:lang w:val="zh-CN"/>
        </w:rPr>
        <w:t>先生/女士</w:t>
      </w:r>
      <w:r>
        <w:rPr>
          <w:rFonts w:hint="eastAsia" w:cs="宋体" w:asciiTheme="minorEastAsia" w:hAnsiTheme="minorEastAsia" w:eastAsiaTheme="minorEastAsia"/>
          <w:color w:val="auto"/>
          <w:kern w:val="0"/>
          <w:szCs w:val="21"/>
          <w:highlight w:val="none"/>
          <w:lang w:val="zh-CN"/>
        </w:rPr>
        <w:t>(其在本公司的职务是：</w:t>
      </w:r>
      <w:r>
        <w:rPr>
          <w:rFonts w:hint="eastAsia" w:cs="宋体" w:asciiTheme="minorEastAsia" w:hAnsiTheme="minorEastAsia" w:eastAsiaTheme="minorEastAsia"/>
          <w:color w:val="auto"/>
          <w:kern w:val="0"/>
          <w:szCs w:val="21"/>
          <w:highlight w:val="none"/>
          <w:u w:val="single"/>
        </w:rPr>
        <w:t xml:space="preserve">          </w:t>
      </w:r>
      <w:r>
        <w:rPr>
          <w:rFonts w:hint="eastAsia" w:cs="宋体" w:asciiTheme="minorEastAsia" w:hAnsiTheme="minorEastAsia" w:eastAsiaTheme="minorEastAsia"/>
          <w:color w:val="auto"/>
          <w:kern w:val="0"/>
          <w:szCs w:val="21"/>
          <w:highlight w:val="none"/>
          <w:lang w:val="zh-CN"/>
        </w:rPr>
        <w:t>，联系电话：</w:t>
      </w:r>
      <w:r>
        <w:rPr>
          <w:rFonts w:hint="eastAsia" w:cs="宋体" w:asciiTheme="minorEastAsia" w:hAnsiTheme="minorEastAsia" w:eastAsiaTheme="minorEastAsia"/>
          <w:color w:val="auto"/>
          <w:kern w:val="0"/>
          <w:szCs w:val="21"/>
          <w:highlight w:val="none"/>
          <w:u w:val="single"/>
        </w:rPr>
        <w:t xml:space="preserve">       </w:t>
      </w:r>
      <w:r>
        <w:rPr>
          <w:rFonts w:hint="eastAsia" w:cs="宋体" w:asciiTheme="minorEastAsia" w:hAnsiTheme="minorEastAsia" w:eastAsiaTheme="minorEastAsia"/>
          <w:color w:val="auto"/>
          <w:kern w:val="0"/>
          <w:szCs w:val="21"/>
          <w:highlight w:val="none"/>
          <w:lang w:val="zh-CN"/>
        </w:rPr>
        <w:t>手机：</w:t>
      </w:r>
      <w:r>
        <w:rPr>
          <w:rFonts w:hint="eastAsia" w:cs="宋体" w:asciiTheme="minorEastAsia" w:hAnsiTheme="minorEastAsia" w:eastAsiaTheme="minorEastAsia"/>
          <w:color w:val="auto"/>
          <w:kern w:val="0"/>
          <w:szCs w:val="21"/>
          <w:highlight w:val="none"/>
          <w:u w:val="single"/>
        </w:rPr>
        <w:t xml:space="preserve">       </w:t>
      </w:r>
      <w:r>
        <w:rPr>
          <w:rFonts w:hint="eastAsia" w:cs="宋体" w:asciiTheme="minorEastAsia" w:hAnsiTheme="minorEastAsia" w:eastAsiaTheme="minorEastAsia"/>
          <w:color w:val="auto"/>
          <w:kern w:val="0"/>
          <w:szCs w:val="21"/>
          <w:highlight w:val="none"/>
          <w:lang w:val="zh-CN"/>
        </w:rPr>
        <w:t>传真：</w:t>
      </w:r>
      <w:r>
        <w:rPr>
          <w:rFonts w:hint="eastAsia" w:cs="宋体" w:asciiTheme="minorEastAsia" w:hAnsiTheme="minorEastAsia" w:eastAsiaTheme="minorEastAsia"/>
          <w:color w:val="auto"/>
          <w:kern w:val="0"/>
          <w:szCs w:val="21"/>
          <w:highlight w:val="none"/>
          <w:u w:val="single"/>
        </w:rPr>
        <w:t xml:space="preserve">       </w:t>
      </w:r>
      <w:r>
        <w:rPr>
          <w:rFonts w:hint="eastAsia" w:cs="宋体" w:asciiTheme="minorEastAsia" w:hAnsiTheme="minorEastAsia" w:eastAsiaTheme="minorEastAsia"/>
          <w:color w:val="auto"/>
          <w:kern w:val="0"/>
          <w:szCs w:val="21"/>
          <w:highlight w:val="none"/>
          <w:lang w:val="zh-CN"/>
        </w:rPr>
        <w:t>)，代表我公司全权处理</w:t>
      </w:r>
      <w:r>
        <w:rPr>
          <w:rFonts w:hint="eastAsia" w:asciiTheme="minorEastAsia" w:hAnsiTheme="minorEastAsia" w:eastAsiaTheme="minorEastAsia"/>
          <w:b/>
          <w:bCs/>
          <w:color w:val="auto"/>
          <w:szCs w:val="21"/>
          <w:highlight w:val="none"/>
          <w:u w:val="single"/>
          <w:lang w:val="zh-CN"/>
        </w:rPr>
        <w:t xml:space="preserve">秀洲区2026年农作物病虫害统防统治与绿色防控项目  </w:t>
      </w:r>
      <w:r>
        <w:rPr>
          <w:rFonts w:hint="eastAsia" w:cs="宋体" w:asciiTheme="minorEastAsia" w:hAnsiTheme="minorEastAsia" w:eastAsiaTheme="minorEastAsia"/>
          <w:color w:val="auto"/>
          <w:szCs w:val="21"/>
          <w:highlight w:val="none"/>
        </w:rPr>
        <w:t>(编号：</w:t>
      </w:r>
      <w:r>
        <w:rPr>
          <w:rFonts w:hint="eastAsia" w:cs="宋体" w:asciiTheme="minorEastAsia" w:hAnsiTheme="minorEastAsia" w:eastAsiaTheme="minorEastAsia"/>
          <w:color w:val="auto"/>
          <w:szCs w:val="21"/>
          <w:highlight w:val="none"/>
          <w:lang w:eastAsia="zh-CN"/>
        </w:rPr>
        <w:t xml:space="preserve">330411260350010000006-大地-DDZX-JX（2026）第22号  </w:t>
      </w:r>
      <w:r>
        <w:rPr>
          <w:rFonts w:hint="eastAsia" w:cs="宋体" w:asciiTheme="minorEastAsia" w:hAnsiTheme="minorEastAsia" w:eastAsiaTheme="minorEastAsia"/>
          <w:color w:val="auto"/>
          <w:szCs w:val="21"/>
          <w:highlight w:val="none"/>
        </w:rPr>
        <w:t>)政府采购投标的一切事项</w:t>
      </w:r>
      <w:r>
        <w:rPr>
          <w:rFonts w:hint="eastAsia" w:cs="宋体" w:asciiTheme="minorEastAsia" w:hAnsiTheme="minorEastAsia" w:eastAsiaTheme="minorEastAsia"/>
          <w:color w:val="auto"/>
          <w:kern w:val="0"/>
          <w:szCs w:val="21"/>
          <w:highlight w:val="none"/>
          <w:lang w:val="zh-CN"/>
        </w:rPr>
        <w:t>。</w:t>
      </w:r>
    </w:p>
    <w:p w14:paraId="66C976E9">
      <w:pPr>
        <w:shd w:val="clear" w:color="auto" w:fill="FFFFFF"/>
        <w:snapToGrid w:val="0"/>
        <w:spacing w:line="360" w:lineRule="auto"/>
        <w:ind w:right="42" w:rightChars="20"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lang w:val="zh-CN"/>
        </w:rPr>
        <w:t xml:space="preserve">    特此告知。</w:t>
      </w:r>
    </w:p>
    <w:p w14:paraId="141758DE">
      <w:pPr>
        <w:shd w:val="clear" w:color="auto" w:fill="FFFFFF"/>
        <w:snapToGrid w:val="0"/>
        <w:spacing w:line="360" w:lineRule="auto"/>
        <w:ind w:right="42" w:rightChars="20" w:firstLine="420" w:firstLineChars="200"/>
        <w:jc w:val="left"/>
        <w:rPr>
          <w:rFonts w:cs="宋体" w:asciiTheme="minorEastAsia" w:hAnsiTheme="minorEastAsia" w:eastAsiaTheme="minorEastAsia"/>
          <w:color w:val="auto"/>
          <w:kern w:val="0"/>
          <w:szCs w:val="21"/>
          <w:highlight w:val="none"/>
        </w:rPr>
      </w:pPr>
    </w:p>
    <w:p w14:paraId="009B26A7">
      <w:pPr>
        <w:shd w:val="clear" w:color="auto" w:fill="FFFFFF"/>
        <w:snapToGrid w:val="0"/>
        <w:spacing w:line="360" w:lineRule="auto"/>
        <w:ind w:right="42" w:rightChars="20" w:firstLine="420" w:firstLineChars="200"/>
        <w:jc w:val="left"/>
        <w:rPr>
          <w:rFonts w:cs="宋体" w:asciiTheme="minorEastAsia" w:hAnsiTheme="minorEastAsia" w:eastAsiaTheme="minorEastAsia"/>
          <w:color w:val="auto"/>
          <w:kern w:val="0"/>
          <w:szCs w:val="21"/>
          <w:highlight w:val="none"/>
          <w:lang w:val="zh-CN"/>
        </w:rPr>
      </w:pPr>
    </w:p>
    <w:p w14:paraId="234E43A9">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p>
    <w:p w14:paraId="43CCE8E0">
      <w:pPr>
        <w:snapToGrid w:val="0"/>
        <w:spacing w:line="360" w:lineRule="auto"/>
        <w:ind w:right="42" w:rightChars="20" w:firstLine="420" w:firstLineChars="200"/>
        <w:jc w:val="left"/>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rPr>
        <w:t>被授权人签字（或盖章）：法定代表人签字（或盖章）：</w:t>
      </w:r>
    </w:p>
    <w:p w14:paraId="576D43B0">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职务：职务：</w:t>
      </w:r>
    </w:p>
    <w:p w14:paraId="7E0B143F">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被授权人身份证号码：</w:t>
      </w:r>
    </w:p>
    <w:p w14:paraId="447BDF36">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p>
    <w:p w14:paraId="545D8C77">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shd w:val="clear" w:color="auto" w:fill="FFFFFF"/>
        </w:rPr>
        <w:t>投标人名称：（CA签章）</w:t>
      </w:r>
    </w:p>
    <w:p w14:paraId="37680708">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年月日</w:t>
      </w:r>
    </w:p>
    <w:p w14:paraId="2EDE77EE">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p>
    <w:p w14:paraId="5E8A5F1D">
      <w:pPr>
        <w:pStyle w:val="21"/>
        <w:rPr>
          <w:rFonts w:asciiTheme="minorEastAsia" w:hAnsiTheme="minorEastAsia" w:eastAsiaTheme="minorEastAsia"/>
          <w:color w:val="auto"/>
          <w:szCs w:val="21"/>
          <w:highlight w:val="none"/>
        </w:rPr>
      </w:pPr>
    </w:p>
    <w:p w14:paraId="5D75EEA3">
      <w:pPr>
        <w:pStyle w:val="22"/>
        <w:ind w:firstLine="210"/>
        <w:rPr>
          <w:rFonts w:asciiTheme="minorEastAsia" w:hAnsiTheme="minorEastAsia" w:eastAsiaTheme="minorEastAsia"/>
          <w:color w:val="auto"/>
          <w:szCs w:val="21"/>
          <w:highlight w:val="none"/>
        </w:rPr>
      </w:pPr>
    </w:p>
    <w:p w14:paraId="23F396E6">
      <w:pPr>
        <w:rPr>
          <w:rFonts w:asciiTheme="minorEastAsia" w:hAnsiTheme="minorEastAsia" w:eastAsiaTheme="minorEastAsia"/>
          <w:color w:val="auto"/>
          <w:szCs w:val="21"/>
          <w:highlight w:val="none"/>
        </w:rPr>
      </w:pPr>
    </w:p>
    <w:p w14:paraId="21ECF8A3">
      <w:pPr>
        <w:pStyle w:val="21"/>
        <w:rPr>
          <w:rFonts w:asciiTheme="minorEastAsia" w:hAnsiTheme="minorEastAsia" w:eastAsiaTheme="minorEastAsia"/>
          <w:color w:val="auto"/>
          <w:szCs w:val="21"/>
          <w:highlight w:val="none"/>
        </w:rPr>
      </w:pPr>
    </w:p>
    <w:p w14:paraId="58821C2E">
      <w:pPr>
        <w:pStyle w:val="22"/>
        <w:ind w:firstLine="210"/>
        <w:rPr>
          <w:rFonts w:asciiTheme="minorEastAsia" w:hAnsiTheme="minorEastAsia" w:eastAsiaTheme="minorEastAsia"/>
          <w:color w:val="auto"/>
          <w:szCs w:val="21"/>
          <w:highlight w:val="none"/>
        </w:rPr>
      </w:pPr>
    </w:p>
    <w:p w14:paraId="3A0C61B1">
      <w:pPr>
        <w:rPr>
          <w:rFonts w:asciiTheme="minorEastAsia" w:hAnsiTheme="minorEastAsia" w:eastAsiaTheme="minorEastAsia"/>
          <w:color w:val="auto"/>
          <w:szCs w:val="21"/>
          <w:highlight w:val="none"/>
        </w:rPr>
      </w:pPr>
    </w:p>
    <w:p w14:paraId="77AD84A8">
      <w:pPr>
        <w:pStyle w:val="21"/>
        <w:rPr>
          <w:rFonts w:asciiTheme="minorEastAsia" w:hAnsiTheme="minorEastAsia" w:eastAsiaTheme="minorEastAsia"/>
          <w:color w:val="auto"/>
          <w:szCs w:val="21"/>
          <w:highlight w:val="none"/>
        </w:rPr>
      </w:pPr>
    </w:p>
    <w:p w14:paraId="42E38A1A">
      <w:pPr>
        <w:pStyle w:val="22"/>
        <w:ind w:firstLine="210"/>
        <w:rPr>
          <w:rFonts w:asciiTheme="minorEastAsia" w:hAnsiTheme="minorEastAsia" w:eastAsiaTheme="minorEastAsia"/>
          <w:color w:val="auto"/>
          <w:szCs w:val="21"/>
          <w:highlight w:val="none"/>
        </w:rPr>
      </w:pPr>
    </w:p>
    <w:p w14:paraId="2B31C7D0">
      <w:pPr>
        <w:pStyle w:val="23"/>
        <w:rPr>
          <w:color w:val="auto"/>
          <w:highlight w:val="none"/>
        </w:rPr>
      </w:pPr>
    </w:p>
    <w:p w14:paraId="13966E88">
      <w:pPr>
        <w:rPr>
          <w:rFonts w:asciiTheme="minorEastAsia" w:hAnsiTheme="minorEastAsia" w:eastAsiaTheme="minorEastAsia"/>
          <w:color w:val="auto"/>
          <w:szCs w:val="21"/>
          <w:highlight w:val="none"/>
        </w:rPr>
      </w:pPr>
    </w:p>
    <w:p w14:paraId="194E18AE">
      <w:pPr>
        <w:pStyle w:val="21"/>
        <w:rPr>
          <w:rFonts w:asciiTheme="minorEastAsia" w:hAnsiTheme="minorEastAsia" w:eastAsiaTheme="minorEastAsia"/>
          <w:color w:val="auto"/>
          <w:szCs w:val="21"/>
          <w:highlight w:val="none"/>
        </w:rPr>
      </w:pPr>
    </w:p>
    <w:p w14:paraId="09B84B32">
      <w:pPr>
        <w:pStyle w:val="22"/>
        <w:ind w:firstLine="210"/>
        <w:rPr>
          <w:rFonts w:asciiTheme="minorEastAsia" w:hAnsiTheme="minorEastAsia" w:eastAsiaTheme="minorEastAsia"/>
          <w:color w:val="auto"/>
          <w:szCs w:val="21"/>
          <w:highlight w:val="none"/>
        </w:rPr>
      </w:pPr>
    </w:p>
    <w:p w14:paraId="795139B1">
      <w:pPr>
        <w:rPr>
          <w:rFonts w:asciiTheme="minorEastAsia" w:hAnsiTheme="minorEastAsia" w:eastAsiaTheme="minorEastAsia"/>
          <w:color w:val="auto"/>
          <w:szCs w:val="21"/>
          <w:highlight w:val="none"/>
        </w:rPr>
      </w:pPr>
    </w:p>
    <w:p w14:paraId="4744D6EB">
      <w:pPr>
        <w:pStyle w:val="21"/>
        <w:rPr>
          <w:rFonts w:asciiTheme="minorEastAsia" w:hAnsiTheme="minorEastAsia" w:eastAsiaTheme="minorEastAsia"/>
          <w:color w:val="auto"/>
          <w:szCs w:val="21"/>
          <w:highlight w:val="none"/>
        </w:rPr>
      </w:pPr>
    </w:p>
    <w:p w14:paraId="70904D9A">
      <w:pPr>
        <w:pStyle w:val="22"/>
        <w:ind w:firstLine="210"/>
        <w:rPr>
          <w:rFonts w:asciiTheme="minorEastAsia" w:hAnsiTheme="minorEastAsia" w:eastAsiaTheme="minorEastAsia"/>
          <w:color w:val="auto"/>
          <w:szCs w:val="21"/>
          <w:highlight w:val="none"/>
        </w:rPr>
      </w:pPr>
    </w:p>
    <w:p w14:paraId="0BD32446">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中小企业声明函（工程、服务）</w:t>
      </w:r>
    </w:p>
    <w:p w14:paraId="63792D10">
      <w:pPr>
        <w:spacing w:line="360" w:lineRule="auto"/>
        <w:ind w:firstLine="360" w:firstLineChars="15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63069B3">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u w:val="single"/>
        </w:rPr>
        <w:t>（标的名称）</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（采购文件中明确的所属行业）</w:t>
      </w:r>
      <w:r>
        <w:rPr>
          <w:rFonts w:hint="eastAsia" w:ascii="仿宋" w:hAnsi="仿宋" w:eastAsia="仿宋" w:cs="仿宋"/>
          <w:color w:val="auto"/>
          <w:sz w:val="24"/>
          <w:highlight w:val="none"/>
        </w:rPr>
        <w:t xml:space="preserve"> ；承建（承接）企业为 </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rPr>
        <w:t xml:space="preserve"> ，从业人员人，营业收入为万元，资产总额为万元属于</w:t>
      </w:r>
      <w:r>
        <w:rPr>
          <w:rFonts w:hint="eastAsia" w:ascii="仿宋" w:hAnsi="仿宋" w:eastAsia="仿宋" w:cs="仿宋"/>
          <w:color w:val="auto"/>
          <w:sz w:val="24"/>
          <w:highlight w:val="none"/>
          <w:u w:val="single"/>
        </w:rPr>
        <w:t xml:space="preserve"> （中型企业、小型企业、微型企业） </w:t>
      </w:r>
      <w:r>
        <w:rPr>
          <w:rFonts w:hint="eastAsia" w:ascii="仿宋" w:hAnsi="仿宋" w:eastAsia="仿宋" w:cs="仿宋"/>
          <w:color w:val="auto"/>
          <w:sz w:val="24"/>
          <w:highlight w:val="none"/>
        </w:rPr>
        <w:t>；</w:t>
      </w:r>
    </w:p>
    <w:p w14:paraId="35EB6ED3">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u w:val="single"/>
        </w:rPr>
        <w:t>（标的名称）</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（采购文件中明确的所属行业）</w:t>
      </w:r>
      <w:r>
        <w:rPr>
          <w:rFonts w:hint="eastAsia" w:ascii="仿宋" w:hAnsi="仿宋" w:eastAsia="仿宋" w:cs="仿宋"/>
          <w:color w:val="auto"/>
          <w:sz w:val="24"/>
          <w:highlight w:val="none"/>
        </w:rPr>
        <w:t xml:space="preserve"> ；承建（承接）企业为 </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rPr>
        <w:t xml:space="preserve"> ，从业人员人，营业收入为万元，资产总额为万元属于</w:t>
      </w:r>
      <w:r>
        <w:rPr>
          <w:rFonts w:hint="eastAsia" w:ascii="仿宋" w:hAnsi="仿宋" w:eastAsia="仿宋" w:cs="仿宋"/>
          <w:color w:val="auto"/>
          <w:sz w:val="24"/>
          <w:highlight w:val="none"/>
          <w:u w:val="single"/>
        </w:rPr>
        <w:t xml:space="preserve"> （中型企业、小型企业、微型企业） </w:t>
      </w:r>
      <w:r>
        <w:rPr>
          <w:rFonts w:hint="eastAsia" w:ascii="仿宋" w:hAnsi="仿宋" w:eastAsia="仿宋" w:cs="仿宋"/>
          <w:color w:val="auto"/>
          <w:sz w:val="24"/>
          <w:highlight w:val="none"/>
        </w:rPr>
        <w:t>；</w:t>
      </w:r>
    </w:p>
    <w:p w14:paraId="59A5CDEE">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0C05062C">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14:paraId="0A12143B">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08CD715D">
      <w:pPr>
        <w:spacing w:line="360" w:lineRule="auto"/>
        <w:ind w:right="176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投标人名称（电子签名）：</w:t>
      </w:r>
    </w:p>
    <w:p w14:paraId="3FD74327">
      <w:pPr>
        <w:spacing w:line="360" w:lineRule="auto"/>
        <w:ind w:right="1120" w:firstLine="4680" w:firstLineChars="1950"/>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p>
    <w:p w14:paraId="436CF7E5">
      <w:pPr>
        <w:spacing w:line="360" w:lineRule="auto"/>
        <w:ind w:firstLine="310" w:firstLineChars="147"/>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从业人员、营业收入、资产总额填报上一年度数据，无上一年度数据的新成立企业可不填报。</w:t>
      </w:r>
    </w:p>
    <w:p w14:paraId="05B2B7D0">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注：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1D715442">
      <w:pPr>
        <w:spacing w:line="360" w:lineRule="auto"/>
        <w:ind w:right="42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中小企业应当按照《政府采购促进中小企业发展管理办法》规定和《中小企业划型标准规定》（工信部联企业〔2011〕300号），如实填写并提交《中小企业声明函》。未按要求出具声明函的，投标报价不予扣减。声明函填写行业错误或者未填写投标报价不予扣减</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声明函</w:t>
      </w:r>
      <w:r>
        <w:rPr>
          <w:rFonts w:hint="eastAsia" w:ascii="仿宋" w:hAnsi="仿宋" w:eastAsia="仿宋" w:cs="仿宋"/>
          <w:color w:val="auto"/>
          <w:sz w:val="24"/>
          <w:highlight w:val="none"/>
          <w:lang w:val="en-US" w:eastAsia="zh-CN"/>
        </w:rPr>
        <w:t>类型填写错误，</w:t>
      </w:r>
      <w:r>
        <w:rPr>
          <w:rFonts w:hint="eastAsia" w:ascii="仿宋" w:hAnsi="仿宋" w:eastAsia="仿宋" w:cs="仿宋"/>
          <w:color w:val="auto"/>
          <w:sz w:val="24"/>
          <w:highlight w:val="none"/>
        </w:rPr>
        <w:t>投标报价不予扣减</w:t>
      </w:r>
      <w:r>
        <w:rPr>
          <w:rFonts w:hint="eastAsia" w:ascii="仿宋" w:hAnsi="仿宋" w:eastAsia="仿宋" w:cs="仿宋"/>
          <w:color w:val="auto"/>
          <w:sz w:val="24"/>
          <w:highlight w:val="none"/>
          <w:lang w:eastAsia="zh-CN"/>
        </w:rPr>
        <w:t>。</w:t>
      </w:r>
    </w:p>
    <w:p w14:paraId="7D3E1686">
      <w:pPr>
        <w:spacing w:line="360" w:lineRule="auto"/>
        <w:ind w:right="42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中小企业对其声明内容的真实性负责，声明函内容不实的，属于提供虚假材料谋取中标、成交，依照《中华人民共和国政府采购法》等国家有关规定追究相应责任。</w:t>
      </w:r>
    </w:p>
    <w:p w14:paraId="7776D886">
      <w:pPr>
        <w:pStyle w:val="3"/>
        <w:rPr>
          <w:rFonts w:hint="eastAsia"/>
          <w:color w:val="auto"/>
          <w:highlight w:val="none"/>
        </w:rPr>
      </w:pPr>
    </w:p>
    <w:p w14:paraId="731B516C">
      <w:pPr>
        <w:pStyle w:val="29"/>
        <w:snapToGrid w:val="0"/>
        <w:spacing w:line="360" w:lineRule="auto"/>
        <w:ind w:right="42" w:rightChars="20" w:firstLine="422" w:firstLineChars="200"/>
        <w:jc w:val="left"/>
        <w:rPr>
          <w:rFonts w:asciiTheme="minorEastAsia" w:hAnsiTheme="minorEastAsia" w:eastAsiaTheme="minorEastAsia"/>
          <w:b/>
          <w:color w:val="auto"/>
          <w:szCs w:val="21"/>
          <w:highlight w:val="none"/>
        </w:rPr>
      </w:pPr>
    </w:p>
    <w:p w14:paraId="0C2B299E">
      <w:pPr>
        <w:pStyle w:val="29"/>
        <w:snapToGrid w:val="0"/>
        <w:spacing w:line="360" w:lineRule="auto"/>
        <w:ind w:right="42" w:rightChars="20" w:firstLine="422" w:firstLineChars="200"/>
        <w:jc w:val="left"/>
        <w:rPr>
          <w:rFonts w:asciiTheme="minorEastAsia" w:hAnsiTheme="minorEastAsia" w:eastAsiaTheme="minorEastAsia"/>
          <w:b/>
          <w:color w:val="auto"/>
          <w:szCs w:val="21"/>
          <w:highlight w:val="none"/>
        </w:rPr>
      </w:pPr>
    </w:p>
    <w:p w14:paraId="1F562B4D">
      <w:pPr>
        <w:pStyle w:val="29"/>
        <w:snapToGrid w:val="0"/>
        <w:spacing w:line="360" w:lineRule="auto"/>
        <w:ind w:right="42" w:rightChars="20" w:firstLine="422" w:firstLineChars="200"/>
        <w:jc w:val="left"/>
        <w:rPr>
          <w:rFonts w:asciiTheme="minorEastAsia" w:hAnsiTheme="minorEastAsia" w:eastAsiaTheme="minorEastAsia"/>
          <w:b/>
          <w:color w:val="auto"/>
          <w:szCs w:val="21"/>
          <w:highlight w:val="none"/>
        </w:rPr>
      </w:pPr>
    </w:p>
    <w:p w14:paraId="478321C4">
      <w:pPr>
        <w:pStyle w:val="29"/>
        <w:snapToGrid w:val="0"/>
        <w:spacing w:line="360" w:lineRule="auto"/>
        <w:ind w:right="42" w:rightChars="20" w:firstLine="422" w:firstLineChars="200"/>
        <w:jc w:val="left"/>
        <w:rPr>
          <w:rFonts w:asciiTheme="minorEastAsia" w:hAnsiTheme="minorEastAsia" w:eastAsiaTheme="minorEastAsia"/>
          <w:b/>
          <w:color w:val="auto"/>
          <w:szCs w:val="21"/>
          <w:highlight w:val="none"/>
        </w:rPr>
      </w:pPr>
    </w:p>
    <w:p w14:paraId="222B2E33">
      <w:pPr>
        <w:pStyle w:val="29"/>
        <w:snapToGrid w:val="0"/>
        <w:spacing w:line="360" w:lineRule="auto"/>
        <w:ind w:right="42" w:rightChars="20" w:firstLine="422" w:firstLineChars="200"/>
        <w:jc w:val="left"/>
        <w:rPr>
          <w:rFonts w:asciiTheme="minorEastAsia" w:hAnsiTheme="minorEastAsia" w:eastAsiaTheme="minorEastAsia"/>
          <w:b/>
          <w:color w:val="auto"/>
          <w:szCs w:val="21"/>
          <w:highlight w:val="none"/>
        </w:rPr>
      </w:pPr>
    </w:p>
    <w:p w14:paraId="5D85AC87">
      <w:pPr>
        <w:pStyle w:val="29"/>
        <w:snapToGrid w:val="0"/>
        <w:ind w:firstLine="420"/>
        <w:rPr>
          <w:rFonts w:ascii="微软雅黑" w:hAnsi="微软雅黑"/>
          <w:b/>
          <w:color w:val="auto"/>
          <w:szCs w:val="21"/>
          <w:highlight w:val="none"/>
        </w:rPr>
      </w:pPr>
      <w:r>
        <w:rPr>
          <w:rFonts w:hint="eastAsia" w:ascii="微软雅黑" w:hAnsi="微软雅黑"/>
          <w:b/>
          <w:color w:val="auto"/>
          <w:szCs w:val="21"/>
          <w:highlight w:val="none"/>
        </w:rPr>
        <w:t>残疾人福利性单位声明函</w:t>
      </w:r>
    </w:p>
    <w:p w14:paraId="5C6AB881">
      <w:pPr>
        <w:widowControl/>
        <w:ind w:firstLine="420"/>
        <w:rPr>
          <w:rFonts w:ascii="微软雅黑" w:hAnsi="微软雅黑"/>
          <w:b/>
          <w:color w:val="auto"/>
          <w:szCs w:val="21"/>
          <w:highlight w:val="none"/>
        </w:rPr>
      </w:pPr>
    </w:p>
    <w:p w14:paraId="4893AA2C">
      <w:pPr>
        <w:widowControl/>
        <w:ind w:firstLine="420"/>
        <w:jc w:val="center"/>
        <w:rPr>
          <w:rFonts w:ascii="微软雅黑" w:hAnsi="微软雅黑"/>
          <w:b/>
          <w:color w:val="auto"/>
          <w:szCs w:val="21"/>
          <w:highlight w:val="none"/>
        </w:rPr>
      </w:pPr>
      <w:r>
        <w:rPr>
          <w:rFonts w:hint="eastAsia" w:ascii="微软雅黑" w:hAnsi="微软雅黑"/>
          <w:b/>
          <w:color w:val="auto"/>
          <w:szCs w:val="21"/>
          <w:highlight w:val="none"/>
        </w:rPr>
        <w:t>残疾人福利性单位声明函</w:t>
      </w:r>
    </w:p>
    <w:p w14:paraId="09A128DD">
      <w:pPr>
        <w:widowControl/>
        <w:ind w:firstLine="420"/>
        <w:rPr>
          <w:rFonts w:ascii="微软雅黑" w:hAnsi="微软雅黑"/>
          <w:color w:val="auto"/>
          <w:szCs w:val="21"/>
          <w:highlight w:val="none"/>
        </w:rPr>
      </w:pPr>
      <w:r>
        <w:rPr>
          <w:rFonts w:hint="eastAsia" w:ascii="微软雅黑" w:hAnsi="微软雅黑"/>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FA5FF50">
      <w:pPr>
        <w:widowControl/>
        <w:ind w:firstLine="420"/>
        <w:rPr>
          <w:rFonts w:ascii="微软雅黑" w:hAnsi="微软雅黑"/>
          <w:color w:val="auto"/>
          <w:szCs w:val="21"/>
          <w:highlight w:val="none"/>
        </w:rPr>
      </w:pPr>
      <w:r>
        <w:rPr>
          <w:rFonts w:hint="eastAsia" w:ascii="微软雅黑" w:hAnsi="微软雅黑"/>
          <w:color w:val="auto"/>
          <w:szCs w:val="21"/>
          <w:highlight w:val="none"/>
        </w:rPr>
        <w:t xml:space="preserve">  本单位对上述声明的真实性负责。如有虚假，将依法承担相应责任。</w:t>
      </w:r>
    </w:p>
    <w:p w14:paraId="26F96C84">
      <w:pPr>
        <w:widowControl/>
        <w:ind w:firstLine="420"/>
        <w:rPr>
          <w:rFonts w:ascii="微软雅黑" w:hAnsi="微软雅黑"/>
          <w:color w:val="auto"/>
          <w:szCs w:val="21"/>
          <w:highlight w:val="none"/>
        </w:rPr>
      </w:pPr>
      <w:r>
        <w:rPr>
          <w:rFonts w:hint="eastAsia" w:ascii="微软雅黑" w:hAnsi="微软雅黑"/>
          <w:color w:val="auto"/>
          <w:szCs w:val="21"/>
          <w:highlight w:val="none"/>
        </w:rPr>
        <w:t xml:space="preserve">          </w:t>
      </w:r>
      <w:r>
        <w:rPr>
          <w:rFonts w:hint="eastAsia" w:ascii="宋体" w:hAnsi="宋体"/>
          <w:color w:val="auto"/>
          <w:szCs w:val="21"/>
          <w:highlight w:val="none"/>
        </w:rPr>
        <w:t>供应商（CA签章）</w:t>
      </w:r>
      <w:r>
        <w:rPr>
          <w:rFonts w:ascii="宋体" w:hAnsi="宋体"/>
          <w:color w:val="auto"/>
          <w:szCs w:val="21"/>
          <w:highlight w:val="none"/>
        </w:rPr>
        <w:t>：</w:t>
      </w:r>
    </w:p>
    <w:p w14:paraId="0485801C">
      <w:pPr>
        <w:widowControl/>
        <w:ind w:firstLine="420"/>
        <w:rPr>
          <w:rFonts w:ascii="微软雅黑" w:hAnsi="微软雅黑"/>
          <w:color w:val="auto"/>
          <w:szCs w:val="21"/>
          <w:highlight w:val="none"/>
        </w:rPr>
      </w:pPr>
      <w:r>
        <w:rPr>
          <w:rFonts w:hint="eastAsia" w:ascii="微软雅黑" w:hAnsi="微软雅黑"/>
          <w:color w:val="auto"/>
          <w:szCs w:val="21"/>
          <w:highlight w:val="none"/>
        </w:rPr>
        <w:t xml:space="preserve">                  日 期：</w:t>
      </w:r>
    </w:p>
    <w:p w14:paraId="16D55F60">
      <w:pPr>
        <w:ind w:firstLine="420"/>
        <w:rPr>
          <w:color w:val="auto"/>
          <w:highlight w:val="none"/>
        </w:rPr>
        <w:sectPr>
          <w:pgSz w:w="11905"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9" w:charSpace="0"/>
        </w:sectPr>
      </w:pPr>
    </w:p>
    <w:p w14:paraId="3DA04B82">
      <w:pPr>
        <w:ind w:firstLine="420"/>
        <w:rPr>
          <w:color w:val="auto"/>
          <w:highlight w:val="none"/>
        </w:rPr>
      </w:pPr>
      <w:r>
        <w:rPr>
          <w:rFonts w:hint="eastAsia"/>
          <w:color w:val="auto"/>
          <w:highlight w:val="none"/>
        </w:rPr>
        <w:t>监狱企业证明文件</w:t>
      </w:r>
    </w:p>
    <w:p w14:paraId="1D24C139">
      <w:pPr>
        <w:ind w:firstLine="420"/>
        <w:jc w:val="center"/>
        <w:rPr>
          <w:rFonts w:ascii="微软雅黑" w:hAnsi="微软雅黑"/>
          <w:b/>
          <w:color w:val="auto"/>
          <w:szCs w:val="21"/>
          <w:highlight w:val="none"/>
        </w:rPr>
      </w:pPr>
      <w:r>
        <w:rPr>
          <w:rFonts w:hint="eastAsia" w:ascii="微软雅黑" w:hAnsi="微软雅黑"/>
          <w:b/>
          <w:color w:val="auto"/>
          <w:szCs w:val="21"/>
          <w:highlight w:val="none"/>
        </w:rPr>
        <w:t>监狱企业证明文件</w:t>
      </w:r>
    </w:p>
    <w:tbl>
      <w:tblPr>
        <w:tblStyle w:val="52"/>
        <w:tblW w:w="7533" w:type="dxa"/>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7533"/>
      </w:tblGrid>
      <w:tr w14:paraId="61DB775F">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6516" w:hRule="atLeast"/>
        </w:trPr>
        <w:tc>
          <w:tcPr>
            <w:tcW w:w="7533" w:type="dxa"/>
            <w:vAlign w:val="center"/>
          </w:tcPr>
          <w:p w14:paraId="0C136823">
            <w:pPr>
              <w:ind w:firstLine="420"/>
              <w:jc w:val="center"/>
              <w:rPr>
                <w:rFonts w:ascii="微软雅黑" w:hAnsi="微软雅黑"/>
                <w:b/>
                <w:color w:val="auto"/>
                <w:szCs w:val="21"/>
                <w:highlight w:val="none"/>
              </w:rPr>
            </w:pPr>
            <w:r>
              <w:rPr>
                <w:rFonts w:hint="eastAsia" w:ascii="微软雅黑" w:hAnsi="微软雅黑"/>
                <w:b/>
                <w:color w:val="auto"/>
                <w:szCs w:val="21"/>
                <w:highlight w:val="none"/>
              </w:rPr>
              <w:t>相关部门出具的监狱企业证明文件</w:t>
            </w:r>
          </w:p>
          <w:p w14:paraId="73405047">
            <w:pPr>
              <w:ind w:firstLine="420"/>
              <w:jc w:val="center"/>
              <w:rPr>
                <w:rFonts w:ascii="微软雅黑" w:hAnsi="微软雅黑" w:cs="Arial"/>
                <w:b/>
                <w:i/>
                <w:color w:val="auto"/>
                <w:kern w:val="0"/>
                <w:szCs w:val="21"/>
                <w:highlight w:val="none"/>
              </w:rPr>
            </w:pPr>
            <w:r>
              <w:rPr>
                <w:rFonts w:hint="eastAsia" w:ascii="微软雅黑" w:hAnsi="微软雅黑"/>
                <w:color w:val="auto"/>
                <w:szCs w:val="21"/>
                <w:highlight w:val="none"/>
              </w:rPr>
              <w:t>（如是，提供</w:t>
            </w:r>
            <w:r>
              <w:rPr>
                <w:rFonts w:hint="eastAsia" w:ascii="微软雅黑" w:hAnsi="微软雅黑" w:cs="Arial"/>
                <w:color w:val="auto"/>
                <w:kern w:val="0"/>
                <w:szCs w:val="21"/>
                <w:highlight w:val="none"/>
              </w:rPr>
              <w:t>复印件加盖投标供应商公章）</w:t>
            </w:r>
          </w:p>
        </w:tc>
      </w:tr>
    </w:tbl>
    <w:p w14:paraId="077D510F">
      <w:pPr>
        <w:ind w:firstLine="420"/>
        <w:rPr>
          <w:rFonts w:ascii="微软雅黑" w:hAnsi="微软雅黑" w:cs="Arial"/>
          <w:i/>
          <w:color w:val="auto"/>
          <w:szCs w:val="21"/>
          <w:highlight w:val="none"/>
        </w:rPr>
      </w:pPr>
    </w:p>
    <w:p w14:paraId="3644BED6">
      <w:pPr>
        <w:snapToGrid w:val="0"/>
        <w:rPr>
          <w:rFonts w:hint="eastAsia" w:ascii="微软雅黑" w:hAnsi="微软雅黑" w:eastAsia="宋体"/>
          <w:color w:val="auto"/>
          <w:szCs w:val="21"/>
          <w:highlight w:val="none"/>
          <w:shd w:val="clear" w:color="auto" w:fill="FFFFFF"/>
          <w:lang w:eastAsia="zh-CN"/>
        </w:rPr>
      </w:pPr>
      <w:r>
        <w:rPr>
          <w:rFonts w:hint="eastAsia" w:ascii="宋体" w:hAnsi="宋体"/>
          <w:color w:val="auto"/>
          <w:szCs w:val="21"/>
          <w:highlight w:val="none"/>
        </w:rPr>
        <w:t>供应商（CA签章）</w:t>
      </w:r>
      <w:r>
        <w:rPr>
          <w:rFonts w:hint="eastAsia" w:ascii="微软雅黑" w:hAnsi="微软雅黑"/>
          <w:color w:val="auto"/>
          <w:szCs w:val="21"/>
          <w:highlight w:val="none"/>
          <w:shd w:val="clear" w:color="auto" w:fill="FFFFFF"/>
        </w:rPr>
        <w:t>：</w:t>
      </w:r>
    </w:p>
    <w:p w14:paraId="2EA2FBEC">
      <w:pPr>
        <w:snapToGrid w:val="0"/>
        <w:rPr>
          <w:rFonts w:ascii="微软雅黑" w:hAnsi="微软雅黑"/>
          <w:color w:val="auto"/>
          <w:szCs w:val="21"/>
          <w:highlight w:val="none"/>
          <w:u w:val="single"/>
        </w:rPr>
      </w:pPr>
      <w:r>
        <w:rPr>
          <w:rFonts w:hint="eastAsia" w:ascii="微软雅黑" w:hAnsi="微软雅黑"/>
          <w:color w:val="auto"/>
          <w:szCs w:val="21"/>
          <w:highlight w:val="none"/>
          <w:shd w:val="clear" w:color="auto" w:fill="FFFFFF"/>
        </w:rPr>
        <w:t>投标日期： 年 月 日</w:t>
      </w:r>
    </w:p>
    <w:p w14:paraId="7AD6389A">
      <w:pPr>
        <w:pStyle w:val="101"/>
        <w:rPr>
          <w:rFonts w:ascii="微软雅黑" w:hAnsi="微软雅黑" w:eastAsia="微软雅黑"/>
          <w:color w:val="auto"/>
          <w:szCs w:val="21"/>
          <w:highlight w:val="none"/>
        </w:rPr>
      </w:pPr>
    </w:p>
    <w:p w14:paraId="218D3C23">
      <w:pPr>
        <w:pStyle w:val="29"/>
        <w:snapToGrid w:val="0"/>
        <w:spacing w:line="360" w:lineRule="auto"/>
        <w:ind w:right="42" w:rightChars="20" w:firstLine="422" w:firstLineChars="200"/>
        <w:jc w:val="left"/>
        <w:rPr>
          <w:rFonts w:asciiTheme="minorEastAsia" w:hAnsiTheme="minorEastAsia" w:eastAsiaTheme="minorEastAsia"/>
          <w:b/>
          <w:color w:val="auto"/>
          <w:szCs w:val="21"/>
          <w:highlight w:val="none"/>
        </w:rPr>
      </w:pPr>
    </w:p>
    <w:p w14:paraId="1FA88F98">
      <w:pPr>
        <w:pStyle w:val="29"/>
        <w:snapToGrid w:val="0"/>
        <w:spacing w:line="360" w:lineRule="auto"/>
        <w:ind w:right="42" w:rightChars="20" w:firstLine="422" w:firstLineChars="200"/>
        <w:jc w:val="left"/>
        <w:rPr>
          <w:rFonts w:asciiTheme="minorEastAsia" w:hAnsiTheme="minorEastAsia" w:eastAsiaTheme="minorEastAsia"/>
          <w:b/>
          <w:color w:val="auto"/>
          <w:szCs w:val="21"/>
          <w:highlight w:val="none"/>
        </w:rPr>
      </w:pPr>
    </w:p>
    <w:p w14:paraId="1C69DDF9">
      <w:pPr>
        <w:pStyle w:val="29"/>
        <w:snapToGrid w:val="0"/>
        <w:spacing w:line="360" w:lineRule="auto"/>
        <w:ind w:right="42" w:rightChars="20" w:firstLine="422" w:firstLineChars="200"/>
        <w:jc w:val="left"/>
        <w:rPr>
          <w:rFonts w:asciiTheme="minorEastAsia" w:hAnsiTheme="minorEastAsia" w:eastAsiaTheme="minorEastAsia"/>
          <w:b/>
          <w:color w:val="auto"/>
          <w:szCs w:val="21"/>
          <w:highlight w:val="none"/>
        </w:rPr>
      </w:pPr>
    </w:p>
    <w:p w14:paraId="6044D943">
      <w:pPr>
        <w:pStyle w:val="29"/>
        <w:snapToGrid w:val="0"/>
        <w:spacing w:line="360" w:lineRule="auto"/>
        <w:ind w:right="42" w:rightChars="20" w:firstLine="422" w:firstLineChars="200"/>
        <w:jc w:val="left"/>
        <w:rPr>
          <w:rFonts w:asciiTheme="minorEastAsia" w:hAnsiTheme="minorEastAsia" w:eastAsiaTheme="minorEastAsia"/>
          <w:b/>
          <w:color w:val="auto"/>
          <w:szCs w:val="21"/>
          <w:highlight w:val="none"/>
        </w:rPr>
      </w:pPr>
    </w:p>
    <w:p w14:paraId="6494D50B">
      <w:pPr>
        <w:pStyle w:val="29"/>
        <w:snapToGrid w:val="0"/>
        <w:spacing w:line="360" w:lineRule="auto"/>
        <w:ind w:right="42" w:rightChars="20" w:firstLine="422" w:firstLineChars="200"/>
        <w:jc w:val="left"/>
        <w:rPr>
          <w:rFonts w:asciiTheme="minorEastAsia" w:hAnsiTheme="minorEastAsia" w:eastAsiaTheme="minorEastAsia"/>
          <w:b/>
          <w:color w:val="auto"/>
          <w:szCs w:val="21"/>
          <w:highlight w:val="none"/>
        </w:rPr>
      </w:pPr>
    </w:p>
    <w:p w14:paraId="5DBEF57F">
      <w:pPr>
        <w:pStyle w:val="29"/>
        <w:snapToGrid w:val="0"/>
        <w:spacing w:line="360" w:lineRule="auto"/>
        <w:ind w:right="42" w:rightChars="20" w:firstLine="422" w:firstLineChars="200"/>
        <w:jc w:val="left"/>
        <w:rPr>
          <w:rFonts w:asciiTheme="minorEastAsia" w:hAnsiTheme="minorEastAsia" w:eastAsiaTheme="minorEastAsia"/>
          <w:b/>
          <w:color w:val="auto"/>
          <w:szCs w:val="21"/>
          <w:highlight w:val="none"/>
        </w:rPr>
      </w:pPr>
    </w:p>
    <w:p w14:paraId="20FE4A18">
      <w:pPr>
        <w:pStyle w:val="29"/>
        <w:snapToGrid w:val="0"/>
        <w:spacing w:line="360" w:lineRule="auto"/>
        <w:ind w:right="42" w:rightChars="20" w:firstLine="422" w:firstLineChars="200"/>
        <w:jc w:val="left"/>
        <w:rPr>
          <w:rFonts w:asciiTheme="minorEastAsia" w:hAnsiTheme="minorEastAsia" w:eastAsiaTheme="minorEastAsia"/>
          <w:b/>
          <w:color w:val="auto"/>
          <w:szCs w:val="21"/>
          <w:highlight w:val="none"/>
        </w:rPr>
      </w:pPr>
    </w:p>
    <w:p w14:paraId="0B8A6602">
      <w:pPr>
        <w:pStyle w:val="29"/>
        <w:snapToGrid w:val="0"/>
        <w:spacing w:line="360" w:lineRule="auto"/>
        <w:ind w:right="42" w:rightChars="20" w:firstLine="422" w:firstLineChars="200"/>
        <w:jc w:val="left"/>
        <w:rPr>
          <w:rFonts w:asciiTheme="minorEastAsia" w:hAnsiTheme="minorEastAsia" w:eastAsiaTheme="minorEastAsia"/>
          <w:b/>
          <w:color w:val="auto"/>
          <w:szCs w:val="21"/>
          <w:highlight w:val="none"/>
        </w:rPr>
      </w:pPr>
    </w:p>
    <w:p w14:paraId="733936CB">
      <w:pPr>
        <w:pStyle w:val="29"/>
        <w:snapToGrid w:val="0"/>
        <w:spacing w:line="360" w:lineRule="auto"/>
        <w:ind w:right="42" w:rightChars="20" w:firstLine="422" w:firstLineChars="200"/>
        <w:jc w:val="left"/>
        <w:rPr>
          <w:rFonts w:asciiTheme="minorEastAsia" w:hAnsiTheme="minorEastAsia" w:eastAsiaTheme="minorEastAsia"/>
          <w:b/>
          <w:color w:val="auto"/>
          <w:szCs w:val="21"/>
          <w:highlight w:val="none"/>
        </w:rPr>
      </w:pPr>
    </w:p>
    <w:p w14:paraId="4ECE978A">
      <w:pPr>
        <w:pStyle w:val="29"/>
        <w:snapToGrid w:val="0"/>
        <w:spacing w:line="360" w:lineRule="auto"/>
        <w:ind w:right="42" w:rightChars="20" w:firstLine="422" w:firstLineChars="200"/>
        <w:jc w:val="left"/>
        <w:rPr>
          <w:rFonts w:asciiTheme="minorEastAsia" w:hAnsiTheme="minorEastAsia" w:eastAsiaTheme="minorEastAsia"/>
          <w:b/>
          <w:color w:val="auto"/>
          <w:szCs w:val="21"/>
          <w:highlight w:val="none"/>
        </w:rPr>
      </w:pPr>
    </w:p>
    <w:p w14:paraId="684B0A14">
      <w:pPr>
        <w:pStyle w:val="29"/>
        <w:snapToGrid w:val="0"/>
        <w:spacing w:line="360" w:lineRule="auto"/>
        <w:ind w:right="42" w:rightChars="20" w:firstLine="422" w:firstLineChars="200"/>
        <w:jc w:val="left"/>
        <w:rPr>
          <w:rFonts w:asciiTheme="minorEastAsia" w:hAnsiTheme="minorEastAsia" w:eastAsiaTheme="minorEastAsia"/>
          <w:b/>
          <w:color w:val="auto"/>
          <w:szCs w:val="21"/>
          <w:highlight w:val="none"/>
        </w:rPr>
      </w:pPr>
    </w:p>
    <w:p w14:paraId="191E1510">
      <w:pPr>
        <w:pStyle w:val="29"/>
        <w:snapToGrid w:val="0"/>
        <w:spacing w:line="360" w:lineRule="auto"/>
        <w:ind w:right="42" w:rightChars="20" w:firstLine="422" w:firstLineChars="200"/>
        <w:jc w:val="left"/>
        <w:rPr>
          <w:rFonts w:asciiTheme="minorEastAsia" w:hAnsiTheme="minorEastAsia" w:eastAsiaTheme="minorEastAsia"/>
          <w:b/>
          <w:color w:val="auto"/>
          <w:szCs w:val="21"/>
          <w:highlight w:val="none"/>
        </w:rPr>
      </w:pPr>
    </w:p>
    <w:p w14:paraId="25037D9F">
      <w:pPr>
        <w:snapToGrid w:val="0"/>
        <w:ind w:right="42" w:rightChars="20" w:firstLine="420" w:firstLineChars="200"/>
        <w:jc w:val="left"/>
        <w:rPr>
          <w:rFonts w:ascii="微软雅黑" w:hAnsi="微软雅黑" w:eastAsia="微软雅黑"/>
          <w:b/>
          <w:color w:val="auto"/>
          <w:szCs w:val="21"/>
          <w:highlight w:val="none"/>
        </w:rPr>
      </w:pPr>
      <w:r>
        <w:rPr>
          <w:rFonts w:hint="eastAsia" w:ascii="微软雅黑" w:hAnsi="微软雅黑" w:eastAsia="微软雅黑"/>
          <w:b/>
          <w:color w:val="auto"/>
          <w:szCs w:val="21"/>
          <w:highlight w:val="none"/>
        </w:rPr>
        <w:t>廉政承诺书格式：</w:t>
      </w:r>
    </w:p>
    <w:p w14:paraId="37AF0993">
      <w:pPr>
        <w:pStyle w:val="3"/>
        <w:ind w:right="42" w:rightChars="20"/>
        <w:contextualSpacing/>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廉政承诺书</w:t>
      </w:r>
    </w:p>
    <w:p w14:paraId="116ED39E">
      <w:pPr>
        <w:autoSpaceDE w:val="0"/>
        <w:autoSpaceDN w:val="0"/>
        <w:adjustRightInd w:val="0"/>
        <w:spacing w:line="360" w:lineRule="auto"/>
        <w:ind w:right="42" w:rightChars="20"/>
        <w:contextualSpacing/>
        <w:rPr>
          <w:rFonts w:ascii="宋体" w:hAnsi="宋体" w:cs="宋体"/>
          <w:color w:val="auto"/>
          <w:kern w:val="0"/>
          <w:szCs w:val="21"/>
          <w:highlight w:val="none"/>
          <w:lang w:val="zh-CN"/>
        </w:rPr>
      </w:pPr>
      <w:r>
        <w:rPr>
          <w:rFonts w:hint="eastAsia" w:ascii="宋体" w:hAnsi="宋体" w:cs="宋体"/>
          <w:color w:val="auto"/>
          <w:szCs w:val="21"/>
          <w:highlight w:val="none"/>
        </w:rPr>
        <w:t>致：（招标采购单位名称）</w:t>
      </w:r>
    </w:p>
    <w:p w14:paraId="5F38006F">
      <w:pPr>
        <w:autoSpaceDE w:val="0"/>
        <w:autoSpaceDN w:val="0"/>
        <w:adjustRightInd w:val="0"/>
        <w:spacing w:line="360" w:lineRule="auto"/>
        <w:ind w:right="42" w:rightChars="20" w:firstLine="420" w:firstLineChars="200"/>
        <w:contextualSpacing/>
        <w:rPr>
          <w:rFonts w:ascii="宋体" w:hAnsi="宋体" w:cs="宋体"/>
          <w:color w:val="auto"/>
          <w:kern w:val="0"/>
          <w:szCs w:val="21"/>
          <w:highlight w:val="none"/>
        </w:rPr>
      </w:pPr>
      <w:r>
        <w:rPr>
          <w:rFonts w:hint="eastAsia" w:ascii="宋体" w:hAnsi="宋体" w:cs="宋体"/>
          <w:color w:val="auto"/>
          <w:kern w:val="0"/>
          <w:szCs w:val="21"/>
          <w:highlight w:val="none"/>
          <w:lang w:val="zh-CN"/>
        </w:rPr>
        <w:t>我单位响应项目采购要求参加投标。在这次投标过程中和中标后，我们将严格遵守国家法律法规的要求，并郑重承诺：</w:t>
      </w:r>
    </w:p>
    <w:p w14:paraId="35927929">
      <w:pPr>
        <w:autoSpaceDE w:val="0"/>
        <w:autoSpaceDN w:val="0"/>
        <w:adjustRightInd w:val="0"/>
        <w:spacing w:line="360" w:lineRule="auto"/>
        <w:ind w:right="42" w:rightChars="20" w:firstLine="420" w:firstLineChars="200"/>
        <w:contextualSpacing/>
        <w:rPr>
          <w:rFonts w:ascii="宋体" w:hAnsi="宋体"/>
          <w:color w:val="auto"/>
          <w:szCs w:val="21"/>
          <w:highlight w:val="none"/>
        </w:rPr>
      </w:pPr>
      <w:r>
        <w:rPr>
          <w:rFonts w:hint="eastAsia" w:ascii="宋体" w:hAnsi="宋体"/>
          <w:color w:val="auto"/>
          <w:szCs w:val="21"/>
          <w:highlight w:val="none"/>
        </w:rPr>
        <w:t xml:space="preserve">一、不向项目有关人员及部门赠送礼金礼物、有价证券、回扣以及中介费、介绍费、咨询费等好处费；    </w:t>
      </w:r>
    </w:p>
    <w:p w14:paraId="1CCBC845">
      <w:pPr>
        <w:autoSpaceDE w:val="0"/>
        <w:autoSpaceDN w:val="0"/>
        <w:adjustRightInd w:val="0"/>
        <w:spacing w:line="360" w:lineRule="auto"/>
        <w:ind w:right="42" w:rightChars="20" w:firstLine="420" w:firstLineChars="200"/>
        <w:contextualSpacing/>
        <w:rPr>
          <w:rFonts w:ascii="宋体" w:hAnsi="宋体"/>
          <w:color w:val="auto"/>
          <w:szCs w:val="21"/>
          <w:highlight w:val="none"/>
        </w:rPr>
      </w:pPr>
      <w:r>
        <w:rPr>
          <w:rFonts w:hint="eastAsia" w:ascii="宋体" w:hAnsi="宋体"/>
          <w:color w:val="auto"/>
          <w:szCs w:val="21"/>
          <w:highlight w:val="none"/>
        </w:rPr>
        <w:t xml:space="preserve">二、不为项目有关人员及部门报销应由你方单位或个人支付的费用；    </w:t>
      </w:r>
    </w:p>
    <w:p w14:paraId="0229FF55">
      <w:pPr>
        <w:autoSpaceDE w:val="0"/>
        <w:autoSpaceDN w:val="0"/>
        <w:adjustRightInd w:val="0"/>
        <w:spacing w:line="360" w:lineRule="auto"/>
        <w:ind w:right="42" w:rightChars="20" w:firstLine="420" w:firstLineChars="200"/>
        <w:contextualSpacing/>
        <w:rPr>
          <w:rFonts w:ascii="宋体" w:hAnsi="宋体"/>
          <w:color w:val="auto"/>
          <w:szCs w:val="21"/>
          <w:highlight w:val="none"/>
        </w:rPr>
      </w:pPr>
      <w:r>
        <w:rPr>
          <w:rFonts w:hint="eastAsia" w:ascii="宋体" w:hAnsi="宋体"/>
          <w:color w:val="auto"/>
          <w:szCs w:val="21"/>
          <w:highlight w:val="none"/>
        </w:rPr>
        <w:t xml:space="preserve">三、不向项目有关人员及部门提供有可能影响公正的宴请和健身娱乐等活动；    </w:t>
      </w:r>
    </w:p>
    <w:p w14:paraId="6C9CD77B">
      <w:pPr>
        <w:autoSpaceDE w:val="0"/>
        <w:autoSpaceDN w:val="0"/>
        <w:adjustRightInd w:val="0"/>
        <w:spacing w:line="360" w:lineRule="auto"/>
        <w:ind w:right="42" w:rightChars="20" w:firstLine="420" w:firstLineChars="200"/>
        <w:contextualSpacing/>
        <w:rPr>
          <w:rFonts w:ascii="宋体" w:hAnsi="宋体"/>
          <w:color w:val="auto"/>
          <w:szCs w:val="21"/>
          <w:highlight w:val="none"/>
        </w:rPr>
      </w:pPr>
      <w:r>
        <w:rPr>
          <w:rFonts w:hint="eastAsia" w:ascii="宋体" w:hAnsi="宋体"/>
          <w:color w:val="auto"/>
          <w:szCs w:val="21"/>
          <w:highlight w:val="none"/>
        </w:rPr>
        <w:t xml:space="preserve">四、不为项目有关人员及部门出国（境）、旅游等提供方便；    </w:t>
      </w:r>
    </w:p>
    <w:p w14:paraId="7F3C36C7">
      <w:pPr>
        <w:autoSpaceDE w:val="0"/>
        <w:autoSpaceDN w:val="0"/>
        <w:adjustRightInd w:val="0"/>
        <w:spacing w:line="360" w:lineRule="auto"/>
        <w:ind w:right="42" w:rightChars="20" w:firstLine="420" w:firstLineChars="200"/>
        <w:contextualSpacing/>
        <w:rPr>
          <w:rFonts w:ascii="宋体" w:hAnsi="宋体"/>
          <w:color w:val="auto"/>
          <w:szCs w:val="21"/>
          <w:highlight w:val="none"/>
        </w:rPr>
      </w:pPr>
      <w:r>
        <w:rPr>
          <w:rFonts w:hint="eastAsia" w:ascii="宋体" w:hAnsi="宋体"/>
          <w:color w:val="auto"/>
          <w:szCs w:val="21"/>
          <w:highlight w:val="none"/>
        </w:rPr>
        <w:t xml:space="preserve">五、不为项目有关人员个人装修住房、婚丧嫁娶、配偶子女工作安排等提供好处；    </w:t>
      </w:r>
    </w:p>
    <w:p w14:paraId="7965BA96">
      <w:pPr>
        <w:autoSpaceDE w:val="0"/>
        <w:autoSpaceDN w:val="0"/>
        <w:adjustRightInd w:val="0"/>
        <w:spacing w:line="360" w:lineRule="auto"/>
        <w:ind w:right="42" w:rightChars="20" w:firstLine="420" w:firstLineChars="200"/>
        <w:contextualSpacing/>
        <w:rPr>
          <w:rFonts w:ascii="宋体" w:hAnsi="宋体"/>
          <w:color w:val="auto"/>
          <w:szCs w:val="21"/>
          <w:highlight w:val="none"/>
        </w:rPr>
      </w:pPr>
      <w:r>
        <w:rPr>
          <w:rFonts w:hint="eastAsia" w:ascii="宋体" w:hAnsi="宋体"/>
          <w:color w:val="auto"/>
          <w:szCs w:val="21"/>
          <w:highlight w:val="none"/>
        </w:rPr>
        <w:t>六、严格遵守政府采购法、招标投标法、合同法等法律，诚实守信，合法经营，坚决抵制各种违法违纪行为。</w:t>
      </w:r>
    </w:p>
    <w:p w14:paraId="583882A8">
      <w:pPr>
        <w:autoSpaceDE w:val="0"/>
        <w:autoSpaceDN w:val="0"/>
        <w:adjustRightInd w:val="0"/>
        <w:spacing w:line="360" w:lineRule="auto"/>
        <w:ind w:right="42" w:rightChars="20" w:firstLine="420" w:firstLineChars="200"/>
        <w:contextualSpacing/>
        <w:rPr>
          <w:rFonts w:ascii="宋体" w:hAnsi="宋体"/>
          <w:color w:val="auto"/>
          <w:szCs w:val="21"/>
          <w:highlight w:val="none"/>
        </w:rPr>
      </w:pPr>
      <w:r>
        <w:rPr>
          <w:rFonts w:hint="eastAsia" w:ascii="宋体" w:hAnsi="宋体"/>
          <w:color w:val="auto"/>
          <w:szCs w:val="21"/>
          <w:highlight w:val="none"/>
        </w:rPr>
        <w:t>如违反上述承诺，你单位有权立即取消我单位投标、中标或在建项目的建设资格，有权拒绝我单位在一定时期内进入你单位进行项目建设或其他经营活动，并通报政府采购监督管理部门。由此引起的相应损失均由我单位承担。</w:t>
      </w:r>
    </w:p>
    <w:p w14:paraId="7FEEC752">
      <w:pPr>
        <w:tabs>
          <w:tab w:val="left" w:pos="1418"/>
        </w:tabs>
        <w:spacing w:line="360" w:lineRule="auto"/>
        <w:ind w:right="42" w:rightChars="20"/>
        <w:contextualSpacing/>
        <w:rPr>
          <w:rFonts w:ascii="宋体" w:hAnsi="宋体"/>
          <w:color w:val="auto"/>
          <w:szCs w:val="21"/>
          <w:highlight w:val="none"/>
        </w:rPr>
      </w:pPr>
    </w:p>
    <w:p w14:paraId="15B10532">
      <w:pPr>
        <w:pStyle w:val="168"/>
        <w:snapToGrid w:val="0"/>
        <w:spacing w:line="360" w:lineRule="auto"/>
        <w:ind w:right="42" w:rightChars="20"/>
        <w:jc w:val="lef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法定代表人或其授权代表签字（或盖章）</w:t>
      </w:r>
      <w:r>
        <w:rPr>
          <w:rFonts w:asciiTheme="minorEastAsia" w:hAnsiTheme="minorEastAsia" w:eastAsiaTheme="minorEastAsia"/>
          <w:color w:val="auto"/>
          <w:sz w:val="21"/>
          <w:szCs w:val="21"/>
          <w:highlight w:val="none"/>
        </w:rPr>
        <w:t>：</w:t>
      </w:r>
    </w:p>
    <w:p w14:paraId="1119C1BC">
      <w:pPr>
        <w:tabs>
          <w:tab w:val="left" w:pos="1418"/>
        </w:tabs>
        <w:spacing w:line="360" w:lineRule="auto"/>
        <w:ind w:right="42" w:rightChars="20"/>
        <w:contextualSpacing/>
        <w:rPr>
          <w:rFonts w:ascii="宋体" w:hAnsi="宋体"/>
          <w:color w:val="auto"/>
          <w:szCs w:val="21"/>
          <w:highlight w:val="none"/>
        </w:rPr>
      </w:pPr>
    </w:p>
    <w:p w14:paraId="38A49A87">
      <w:pPr>
        <w:tabs>
          <w:tab w:val="left" w:pos="1418"/>
        </w:tabs>
        <w:spacing w:line="360" w:lineRule="auto"/>
        <w:ind w:right="42" w:rightChars="20"/>
        <w:contextualSpacing/>
        <w:rPr>
          <w:rFonts w:ascii="宋体" w:hAnsi="宋体"/>
          <w:color w:val="auto"/>
          <w:szCs w:val="21"/>
          <w:highlight w:val="none"/>
        </w:rPr>
      </w:pPr>
      <w:r>
        <w:rPr>
          <w:rFonts w:hint="eastAsia" w:ascii="宋体" w:hAnsi="宋体"/>
          <w:color w:val="auto"/>
          <w:szCs w:val="21"/>
          <w:highlight w:val="none"/>
        </w:rPr>
        <w:t>投 标 人（</w:t>
      </w:r>
      <w:r>
        <w:rPr>
          <w:rFonts w:hint="eastAsia" w:asciiTheme="minorEastAsia" w:hAnsiTheme="minorEastAsia" w:eastAsiaTheme="minorEastAsia"/>
          <w:color w:val="auto"/>
          <w:szCs w:val="21"/>
          <w:highlight w:val="none"/>
          <w:shd w:val="clear" w:color="auto" w:fill="FFFFFF"/>
        </w:rPr>
        <w:t>CA签章</w:t>
      </w:r>
      <w:r>
        <w:rPr>
          <w:rFonts w:hint="eastAsia" w:ascii="宋体" w:hAnsi="宋体"/>
          <w:color w:val="auto"/>
          <w:szCs w:val="21"/>
          <w:highlight w:val="none"/>
        </w:rPr>
        <w:t xml:space="preserve">）：                            </w:t>
      </w:r>
    </w:p>
    <w:p w14:paraId="1B59394A">
      <w:pPr>
        <w:tabs>
          <w:tab w:val="left" w:pos="1418"/>
        </w:tabs>
        <w:spacing w:line="360" w:lineRule="auto"/>
        <w:ind w:right="42" w:rightChars="20"/>
        <w:contextualSpacing/>
        <w:rPr>
          <w:rFonts w:ascii="宋体" w:hAnsi="宋体" w:cs="宋体"/>
          <w:bCs/>
          <w:color w:val="auto"/>
          <w:szCs w:val="21"/>
          <w:highlight w:val="none"/>
        </w:rPr>
      </w:pPr>
    </w:p>
    <w:p w14:paraId="1D0EB3F8">
      <w:pPr>
        <w:tabs>
          <w:tab w:val="left" w:pos="1418"/>
        </w:tabs>
        <w:spacing w:line="360" w:lineRule="auto"/>
        <w:ind w:right="42" w:rightChars="20"/>
        <w:contextualSpacing/>
        <w:jc w:val="right"/>
        <w:rPr>
          <w:rFonts w:ascii="宋体" w:hAnsi="宋体" w:cs="宋体"/>
          <w:b/>
          <w:bCs/>
          <w:color w:val="auto"/>
          <w:szCs w:val="21"/>
          <w:highlight w:val="none"/>
        </w:rPr>
      </w:pPr>
      <w:r>
        <w:rPr>
          <w:rFonts w:hint="eastAsia" w:ascii="宋体" w:hAnsi="宋体" w:cs="宋体"/>
          <w:bCs/>
          <w:color w:val="auto"/>
          <w:szCs w:val="21"/>
          <w:highlight w:val="none"/>
        </w:rPr>
        <w:t xml:space="preserve">  年  月  日</w:t>
      </w:r>
    </w:p>
    <w:p w14:paraId="65B3DD84">
      <w:pPr>
        <w:pStyle w:val="2"/>
        <w:spacing w:line="360" w:lineRule="auto"/>
        <w:ind w:right="42" w:rightChars="20"/>
        <w:contextualSpacing/>
        <w:rPr>
          <w:color w:val="auto"/>
          <w:highlight w:val="none"/>
        </w:rPr>
        <w:sectPr>
          <w:pgSz w:w="11905" w:h="16838"/>
          <w:pgMar w:top="1440" w:right="1803" w:bottom="1440" w:left="1803" w:header="851" w:footer="992" w:gutter="0"/>
          <w:pgBorders>
            <w:top w:val="none" w:sz="0" w:space="0"/>
            <w:left w:val="none" w:sz="0" w:space="0"/>
            <w:bottom w:val="none" w:sz="0" w:space="0"/>
            <w:right w:val="none" w:sz="0" w:space="0"/>
          </w:pgBorders>
          <w:cols w:space="0" w:num="1"/>
          <w:docGrid w:type="lines" w:linePitch="319" w:charSpace="0"/>
        </w:sectPr>
      </w:pPr>
    </w:p>
    <w:p w14:paraId="0012E81B">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投标人的类似成功案例的业绩证明文件：</w:t>
      </w:r>
    </w:p>
    <w:p w14:paraId="0B9F544D">
      <w:pPr>
        <w:pStyle w:val="40"/>
        <w:snapToGrid w:val="0"/>
        <w:spacing w:line="360" w:lineRule="auto"/>
        <w:ind w:left="0" w:right="42" w:rightChars="20"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投标人同类项目实施情况一览表格式：（投标人同类项目合同复印件）</w:t>
      </w:r>
    </w:p>
    <w:tbl>
      <w:tblPr>
        <w:tblStyle w:val="52"/>
        <w:tblpPr w:leftFromText="180" w:rightFromText="180" w:vertAnchor="text" w:horzAnchor="page" w:tblpX="1937" w:tblpY="958"/>
        <w:tblOverlap w:val="never"/>
        <w:tblW w:w="84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86"/>
        <w:gridCol w:w="1296"/>
        <w:gridCol w:w="941"/>
        <w:gridCol w:w="968"/>
        <w:gridCol w:w="1173"/>
        <w:gridCol w:w="1268"/>
        <w:gridCol w:w="1323"/>
      </w:tblGrid>
      <w:tr w14:paraId="73C1B9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171" w:hRule="atLeast"/>
        </w:trPr>
        <w:tc>
          <w:tcPr>
            <w:tcW w:w="1486" w:type="dxa"/>
            <w:tcBorders>
              <w:top w:val="single" w:color="auto" w:sz="4" w:space="0"/>
              <w:left w:val="single" w:color="auto" w:sz="4" w:space="0"/>
              <w:bottom w:val="single" w:color="auto" w:sz="4" w:space="0"/>
              <w:right w:val="single" w:color="auto" w:sz="4" w:space="0"/>
            </w:tcBorders>
            <w:vAlign w:val="center"/>
          </w:tcPr>
          <w:p w14:paraId="6197C32A">
            <w:pPr>
              <w:snapToGrid w:val="0"/>
              <w:spacing w:line="360" w:lineRule="auto"/>
              <w:ind w:right="42" w:rightChars="2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采购单位名称</w:t>
            </w:r>
          </w:p>
        </w:tc>
        <w:tc>
          <w:tcPr>
            <w:tcW w:w="1296" w:type="dxa"/>
            <w:tcBorders>
              <w:top w:val="single" w:color="auto" w:sz="4" w:space="0"/>
              <w:left w:val="single" w:color="auto" w:sz="4" w:space="0"/>
              <w:bottom w:val="single" w:color="auto" w:sz="4" w:space="0"/>
              <w:right w:val="single" w:color="auto" w:sz="4" w:space="0"/>
            </w:tcBorders>
            <w:vAlign w:val="center"/>
          </w:tcPr>
          <w:p w14:paraId="30EDE929">
            <w:pPr>
              <w:snapToGrid w:val="0"/>
              <w:spacing w:line="360" w:lineRule="auto"/>
              <w:ind w:right="42" w:rightChars="2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设备或项目名称</w:t>
            </w:r>
          </w:p>
        </w:tc>
        <w:tc>
          <w:tcPr>
            <w:tcW w:w="941" w:type="dxa"/>
            <w:tcBorders>
              <w:top w:val="single" w:color="auto" w:sz="4" w:space="0"/>
              <w:left w:val="single" w:color="auto" w:sz="4" w:space="0"/>
              <w:bottom w:val="single" w:color="auto" w:sz="4" w:space="0"/>
              <w:right w:val="single" w:color="auto" w:sz="4" w:space="0"/>
            </w:tcBorders>
            <w:vAlign w:val="center"/>
          </w:tcPr>
          <w:p w14:paraId="58F5D31E">
            <w:pPr>
              <w:snapToGrid w:val="0"/>
              <w:spacing w:line="360" w:lineRule="auto"/>
              <w:ind w:right="42" w:rightChars="2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采购</w:t>
            </w:r>
          </w:p>
          <w:p w14:paraId="5496EC79">
            <w:pPr>
              <w:snapToGrid w:val="0"/>
              <w:spacing w:line="360" w:lineRule="auto"/>
              <w:ind w:right="42" w:rightChars="2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数量</w:t>
            </w:r>
          </w:p>
        </w:tc>
        <w:tc>
          <w:tcPr>
            <w:tcW w:w="968" w:type="dxa"/>
            <w:tcBorders>
              <w:top w:val="single" w:color="auto" w:sz="4" w:space="0"/>
              <w:left w:val="single" w:color="auto" w:sz="4" w:space="0"/>
              <w:bottom w:val="single" w:color="auto" w:sz="4" w:space="0"/>
              <w:right w:val="single" w:color="auto" w:sz="4" w:space="0"/>
            </w:tcBorders>
            <w:vAlign w:val="center"/>
          </w:tcPr>
          <w:p w14:paraId="15C56411">
            <w:pPr>
              <w:snapToGrid w:val="0"/>
              <w:spacing w:line="360" w:lineRule="auto"/>
              <w:ind w:right="42" w:rightChars="2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单价</w:t>
            </w:r>
          </w:p>
        </w:tc>
        <w:tc>
          <w:tcPr>
            <w:tcW w:w="1173" w:type="dxa"/>
            <w:tcBorders>
              <w:top w:val="single" w:color="auto" w:sz="4" w:space="0"/>
              <w:left w:val="single" w:color="auto" w:sz="4" w:space="0"/>
              <w:bottom w:val="single" w:color="auto" w:sz="4" w:space="0"/>
              <w:right w:val="single" w:color="auto" w:sz="4" w:space="0"/>
            </w:tcBorders>
            <w:vAlign w:val="center"/>
          </w:tcPr>
          <w:p w14:paraId="70E130DA">
            <w:pPr>
              <w:snapToGrid w:val="0"/>
              <w:spacing w:line="360" w:lineRule="auto"/>
              <w:ind w:right="42" w:rightChars="2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合同金额</w:t>
            </w:r>
          </w:p>
          <w:p w14:paraId="0DD2C64C">
            <w:pPr>
              <w:snapToGrid w:val="0"/>
              <w:spacing w:line="360" w:lineRule="auto"/>
              <w:ind w:right="42" w:rightChars="2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（万元）</w:t>
            </w:r>
          </w:p>
        </w:tc>
        <w:tc>
          <w:tcPr>
            <w:tcW w:w="1268" w:type="dxa"/>
            <w:tcBorders>
              <w:top w:val="single" w:color="auto" w:sz="4" w:space="0"/>
              <w:left w:val="single" w:color="auto" w:sz="4" w:space="0"/>
              <w:right w:val="single" w:color="auto" w:sz="4" w:space="0"/>
            </w:tcBorders>
            <w:vAlign w:val="center"/>
          </w:tcPr>
          <w:p w14:paraId="585A5830">
            <w:pPr>
              <w:snapToGrid w:val="0"/>
              <w:spacing w:line="360" w:lineRule="auto"/>
              <w:ind w:right="42" w:rightChars="2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附件页码</w:t>
            </w:r>
          </w:p>
          <w:p w14:paraId="2F80EFE1">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497D8C8A">
            <w:pPr>
              <w:snapToGrid w:val="0"/>
              <w:spacing w:line="360" w:lineRule="auto"/>
              <w:ind w:right="42" w:rightChars="2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采购单位联系人及</w:t>
            </w:r>
          </w:p>
          <w:p w14:paraId="3DDCE45D">
            <w:pPr>
              <w:snapToGrid w:val="0"/>
              <w:spacing w:line="360" w:lineRule="auto"/>
              <w:ind w:right="42" w:rightChars="2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联系电话</w:t>
            </w:r>
          </w:p>
        </w:tc>
      </w:tr>
      <w:tr w14:paraId="0BFB74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486" w:type="dxa"/>
            <w:tcBorders>
              <w:top w:val="single" w:color="auto" w:sz="4" w:space="0"/>
              <w:left w:val="single" w:color="auto" w:sz="4" w:space="0"/>
              <w:bottom w:val="single" w:color="auto" w:sz="4" w:space="0"/>
              <w:right w:val="single" w:color="auto" w:sz="4" w:space="0"/>
            </w:tcBorders>
          </w:tcPr>
          <w:p w14:paraId="28F6DCF4">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p>
        </w:tc>
        <w:tc>
          <w:tcPr>
            <w:tcW w:w="1296" w:type="dxa"/>
            <w:tcBorders>
              <w:top w:val="single" w:color="auto" w:sz="4" w:space="0"/>
              <w:left w:val="single" w:color="auto" w:sz="4" w:space="0"/>
              <w:bottom w:val="single" w:color="auto" w:sz="4" w:space="0"/>
              <w:right w:val="single" w:color="auto" w:sz="4" w:space="0"/>
            </w:tcBorders>
          </w:tcPr>
          <w:p w14:paraId="5558FA3B">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p>
        </w:tc>
        <w:tc>
          <w:tcPr>
            <w:tcW w:w="941" w:type="dxa"/>
            <w:tcBorders>
              <w:top w:val="single" w:color="auto" w:sz="4" w:space="0"/>
              <w:left w:val="single" w:color="auto" w:sz="4" w:space="0"/>
              <w:bottom w:val="single" w:color="auto" w:sz="4" w:space="0"/>
              <w:right w:val="single" w:color="auto" w:sz="4" w:space="0"/>
            </w:tcBorders>
          </w:tcPr>
          <w:p w14:paraId="66E25F7A">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p>
        </w:tc>
        <w:tc>
          <w:tcPr>
            <w:tcW w:w="968" w:type="dxa"/>
            <w:tcBorders>
              <w:top w:val="single" w:color="auto" w:sz="4" w:space="0"/>
              <w:left w:val="single" w:color="auto" w:sz="4" w:space="0"/>
              <w:bottom w:val="single" w:color="auto" w:sz="4" w:space="0"/>
              <w:right w:val="single" w:color="auto" w:sz="4" w:space="0"/>
            </w:tcBorders>
          </w:tcPr>
          <w:p w14:paraId="1FEBD6DE">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tcPr>
          <w:p w14:paraId="42A8517C">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14:paraId="651A0726">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tcPr>
          <w:p w14:paraId="2F6A7D14">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p>
        </w:tc>
      </w:tr>
      <w:tr w14:paraId="011A7D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86" w:type="dxa"/>
            <w:tcBorders>
              <w:top w:val="single" w:color="auto" w:sz="4" w:space="0"/>
              <w:left w:val="single" w:color="auto" w:sz="4" w:space="0"/>
              <w:bottom w:val="single" w:color="auto" w:sz="4" w:space="0"/>
              <w:right w:val="single" w:color="auto" w:sz="4" w:space="0"/>
            </w:tcBorders>
          </w:tcPr>
          <w:p w14:paraId="7CC51D68">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p>
        </w:tc>
        <w:tc>
          <w:tcPr>
            <w:tcW w:w="1296" w:type="dxa"/>
            <w:tcBorders>
              <w:top w:val="single" w:color="auto" w:sz="4" w:space="0"/>
              <w:left w:val="single" w:color="auto" w:sz="4" w:space="0"/>
              <w:bottom w:val="single" w:color="auto" w:sz="4" w:space="0"/>
              <w:right w:val="single" w:color="auto" w:sz="4" w:space="0"/>
            </w:tcBorders>
          </w:tcPr>
          <w:p w14:paraId="182CAD55">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p>
        </w:tc>
        <w:tc>
          <w:tcPr>
            <w:tcW w:w="941" w:type="dxa"/>
            <w:tcBorders>
              <w:top w:val="single" w:color="auto" w:sz="4" w:space="0"/>
              <w:left w:val="single" w:color="auto" w:sz="4" w:space="0"/>
              <w:bottom w:val="single" w:color="auto" w:sz="4" w:space="0"/>
              <w:right w:val="single" w:color="auto" w:sz="4" w:space="0"/>
            </w:tcBorders>
          </w:tcPr>
          <w:p w14:paraId="25EF3192">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p>
        </w:tc>
        <w:tc>
          <w:tcPr>
            <w:tcW w:w="968" w:type="dxa"/>
            <w:tcBorders>
              <w:top w:val="single" w:color="auto" w:sz="4" w:space="0"/>
              <w:left w:val="single" w:color="auto" w:sz="4" w:space="0"/>
              <w:bottom w:val="single" w:color="auto" w:sz="4" w:space="0"/>
              <w:right w:val="single" w:color="auto" w:sz="4" w:space="0"/>
            </w:tcBorders>
          </w:tcPr>
          <w:p w14:paraId="6C2C3EB6">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tcPr>
          <w:p w14:paraId="5028DFF4">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14:paraId="2D6727E4">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tcPr>
          <w:p w14:paraId="49D8A310">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p>
        </w:tc>
      </w:tr>
      <w:tr w14:paraId="37EB16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486" w:type="dxa"/>
            <w:tcBorders>
              <w:top w:val="single" w:color="auto" w:sz="4" w:space="0"/>
              <w:left w:val="single" w:color="auto" w:sz="4" w:space="0"/>
              <w:bottom w:val="single" w:color="auto" w:sz="4" w:space="0"/>
              <w:right w:val="single" w:color="auto" w:sz="4" w:space="0"/>
            </w:tcBorders>
          </w:tcPr>
          <w:p w14:paraId="74C2DA28">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p>
        </w:tc>
        <w:tc>
          <w:tcPr>
            <w:tcW w:w="1296" w:type="dxa"/>
            <w:tcBorders>
              <w:top w:val="single" w:color="auto" w:sz="4" w:space="0"/>
              <w:left w:val="single" w:color="auto" w:sz="4" w:space="0"/>
              <w:bottom w:val="single" w:color="auto" w:sz="4" w:space="0"/>
              <w:right w:val="single" w:color="auto" w:sz="4" w:space="0"/>
            </w:tcBorders>
          </w:tcPr>
          <w:p w14:paraId="1D6B5DA4">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p>
        </w:tc>
        <w:tc>
          <w:tcPr>
            <w:tcW w:w="941" w:type="dxa"/>
            <w:tcBorders>
              <w:top w:val="single" w:color="auto" w:sz="4" w:space="0"/>
              <w:left w:val="single" w:color="auto" w:sz="4" w:space="0"/>
              <w:bottom w:val="single" w:color="auto" w:sz="4" w:space="0"/>
              <w:right w:val="single" w:color="auto" w:sz="4" w:space="0"/>
            </w:tcBorders>
          </w:tcPr>
          <w:p w14:paraId="1D36D9FD">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p>
        </w:tc>
        <w:tc>
          <w:tcPr>
            <w:tcW w:w="968" w:type="dxa"/>
            <w:tcBorders>
              <w:top w:val="single" w:color="auto" w:sz="4" w:space="0"/>
              <w:left w:val="single" w:color="auto" w:sz="4" w:space="0"/>
              <w:bottom w:val="single" w:color="auto" w:sz="4" w:space="0"/>
              <w:right w:val="single" w:color="auto" w:sz="4" w:space="0"/>
            </w:tcBorders>
          </w:tcPr>
          <w:p w14:paraId="304D6680">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tcPr>
          <w:p w14:paraId="7A12F857">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14:paraId="596D679A">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tcPr>
          <w:p w14:paraId="33D48FC6">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p>
        </w:tc>
      </w:tr>
      <w:tr w14:paraId="0DE5DB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86" w:type="dxa"/>
            <w:tcBorders>
              <w:top w:val="single" w:color="auto" w:sz="4" w:space="0"/>
              <w:left w:val="single" w:color="auto" w:sz="4" w:space="0"/>
              <w:bottom w:val="single" w:color="auto" w:sz="4" w:space="0"/>
              <w:right w:val="single" w:color="auto" w:sz="4" w:space="0"/>
            </w:tcBorders>
          </w:tcPr>
          <w:p w14:paraId="7829E255">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p>
        </w:tc>
        <w:tc>
          <w:tcPr>
            <w:tcW w:w="1296" w:type="dxa"/>
            <w:tcBorders>
              <w:top w:val="single" w:color="auto" w:sz="4" w:space="0"/>
              <w:left w:val="single" w:color="auto" w:sz="4" w:space="0"/>
              <w:bottom w:val="single" w:color="auto" w:sz="4" w:space="0"/>
              <w:right w:val="single" w:color="auto" w:sz="4" w:space="0"/>
            </w:tcBorders>
          </w:tcPr>
          <w:p w14:paraId="0D1EE448">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p>
        </w:tc>
        <w:tc>
          <w:tcPr>
            <w:tcW w:w="941" w:type="dxa"/>
            <w:tcBorders>
              <w:top w:val="single" w:color="auto" w:sz="4" w:space="0"/>
              <w:left w:val="single" w:color="auto" w:sz="4" w:space="0"/>
              <w:bottom w:val="single" w:color="auto" w:sz="4" w:space="0"/>
              <w:right w:val="single" w:color="auto" w:sz="4" w:space="0"/>
            </w:tcBorders>
          </w:tcPr>
          <w:p w14:paraId="51344A48">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p>
        </w:tc>
        <w:tc>
          <w:tcPr>
            <w:tcW w:w="968" w:type="dxa"/>
            <w:tcBorders>
              <w:top w:val="single" w:color="auto" w:sz="4" w:space="0"/>
              <w:left w:val="single" w:color="auto" w:sz="4" w:space="0"/>
              <w:bottom w:val="single" w:color="auto" w:sz="4" w:space="0"/>
              <w:right w:val="single" w:color="auto" w:sz="4" w:space="0"/>
            </w:tcBorders>
          </w:tcPr>
          <w:p w14:paraId="143F6C68">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tcPr>
          <w:p w14:paraId="7E90F711">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14:paraId="41AAD978">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tcPr>
          <w:p w14:paraId="67B115D9">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p>
        </w:tc>
      </w:tr>
      <w:tr w14:paraId="206489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86" w:type="dxa"/>
            <w:tcBorders>
              <w:top w:val="single" w:color="auto" w:sz="4" w:space="0"/>
              <w:left w:val="single" w:color="auto" w:sz="4" w:space="0"/>
              <w:bottom w:val="single" w:color="auto" w:sz="4" w:space="0"/>
              <w:right w:val="single" w:color="auto" w:sz="4" w:space="0"/>
            </w:tcBorders>
          </w:tcPr>
          <w:p w14:paraId="77B437C5">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p>
        </w:tc>
        <w:tc>
          <w:tcPr>
            <w:tcW w:w="1296" w:type="dxa"/>
            <w:tcBorders>
              <w:top w:val="single" w:color="auto" w:sz="4" w:space="0"/>
              <w:left w:val="single" w:color="auto" w:sz="4" w:space="0"/>
              <w:bottom w:val="single" w:color="auto" w:sz="4" w:space="0"/>
              <w:right w:val="single" w:color="auto" w:sz="4" w:space="0"/>
            </w:tcBorders>
          </w:tcPr>
          <w:p w14:paraId="1A32FDBB">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p>
        </w:tc>
        <w:tc>
          <w:tcPr>
            <w:tcW w:w="941" w:type="dxa"/>
            <w:tcBorders>
              <w:top w:val="single" w:color="auto" w:sz="4" w:space="0"/>
              <w:left w:val="single" w:color="auto" w:sz="4" w:space="0"/>
              <w:bottom w:val="single" w:color="auto" w:sz="4" w:space="0"/>
              <w:right w:val="single" w:color="auto" w:sz="4" w:space="0"/>
            </w:tcBorders>
          </w:tcPr>
          <w:p w14:paraId="09FD5C0D">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p>
        </w:tc>
        <w:tc>
          <w:tcPr>
            <w:tcW w:w="968" w:type="dxa"/>
            <w:tcBorders>
              <w:top w:val="single" w:color="auto" w:sz="4" w:space="0"/>
              <w:left w:val="single" w:color="auto" w:sz="4" w:space="0"/>
              <w:bottom w:val="single" w:color="auto" w:sz="4" w:space="0"/>
              <w:right w:val="single" w:color="auto" w:sz="4" w:space="0"/>
            </w:tcBorders>
          </w:tcPr>
          <w:p w14:paraId="34128C92">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tcPr>
          <w:p w14:paraId="10368046">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14:paraId="6DF691BB">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tcPr>
          <w:p w14:paraId="4FE125E1">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p>
        </w:tc>
      </w:tr>
    </w:tbl>
    <w:p w14:paraId="22CF0715">
      <w:pPr>
        <w:pStyle w:val="16"/>
        <w:snapToGrid w:val="0"/>
        <w:spacing w:before="0" w:after="0" w:line="360" w:lineRule="auto"/>
        <w:ind w:right="42" w:rightChars="20" w:firstLine="420" w:firstLineChars="200"/>
        <w:jc w:val="left"/>
        <w:rPr>
          <w:rFonts w:asciiTheme="minorEastAsia" w:hAnsiTheme="minorEastAsia" w:eastAsiaTheme="minorEastAsia"/>
          <w:color w:val="auto"/>
          <w:sz w:val="21"/>
          <w:szCs w:val="21"/>
          <w:highlight w:val="none"/>
        </w:rPr>
      </w:pPr>
    </w:p>
    <w:p w14:paraId="353B3F50">
      <w:pPr>
        <w:rPr>
          <w:rFonts w:asciiTheme="minorEastAsia" w:hAnsiTheme="minorEastAsia" w:eastAsiaTheme="minorEastAsia"/>
          <w:color w:val="auto"/>
          <w:szCs w:val="21"/>
          <w:highlight w:val="none"/>
        </w:rPr>
      </w:pPr>
    </w:p>
    <w:p w14:paraId="2981D4B3">
      <w:pPr>
        <w:pStyle w:val="14"/>
        <w:rPr>
          <w:rFonts w:asciiTheme="minorEastAsia" w:hAnsiTheme="minorEastAsia" w:eastAsiaTheme="minorEastAsia"/>
          <w:color w:val="auto"/>
          <w:szCs w:val="21"/>
          <w:highlight w:val="none"/>
        </w:rPr>
      </w:pPr>
    </w:p>
    <w:p w14:paraId="5F6812D1">
      <w:pPr>
        <w:pStyle w:val="15"/>
        <w:rPr>
          <w:rFonts w:asciiTheme="minorEastAsia" w:hAnsiTheme="minorEastAsia" w:eastAsiaTheme="minorEastAsia"/>
          <w:color w:val="auto"/>
          <w:sz w:val="21"/>
          <w:szCs w:val="21"/>
          <w:highlight w:val="none"/>
        </w:rPr>
      </w:pPr>
    </w:p>
    <w:p w14:paraId="52F1ABB3">
      <w:pPr>
        <w:pStyle w:val="14"/>
        <w:rPr>
          <w:rFonts w:asciiTheme="minorEastAsia" w:hAnsiTheme="minorEastAsia" w:eastAsiaTheme="minorEastAsia"/>
          <w:color w:val="auto"/>
          <w:szCs w:val="21"/>
          <w:highlight w:val="none"/>
        </w:rPr>
      </w:pPr>
    </w:p>
    <w:p w14:paraId="5B719A2B">
      <w:pPr>
        <w:pStyle w:val="14"/>
        <w:rPr>
          <w:rFonts w:asciiTheme="minorEastAsia" w:hAnsiTheme="minorEastAsia" w:eastAsiaTheme="minorEastAsia"/>
          <w:color w:val="auto"/>
          <w:szCs w:val="21"/>
          <w:highlight w:val="none"/>
        </w:rPr>
      </w:pPr>
    </w:p>
    <w:p w14:paraId="5C9C6D13">
      <w:pPr>
        <w:pStyle w:val="15"/>
        <w:rPr>
          <w:rFonts w:asciiTheme="minorEastAsia" w:hAnsiTheme="minorEastAsia" w:eastAsiaTheme="minorEastAsia"/>
          <w:color w:val="auto"/>
          <w:sz w:val="21"/>
          <w:szCs w:val="21"/>
          <w:highlight w:val="none"/>
        </w:rPr>
      </w:pPr>
    </w:p>
    <w:p w14:paraId="0C0F5D3C">
      <w:pPr>
        <w:pStyle w:val="14"/>
        <w:rPr>
          <w:rFonts w:asciiTheme="minorEastAsia" w:hAnsiTheme="minorEastAsia" w:eastAsiaTheme="minorEastAsia"/>
          <w:color w:val="auto"/>
          <w:szCs w:val="21"/>
          <w:highlight w:val="none"/>
        </w:rPr>
      </w:pPr>
    </w:p>
    <w:p w14:paraId="2A413CDA">
      <w:pPr>
        <w:pStyle w:val="15"/>
        <w:rPr>
          <w:rFonts w:asciiTheme="minorEastAsia" w:hAnsiTheme="minorEastAsia" w:eastAsiaTheme="minorEastAsia"/>
          <w:color w:val="auto"/>
          <w:sz w:val="21"/>
          <w:szCs w:val="21"/>
          <w:highlight w:val="none"/>
        </w:rPr>
      </w:pPr>
    </w:p>
    <w:p w14:paraId="77983462">
      <w:pPr>
        <w:pStyle w:val="14"/>
        <w:rPr>
          <w:rFonts w:asciiTheme="minorEastAsia" w:hAnsiTheme="minorEastAsia" w:eastAsiaTheme="minorEastAsia"/>
          <w:color w:val="auto"/>
          <w:szCs w:val="21"/>
          <w:highlight w:val="none"/>
        </w:rPr>
      </w:pPr>
    </w:p>
    <w:p w14:paraId="4F689F80">
      <w:pPr>
        <w:pStyle w:val="15"/>
        <w:rPr>
          <w:color w:val="auto"/>
          <w:highlight w:val="none"/>
        </w:rPr>
      </w:pPr>
    </w:p>
    <w:p w14:paraId="0E323CCE">
      <w:pPr>
        <w:pStyle w:val="168"/>
        <w:snapToGrid w:val="0"/>
        <w:spacing w:line="360" w:lineRule="auto"/>
        <w:ind w:right="42" w:rightChars="20" w:firstLine="420" w:firstLineChars="200"/>
        <w:jc w:val="lef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法定代表人或其授权代表签字（或盖章）</w:t>
      </w:r>
      <w:r>
        <w:rPr>
          <w:rFonts w:asciiTheme="minorEastAsia" w:hAnsiTheme="minorEastAsia" w:eastAsiaTheme="minorEastAsia"/>
          <w:color w:val="auto"/>
          <w:sz w:val="21"/>
          <w:szCs w:val="21"/>
          <w:highlight w:val="none"/>
        </w:rPr>
        <w:t>：</w:t>
      </w:r>
    </w:p>
    <w:p w14:paraId="0B419003">
      <w:pPr>
        <w:pStyle w:val="16"/>
        <w:snapToGrid w:val="0"/>
        <w:spacing w:before="0" w:after="0" w:line="360" w:lineRule="auto"/>
        <w:ind w:right="42" w:rightChars="20" w:firstLine="420" w:firstLineChars="200"/>
        <w:jc w:val="left"/>
        <w:rPr>
          <w:rFonts w:asciiTheme="minorEastAsia" w:hAnsiTheme="minorEastAsia" w:eastAsiaTheme="minorEastAsia"/>
          <w:color w:val="auto"/>
          <w:sz w:val="21"/>
          <w:szCs w:val="21"/>
          <w:highlight w:val="none"/>
          <w:u w:val="single"/>
        </w:rPr>
      </w:pPr>
    </w:p>
    <w:p w14:paraId="1DEAAE53">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w:t>
      </w:r>
      <w:r>
        <w:rPr>
          <w:rFonts w:hint="eastAsia" w:asciiTheme="minorEastAsia" w:hAnsiTheme="minorEastAsia" w:eastAsiaTheme="minorEastAsia"/>
          <w:color w:val="auto"/>
          <w:szCs w:val="21"/>
          <w:highlight w:val="none"/>
          <w:shd w:val="clear" w:color="auto" w:fill="FFFFFF"/>
        </w:rPr>
        <w:t>CA签章</w:t>
      </w:r>
      <w:r>
        <w:rPr>
          <w:rFonts w:hint="eastAsia" w:asciiTheme="minorEastAsia" w:hAnsiTheme="minorEastAsia" w:eastAsiaTheme="minorEastAsia"/>
          <w:color w:val="auto"/>
          <w:szCs w:val="21"/>
          <w:highlight w:val="none"/>
        </w:rPr>
        <w:t>）：年月日</w:t>
      </w:r>
    </w:p>
    <w:p w14:paraId="7244C50A">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p>
    <w:p w14:paraId="3239948E">
      <w:pPr>
        <w:snapToGrid w:val="0"/>
        <w:spacing w:line="360" w:lineRule="auto"/>
        <w:ind w:right="42" w:rightChars="20" w:firstLine="420" w:firstLineChars="200"/>
        <w:jc w:val="left"/>
        <w:rPr>
          <w:rFonts w:asciiTheme="minorEastAsia" w:hAnsiTheme="minorEastAsia" w:eastAsiaTheme="minorEastAsia"/>
          <w:color w:val="auto"/>
          <w:szCs w:val="21"/>
          <w:highlight w:val="none"/>
        </w:rPr>
        <w:sectPr>
          <w:pgSz w:w="11905" w:h="16838"/>
          <w:pgMar w:top="1440" w:right="1803" w:bottom="1440" w:left="1803" w:header="851" w:footer="992" w:gutter="0"/>
          <w:pgBorders>
            <w:top w:val="none" w:sz="0" w:space="0"/>
            <w:left w:val="none" w:sz="0" w:space="0"/>
            <w:bottom w:val="none" w:sz="0" w:space="0"/>
            <w:right w:val="none" w:sz="0" w:space="0"/>
          </w:pgBorders>
          <w:cols w:space="0" w:num="1"/>
          <w:docGrid w:type="lines" w:linePitch="319" w:charSpace="0"/>
        </w:sectPr>
      </w:pPr>
    </w:p>
    <w:p w14:paraId="1AF5321E">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商务响应表格式：</w:t>
      </w:r>
    </w:p>
    <w:tbl>
      <w:tblPr>
        <w:tblStyle w:val="52"/>
        <w:tblW w:w="8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76"/>
        <w:gridCol w:w="1891"/>
        <w:gridCol w:w="1653"/>
        <w:gridCol w:w="2645"/>
      </w:tblGrid>
      <w:tr w14:paraId="328C81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2376" w:type="dxa"/>
            <w:tcBorders>
              <w:top w:val="single" w:color="auto" w:sz="4" w:space="0"/>
              <w:left w:val="single" w:color="auto" w:sz="4" w:space="0"/>
              <w:bottom w:val="single" w:color="auto" w:sz="4" w:space="0"/>
              <w:right w:val="single" w:color="auto" w:sz="4" w:space="0"/>
            </w:tcBorders>
          </w:tcPr>
          <w:p w14:paraId="62BABAC8">
            <w:pPr>
              <w:snapToGrid w:val="0"/>
              <w:spacing w:line="360" w:lineRule="auto"/>
              <w:ind w:right="42" w:rightChars="2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项目</w:t>
            </w:r>
          </w:p>
        </w:tc>
        <w:tc>
          <w:tcPr>
            <w:tcW w:w="1891" w:type="dxa"/>
            <w:tcBorders>
              <w:top w:val="single" w:color="auto" w:sz="4" w:space="0"/>
              <w:left w:val="single" w:color="auto" w:sz="4" w:space="0"/>
              <w:bottom w:val="single" w:color="auto" w:sz="4" w:space="0"/>
              <w:right w:val="single" w:color="auto" w:sz="4" w:space="0"/>
            </w:tcBorders>
          </w:tcPr>
          <w:p w14:paraId="1A66CC58">
            <w:pPr>
              <w:snapToGrid w:val="0"/>
              <w:spacing w:line="360" w:lineRule="auto"/>
              <w:ind w:right="42" w:rightChars="2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招标文件要求</w:t>
            </w:r>
          </w:p>
        </w:tc>
        <w:tc>
          <w:tcPr>
            <w:tcW w:w="1653" w:type="dxa"/>
            <w:tcBorders>
              <w:top w:val="single" w:color="auto" w:sz="4" w:space="0"/>
              <w:left w:val="single" w:color="auto" w:sz="4" w:space="0"/>
              <w:bottom w:val="single" w:color="auto" w:sz="4" w:space="0"/>
              <w:right w:val="single" w:color="auto" w:sz="4" w:space="0"/>
            </w:tcBorders>
          </w:tcPr>
          <w:p w14:paraId="3D63D778">
            <w:pPr>
              <w:snapToGrid w:val="0"/>
              <w:spacing w:line="360" w:lineRule="auto"/>
              <w:ind w:right="42" w:rightChars="2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是否响应</w:t>
            </w:r>
          </w:p>
        </w:tc>
        <w:tc>
          <w:tcPr>
            <w:tcW w:w="2645" w:type="dxa"/>
            <w:tcBorders>
              <w:top w:val="single" w:color="auto" w:sz="4" w:space="0"/>
              <w:left w:val="single" w:color="auto" w:sz="4" w:space="0"/>
              <w:bottom w:val="single" w:color="auto" w:sz="4" w:space="0"/>
              <w:right w:val="single" w:color="auto" w:sz="4" w:space="0"/>
            </w:tcBorders>
          </w:tcPr>
          <w:p w14:paraId="66A9998B">
            <w:pPr>
              <w:snapToGrid w:val="0"/>
              <w:spacing w:line="360" w:lineRule="auto"/>
              <w:ind w:right="42" w:rightChars="2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投标人的承诺或说明</w:t>
            </w:r>
          </w:p>
        </w:tc>
      </w:tr>
      <w:tr w14:paraId="4457D8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376" w:type="dxa"/>
            <w:tcBorders>
              <w:top w:val="single" w:color="auto" w:sz="4" w:space="0"/>
              <w:left w:val="single" w:color="auto" w:sz="4" w:space="0"/>
              <w:bottom w:val="single" w:color="auto" w:sz="4" w:space="0"/>
              <w:right w:val="single" w:color="auto" w:sz="4" w:space="0"/>
            </w:tcBorders>
            <w:vAlign w:val="center"/>
          </w:tcPr>
          <w:p w14:paraId="72F83CC9">
            <w:pPr>
              <w:widowControl/>
              <w:overflowPunct w:val="0"/>
              <w:autoSpaceDE w:val="0"/>
              <w:autoSpaceDN w:val="0"/>
              <w:adjustRightInd w:val="0"/>
              <w:spacing w:line="360" w:lineRule="auto"/>
              <w:ind w:right="42" w:rightChars="20"/>
              <w:jc w:val="center"/>
              <w:textAlignment w:val="baseline"/>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w:t>
            </w:r>
          </w:p>
        </w:tc>
        <w:tc>
          <w:tcPr>
            <w:tcW w:w="1891" w:type="dxa"/>
            <w:tcBorders>
              <w:top w:val="single" w:color="auto" w:sz="4" w:space="0"/>
              <w:left w:val="single" w:color="auto" w:sz="4" w:space="0"/>
              <w:bottom w:val="single" w:color="auto" w:sz="4" w:space="0"/>
              <w:right w:val="single" w:color="auto" w:sz="4" w:space="0"/>
            </w:tcBorders>
          </w:tcPr>
          <w:p w14:paraId="00CBE0B8">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tcPr>
          <w:p w14:paraId="3424D4C3">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p>
        </w:tc>
        <w:tc>
          <w:tcPr>
            <w:tcW w:w="2645" w:type="dxa"/>
            <w:tcBorders>
              <w:top w:val="single" w:color="auto" w:sz="4" w:space="0"/>
              <w:left w:val="single" w:color="auto" w:sz="4" w:space="0"/>
              <w:bottom w:val="single" w:color="auto" w:sz="4" w:space="0"/>
              <w:right w:val="single" w:color="auto" w:sz="4" w:space="0"/>
            </w:tcBorders>
          </w:tcPr>
          <w:p w14:paraId="5E5F5D37">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p>
        </w:tc>
      </w:tr>
      <w:tr w14:paraId="72B19C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376" w:type="dxa"/>
            <w:tcBorders>
              <w:top w:val="single" w:color="auto" w:sz="4" w:space="0"/>
              <w:left w:val="single" w:color="auto" w:sz="4" w:space="0"/>
              <w:bottom w:val="single" w:color="auto" w:sz="4" w:space="0"/>
              <w:right w:val="single" w:color="auto" w:sz="4" w:space="0"/>
            </w:tcBorders>
            <w:vAlign w:val="center"/>
          </w:tcPr>
          <w:p w14:paraId="050EB205">
            <w:pPr>
              <w:widowControl/>
              <w:overflowPunct w:val="0"/>
              <w:autoSpaceDE w:val="0"/>
              <w:autoSpaceDN w:val="0"/>
              <w:adjustRightInd w:val="0"/>
              <w:spacing w:line="360" w:lineRule="auto"/>
              <w:ind w:right="42" w:rightChars="20"/>
              <w:jc w:val="center"/>
              <w:textAlignment w:val="baseline"/>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w:t>
            </w:r>
          </w:p>
        </w:tc>
        <w:tc>
          <w:tcPr>
            <w:tcW w:w="1891" w:type="dxa"/>
            <w:tcBorders>
              <w:top w:val="single" w:color="auto" w:sz="4" w:space="0"/>
              <w:left w:val="single" w:color="auto" w:sz="4" w:space="0"/>
              <w:bottom w:val="single" w:color="auto" w:sz="4" w:space="0"/>
              <w:right w:val="single" w:color="auto" w:sz="4" w:space="0"/>
            </w:tcBorders>
          </w:tcPr>
          <w:p w14:paraId="5D90B2D8">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tcPr>
          <w:p w14:paraId="043DBFCF">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p>
        </w:tc>
        <w:tc>
          <w:tcPr>
            <w:tcW w:w="2645" w:type="dxa"/>
            <w:tcBorders>
              <w:top w:val="single" w:color="auto" w:sz="4" w:space="0"/>
              <w:left w:val="single" w:color="auto" w:sz="4" w:space="0"/>
              <w:bottom w:val="single" w:color="auto" w:sz="4" w:space="0"/>
              <w:right w:val="single" w:color="auto" w:sz="4" w:space="0"/>
            </w:tcBorders>
          </w:tcPr>
          <w:p w14:paraId="3D433CEA">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p>
        </w:tc>
      </w:tr>
      <w:tr w14:paraId="6DBE64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376" w:type="dxa"/>
            <w:tcBorders>
              <w:top w:val="single" w:color="auto" w:sz="4" w:space="0"/>
              <w:left w:val="single" w:color="auto" w:sz="4" w:space="0"/>
              <w:bottom w:val="single" w:color="auto" w:sz="4" w:space="0"/>
              <w:right w:val="single" w:color="auto" w:sz="4" w:space="0"/>
            </w:tcBorders>
            <w:vAlign w:val="center"/>
          </w:tcPr>
          <w:p w14:paraId="1F8E2871">
            <w:pPr>
              <w:widowControl/>
              <w:overflowPunct w:val="0"/>
              <w:autoSpaceDE w:val="0"/>
              <w:autoSpaceDN w:val="0"/>
              <w:adjustRightInd w:val="0"/>
              <w:spacing w:line="360" w:lineRule="auto"/>
              <w:ind w:right="42" w:rightChars="20"/>
              <w:jc w:val="center"/>
              <w:textAlignment w:val="baseline"/>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w:t>
            </w:r>
          </w:p>
        </w:tc>
        <w:tc>
          <w:tcPr>
            <w:tcW w:w="1891" w:type="dxa"/>
            <w:tcBorders>
              <w:top w:val="single" w:color="auto" w:sz="4" w:space="0"/>
              <w:left w:val="single" w:color="auto" w:sz="4" w:space="0"/>
              <w:bottom w:val="single" w:color="auto" w:sz="4" w:space="0"/>
              <w:right w:val="single" w:color="auto" w:sz="4" w:space="0"/>
            </w:tcBorders>
          </w:tcPr>
          <w:p w14:paraId="7BFC39CA">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tcPr>
          <w:p w14:paraId="3668685C">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p>
        </w:tc>
        <w:tc>
          <w:tcPr>
            <w:tcW w:w="2645" w:type="dxa"/>
            <w:tcBorders>
              <w:top w:val="single" w:color="auto" w:sz="4" w:space="0"/>
              <w:left w:val="single" w:color="auto" w:sz="4" w:space="0"/>
              <w:bottom w:val="single" w:color="auto" w:sz="4" w:space="0"/>
              <w:right w:val="single" w:color="auto" w:sz="4" w:space="0"/>
            </w:tcBorders>
          </w:tcPr>
          <w:p w14:paraId="64737A8E">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p>
        </w:tc>
      </w:tr>
      <w:tr w14:paraId="15E040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76" w:type="dxa"/>
            <w:tcBorders>
              <w:top w:val="single" w:color="auto" w:sz="4" w:space="0"/>
              <w:left w:val="single" w:color="auto" w:sz="4" w:space="0"/>
              <w:bottom w:val="single" w:color="auto" w:sz="4" w:space="0"/>
              <w:right w:val="single" w:color="auto" w:sz="4" w:space="0"/>
            </w:tcBorders>
            <w:vAlign w:val="center"/>
          </w:tcPr>
          <w:p w14:paraId="5982E1D8">
            <w:pPr>
              <w:snapToGrid w:val="0"/>
              <w:spacing w:line="360" w:lineRule="auto"/>
              <w:ind w:right="42" w:rightChars="2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w:t>
            </w:r>
          </w:p>
        </w:tc>
        <w:tc>
          <w:tcPr>
            <w:tcW w:w="1891" w:type="dxa"/>
            <w:tcBorders>
              <w:top w:val="single" w:color="auto" w:sz="4" w:space="0"/>
              <w:left w:val="single" w:color="auto" w:sz="4" w:space="0"/>
              <w:bottom w:val="single" w:color="auto" w:sz="4" w:space="0"/>
              <w:right w:val="single" w:color="auto" w:sz="4" w:space="0"/>
            </w:tcBorders>
          </w:tcPr>
          <w:p w14:paraId="43B144F9">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tcPr>
          <w:p w14:paraId="521D2812">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p>
        </w:tc>
        <w:tc>
          <w:tcPr>
            <w:tcW w:w="2645" w:type="dxa"/>
            <w:tcBorders>
              <w:top w:val="single" w:color="auto" w:sz="4" w:space="0"/>
              <w:left w:val="single" w:color="auto" w:sz="4" w:space="0"/>
              <w:bottom w:val="single" w:color="auto" w:sz="4" w:space="0"/>
              <w:right w:val="single" w:color="auto" w:sz="4" w:space="0"/>
            </w:tcBorders>
          </w:tcPr>
          <w:p w14:paraId="4AF4F8CB">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p>
        </w:tc>
      </w:tr>
    </w:tbl>
    <w:p w14:paraId="5AC1D678">
      <w:pPr>
        <w:pStyle w:val="29"/>
        <w:spacing w:line="360" w:lineRule="auto"/>
        <w:ind w:right="42" w:rightChars="20" w:firstLine="420" w:firstLineChars="200"/>
        <w:jc w:val="left"/>
        <w:rPr>
          <w:rFonts w:asciiTheme="minorEastAsia" w:hAnsiTheme="minorEastAsia" w:eastAsiaTheme="minorEastAsia"/>
          <w:color w:val="auto"/>
          <w:szCs w:val="21"/>
          <w:highlight w:val="none"/>
        </w:rPr>
      </w:pPr>
    </w:p>
    <w:p w14:paraId="0293EF4C">
      <w:pPr>
        <w:pStyle w:val="29"/>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注：本表不允许负偏离；</w:t>
      </w:r>
    </w:p>
    <w:p w14:paraId="021B08B9">
      <w:pPr>
        <w:pStyle w:val="29"/>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▲不提供本表视为完全响应招标文件要求。</w:t>
      </w:r>
    </w:p>
    <w:p w14:paraId="79A1123A">
      <w:pPr>
        <w:pStyle w:val="168"/>
        <w:snapToGrid w:val="0"/>
        <w:spacing w:line="360" w:lineRule="auto"/>
        <w:ind w:right="42" w:rightChars="20" w:firstLine="420" w:firstLineChars="200"/>
        <w:jc w:val="lef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法定代表人或其授权代表签字（或盖章）</w:t>
      </w:r>
      <w:r>
        <w:rPr>
          <w:rFonts w:asciiTheme="minorEastAsia" w:hAnsiTheme="minorEastAsia" w:eastAsiaTheme="minorEastAsia"/>
          <w:color w:val="auto"/>
          <w:sz w:val="21"/>
          <w:szCs w:val="21"/>
          <w:highlight w:val="none"/>
        </w:rPr>
        <w:t>：</w:t>
      </w:r>
    </w:p>
    <w:p w14:paraId="490B265D">
      <w:pPr>
        <w:pStyle w:val="29"/>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w:t>
      </w:r>
      <w:r>
        <w:rPr>
          <w:rFonts w:hint="eastAsia" w:asciiTheme="minorEastAsia" w:hAnsiTheme="minorEastAsia" w:eastAsiaTheme="minorEastAsia"/>
          <w:color w:val="auto"/>
          <w:szCs w:val="21"/>
          <w:highlight w:val="none"/>
          <w:shd w:val="clear" w:color="auto" w:fill="FFFFFF"/>
        </w:rPr>
        <w:t>CA签章</w:t>
      </w:r>
      <w:r>
        <w:rPr>
          <w:rFonts w:hint="eastAsia" w:asciiTheme="minorEastAsia" w:hAnsiTheme="minorEastAsia" w:eastAsiaTheme="minorEastAsia"/>
          <w:color w:val="auto"/>
          <w:szCs w:val="21"/>
          <w:highlight w:val="none"/>
        </w:rPr>
        <w:t>）</w:t>
      </w:r>
    </w:p>
    <w:p w14:paraId="310C08F1">
      <w:pPr>
        <w:pStyle w:val="29"/>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日期：年月  日</w:t>
      </w:r>
    </w:p>
    <w:p w14:paraId="79D9FC30">
      <w:pPr>
        <w:snapToGrid w:val="0"/>
        <w:spacing w:before="50" w:after="159" w:afterLines="50" w:line="360" w:lineRule="auto"/>
        <w:ind w:right="42" w:rightChars="2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技术响应表格式</w:t>
      </w:r>
    </w:p>
    <w:tbl>
      <w:tblPr>
        <w:tblStyle w:val="52"/>
        <w:tblW w:w="89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77"/>
        <w:gridCol w:w="2475"/>
        <w:gridCol w:w="1583"/>
        <w:gridCol w:w="1849"/>
        <w:gridCol w:w="1456"/>
      </w:tblGrid>
      <w:tr w14:paraId="0AE73E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6" w:hRule="atLeast"/>
          <w:jc w:val="center"/>
        </w:trPr>
        <w:tc>
          <w:tcPr>
            <w:tcW w:w="4052" w:type="dxa"/>
            <w:gridSpan w:val="2"/>
            <w:tcBorders>
              <w:top w:val="single" w:color="auto" w:sz="4" w:space="0"/>
              <w:left w:val="single" w:color="auto" w:sz="4" w:space="0"/>
              <w:bottom w:val="single" w:color="auto" w:sz="4" w:space="0"/>
              <w:right w:val="single" w:color="auto" w:sz="4" w:space="0"/>
            </w:tcBorders>
          </w:tcPr>
          <w:p w14:paraId="00DE73F7">
            <w:pPr>
              <w:snapToGrid w:val="0"/>
              <w:spacing w:line="360" w:lineRule="auto"/>
              <w:ind w:right="42" w:rightChars="20"/>
              <w:jc w:val="center"/>
              <w:outlineLvl w:val="0"/>
              <w:rPr>
                <w:rFonts w:asciiTheme="minorEastAsia" w:hAnsiTheme="minorEastAsia" w:eastAsiaTheme="minorEastAsia"/>
                <w:color w:val="auto"/>
                <w:szCs w:val="21"/>
                <w:highlight w:val="none"/>
              </w:rPr>
            </w:pPr>
            <w:bookmarkStart w:id="311" w:name="_Toc381081903"/>
            <w:bookmarkStart w:id="312" w:name="_Toc406402957"/>
            <w:bookmarkStart w:id="313" w:name="_Toc377028057"/>
            <w:bookmarkStart w:id="314" w:name="_Toc377653976"/>
            <w:bookmarkStart w:id="315" w:name="_Toc382928118"/>
            <w:bookmarkStart w:id="316" w:name="_Toc401570290"/>
            <w:bookmarkStart w:id="317" w:name="_Toc402963095"/>
            <w:bookmarkStart w:id="318" w:name="_Toc402963128"/>
            <w:bookmarkStart w:id="319" w:name="_Toc62745298"/>
            <w:bookmarkStart w:id="320" w:name="_Toc382928236"/>
            <w:bookmarkStart w:id="321" w:name="_Toc406403001"/>
            <w:bookmarkStart w:id="322" w:name="_Toc385854156"/>
            <w:bookmarkStart w:id="323" w:name="_Toc377028119"/>
            <w:bookmarkStart w:id="324" w:name="_Toc385854110"/>
            <w:bookmarkStart w:id="325" w:name="_Toc401570314"/>
            <w:r>
              <w:rPr>
                <w:rFonts w:hint="eastAsia" w:asciiTheme="minorEastAsia" w:hAnsiTheme="minorEastAsia" w:eastAsiaTheme="minorEastAsia"/>
                <w:color w:val="auto"/>
                <w:szCs w:val="21"/>
                <w:highlight w:val="none"/>
              </w:rPr>
              <w:t>招标文件要求</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tc>
        <w:tc>
          <w:tcPr>
            <w:tcW w:w="3432" w:type="dxa"/>
            <w:gridSpan w:val="2"/>
            <w:tcBorders>
              <w:top w:val="single" w:color="auto" w:sz="4" w:space="0"/>
              <w:left w:val="single" w:color="auto" w:sz="4" w:space="0"/>
              <w:bottom w:val="single" w:color="auto" w:sz="4" w:space="0"/>
              <w:right w:val="single" w:color="auto" w:sz="4" w:space="0"/>
            </w:tcBorders>
          </w:tcPr>
          <w:p w14:paraId="6E82330E">
            <w:pPr>
              <w:snapToGrid w:val="0"/>
              <w:spacing w:line="360" w:lineRule="auto"/>
              <w:ind w:right="42" w:rightChars="20"/>
              <w:jc w:val="center"/>
              <w:outlineLvl w:val="0"/>
              <w:rPr>
                <w:rFonts w:asciiTheme="minorEastAsia" w:hAnsiTheme="minorEastAsia" w:eastAsiaTheme="minorEastAsia"/>
                <w:color w:val="auto"/>
                <w:szCs w:val="21"/>
                <w:highlight w:val="none"/>
              </w:rPr>
            </w:pPr>
            <w:bookmarkStart w:id="326" w:name="_Toc385854111"/>
            <w:bookmarkStart w:id="327" w:name="_Toc377028120"/>
            <w:bookmarkStart w:id="328" w:name="_Toc385854157"/>
            <w:bookmarkStart w:id="329" w:name="_Toc406402958"/>
            <w:bookmarkStart w:id="330" w:name="_Toc406403002"/>
            <w:bookmarkStart w:id="331" w:name="_Toc382928119"/>
            <w:bookmarkStart w:id="332" w:name="_Toc377653977"/>
            <w:bookmarkStart w:id="333" w:name="_Toc402963129"/>
            <w:bookmarkStart w:id="334" w:name="_Toc377028058"/>
            <w:bookmarkStart w:id="335" w:name="_Toc402963096"/>
            <w:bookmarkStart w:id="336" w:name="_Toc62745299"/>
            <w:bookmarkStart w:id="337" w:name="_Toc381081904"/>
            <w:bookmarkStart w:id="338" w:name="_Toc401570291"/>
            <w:bookmarkStart w:id="339" w:name="_Toc401570315"/>
            <w:bookmarkStart w:id="340" w:name="_Toc382928237"/>
            <w:r>
              <w:rPr>
                <w:rFonts w:hint="eastAsia" w:asciiTheme="minorEastAsia" w:hAnsiTheme="minorEastAsia" w:eastAsiaTheme="minorEastAsia"/>
                <w:color w:val="auto"/>
                <w:szCs w:val="21"/>
                <w:highlight w:val="none"/>
              </w:rPr>
              <w:t>投标文件响应</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tc>
        <w:tc>
          <w:tcPr>
            <w:tcW w:w="1456" w:type="dxa"/>
            <w:vMerge w:val="restart"/>
            <w:tcBorders>
              <w:top w:val="single" w:color="auto" w:sz="4" w:space="0"/>
              <w:left w:val="single" w:color="auto" w:sz="4" w:space="0"/>
              <w:bottom w:val="single" w:color="auto" w:sz="4" w:space="0"/>
              <w:right w:val="single" w:color="auto" w:sz="4" w:space="0"/>
            </w:tcBorders>
            <w:vAlign w:val="center"/>
          </w:tcPr>
          <w:p w14:paraId="6109BB13">
            <w:pPr>
              <w:snapToGrid w:val="0"/>
              <w:spacing w:line="360" w:lineRule="auto"/>
              <w:ind w:right="42" w:rightChars="20"/>
              <w:jc w:val="center"/>
              <w:outlineLvl w:val="0"/>
              <w:rPr>
                <w:rFonts w:asciiTheme="minorEastAsia" w:hAnsiTheme="minorEastAsia" w:eastAsiaTheme="minorEastAsia"/>
                <w:color w:val="auto"/>
                <w:szCs w:val="21"/>
                <w:highlight w:val="none"/>
              </w:rPr>
            </w:pPr>
            <w:bookmarkStart w:id="341" w:name="_Toc385854158"/>
            <w:bookmarkStart w:id="342" w:name="_Toc62745300"/>
            <w:bookmarkStart w:id="343" w:name="_Toc406403003"/>
            <w:bookmarkStart w:id="344" w:name="_Toc377028121"/>
            <w:bookmarkStart w:id="345" w:name="_Toc401570292"/>
            <w:bookmarkStart w:id="346" w:name="_Toc382928120"/>
            <w:bookmarkStart w:id="347" w:name="_Toc377653978"/>
            <w:bookmarkStart w:id="348" w:name="_Toc402963097"/>
            <w:bookmarkStart w:id="349" w:name="_Toc401570316"/>
            <w:bookmarkStart w:id="350" w:name="_Toc377028059"/>
            <w:bookmarkStart w:id="351" w:name="_Toc382928238"/>
            <w:bookmarkStart w:id="352" w:name="_Toc406402959"/>
            <w:bookmarkStart w:id="353" w:name="_Toc385854112"/>
            <w:bookmarkStart w:id="354" w:name="_Toc381081905"/>
            <w:bookmarkStart w:id="355" w:name="_Toc402963130"/>
            <w:r>
              <w:rPr>
                <w:rFonts w:hint="eastAsia" w:asciiTheme="minorEastAsia" w:hAnsiTheme="minorEastAsia" w:eastAsiaTheme="minorEastAsia"/>
                <w:color w:val="auto"/>
                <w:szCs w:val="21"/>
                <w:highlight w:val="none"/>
              </w:rPr>
              <w:t>偏离情况</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tc>
      </w:tr>
      <w:tr w14:paraId="5BF12C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1577" w:type="dxa"/>
            <w:tcBorders>
              <w:top w:val="single" w:color="auto" w:sz="4" w:space="0"/>
              <w:left w:val="single" w:color="auto" w:sz="4" w:space="0"/>
              <w:bottom w:val="single" w:color="auto" w:sz="4" w:space="0"/>
              <w:right w:val="single" w:color="auto" w:sz="4" w:space="0"/>
            </w:tcBorders>
          </w:tcPr>
          <w:p w14:paraId="7EAC5BF4">
            <w:pPr>
              <w:snapToGrid w:val="0"/>
              <w:spacing w:line="360" w:lineRule="auto"/>
              <w:ind w:right="42" w:rightChars="20"/>
              <w:jc w:val="center"/>
              <w:outlineLvl w:val="0"/>
              <w:rPr>
                <w:rFonts w:asciiTheme="minorEastAsia" w:hAnsiTheme="minorEastAsia" w:eastAsiaTheme="minorEastAsia"/>
                <w:color w:val="auto"/>
                <w:szCs w:val="21"/>
                <w:highlight w:val="none"/>
              </w:rPr>
            </w:pPr>
            <w:bookmarkStart w:id="356" w:name="_Toc382928121"/>
            <w:bookmarkStart w:id="357" w:name="_Toc381081906"/>
            <w:bookmarkStart w:id="358" w:name="_Toc377653979"/>
            <w:bookmarkStart w:id="359" w:name="_Toc377028122"/>
            <w:bookmarkStart w:id="360" w:name="_Toc401570293"/>
            <w:bookmarkStart w:id="361" w:name="_Toc406403004"/>
            <w:bookmarkStart w:id="362" w:name="_Toc406402960"/>
            <w:bookmarkStart w:id="363" w:name="_Toc402963131"/>
            <w:bookmarkStart w:id="364" w:name="_Toc377028060"/>
            <w:bookmarkStart w:id="365" w:name="_Toc402963098"/>
            <w:bookmarkStart w:id="366" w:name="_Toc382928239"/>
            <w:bookmarkStart w:id="367" w:name="_Toc385854159"/>
            <w:bookmarkStart w:id="368" w:name="_Toc401570317"/>
            <w:bookmarkStart w:id="369" w:name="_Toc385854113"/>
            <w:bookmarkStart w:id="370" w:name="_Toc62745301"/>
            <w:r>
              <w:rPr>
                <w:rFonts w:hint="eastAsia" w:asciiTheme="minorEastAsia" w:hAnsiTheme="minorEastAsia" w:eastAsiaTheme="minorEastAsia"/>
                <w:color w:val="auto"/>
                <w:szCs w:val="21"/>
                <w:highlight w:val="none"/>
              </w:rPr>
              <w:t>项目</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tc>
        <w:tc>
          <w:tcPr>
            <w:tcW w:w="2475" w:type="dxa"/>
            <w:tcBorders>
              <w:top w:val="single" w:color="auto" w:sz="4" w:space="0"/>
              <w:left w:val="single" w:color="auto" w:sz="4" w:space="0"/>
              <w:bottom w:val="single" w:color="auto" w:sz="4" w:space="0"/>
              <w:right w:val="single" w:color="auto" w:sz="4" w:space="0"/>
            </w:tcBorders>
          </w:tcPr>
          <w:p w14:paraId="0F821D89">
            <w:pPr>
              <w:snapToGrid w:val="0"/>
              <w:spacing w:line="360" w:lineRule="auto"/>
              <w:ind w:right="42" w:rightChars="20"/>
              <w:jc w:val="center"/>
              <w:outlineLvl w:val="0"/>
              <w:rPr>
                <w:rFonts w:asciiTheme="minorEastAsia" w:hAnsiTheme="minorEastAsia" w:eastAsiaTheme="minorEastAsia"/>
                <w:color w:val="auto"/>
                <w:szCs w:val="21"/>
                <w:highlight w:val="none"/>
              </w:rPr>
            </w:pPr>
            <w:bookmarkStart w:id="371" w:name="_Toc377028123"/>
            <w:bookmarkStart w:id="372" w:name="_Toc401570318"/>
            <w:bookmarkStart w:id="373" w:name="_Toc382928240"/>
            <w:bookmarkStart w:id="374" w:name="_Toc62745302"/>
            <w:bookmarkStart w:id="375" w:name="_Toc385854160"/>
            <w:bookmarkStart w:id="376" w:name="_Toc406403005"/>
            <w:bookmarkStart w:id="377" w:name="_Toc377653980"/>
            <w:bookmarkStart w:id="378" w:name="_Toc382928122"/>
            <w:bookmarkStart w:id="379" w:name="_Toc385854114"/>
            <w:bookmarkStart w:id="380" w:name="_Toc406402961"/>
            <w:bookmarkStart w:id="381" w:name="_Toc402963099"/>
            <w:bookmarkStart w:id="382" w:name="_Toc381081907"/>
            <w:bookmarkStart w:id="383" w:name="_Toc401570294"/>
            <w:bookmarkStart w:id="384" w:name="_Toc377028061"/>
            <w:bookmarkStart w:id="385" w:name="_Toc402963132"/>
            <w:r>
              <w:rPr>
                <w:rFonts w:hint="eastAsia" w:asciiTheme="minorEastAsia" w:hAnsiTheme="minorEastAsia" w:eastAsiaTheme="minorEastAsia"/>
                <w:color w:val="auto"/>
                <w:szCs w:val="21"/>
                <w:highlight w:val="none"/>
              </w:rPr>
              <w:t>要求</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tc>
        <w:tc>
          <w:tcPr>
            <w:tcW w:w="1583" w:type="dxa"/>
            <w:tcBorders>
              <w:top w:val="single" w:color="auto" w:sz="4" w:space="0"/>
              <w:left w:val="single" w:color="auto" w:sz="4" w:space="0"/>
              <w:bottom w:val="single" w:color="auto" w:sz="4" w:space="0"/>
              <w:right w:val="single" w:color="auto" w:sz="4" w:space="0"/>
            </w:tcBorders>
          </w:tcPr>
          <w:p w14:paraId="436BBF64">
            <w:pPr>
              <w:snapToGrid w:val="0"/>
              <w:spacing w:line="360" w:lineRule="auto"/>
              <w:ind w:right="42" w:rightChars="20"/>
              <w:jc w:val="center"/>
              <w:outlineLvl w:val="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项目</w:t>
            </w:r>
          </w:p>
        </w:tc>
        <w:tc>
          <w:tcPr>
            <w:tcW w:w="1849" w:type="dxa"/>
            <w:tcBorders>
              <w:top w:val="single" w:color="auto" w:sz="4" w:space="0"/>
              <w:left w:val="single" w:color="auto" w:sz="4" w:space="0"/>
              <w:bottom w:val="single" w:color="auto" w:sz="4" w:space="0"/>
              <w:right w:val="single" w:color="auto" w:sz="4" w:space="0"/>
            </w:tcBorders>
          </w:tcPr>
          <w:p w14:paraId="6867AD7C">
            <w:pPr>
              <w:snapToGrid w:val="0"/>
              <w:spacing w:line="360" w:lineRule="auto"/>
              <w:ind w:right="42" w:rightChars="20"/>
              <w:jc w:val="center"/>
              <w:outlineLvl w:val="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响应情况</w:t>
            </w:r>
          </w:p>
        </w:tc>
        <w:tc>
          <w:tcPr>
            <w:tcW w:w="1456" w:type="dxa"/>
            <w:vMerge w:val="continue"/>
            <w:tcBorders>
              <w:top w:val="single" w:color="auto" w:sz="4" w:space="0"/>
              <w:left w:val="single" w:color="auto" w:sz="4" w:space="0"/>
              <w:bottom w:val="single" w:color="auto" w:sz="4" w:space="0"/>
              <w:right w:val="single" w:color="auto" w:sz="4" w:space="0"/>
            </w:tcBorders>
            <w:vAlign w:val="center"/>
          </w:tcPr>
          <w:p w14:paraId="442144CB">
            <w:pPr>
              <w:widowControl/>
              <w:spacing w:line="360" w:lineRule="auto"/>
              <w:ind w:right="42" w:rightChars="20"/>
              <w:jc w:val="left"/>
              <w:rPr>
                <w:rFonts w:asciiTheme="minorEastAsia" w:hAnsiTheme="minorEastAsia" w:eastAsiaTheme="minorEastAsia"/>
                <w:color w:val="auto"/>
                <w:szCs w:val="21"/>
                <w:highlight w:val="none"/>
              </w:rPr>
            </w:pPr>
          </w:p>
        </w:tc>
      </w:tr>
      <w:tr w14:paraId="73F9F6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1" w:hRule="atLeast"/>
          <w:jc w:val="center"/>
        </w:trPr>
        <w:tc>
          <w:tcPr>
            <w:tcW w:w="1577" w:type="dxa"/>
            <w:tcBorders>
              <w:top w:val="single" w:color="auto" w:sz="4" w:space="0"/>
              <w:left w:val="single" w:color="auto" w:sz="4" w:space="0"/>
              <w:bottom w:val="single" w:color="auto" w:sz="4" w:space="0"/>
              <w:right w:val="single" w:color="auto" w:sz="4" w:space="0"/>
            </w:tcBorders>
            <w:vAlign w:val="center"/>
          </w:tcPr>
          <w:p w14:paraId="39D9BEC6">
            <w:pPr>
              <w:snapToGrid w:val="0"/>
              <w:spacing w:before="159" w:beforeLines="50" w:after="159" w:afterLines="50" w:line="360" w:lineRule="auto"/>
              <w:ind w:right="42" w:rightChars="20"/>
              <w:outlineLvl w:val="0"/>
              <w:rPr>
                <w:rFonts w:asciiTheme="minorEastAsia" w:hAnsiTheme="minorEastAsia" w:eastAsiaTheme="minorEastAsia"/>
                <w:color w:val="auto"/>
                <w:szCs w:val="21"/>
                <w:highlight w:val="none"/>
              </w:rPr>
            </w:pPr>
          </w:p>
        </w:tc>
        <w:tc>
          <w:tcPr>
            <w:tcW w:w="2475" w:type="dxa"/>
            <w:tcBorders>
              <w:top w:val="single" w:color="auto" w:sz="4" w:space="0"/>
              <w:left w:val="single" w:color="auto" w:sz="4" w:space="0"/>
              <w:bottom w:val="single" w:color="auto" w:sz="4" w:space="0"/>
              <w:right w:val="single" w:color="auto" w:sz="4" w:space="0"/>
            </w:tcBorders>
            <w:vAlign w:val="center"/>
          </w:tcPr>
          <w:p w14:paraId="157B9CE9">
            <w:pPr>
              <w:snapToGrid w:val="0"/>
              <w:spacing w:line="360" w:lineRule="auto"/>
              <w:ind w:right="42" w:rightChars="20"/>
              <w:outlineLvl w:val="0"/>
              <w:rPr>
                <w:rFonts w:asciiTheme="minorEastAsia" w:hAnsiTheme="minorEastAsia" w:eastAsiaTheme="minorEastAsia"/>
                <w:color w:val="auto"/>
                <w:szCs w:val="21"/>
                <w:highlight w:val="none"/>
              </w:rPr>
            </w:pPr>
          </w:p>
        </w:tc>
        <w:tc>
          <w:tcPr>
            <w:tcW w:w="1583" w:type="dxa"/>
            <w:tcBorders>
              <w:top w:val="single" w:color="auto" w:sz="4" w:space="0"/>
              <w:left w:val="single" w:color="auto" w:sz="4" w:space="0"/>
              <w:bottom w:val="single" w:color="auto" w:sz="4" w:space="0"/>
              <w:right w:val="single" w:color="auto" w:sz="4" w:space="0"/>
            </w:tcBorders>
          </w:tcPr>
          <w:p w14:paraId="01E45542">
            <w:pPr>
              <w:snapToGrid w:val="0"/>
              <w:spacing w:line="360" w:lineRule="auto"/>
              <w:ind w:right="42" w:rightChars="20"/>
              <w:outlineLvl w:val="0"/>
              <w:rPr>
                <w:rFonts w:asciiTheme="minorEastAsia" w:hAnsiTheme="minorEastAsia" w:eastAsiaTheme="minorEastAsia"/>
                <w:color w:val="auto"/>
                <w:szCs w:val="21"/>
                <w:highlight w:val="none"/>
              </w:rPr>
            </w:pPr>
          </w:p>
        </w:tc>
        <w:tc>
          <w:tcPr>
            <w:tcW w:w="1849" w:type="dxa"/>
            <w:tcBorders>
              <w:top w:val="single" w:color="auto" w:sz="4" w:space="0"/>
              <w:left w:val="single" w:color="auto" w:sz="4" w:space="0"/>
              <w:bottom w:val="single" w:color="auto" w:sz="4" w:space="0"/>
              <w:right w:val="single" w:color="auto" w:sz="4" w:space="0"/>
            </w:tcBorders>
          </w:tcPr>
          <w:p w14:paraId="39675973">
            <w:pPr>
              <w:snapToGrid w:val="0"/>
              <w:spacing w:line="360" w:lineRule="auto"/>
              <w:ind w:right="42" w:rightChars="20"/>
              <w:outlineLvl w:val="0"/>
              <w:rPr>
                <w:rFonts w:asciiTheme="minorEastAsia" w:hAnsiTheme="minorEastAsia" w:eastAsiaTheme="minorEastAsia"/>
                <w:color w:val="auto"/>
                <w:szCs w:val="21"/>
                <w:highlight w:val="none"/>
              </w:rPr>
            </w:pPr>
          </w:p>
        </w:tc>
        <w:tc>
          <w:tcPr>
            <w:tcW w:w="1456" w:type="dxa"/>
            <w:tcBorders>
              <w:top w:val="single" w:color="auto" w:sz="4" w:space="0"/>
              <w:left w:val="single" w:color="auto" w:sz="4" w:space="0"/>
              <w:bottom w:val="single" w:color="auto" w:sz="4" w:space="0"/>
              <w:right w:val="single" w:color="auto" w:sz="4" w:space="0"/>
            </w:tcBorders>
          </w:tcPr>
          <w:p w14:paraId="5273E0FD">
            <w:pPr>
              <w:snapToGrid w:val="0"/>
              <w:spacing w:line="360" w:lineRule="auto"/>
              <w:ind w:right="42" w:rightChars="20"/>
              <w:outlineLvl w:val="0"/>
              <w:rPr>
                <w:rFonts w:asciiTheme="minorEastAsia" w:hAnsiTheme="minorEastAsia" w:eastAsiaTheme="minorEastAsia"/>
                <w:color w:val="auto"/>
                <w:szCs w:val="21"/>
                <w:highlight w:val="none"/>
              </w:rPr>
            </w:pPr>
          </w:p>
        </w:tc>
      </w:tr>
      <w:tr w14:paraId="73BD7C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1" w:hRule="atLeast"/>
          <w:jc w:val="center"/>
        </w:trPr>
        <w:tc>
          <w:tcPr>
            <w:tcW w:w="1577" w:type="dxa"/>
            <w:tcBorders>
              <w:top w:val="single" w:color="auto" w:sz="4" w:space="0"/>
              <w:left w:val="single" w:color="auto" w:sz="4" w:space="0"/>
              <w:bottom w:val="single" w:color="auto" w:sz="4" w:space="0"/>
              <w:right w:val="single" w:color="auto" w:sz="4" w:space="0"/>
            </w:tcBorders>
            <w:vAlign w:val="center"/>
          </w:tcPr>
          <w:p w14:paraId="3119B797">
            <w:pPr>
              <w:widowControl/>
              <w:spacing w:line="360" w:lineRule="auto"/>
              <w:ind w:right="42" w:rightChars="20"/>
              <w:rPr>
                <w:rFonts w:asciiTheme="minorEastAsia" w:hAnsiTheme="minorEastAsia" w:eastAsiaTheme="minorEastAsia"/>
                <w:color w:val="auto"/>
                <w:szCs w:val="21"/>
                <w:highlight w:val="none"/>
              </w:rPr>
            </w:pPr>
          </w:p>
        </w:tc>
        <w:tc>
          <w:tcPr>
            <w:tcW w:w="2475" w:type="dxa"/>
            <w:tcBorders>
              <w:top w:val="single" w:color="auto" w:sz="4" w:space="0"/>
              <w:left w:val="single" w:color="auto" w:sz="4" w:space="0"/>
              <w:bottom w:val="single" w:color="auto" w:sz="4" w:space="0"/>
              <w:right w:val="single" w:color="auto" w:sz="4" w:space="0"/>
            </w:tcBorders>
            <w:vAlign w:val="center"/>
          </w:tcPr>
          <w:p w14:paraId="1DD68848">
            <w:pPr>
              <w:snapToGrid w:val="0"/>
              <w:spacing w:line="360" w:lineRule="auto"/>
              <w:ind w:right="42" w:rightChars="20"/>
              <w:outlineLvl w:val="0"/>
              <w:rPr>
                <w:rFonts w:asciiTheme="minorEastAsia" w:hAnsiTheme="minorEastAsia" w:eastAsiaTheme="minorEastAsia"/>
                <w:color w:val="auto"/>
                <w:szCs w:val="21"/>
                <w:highlight w:val="none"/>
              </w:rPr>
            </w:pPr>
          </w:p>
        </w:tc>
        <w:tc>
          <w:tcPr>
            <w:tcW w:w="1583" w:type="dxa"/>
            <w:tcBorders>
              <w:top w:val="single" w:color="auto" w:sz="4" w:space="0"/>
              <w:left w:val="single" w:color="auto" w:sz="4" w:space="0"/>
              <w:bottom w:val="single" w:color="auto" w:sz="4" w:space="0"/>
              <w:right w:val="single" w:color="auto" w:sz="4" w:space="0"/>
            </w:tcBorders>
          </w:tcPr>
          <w:p w14:paraId="0845CE95">
            <w:pPr>
              <w:snapToGrid w:val="0"/>
              <w:spacing w:line="360" w:lineRule="auto"/>
              <w:ind w:right="42" w:rightChars="20"/>
              <w:outlineLvl w:val="0"/>
              <w:rPr>
                <w:rFonts w:asciiTheme="minorEastAsia" w:hAnsiTheme="minorEastAsia" w:eastAsiaTheme="minorEastAsia"/>
                <w:color w:val="auto"/>
                <w:szCs w:val="21"/>
                <w:highlight w:val="none"/>
              </w:rPr>
            </w:pPr>
          </w:p>
        </w:tc>
        <w:tc>
          <w:tcPr>
            <w:tcW w:w="1849" w:type="dxa"/>
            <w:tcBorders>
              <w:top w:val="single" w:color="auto" w:sz="4" w:space="0"/>
              <w:left w:val="single" w:color="auto" w:sz="4" w:space="0"/>
              <w:bottom w:val="single" w:color="auto" w:sz="4" w:space="0"/>
              <w:right w:val="single" w:color="auto" w:sz="4" w:space="0"/>
            </w:tcBorders>
          </w:tcPr>
          <w:p w14:paraId="3C2E2C54">
            <w:pPr>
              <w:snapToGrid w:val="0"/>
              <w:spacing w:line="360" w:lineRule="auto"/>
              <w:ind w:right="42" w:rightChars="20"/>
              <w:outlineLvl w:val="0"/>
              <w:rPr>
                <w:rFonts w:asciiTheme="minorEastAsia" w:hAnsiTheme="minorEastAsia" w:eastAsiaTheme="minorEastAsia"/>
                <w:color w:val="auto"/>
                <w:szCs w:val="21"/>
                <w:highlight w:val="none"/>
              </w:rPr>
            </w:pPr>
          </w:p>
        </w:tc>
        <w:tc>
          <w:tcPr>
            <w:tcW w:w="1456" w:type="dxa"/>
            <w:tcBorders>
              <w:top w:val="single" w:color="auto" w:sz="4" w:space="0"/>
              <w:left w:val="single" w:color="auto" w:sz="4" w:space="0"/>
              <w:bottom w:val="single" w:color="auto" w:sz="4" w:space="0"/>
              <w:right w:val="single" w:color="auto" w:sz="4" w:space="0"/>
            </w:tcBorders>
          </w:tcPr>
          <w:p w14:paraId="5FCD9953">
            <w:pPr>
              <w:snapToGrid w:val="0"/>
              <w:spacing w:line="360" w:lineRule="auto"/>
              <w:ind w:right="42" w:rightChars="20"/>
              <w:outlineLvl w:val="0"/>
              <w:rPr>
                <w:rFonts w:asciiTheme="minorEastAsia" w:hAnsiTheme="minorEastAsia" w:eastAsiaTheme="minorEastAsia"/>
                <w:color w:val="auto"/>
                <w:szCs w:val="21"/>
                <w:highlight w:val="none"/>
              </w:rPr>
            </w:pPr>
          </w:p>
        </w:tc>
      </w:tr>
      <w:tr w14:paraId="4D4AEF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1" w:hRule="atLeast"/>
          <w:jc w:val="center"/>
        </w:trPr>
        <w:tc>
          <w:tcPr>
            <w:tcW w:w="1577" w:type="dxa"/>
            <w:tcBorders>
              <w:top w:val="single" w:color="auto" w:sz="4" w:space="0"/>
              <w:left w:val="single" w:color="auto" w:sz="4" w:space="0"/>
              <w:bottom w:val="single" w:color="auto" w:sz="4" w:space="0"/>
              <w:right w:val="single" w:color="auto" w:sz="4" w:space="0"/>
            </w:tcBorders>
            <w:vAlign w:val="center"/>
          </w:tcPr>
          <w:p w14:paraId="16A47FEA">
            <w:pPr>
              <w:snapToGrid w:val="0"/>
              <w:spacing w:before="159" w:beforeLines="50" w:after="159" w:afterLines="50" w:line="360" w:lineRule="auto"/>
              <w:ind w:right="42" w:rightChars="20"/>
              <w:outlineLvl w:val="0"/>
              <w:rPr>
                <w:rFonts w:asciiTheme="minorEastAsia" w:hAnsiTheme="minorEastAsia" w:eastAsiaTheme="minorEastAsia"/>
                <w:color w:val="auto"/>
                <w:szCs w:val="21"/>
                <w:highlight w:val="none"/>
              </w:rPr>
            </w:pPr>
          </w:p>
        </w:tc>
        <w:tc>
          <w:tcPr>
            <w:tcW w:w="2475" w:type="dxa"/>
            <w:tcBorders>
              <w:top w:val="single" w:color="auto" w:sz="4" w:space="0"/>
              <w:left w:val="single" w:color="auto" w:sz="4" w:space="0"/>
              <w:bottom w:val="single" w:color="auto" w:sz="4" w:space="0"/>
              <w:right w:val="single" w:color="auto" w:sz="4" w:space="0"/>
            </w:tcBorders>
            <w:vAlign w:val="center"/>
          </w:tcPr>
          <w:p w14:paraId="0D63A224">
            <w:pPr>
              <w:snapToGrid w:val="0"/>
              <w:spacing w:line="360" w:lineRule="auto"/>
              <w:ind w:right="42" w:rightChars="20"/>
              <w:outlineLvl w:val="0"/>
              <w:rPr>
                <w:rFonts w:asciiTheme="minorEastAsia" w:hAnsiTheme="minorEastAsia" w:eastAsiaTheme="minorEastAsia"/>
                <w:color w:val="auto"/>
                <w:szCs w:val="21"/>
                <w:highlight w:val="none"/>
              </w:rPr>
            </w:pPr>
          </w:p>
        </w:tc>
        <w:tc>
          <w:tcPr>
            <w:tcW w:w="1583" w:type="dxa"/>
            <w:tcBorders>
              <w:top w:val="single" w:color="auto" w:sz="4" w:space="0"/>
              <w:left w:val="single" w:color="auto" w:sz="4" w:space="0"/>
              <w:bottom w:val="single" w:color="auto" w:sz="4" w:space="0"/>
              <w:right w:val="single" w:color="auto" w:sz="4" w:space="0"/>
            </w:tcBorders>
          </w:tcPr>
          <w:p w14:paraId="43084FFE">
            <w:pPr>
              <w:snapToGrid w:val="0"/>
              <w:spacing w:line="360" w:lineRule="auto"/>
              <w:ind w:right="42" w:rightChars="20"/>
              <w:outlineLvl w:val="0"/>
              <w:rPr>
                <w:rFonts w:asciiTheme="minorEastAsia" w:hAnsiTheme="minorEastAsia" w:eastAsiaTheme="minorEastAsia"/>
                <w:color w:val="auto"/>
                <w:szCs w:val="21"/>
                <w:highlight w:val="none"/>
              </w:rPr>
            </w:pPr>
          </w:p>
        </w:tc>
        <w:tc>
          <w:tcPr>
            <w:tcW w:w="1849" w:type="dxa"/>
            <w:tcBorders>
              <w:top w:val="single" w:color="auto" w:sz="4" w:space="0"/>
              <w:left w:val="single" w:color="auto" w:sz="4" w:space="0"/>
              <w:bottom w:val="single" w:color="auto" w:sz="4" w:space="0"/>
              <w:right w:val="single" w:color="auto" w:sz="4" w:space="0"/>
            </w:tcBorders>
          </w:tcPr>
          <w:p w14:paraId="5142F98C">
            <w:pPr>
              <w:snapToGrid w:val="0"/>
              <w:spacing w:line="360" w:lineRule="auto"/>
              <w:ind w:right="42" w:rightChars="20"/>
              <w:outlineLvl w:val="0"/>
              <w:rPr>
                <w:rFonts w:asciiTheme="minorEastAsia" w:hAnsiTheme="minorEastAsia" w:eastAsiaTheme="minorEastAsia"/>
                <w:color w:val="auto"/>
                <w:szCs w:val="21"/>
                <w:highlight w:val="none"/>
              </w:rPr>
            </w:pPr>
          </w:p>
        </w:tc>
        <w:tc>
          <w:tcPr>
            <w:tcW w:w="1456" w:type="dxa"/>
            <w:tcBorders>
              <w:top w:val="single" w:color="auto" w:sz="4" w:space="0"/>
              <w:left w:val="single" w:color="auto" w:sz="4" w:space="0"/>
              <w:bottom w:val="single" w:color="auto" w:sz="4" w:space="0"/>
              <w:right w:val="single" w:color="auto" w:sz="4" w:space="0"/>
            </w:tcBorders>
          </w:tcPr>
          <w:p w14:paraId="3364E620">
            <w:pPr>
              <w:snapToGrid w:val="0"/>
              <w:spacing w:line="360" w:lineRule="auto"/>
              <w:ind w:right="42" w:rightChars="20"/>
              <w:outlineLvl w:val="0"/>
              <w:rPr>
                <w:rFonts w:asciiTheme="minorEastAsia" w:hAnsiTheme="minorEastAsia" w:eastAsiaTheme="minorEastAsia"/>
                <w:color w:val="auto"/>
                <w:szCs w:val="21"/>
                <w:highlight w:val="none"/>
              </w:rPr>
            </w:pPr>
          </w:p>
        </w:tc>
      </w:tr>
      <w:tr w14:paraId="092FDE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1" w:hRule="atLeast"/>
          <w:jc w:val="center"/>
        </w:trPr>
        <w:tc>
          <w:tcPr>
            <w:tcW w:w="1577" w:type="dxa"/>
            <w:tcBorders>
              <w:top w:val="single" w:color="auto" w:sz="4" w:space="0"/>
              <w:left w:val="single" w:color="auto" w:sz="4" w:space="0"/>
              <w:bottom w:val="single" w:color="auto" w:sz="4" w:space="0"/>
              <w:right w:val="single" w:color="auto" w:sz="4" w:space="0"/>
            </w:tcBorders>
            <w:vAlign w:val="center"/>
          </w:tcPr>
          <w:p w14:paraId="49255DA3">
            <w:pPr>
              <w:snapToGrid w:val="0"/>
              <w:spacing w:before="159" w:beforeLines="50" w:after="159" w:afterLines="50" w:line="360" w:lineRule="auto"/>
              <w:ind w:right="42" w:rightChars="20"/>
              <w:outlineLvl w:val="0"/>
              <w:rPr>
                <w:rFonts w:asciiTheme="minorEastAsia" w:hAnsiTheme="minorEastAsia" w:eastAsiaTheme="minorEastAsia"/>
                <w:color w:val="auto"/>
                <w:szCs w:val="21"/>
                <w:highlight w:val="none"/>
              </w:rPr>
            </w:pPr>
          </w:p>
        </w:tc>
        <w:tc>
          <w:tcPr>
            <w:tcW w:w="2475" w:type="dxa"/>
            <w:tcBorders>
              <w:top w:val="single" w:color="auto" w:sz="4" w:space="0"/>
              <w:left w:val="single" w:color="auto" w:sz="4" w:space="0"/>
              <w:bottom w:val="single" w:color="auto" w:sz="4" w:space="0"/>
              <w:right w:val="single" w:color="auto" w:sz="4" w:space="0"/>
            </w:tcBorders>
            <w:vAlign w:val="center"/>
          </w:tcPr>
          <w:p w14:paraId="6DA4D25E">
            <w:pPr>
              <w:snapToGrid w:val="0"/>
              <w:spacing w:line="360" w:lineRule="auto"/>
              <w:ind w:right="42" w:rightChars="20"/>
              <w:outlineLvl w:val="0"/>
              <w:rPr>
                <w:rFonts w:asciiTheme="minorEastAsia" w:hAnsiTheme="minorEastAsia" w:eastAsiaTheme="minorEastAsia"/>
                <w:color w:val="auto"/>
                <w:szCs w:val="21"/>
                <w:highlight w:val="none"/>
              </w:rPr>
            </w:pPr>
          </w:p>
        </w:tc>
        <w:tc>
          <w:tcPr>
            <w:tcW w:w="1583" w:type="dxa"/>
            <w:tcBorders>
              <w:top w:val="single" w:color="auto" w:sz="4" w:space="0"/>
              <w:left w:val="single" w:color="auto" w:sz="4" w:space="0"/>
              <w:bottom w:val="single" w:color="auto" w:sz="4" w:space="0"/>
              <w:right w:val="single" w:color="auto" w:sz="4" w:space="0"/>
            </w:tcBorders>
          </w:tcPr>
          <w:p w14:paraId="68397E4B">
            <w:pPr>
              <w:snapToGrid w:val="0"/>
              <w:spacing w:line="360" w:lineRule="auto"/>
              <w:ind w:right="42" w:rightChars="20"/>
              <w:outlineLvl w:val="0"/>
              <w:rPr>
                <w:rFonts w:asciiTheme="minorEastAsia" w:hAnsiTheme="minorEastAsia" w:eastAsiaTheme="minorEastAsia"/>
                <w:color w:val="auto"/>
                <w:szCs w:val="21"/>
                <w:highlight w:val="none"/>
              </w:rPr>
            </w:pPr>
          </w:p>
        </w:tc>
        <w:tc>
          <w:tcPr>
            <w:tcW w:w="1849" w:type="dxa"/>
            <w:tcBorders>
              <w:top w:val="single" w:color="auto" w:sz="4" w:space="0"/>
              <w:left w:val="single" w:color="auto" w:sz="4" w:space="0"/>
              <w:bottom w:val="single" w:color="auto" w:sz="4" w:space="0"/>
              <w:right w:val="single" w:color="auto" w:sz="4" w:space="0"/>
            </w:tcBorders>
          </w:tcPr>
          <w:p w14:paraId="76CD88A3">
            <w:pPr>
              <w:snapToGrid w:val="0"/>
              <w:spacing w:line="360" w:lineRule="auto"/>
              <w:ind w:right="42" w:rightChars="20"/>
              <w:outlineLvl w:val="0"/>
              <w:rPr>
                <w:rFonts w:asciiTheme="minorEastAsia" w:hAnsiTheme="minorEastAsia" w:eastAsiaTheme="minorEastAsia"/>
                <w:color w:val="auto"/>
                <w:szCs w:val="21"/>
                <w:highlight w:val="none"/>
              </w:rPr>
            </w:pPr>
          </w:p>
        </w:tc>
        <w:tc>
          <w:tcPr>
            <w:tcW w:w="1456" w:type="dxa"/>
            <w:tcBorders>
              <w:top w:val="single" w:color="auto" w:sz="4" w:space="0"/>
              <w:left w:val="single" w:color="auto" w:sz="4" w:space="0"/>
              <w:bottom w:val="single" w:color="auto" w:sz="4" w:space="0"/>
              <w:right w:val="single" w:color="auto" w:sz="4" w:space="0"/>
            </w:tcBorders>
          </w:tcPr>
          <w:p w14:paraId="516F1278">
            <w:pPr>
              <w:snapToGrid w:val="0"/>
              <w:spacing w:line="360" w:lineRule="auto"/>
              <w:ind w:right="42" w:rightChars="20"/>
              <w:outlineLvl w:val="0"/>
              <w:rPr>
                <w:rFonts w:asciiTheme="minorEastAsia" w:hAnsiTheme="minorEastAsia" w:eastAsiaTheme="minorEastAsia"/>
                <w:color w:val="auto"/>
                <w:szCs w:val="21"/>
                <w:highlight w:val="none"/>
              </w:rPr>
            </w:pPr>
          </w:p>
        </w:tc>
      </w:tr>
    </w:tbl>
    <w:p w14:paraId="4CE75F93">
      <w:pPr>
        <w:pStyle w:val="20"/>
        <w:spacing w:line="360" w:lineRule="auto"/>
        <w:ind w:right="42" w:rightChars="20"/>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注：</w:t>
      </w:r>
      <w:r>
        <w:rPr>
          <w:rFonts w:hint="eastAsia" w:asciiTheme="minorEastAsia" w:hAnsiTheme="minorEastAsia" w:eastAsiaTheme="minorEastAsia"/>
          <w:color w:val="auto"/>
          <w:sz w:val="21"/>
          <w:szCs w:val="21"/>
          <w:highlight w:val="none"/>
        </w:rPr>
        <w:t>1.</w:t>
      </w:r>
      <w:r>
        <w:rPr>
          <w:rFonts w:asciiTheme="minorEastAsia" w:hAnsiTheme="minorEastAsia" w:eastAsiaTheme="minorEastAsia"/>
          <w:color w:val="auto"/>
          <w:sz w:val="21"/>
          <w:szCs w:val="21"/>
          <w:highlight w:val="none"/>
        </w:rPr>
        <w:t>投标人应根据</w:t>
      </w:r>
      <w:r>
        <w:rPr>
          <w:rFonts w:hint="eastAsia" w:asciiTheme="minorEastAsia" w:hAnsiTheme="minorEastAsia" w:eastAsiaTheme="minorEastAsia"/>
          <w:color w:val="auto"/>
          <w:sz w:val="21"/>
          <w:szCs w:val="21"/>
          <w:highlight w:val="none"/>
        </w:rPr>
        <w:t>投标产品</w:t>
      </w:r>
      <w:r>
        <w:rPr>
          <w:rFonts w:asciiTheme="minorEastAsia" w:hAnsiTheme="minorEastAsia" w:eastAsiaTheme="minorEastAsia"/>
          <w:color w:val="auto"/>
          <w:sz w:val="21"/>
          <w:szCs w:val="21"/>
          <w:highlight w:val="none"/>
        </w:rPr>
        <w:t>的性能指标、对照招标文件要求在“偏离情况”栏注明“正偏离”、“负偏离”或“无偏离”。</w:t>
      </w:r>
    </w:p>
    <w:p w14:paraId="5A8FCF4E">
      <w:pPr>
        <w:pStyle w:val="20"/>
        <w:spacing w:line="360" w:lineRule="auto"/>
        <w:ind w:right="42" w:rightChars="2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2.投标人需对上述偏离情况负责，不得虚假应标。</w:t>
      </w:r>
    </w:p>
    <w:p w14:paraId="73C7ED5D">
      <w:pPr>
        <w:pStyle w:val="168"/>
        <w:snapToGrid w:val="0"/>
        <w:spacing w:line="360" w:lineRule="auto"/>
        <w:ind w:right="42" w:rightChars="20" w:firstLine="420" w:firstLineChars="200"/>
        <w:jc w:val="lef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法定代表人或其授权代表签字（或盖章）</w:t>
      </w:r>
      <w:r>
        <w:rPr>
          <w:rFonts w:asciiTheme="minorEastAsia" w:hAnsiTheme="minorEastAsia" w:eastAsiaTheme="minorEastAsia"/>
          <w:color w:val="auto"/>
          <w:sz w:val="21"/>
          <w:szCs w:val="21"/>
          <w:highlight w:val="none"/>
        </w:rPr>
        <w:t>：</w:t>
      </w:r>
    </w:p>
    <w:p w14:paraId="1551267A">
      <w:pPr>
        <w:adjustRightInd w:val="0"/>
        <w:spacing w:line="360" w:lineRule="auto"/>
        <w:ind w:right="42" w:rightChars="20"/>
        <w:textAlignment w:val="baseline"/>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w:t>
      </w:r>
      <w:r>
        <w:rPr>
          <w:rFonts w:hint="eastAsia" w:asciiTheme="minorEastAsia" w:hAnsiTheme="minorEastAsia" w:eastAsiaTheme="minorEastAsia"/>
          <w:color w:val="auto"/>
          <w:szCs w:val="21"/>
          <w:highlight w:val="none"/>
          <w:shd w:val="clear" w:color="auto" w:fill="FFFFFF"/>
        </w:rPr>
        <w:t>CA签章</w:t>
      </w:r>
      <w:r>
        <w:rPr>
          <w:rFonts w:hint="eastAsia" w:asciiTheme="minorEastAsia" w:hAnsiTheme="minorEastAsia" w:eastAsiaTheme="minorEastAsia"/>
          <w:color w:val="auto"/>
          <w:szCs w:val="21"/>
          <w:highlight w:val="none"/>
        </w:rPr>
        <w:t>）： 年  月  日</w:t>
      </w:r>
    </w:p>
    <w:p w14:paraId="529EBE43">
      <w:pPr>
        <w:pStyle w:val="101"/>
        <w:rPr>
          <w:color w:val="auto"/>
          <w:highlight w:val="none"/>
        </w:rPr>
      </w:pPr>
    </w:p>
    <w:p w14:paraId="52AED9D1">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项目实施人员一览表</w:t>
      </w:r>
    </w:p>
    <w:p w14:paraId="7AF73E38">
      <w:pPr>
        <w:snapToGrid w:val="0"/>
        <w:spacing w:line="360" w:lineRule="auto"/>
        <w:ind w:right="42" w:rightChars="20" w:firstLine="422" w:firstLineChars="200"/>
        <w:jc w:val="cente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项目实施人员（主要从业人员及其技术资格）一览表</w:t>
      </w:r>
    </w:p>
    <w:tbl>
      <w:tblPr>
        <w:tblStyle w:val="52"/>
        <w:tblW w:w="8531" w:type="dxa"/>
        <w:tblInd w:w="-1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4"/>
        <w:gridCol w:w="1004"/>
        <w:gridCol w:w="1663"/>
        <w:gridCol w:w="1260"/>
        <w:gridCol w:w="1620"/>
        <w:gridCol w:w="1980"/>
      </w:tblGrid>
      <w:tr w14:paraId="4B5471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vAlign w:val="center"/>
          </w:tcPr>
          <w:p w14:paraId="40FD0F24">
            <w:pPr>
              <w:snapToGrid w:val="0"/>
              <w:spacing w:line="360" w:lineRule="auto"/>
              <w:ind w:right="42" w:rightChars="2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姓名</w:t>
            </w:r>
          </w:p>
        </w:tc>
        <w:tc>
          <w:tcPr>
            <w:tcW w:w="1004" w:type="dxa"/>
            <w:tcBorders>
              <w:top w:val="single" w:color="auto" w:sz="4" w:space="0"/>
              <w:left w:val="single" w:color="auto" w:sz="4" w:space="0"/>
              <w:bottom w:val="single" w:color="auto" w:sz="4" w:space="0"/>
              <w:right w:val="single" w:color="auto" w:sz="4" w:space="0"/>
            </w:tcBorders>
            <w:vAlign w:val="center"/>
          </w:tcPr>
          <w:p w14:paraId="2C82CB67">
            <w:pPr>
              <w:snapToGrid w:val="0"/>
              <w:spacing w:line="360" w:lineRule="auto"/>
              <w:ind w:right="42" w:rightChars="2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职务</w:t>
            </w:r>
          </w:p>
        </w:tc>
        <w:tc>
          <w:tcPr>
            <w:tcW w:w="1663" w:type="dxa"/>
            <w:tcBorders>
              <w:top w:val="single" w:color="auto" w:sz="4" w:space="0"/>
              <w:left w:val="single" w:color="auto" w:sz="4" w:space="0"/>
              <w:bottom w:val="single" w:color="auto" w:sz="4" w:space="0"/>
              <w:right w:val="single" w:color="auto" w:sz="4" w:space="0"/>
            </w:tcBorders>
            <w:vAlign w:val="center"/>
          </w:tcPr>
          <w:p w14:paraId="32F52ECC">
            <w:pPr>
              <w:snapToGrid w:val="0"/>
              <w:spacing w:line="360" w:lineRule="auto"/>
              <w:ind w:right="42" w:rightChars="2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专业技术资格</w:t>
            </w:r>
          </w:p>
        </w:tc>
        <w:tc>
          <w:tcPr>
            <w:tcW w:w="1260" w:type="dxa"/>
            <w:tcBorders>
              <w:top w:val="single" w:color="auto" w:sz="4" w:space="0"/>
              <w:left w:val="single" w:color="auto" w:sz="4" w:space="0"/>
              <w:bottom w:val="single" w:color="auto" w:sz="4" w:space="0"/>
              <w:right w:val="single" w:color="auto" w:sz="4" w:space="0"/>
            </w:tcBorders>
            <w:vAlign w:val="center"/>
          </w:tcPr>
          <w:p w14:paraId="140FDDD4">
            <w:pPr>
              <w:snapToGrid w:val="0"/>
              <w:spacing w:line="360" w:lineRule="auto"/>
              <w:ind w:right="42" w:rightChars="2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证书编号</w:t>
            </w:r>
          </w:p>
        </w:tc>
        <w:tc>
          <w:tcPr>
            <w:tcW w:w="1620" w:type="dxa"/>
            <w:tcBorders>
              <w:top w:val="single" w:color="auto" w:sz="4" w:space="0"/>
              <w:left w:val="single" w:color="auto" w:sz="4" w:space="0"/>
              <w:bottom w:val="single" w:color="auto" w:sz="4" w:space="0"/>
              <w:right w:val="single" w:color="auto" w:sz="4" w:space="0"/>
            </w:tcBorders>
            <w:vAlign w:val="center"/>
          </w:tcPr>
          <w:p w14:paraId="05BA9F84">
            <w:pPr>
              <w:snapToGrid w:val="0"/>
              <w:spacing w:line="360" w:lineRule="auto"/>
              <w:ind w:right="42" w:rightChars="20"/>
              <w:jc w:val="center"/>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参加本单位工作时间</w:t>
            </w:r>
          </w:p>
        </w:tc>
        <w:tc>
          <w:tcPr>
            <w:tcW w:w="1980" w:type="dxa"/>
            <w:tcBorders>
              <w:top w:val="single" w:color="auto" w:sz="4" w:space="0"/>
              <w:left w:val="single" w:color="auto" w:sz="4" w:space="0"/>
              <w:bottom w:val="single" w:color="auto" w:sz="4" w:space="0"/>
              <w:right w:val="single" w:color="auto" w:sz="4" w:space="0"/>
            </w:tcBorders>
            <w:vAlign w:val="center"/>
          </w:tcPr>
          <w:p w14:paraId="3606FEFD">
            <w:pPr>
              <w:snapToGrid w:val="0"/>
              <w:spacing w:line="360" w:lineRule="auto"/>
              <w:ind w:right="42" w:rightChars="20"/>
              <w:jc w:val="center"/>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本项目中工作职责</w:t>
            </w:r>
          </w:p>
        </w:tc>
      </w:tr>
      <w:tr w14:paraId="6D3BC1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vAlign w:val="center"/>
          </w:tcPr>
          <w:p w14:paraId="05872360">
            <w:pPr>
              <w:snapToGrid w:val="0"/>
              <w:spacing w:line="360" w:lineRule="auto"/>
              <w:ind w:right="42" w:rightChars="20" w:firstLine="420" w:firstLineChars="200"/>
              <w:jc w:val="center"/>
              <w:rPr>
                <w:rFonts w:asciiTheme="minorEastAsia" w:hAnsiTheme="minorEastAsia" w:eastAsiaTheme="minorEastAsia"/>
                <w:color w:val="auto"/>
                <w:szCs w:val="21"/>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0A6C909C">
            <w:pPr>
              <w:snapToGrid w:val="0"/>
              <w:spacing w:line="360" w:lineRule="auto"/>
              <w:ind w:right="42" w:rightChars="20" w:firstLine="420" w:firstLineChars="200"/>
              <w:jc w:val="center"/>
              <w:rPr>
                <w:rFonts w:asciiTheme="minorEastAsia" w:hAnsiTheme="minorEastAsia" w:eastAsiaTheme="minorEastAsia"/>
                <w:color w:val="auto"/>
                <w:szCs w:val="21"/>
                <w:highlight w:val="none"/>
              </w:rPr>
            </w:pPr>
          </w:p>
        </w:tc>
        <w:tc>
          <w:tcPr>
            <w:tcW w:w="1663" w:type="dxa"/>
            <w:tcBorders>
              <w:top w:val="single" w:color="auto" w:sz="4" w:space="0"/>
              <w:left w:val="single" w:color="auto" w:sz="4" w:space="0"/>
              <w:bottom w:val="single" w:color="auto" w:sz="4" w:space="0"/>
              <w:right w:val="single" w:color="auto" w:sz="4" w:space="0"/>
            </w:tcBorders>
            <w:vAlign w:val="center"/>
          </w:tcPr>
          <w:p w14:paraId="7B769E1F">
            <w:pPr>
              <w:snapToGrid w:val="0"/>
              <w:spacing w:line="360" w:lineRule="auto"/>
              <w:ind w:right="42" w:rightChars="20" w:firstLine="420" w:firstLineChars="200"/>
              <w:jc w:val="center"/>
              <w:rPr>
                <w:rFonts w:asciiTheme="minorEastAsia" w:hAnsiTheme="minorEastAsia" w:eastAsiaTheme="minorEastAsia"/>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6D0D306">
            <w:pPr>
              <w:snapToGrid w:val="0"/>
              <w:spacing w:line="360" w:lineRule="auto"/>
              <w:ind w:right="42" w:rightChars="20" w:firstLine="420" w:firstLineChars="200"/>
              <w:jc w:val="center"/>
              <w:rPr>
                <w:rFonts w:asciiTheme="minorEastAsia" w:hAnsiTheme="minorEastAsia" w:eastAsiaTheme="minorEastAsia"/>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105A9082">
            <w:pPr>
              <w:snapToGrid w:val="0"/>
              <w:spacing w:line="360" w:lineRule="auto"/>
              <w:ind w:right="42" w:rightChars="20" w:firstLine="420" w:firstLineChars="200"/>
              <w:jc w:val="center"/>
              <w:rPr>
                <w:rFonts w:asciiTheme="minorEastAsia" w:hAnsiTheme="minorEastAsia" w:eastAsiaTheme="minorEastAsia"/>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14:paraId="1AE627E3">
            <w:pPr>
              <w:snapToGrid w:val="0"/>
              <w:spacing w:line="360" w:lineRule="auto"/>
              <w:ind w:right="42" w:rightChars="20" w:firstLine="420" w:firstLineChars="20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项目负责人</w:t>
            </w:r>
          </w:p>
        </w:tc>
      </w:tr>
      <w:tr w14:paraId="7D192B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vAlign w:val="center"/>
          </w:tcPr>
          <w:p w14:paraId="420B11B7">
            <w:pPr>
              <w:snapToGrid w:val="0"/>
              <w:spacing w:line="360" w:lineRule="auto"/>
              <w:ind w:right="42" w:rightChars="20" w:firstLine="420" w:firstLineChars="200"/>
              <w:jc w:val="center"/>
              <w:rPr>
                <w:rFonts w:asciiTheme="minorEastAsia" w:hAnsiTheme="minorEastAsia" w:eastAsiaTheme="minorEastAsia"/>
                <w:color w:val="auto"/>
                <w:szCs w:val="21"/>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4908F245">
            <w:pPr>
              <w:snapToGrid w:val="0"/>
              <w:spacing w:line="360" w:lineRule="auto"/>
              <w:ind w:right="42" w:rightChars="20" w:firstLine="420" w:firstLineChars="200"/>
              <w:jc w:val="center"/>
              <w:rPr>
                <w:rFonts w:asciiTheme="minorEastAsia" w:hAnsiTheme="minorEastAsia" w:eastAsiaTheme="minorEastAsia"/>
                <w:color w:val="auto"/>
                <w:szCs w:val="21"/>
                <w:highlight w:val="none"/>
              </w:rPr>
            </w:pPr>
          </w:p>
        </w:tc>
        <w:tc>
          <w:tcPr>
            <w:tcW w:w="1663" w:type="dxa"/>
            <w:tcBorders>
              <w:top w:val="single" w:color="auto" w:sz="4" w:space="0"/>
              <w:left w:val="single" w:color="auto" w:sz="4" w:space="0"/>
              <w:bottom w:val="single" w:color="auto" w:sz="4" w:space="0"/>
              <w:right w:val="single" w:color="auto" w:sz="4" w:space="0"/>
            </w:tcBorders>
            <w:vAlign w:val="center"/>
          </w:tcPr>
          <w:p w14:paraId="1396BF58">
            <w:pPr>
              <w:snapToGrid w:val="0"/>
              <w:spacing w:line="360" w:lineRule="auto"/>
              <w:ind w:right="42" w:rightChars="20" w:firstLine="420" w:firstLineChars="200"/>
              <w:jc w:val="center"/>
              <w:rPr>
                <w:rFonts w:asciiTheme="minorEastAsia" w:hAnsiTheme="minorEastAsia" w:eastAsiaTheme="minorEastAsia"/>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0B4FEF3">
            <w:pPr>
              <w:snapToGrid w:val="0"/>
              <w:spacing w:line="360" w:lineRule="auto"/>
              <w:ind w:right="42" w:rightChars="20" w:firstLine="420" w:firstLineChars="200"/>
              <w:jc w:val="center"/>
              <w:rPr>
                <w:rFonts w:asciiTheme="minorEastAsia" w:hAnsiTheme="minorEastAsia" w:eastAsiaTheme="minorEastAsia"/>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18C57D51">
            <w:pPr>
              <w:snapToGrid w:val="0"/>
              <w:spacing w:line="360" w:lineRule="auto"/>
              <w:ind w:right="42" w:rightChars="20" w:firstLine="420" w:firstLineChars="200"/>
              <w:jc w:val="center"/>
              <w:rPr>
                <w:rFonts w:asciiTheme="minorEastAsia" w:hAnsiTheme="minorEastAsia" w:eastAsiaTheme="minorEastAsia"/>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14:paraId="50DEE888">
            <w:pPr>
              <w:snapToGrid w:val="0"/>
              <w:spacing w:line="360" w:lineRule="auto"/>
              <w:ind w:right="42" w:rightChars="20" w:firstLine="420" w:firstLineChars="200"/>
              <w:jc w:val="center"/>
              <w:rPr>
                <w:rFonts w:asciiTheme="minorEastAsia" w:hAnsiTheme="minorEastAsia" w:eastAsiaTheme="minorEastAsia"/>
                <w:color w:val="auto"/>
                <w:szCs w:val="21"/>
                <w:highlight w:val="none"/>
              </w:rPr>
            </w:pPr>
          </w:p>
        </w:tc>
      </w:tr>
      <w:tr w14:paraId="48F18A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vAlign w:val="center"/>
          </w:tcPr>
          <w:p w14:paraId="75D770CA">
            <w:pPr>
              <w:snapToGrid w:val="0"/>
              <w:spacing w:line="360" w:lineRule="auto"/>
              <w:ind w:right="42" w:rightChars="20" w:firstLine="420" w:firstLineChars="200"/>
              <w:jc w:val="center"/>
              <w:rPr>
                <w:rFonts w:asciiTheme="minorEastAsia" w:hAnsiTheme="minorEastAsia" w:eastAsiaTheme="minorEastAsia"/>
                <w:color w:val="auto"/>
                <w:szCs w:val="21"/>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1B5F5699">
            <w:pPr>
              <w:snapToGrid w:val="0"/>
              <w:spacing w:line="360" w:lineRule="auto"/>
              <w:ind w:right="42" w:rightChars="20" w:firstLine="420" w:firstLineChars="200"/>
              <w:jc w:val="center"/>
              <w:rPr>
                <w:rFonts w:asciiTheme="minorEastAsia" w:hAnsiTheme="minorEastAsia" w:eastAsiaTheme="minorEastAsia"/>
                <w:color w:val="auto"/>
                <w:szCs w:val="21"/>
                <w:highlight w:val="none"/>
              </w:rPr>
            </w:pPr>
          </w:p>
        </w:tc>
        <w:tc>
          <w:tcPr>
            <w:tcW w:w="1663" w:type="dxa"/>
            <w:tcBorders>
              <w:top w:val="single" w:color="auto" w:sz="4" w:space="0"/>
              <w:left w:val="single" w:color="auto" w:sz="4" w:space="0"/>
              <w:bottom w:val="single" w:color="auto" w:sz="4" w:space="0"/>
              <w:right w:val="single" w:color="auto" w:sz="4" w:space="0"/>
            </w:tcBorders>
            <w:vAlign w:val="center"/>
          </w:tcPr>
          <w:p w14:paraId="25509593">
            <w:pPr>
              <w:pStyle w:val="31"/>
              <w:snapToGrid w:val="0"/>
              <w:spacing w:line="360" w:lineRule="auto"/>
              <w:ind w:leftChars="0" w:right="42" w:rightChars="20" w:firstLine="420" w:firstLineChars="200"/>
              <w:jc w:val="center"/>
              <w:rPr>
                <w:rFonts w:asciiTheme="minorEastAsia" w:hAnsiTheme="minorEastAsia" w:eastAsiaTheme="minorEastAsia"/>
                <w:color w:val="auto"/>
                <w:sz w:val="21"/>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D598C03">
            <w:pPr>
              <w:snapToGrid w:val="0"/>
              <w:spacing w:line="360" w:lineRule="auto"/>
              <w:ind w:right="42" w:rightChars="20" w:firstLine="420" w:firstLineChars="200"/>
              <w:jc w:val="center"/>
              <w:rPr>
                <w:rFonts w:asciiTheme="minorEastAsia" w:hAnsiTheme="minorEastAsia" w:eastAsiaTheme="minorEastAsia"/>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15A35171">
            <w:pPr>
              <w:snapToGrid w:val="0"/>
              <w:spacing w:line="360" w:lineRule="auto"/>
              <w:ind w:right="42" w:rightChars="20" w:firstLine="420" w:firstLineChars="200"/>
              <w:jc w:val="center"/>
              <w:rPr>
                <w:rFonts w:asciiTheme="minorEastAsia" w:hAnsiTheme="minorEastAsia" w:eastAsiaTheme="minorEastAsia"/>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14:paraId="48CFBE60">
            <w:pPr>
              <w:snapToGrid w:val="0"/>
              <w:spacing w:line="360" w:lineRule="auto"/>
              <w:ind w:right="42" w:rightChars="20" w:firstLine="420" w:firstLineChars="200"/>
              <w:jc w:val="center"/>
              <w:rPr>
                <w:rFonts w:asciiTheme="minorEastAsia" w:hAnsiTheme="minorEastAsia" w:eastAsiaTheme="minorEastAsia"/>
                <w:color w:val="auto"/>
                <w:szCs w:val="21"/>
                <w:highlight w:val="none"/>
              </w:rPr>
            </w:pPr>
          </w:p>
        </w:tc>
      </w:tr>
      <w:tr w14:paraId="2B87C7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vAlign w:val="center"/>
          </w:tcPr>
          <w:p w14:paraId="463D992C">
            <w:pPr>
              <w:snapToGrid w:val="0"/>
              <w:spacing w:line="360" w:lineRule="auto"/>
              <w:ind w:right="42" w:rightChars="20" w:firstLine="420" w:firstLineChars="200"/>
              <w:jc w:val="center"/>
              <w:rPr>
                <w:rFonts w:asciiTheme="minorEastAsia" w:hAnsiTheme="minorEastAsia" w:eastAsiaTheme="minorEastAsia"/>
                <w:color w:val="auto"/>
                <w:szCs w:val="21"/>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37EB5BD4">
            <w:pPr>
              <w:snapToGrid w:val="0"/>
              <w:spacing w:line="360" w:lineRule="auto"/>
              <w:ind w:right="42" w:rightChars="20" w:firstLine="420" w:firstLineChars="200"/>
              <w:jc w:val="center"/>
              <w:rPr>
                <w:rFonts w:asciiTheme="minorEastAsia" w:hAnsiTheme="minorEastAsia" w:eastAsiaTheme="minorEastAsia"/>
                <w:color w:val="auto"/>
                <w:szCs w:val="21"/>
                <w:highlight w:val="none"/>
              </w:rPr>
            </w:pPr>
          </w:p>
        </w:tc>
        <w:tc>
          <w:tcPr>
            <w:tcW w:w="1663" w:type="dxa"/>
            <w:tcBorders>
              <w:top w:val="single" w:color="auto" w:sz="4" w:space="0"/>
              <w:left w:val="single" w:color="auto" w:sz="4" w:space="0"/>
              <w:bottom w:val="single" w:color="auto" w:sz="4" w:space="0"/>
              <w:right w:val="single" w:color="auto" w:sz="4" w:space="0"/>
            </w:tcBorders>
            <w:vAlign w:val="center"/>
          </w:tcPr>
          <w:p w14:paraId="54CC916C">
            <w:pPr>
              <w:snapToGrid w:val="0"/>
              <w:spacing w:line="360" w:lineRule="auto"/>
              <w:ind w:right="42" w:rightChars="20" w:firstLine="420" w:firstLineChars="200"/>
              <w:jc w:val="center"/>
              <w:rPr>
                <w:rFonts w:asciiTheme="minorEastAsia" w:hAnsiTheme="minorEastAsia" w:eastAsiaTheme="minorEastAsia"/>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C009E39">
            <w:pPr>
              <w:snapToGrid w:val="0"/>
              <w:spacing w:line="360" w:lineRule="auto"/>
              <w:ind w:right="42" w:rightChars="20" w:firstLine="420" w:firstLineChars="200"/>
              <w:jc w:val="center"/>
              <w:rPr>
                <w:rFonts w:asciiTheme="minorEastAsia" w:hAnsiTheme="minorEastAsia" w:eastAsiaTheme="minorEastAsia"/>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34C269F5">
            <w:pPr>
              <w:snapToGrid w:val="0"/>
              <w:spacing w:line="360" w:lineRule="auto"/>
              <w:ind w:right="42" w:rightChars="20" w:firstLine="420" w:firstLineChars="200"/>
              <w:jc w:val="center"/>
              <w:rPr>
                <w:rFonts w:asciiTheme="minorEastAsia" w:hAnsiTheme="minorEastAsia" w:eastAsiaTheme="minorEastAsia"/>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14:paraId="37FFBAF3">
            <w:pPr>
              <w:snapToGrid w:val="0"/>
              <w:spacing w:line="360" w:lineRule="auto"/>
              <w:ind w:right="42" w:rightChars="20" w:firstLine="420" w:firstLineChars="200"/>
              <w:jc w:val="center"/>
              <w:rPr>
                <w:rFonts w:asciiTheme="minorEastAsia" w:hAnsiTheme="minorEastAsia" w:eastAsiaTheme="minorEastAsia"/>
                <w:color w:val="auto"/>
                <w:szCs w:val="21"/>
                <w:highlight w:val="none"/>
              </w:rPr>
            </w:pPr>
          </w:p>
        </w:tc>
      </w:tr>
      <w:tr w14:paraId="3E832C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vAlign w:val="center"/>
          </w:tcPr>
          <w:p w14:paraId="69C114A6">
            <w:pPr>
              <w:snapToGrid w:val="0"/>
              <w:spacing w:line="360" w:lineRule="auto"/>
              <w:ind w:right="42" w:rightChars="20" w:firstLine="420" w:firstLineChars="200"/>
              <w:jc w:val="center"/>
              <w:rPr>
                <w:rFonts w:asciiTheme="minorEastAsia" w:hAnsiTheme="minorEastAsia" w:eastAsiaTheme="minorEastAsia"/>
                <w:color w:val="auto"/>
                <w:szCs w:val="21"/>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7DADCEC2">
            <w:pPr>
              <w:snapToGrid w:val="0"/>
              <w:spacing w:line="360" w:lineRule="auto"/>
              <w:ind w:right="42" w:rightChars="20" w:firstLine="420" w:firstLineChars="200"/>
              <w:jc w:val="center"/>
              <w:rPr>
                <w:rFonts w:asciiTheme="minorEastAsia" w:hAnsiTheme="minorEastAsia" w:eastAsiaTheme="minorEastAsia"/>
                <w:color w:val="auto"/>
                <w:szCs w:val="21"/>
                <w:highlight w:val="none"/>
              </w:rPr>
            </w:pPr>
          </w:p>
        </w:tc>
        <w:tc>
          <w:tcPr>
            <w:tcW w:w="1663" w:type="dxa"/>
            <w:tcBorders>
              <w:top w:val="single" w:color="auto" w:sz="4" w:space="0"/>
              <w:left w:val="single" w:color="auto" w:sz="4" w:space="0"/>
              <w:bottom w:val="single" w:color="auto" w:sz="4" w:space="0"/>
              <w:right w:val="single" w:color="auto" w:sz="4" w:space="0"/>
            </w:tcBorders>
            <w:vAlign w:val="center"/>
          </w:tcPr>
          <w:p w14:paraId="0120A1E2">
            <w:pPr>
              <w:snapToGrid w:val="0"/>
              <w:spacing w:line="360" w:lineRule="auto"/>
              <w:ind w:right="42" w:rightChars="20" w:firstLine="420" w:firstLineChars="200"/>
              <w:jc w:val="center"/>
              <w:rPr>
                <w:rFonts w:asciiTheme="minorEastAsia" w:hAnsiTheme="minorEastAsia" w:eastAsiaTheme="minorEastAsia"/>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9680141">
            <w:pPr>
              <w:snapToGrid w:val="0"/>
              <w:spacing w:line="360" w:lineRule="auto"/>
              <w:ind w:right="42" w:rightChars="20" w:firstLine="420" w:firstLineChars="200"/>
              <w:jc w:val="center"/>
              <w:rPr>
                <w:rFonts w:asciiTheme="minorEastAsia" w:hAnsiTheme="minorEastAsia" w:eastAsiaTheme="minorEastAsia"/>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64F9F302">
            <w:pPr>
              <w:snapToGrid w:val="0"/>
              <w:spacing w:line="360" w:lineRule="auto"/>
              <w:ind w:right="42" w:rightChars="20" w:firstLine="420" w:firstLineChars="200"/>
              <w:jc w:val="center"/>
              <w:rPr>
                <w:rFonts w:asciiTheme="minorEastAsia" w:hAnsiTheme="minorEastAsia" w:eastAsiaTheme="minorEastAsia"/>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14:paraId="5706EAF1">
            <w:pPr>
              <w:snapToGrid w:val="0"/>
              <w:spacing w:line="360" w:lineRule="auto"/>
              <w:ind w:right="42" w:rightChars="20" w:firstLine="420" w:firstLineChars="200"/>
              <w:jc w:val="center"/>
              <w:rPr>
                <w:rFonts w:asciiTheme="minorEastAsia" w:hAnsiTheme="minorEastAsia" w:eastAsiaTheme="minorEastAsia"/>
                <w:color w:val="auto"/>
                <w:szCs w:val="21"/>
                <w:highlight w:val="none"/>
              </w:rPr>
            </w:pPr>
          </w:p>
        </w:tc>
      </w:tr>
      <w:tr w14:paraId="3DACC9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vAlign w:val="center"/>
          </w:tcPr>
          <w:p w14:paraId="52D639E4">
            <w:pPr>
              <w:snapToGrid w:val="0"/>
              <w:spacing w:line="360" w:lineRule="auto"/>
              <w:ind w:right="42" w:rightChars="20" w:firstLine="420" w:firstLineChars="200"/>
              <w:jc w:val="center"/>
              <w:rPr>
                <w:rFonts w:asciiTheme="minorEastAsia" w:hAnsiTheme="minorEastAsia" w:eastAsiaTheme="minorEastAsia"/>
                <w:color w:val="auto"/>
                <w:szCs w:val="21"/>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332CB76E">
            <w:pPr>
              <w:snapToGrid w:val="0"/>
              <w:spacing w:line="360" w:lineRule="auto"/>
              <w:ind w:right="42" w:rightChars="20" w:firstLine="420" w:firstLineChars="200"/>
              <w:jc w:val="center"/>
              <w:rPr>
                <w:rFonts w:asciiTheme="minorEastAsia" w:hAnsiTheme="minorEastAsia" w:eastAsiaTheme="minorEastAsia"/>
                <w:color w:val="auto"/>
                <w:szCs w:val="21"/>
                <w:highlight w:val="none"/>
              </w:rPr>
            </w:pPr>
          </w:p>
        </w:tc>
        <w:tc>
          <w:tcPr>
            <w:tcW w:w="1663" w:type="dxa"/>
            <w:tcBorders>
              <w:top w:val="single" w:color="auto" w:sz="4" w:space="0"/>
              <w:left w:val="single" w:color="auto" w:sz="4" w:space="0"/>
              <w:bottom w:val="single" w:color="auto" w:sz="4" w:space="0"/>
              <w:right w:val="single" w:color="auto" w:sz="4" w:space="0"/>
            </w:tcBorders>
            <w:vAlign w:val="center"/>
          </w:tcPr>
          <w:p w14:paraId="0C6CC25F">
            <w:pPr>
              <w:snapToGrid w:val="0"/>
              <w:spacing w:line="360" w:lineRule="auto"/>
              <w:ind w:right="42" w:rightChars="20" w:firstLine="420" w:firstLineChars="200"/>
              <w:jc w:val="center"/>
              <w:rPr>
                <w:rFonts w:asciiTheme="minorEastAsia" w:hAnsiTheme="minorEastAsia" w:eastAsiaTheme="minorEastAsia"/>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2CAE003">
            <w:pPr>
              <w:snapToGrid w:val="0"/>
              <w:spacing w:line="360" w:lineRule="auto"/>
              <w:ind w:right="42" w:rightChars="20" w:firstLine="420" w:firstLineChars="200"/>
              <w:jc w:val="center"/>
              <w:rPr>
                <w:rFonts w:asciiTheme="minorEastAsia" w:hAnsiTheme="minorEastAsia" w:eastAsiaTheme="minorEastAsia"/>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4BC5AD4E">
            <w:pPr>
              <w:snapToGrid w:val="0"/>
              <w:spacing w:line="360" w:lineRule="auto"/>
              <w:ind w:right="42" w:rightChars="20" w:firstLine="420" w:firstLineChars="200"/>
              <w:jc w:val="center"/>
              <w:rPr>
                <w:rFonts w:asciiTheme="minorEastAsia" w:hAnsiTheme="minorEastAsia" w:eastAsiaTheme="minorEastAsia"/>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14:paraId="2126D184">
            <w:pPr>
              <w:snapToGrid w:val="0"/>
              <w:spacing w:line="360" w:lineRule="auto"/>
              <w:ind w:right="42" w:rightChars="20" w:firstLine="420" w:firstLineChars="200"/>
              <w:jc w:val="center"/>
              <w:rPr>
                <w:rFonts w:asciiTheme="minorEastAsia" w:hAnsiTheme="minorEastAsia" w:eastAsiaTheme="minorEastAsia"/>
                <w:color w:val="auto"/>
                <w:szCs w:val="21"/>
                <w:highlight w:val="none"/>
              </w:rPr>
            </w:pPr>
          </w:p>
        </w:tc>
      </w:tr>
      <w:tr w14:paraId="743125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vAlign w:val="center"/>
          </w:tcPr>
          <w:p w14:paraId="6D8E9B6D">
            <w:pPr>
              <w:snapToGrid w:val="0"/>
              <w:spacing w:line="360" w:lineRule="auto"/>
              <w:ind w:right="42" w:rightChars="20" w:firstLine="420" w:firstLineChars="200"/>
              <w:jc w:val="center"/>
              <w:rPr>
                <w:rFonts w:asciiTheme="minorEastAsia" w:hAnsiTheme="minorEastAsia" w:eastAsiaTheme="minorEastAsia"/>
                <w:color w:val="auto"/>
                <w:szCs w:val="21"/>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598BB3E4">
            <w:pPr>
              <w:snapToGrid w:val="0"/>
              <w:spacing w:line="360" w:lineRule="auto"/>
              <w:ind w:right="42" w:rightChars="20" w:firstLine="420" w:firstLineChars="200"/>
              <w:jc w:val="center"/>
              <w:rPr>
                <w:rFonts w:asciiTheme="minorEastAsia" w:hAnsiTheme="minorEastAsia" w:eastAsiaTheme="minorEastAsia"/>
                <w:color w:val="auto"/>
                <w:szCs w:val="21"/>
                <w:highlight w:val="none"/>
              </w:rPr>
            </w:pPr>
          </w:p>
        </w:tc>
        <w:tc>
          <w:tcPr>
            <w:tcW w:w="1663" w:type="dxa"/>
            <w:tcBorders>
              <w:top w:val="single" w:color="auto" w:sz="4" w:space="0"/>
              <w:left w:val="single" w:color="auto" w:sz="4" w:space="0"/>
              <w:bottom w:val="single" w:color="auto" w:sz="4" w:space="0"/>
              <w:right w:val="single" w:color="auto" w:sz="4" w:space="0"/>
            </w:tcBorders>
            <w:vAlign w:val="center"/>
          </w:tcPr>
          <w:p w14:paraId="53143531">
            <w:pPr>
              <w:snapToGrid w:val="0"/>
              <w:spacing w:line="360" w:lineRule="auto"/>
              <w:ind w:right="42" w:rightChars="20" w:firstLine="420" w:firstLineChars="200"/>
              <w:jc w:val="center"/>
              <w:rPr>
                <w:rFonts w:asciiTheme="minorEastAsia" w:hAnsiTheme="minorEastAsia" w:eastAsiaTheme="minorEastAsia"/>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BCAF188">
            <w:pPr>
              <w:snapToGrid w:val="0"/>
              <w:spacing w:line="360" w:lineRule="auto"/>
              <w:ind w:right="42" w:rightChars="20" w:firstLine="420" w:firstLineChars="200"/>
              <w:jc w:val="center"/>
              <w:rPr>
                <w:rFonts w:asciiTheme="minorEastAsia" w:hAnsiTheme="minorEastAsia" w:eastAsiaTheme="minorEastAsia"/>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224BBAF3">
            <w:pPr>
              <w:snapToGrid w:val="0"/>
              <w:spacing w:line="360" w:lineRule="auto"/>
              <w:ind w:right="42" w:rightChars="20" w:firstLine="420" w:firstLineChars="200"/>
              <w:jc w:val="center"/>
              <w:rPr>
                <w:rFonts w:asciiTheme="minorEastAsia" w:hAnsiTheme="minorEastAsia" w:eastAsiaTheme="minorEastAsia"/>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14:paraId="4C4B3348">
            <w:pPr>
              <w:snapToGrid w:val="0"/>
              <w:spacing w:line="360" w:lineRule="auto"/>
              <w:ind w:right="42" w:rightChars="20" w:firstLine="420" w:firstLineChars="200"/>
              <w:jc w:val="center"/>
              <w:rPr>
                <w:rFonts w:asciiTheme="minorEastAsia" w:hAnsiTheme="minorEastAsia" w:eastAsiaTheme="minorEastAsia"/>
                <w:color w:val="auto"/>
                <w:szCs w:val="21"/>
                <w:highlight w:val="none"/>
              </w:rPr>
            </w:pPr>
          </w:p>
        </w:tc>
      </w:tr>
      <w:tr w14:paraId="365472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vAlign w:val="center"/>
          </w:tcPr>
          <w:p w14:paraId="7A296DA6">
            <w:pPr>
              <w:snapToGrid w:val="0"/>
              <w:spacing w:line="360" w:lineRule="auto"/>
              <w:ind w:right="42" w:rightChars="20" w:firstLine="420" w:firstLineChars="200"/>
              <w:jc w:val="center"/>
              <w:rPr>
                <w:rFonts w:asciiTheme="minorEastAsia" w:hAnsiTheme="minorEastAsia" w:eastAsiaTheme="minorEastAsia"/>
                <w:color w:val="auto"/>
                <w:szCs w:val="21"/>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3C8B4549">
            <w:pPr>
              <w:snapToGrid w:val="0"/>
              <w:spacing w:line="360" w:lineRule="auto"/>
              <w:ind w:right="42" w:rightChars="20" w:firstLine="420" w:firstLineChars="200"/>
              <w:jc w:val="center"/>
              <w:rPr>
                <w:rFonts w:asciiTheme="minorEastAsia" w:hAnsiTheme="minorEastAsia" w:eastAsiaTheme="minorEastAsia"/>
                <w:color w:val="auto"/>
                <w:szCs w:val="21"/>
                <w:highlight w:val="none"/>
              </w:rPr>
            </w:pPr>
          </w:p>
        </w:tc>
        <w:tc>
          <w:tcPr>
            <w:tcW w:w="1663" w:type="dxa"/>
            <w:tcBorders>
              <w:top w:val="single" w:color="auto" w:sz="4" w:space="0"/>
              <w:left w:val="single" w:color="auto" w:sz="4" w:space="0"/>
              <w:bottom w:val="single" w:color="auto" w:sz="4" w:space="0"/>
              <w:right w:val="single" w:color="auto" w:sz="4" w:space="0"/>
            </w:tcBorders>
            <w:vAlign w:val="center"/>
          </w:tcPr>
          <w:p w14:paraId="1364FBB2">
            <w:pPr>
              <w:snapToGrid w:val="0"/>
              <w:spacing w:line="360" w:lineRule="auto"/>
              <w:ind w:right="42" w:rightChars="20" w:firstLine="420" w:firstLineChars="200"/>
              <w:jc w:val="center"/>
              <w:rPr>
                <w:rFonts w:asciiTheme="minorEastAsia" w:hAnsiTheme="minorEastAsia" w:eastAsiaTheme="minorEastAsia"/>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85C7BC1">
            <w:pPr>
              <w:snapToGrid w:val="0"/>
              <w:spacing w:line="360" w:lineRule="auto"/>
              <w:ind w:right="42" w:rightChars="20" w:firstLine="420" w:firstLineChars="200"/>
              <w:jc w:val="center"/>
              <w:rPr>
                <w:rFonts w:asciiTheme="minorEastAsia" w:hAnsiTheme="minorEastAsia" w:eastAsiaTheme="minorEastAsia"/>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17D8A2A8">
            <w:pPr>
              <w:snapToGrid w:val="0"/>
              <w:spacing w:line="360" w:lineRule="auto"/>
              <w:ind w:right="42" w:rightChars="20" w:firstLine="420" w:firstLineChars="200"/>
              <w:jc w:val="center"/>
              <w:rPr>
                <w:rFonts w:asciiTheme="minorEastAsia" w:hAnsiTheme="minorEastAsia" w:eastAsiaTheme="minorEastAsia"/>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14:paraId="2981CE42">
            <w:pPr>
              <w:snapToGrid w:val="0"/>
              <w:spacing w:line="360" w:lineRule="auto"/>
              <w:ind w:right="42" w:rightChars="20" w:firstLine="420" w:firstLineChars="200"/>
              <w:jc w:val="center"/>
              <w:rPr>
                <w:rFonts w:asciiTheme="minorEastAsia" w:hAnsiTheme="minorEastAsia" w:eastAsiaTheme="minorEastAsia"/>
                <w:color w:val="auto"/>
                <w:szCs w:val="21"/>
                <w:highlight w:val="none"/>
              </w:rPr>
            </w:pPr>
          </w:p>
        </w:tc>
      </w:tr>
      <w:tr w14:paraId="49DFFF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vAlign w:val="center"/>
          </w:tcPr>
          <w:p w14:paraId="1876444B">
            <w:pPr>
              <w:snapToGrid w:val="0"/>
              <w:spacing w:line="360" w:lineRule="auto"/>
              <w:ind w:right="42" w:rightChars="20" w:firstLine="420" w:firstLineChars="200"/>
              <w:jc w:val="center"/>
              <w:rPr>
                <w:rFonts w:asciiTheme="minorEastAsia" w:hAnsiTheme="minorEastAsia" w:eastAsiaTheme="minorEastAsia"/>
                <w:color w:val="auto"/>
                <w:szCs w:val="21"/>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1B90977A">
            <w:pPr>
              <w:snapToGrid w:val="0"/>
              <w:spacing w:line="360" w:lineRule="auto"/>
              <w:ind w:right="42" w:rightChars="20" w:firstLine="420" w:firstLineChars="200"/>
              <w:jc w:val="center"/>
              <w:rPr>
                <w:rFonts w:asciiTheme="minorEastAsia" w:hAnsiTheme="minorEastAsia" w:eastAsiaTheme="minorEastAsia"/>
                <w:color w:val="auto"/>
                <w:szCs w:val="21"/>
                <w:highlight w:val="none"/>
              </w:rPr>
            </w:pPr>
          </w:p>
        </w:tc>
        <w:tc>
          <w:tcPr>
            <w:tcW w:w="1663" w:type="dxa"/>
            <w:tcBorders>
              <w:top w:val="single" w:color="auto" w:sz="4" w:space="0"/>
              <w:left w:val="single" w:color="auto" w:sz="4" w:space="0"/>
              <w:bottom w:val="single" w:color="auto" w:sz="4" w:space="0"/>
              <w:right w:val="single" w:color="auto" w:sz="4" w:space="0"/>
            </w:tcBorders>
            <w:vAlign w:val="center"/>
          </w:tcPr>
          <w:p w14:paraId="3EAD41B4">
            <w:pPr>
              <w:snapToGrid w:val="0"/>
              <w:spacing w:line="360" w:lineRule="auto"/>
              <w:ind w:right="42" w:rightChars="20" w:firstLine="420" w:firstLineChars="200"/>
              <w:jc w:val="center"/>
              <w:rPr>
                <w:rFonts w:asciiTheme="minorEastAsia" w:hAnsiTheme="minorEastAsia" w:eastAsiaTheme="minorEastAsia"/>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95D7D4A">
            <w:pPr>
              <w:snapToGrid w:val="0"/>
              <w:spacing w:line="360" w:lineRule="auto"/>
              <w:ind w:right="42" w:rightChars="20" w:firstLine="420" w:firstLineChars="200"/>
              <w:jc w:val="center"/>
              <w:rPr>
                <w:rFonts w:asciiTheme="minorEastAsia" w:hAnsiTheme="minorEastAsia" w:eastAsiaTheme="minorEastAsia"/>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4F4AE99B">
            <w:pPr>
              <w:snapToGrid w:val="0"/>
              <w:spacing w:line="360" w:lineRule="auto"/>
              <w:ind w:right="42" w:rightChars="20" w:firstLine="420" w:firstLineChars="200"/>
              <w:jc w:val="center"/>
              <w:rPr>
                <w:rFonts w:asciiTheme="minorEastAsia" w:hAnsiTheme="minorEastAsia" w:eastAsiaTheme="minorEastAsia"/>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14:paraId="40605EB6">
            <w:pPr>
              <w:snapToGrid w:val="0"/>
              <w:spacing w:line="360" w:lineRule="auto"/>
              <w:ind w:right="42" w:rightChars="20" w:firstLine="420" w:firstLineChars="200"/>
              <w:jc w:val="center"/>
              <w:rPr>
                <w:rFonts w:asciiTheme="minorEastAsia" w:hAnsiTheme="minorEastAsia" w:eastAsiaTheme="minorEastAsia"/>
                <w:color w:val="auto"/>
                <w:szCs w:val="21"/>
                <w:highlight w:val="none"/>
              </w:rPr>
            </w:pPr>
          </w:p>
        </w:tc>
      </w:tr>
    </w:tbl>
    <w:p w14:paraId="7C1398FE">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注：在填写时，如本表格不适合投标单位的实际情况，可根据本表格式自行划表填写。</w:t>
      </w:r>
    </w:p>
    <w:p w14:paraId="2E9501CC">
      <w:pPr>
        <w:snapToGrid w:val="0"/>
        <w:spacing w:line="360" w:lineRule="auto"/>
        <w:ind w:right="42" w:rightChars="20" w:firstLine="420" w:firstLineChars="200"/>
        <w:jc w:val="left"/>
        <w:rPr>
          <w:rFonts w:asciiTheme="minorEastAsia" w:hAnsiTheme="minorEastAsia" w:eastAsiaTheme="minorEastAsia"/>
          <w:color w:val="auto"/>
          <w:spacing w:val="20"/>
          <w:szCs w:val="21"/>
          <w:highlight w:val="none"/>
          <w:u w:val="single"/>
        </w:rPr>
      </w:pPr>
      <w:r>
        <w:rPr>
          <w:rFonts w:hint="eastAsia" w:asciiTheme="minorEastAsia" w:hAnsiTheme="minorEastAsia" w:eastAsiaTheme="minorEastAsia"/>
          <w:color w:val="auto"/>
          <w:szCs w:val="21"/>
          <w:highlight w:val="none"/>
        </w:rPr>
        <w:t>法定代表人或其委托代理人签名（或盖章）</w:t>
      </w:r>
      <w:r>
        <w:rPr>
          <w:rFonts w:hint="eastAsia" w:asciiTheme="minorEastAsia" w:hAnsiTheme="minorEastAsia" w:eastAsiaTheme="minorEastAsia"/>
          <w:color w:val="auto"/>
          <w:spacing w:val="20"/>
          <w:szCs w:val="21"/>
          <w:highlight w:val="none"/>
        </w:rPr>
        <w:t>：</w:t>
      </w:r>
    </w:p>
    <w:p w14:paraId="4A593BBE">
      <w:pPr>
        <w:snapToGrid w:val="0"/>
        <w:spacing w:line="360" w:lineRule="auto"/>
        <w:ind w:right="42" w:rightChars="20" w:firstLine="500" w:firstLineChars="200"/>
        <w:jc w:val="left"/>
        <w:rPr>
          <w:rFonts w:asciiTheme="minorEastAsia" w:hAnsiTheme="minorEastAsia" w:eastAsiaTheme="minorEastAsia"/>
          <w:color w:val="auto"/>
          <w:spacing w:val="20"/>
          <w:szCs w:val="21"/>
          <w:highlight w:val="none"/>
        </w:rPr>
      </w:pPr>
      <w:r>
        <w:rPr>
          <w:rFonts w:hint="eastAsia" w:asciiTheme="minorEastAsia" w:hAnsiTheme="minorEastAsia" w:eastAsiaTheme="minorEastAsia"/>
          <w:color w:val="auto"/>
          <w:spacing w:val="20"/>
          <w:szCs w:val="21"/>
          <w:highlight w:val="none"/>
        </w:rPr>
        <w:t>投标人（</w:t>
      </w:r>
      <w:r>
        <w:rPr>
          <w:rFonts w:hint="eastAsia" w:asciiTheme="minorEastAsia" w:hAnsiTheme="minorEastAsia" w:eastAsiaTheme="minorEastAsia"/>
          <w:color w:val="auto"/>
          <w:szCs w:val="21"/>
          <w:highlight w:val="none"/>
          <w:shd w:val="clear" w:color="auto" w:fill="FFFFFF"/>
        </w:rPr>
        <w:t>CA签章</w:t>
      </w:r>
      <w:r>
        <w:rPr>
          <w:rFonts w:hint="eastAsia" w:asciiTheme="minorEastAsia" w:hAnsiTheme="minorEastAsia" w:eastAsiaTheme="minorEastAsia"/>
          <w:color w:val="auto"/>
          <w:spacing w:val="20"/>
          <w:szCs w:val="21"/>
          <w:highlight w:val="none"/>
        </w:rPr>
        <w:t>）：</w:t>
      </w:r>
    </w:p>
    <w:p w14:paraId="5F044FD5">
      <w:pPr>
        <w:snapToGrid w:val="0"/>
        <w:spacing w:line="360" w:lineRule="auto"/>
        <w:ind w:right="42" w:rightChars="20" w:firstLine="500" w:firstLineChars="200"/>
        <w:jc w:val="left"/>
        <w:rPr>
          <w:rFonts w:asciiTheme="minorEastAsia" w:hAnsiTheme="minorEastAsia" w:eastAsiaTheme="minorEastAsia"/>
          <w:color w:val="auto"/>
          <w:spacing w:val="20"/>
          <w:szCs w:val="21"/>
          <w:highlight w:val="none"/>
          <w:u w:val="single"/>
        </w:rPr>
      </w:pPr>
      <w:r>
        <w:rPr>
          <w:rFonts w:hint="eastAsia" w:asciiTheme="minorEastAsia" w:hAnsiTheme="minorEastAsia" w:eastAsiaTheme="minorEastAsia"/>
          <w:color w:val="auto"/>
          <w:spacing w:val="20"/>
          <w:szCs w:val="21"/>
          <w:highlight w:val="none"/>
        </w:rPr>
        <w:t>日期：</w:t>
      </w:r>
    </w:p>
    <w:p w14:paraId="500915F8">
      <w:pPr>
        <w:snapToGrid w:val="0"/>
        <w:spacing w:line="360" w:lineRule="auto"/>
        <w:ind w:right="42" w:rightChars="20" w:firstLine="422" w:firstLineChars="200"/>
        <w:jc w:val="left"/>
        <w:rPr>
          <w:rFonts w:cs="微软雅黑" w:asciiTheme="minorEastAsia" w:hAnsiTheme="minorEastAsia" w:eastAsiaTheme="minorEastAsia"/>
          <w:b/>
          <w:color w:val="auto"/>
          <w:szCs w:val="21"/>
          <w:highlight w:val="none"/>
        </w:rPr>
      </w:pPr>
    </w:p>
    <w:p w14:paraId="0C34D3C1">
      <w:pPr>
        <w:snapToGrid w:val="0"/>
        <w:spacing w:line="360" w:lineRule="auto"/>
        <w:ind w:right="42" w:rightChars="20" w:firstLine="422" w:firstLineChars="200"/>
        <w:jc w:val="left"/>
        <w:rPr>
          <w:rFonts w:cs="微软雅黑" w:asciiTheme="minorEastAsia" w:hAnsiTheme="minorEastAsia" w:eastAsiaTheme="minorEastAsia"/>
          <w:b/>
          <w:color w:val="auto"/>
          <w:szCs w:val="21"/>
          <w:highlight w:val="none"/>
        </w:rPr>
      </w:pPr>
    </w:p>
    <w:p w14:paraId="2FAD4651">
      <w:pPr>
        <w:snapToGrid w:val="0"/>
        <w:spacing w:line="360" w:lineRule="auto"/>
        <w:ind w:right="42" w:rightChars="20" w:firstLine="422" w:firstLineChars="200"/>
        <w:jc w:val="left"/>
        <w:rPr>
          <w:rFonts w:cs="微软雅黑" w:asciiTheme="minorEastAsia" w:hAnsiTheme="minorEastAsia" w:eastAsiaTheme="minorEastAsia"/>
          <w:b/>
          <w:color w:val="auto"/>
          <w:szCs w:val="21"/>
          <w:highlight w:val="none"/>
        </w:rPr>
      </w:pPr>
    </w:p>
    <w:p w14:paraId="3DD8D48C">
      <w:pPr>
        <w:snapToGrid w:val="0"/>
        <w:spacing w:line="360" w:lineRule="auto"/>
        <w:ind w:right="42" w:rightChars="20" w:firstLine="422" w:firstLineChars="200"/>
        <w:jc w:val="left"/>
        <w:rPr>
          <w:rFonts w:cs="微软雅黑" w:asciiTheme="minorEastAsia" w:hAnsiTheme="minorEastAsia" w:eastAsiaTheme="minorEastAsia"/>
          <w:b/>
          <w:color w:val="auto"/>
          <w:szCs w:val="21"/>
          <w:highlight w:val="none"/>
        </w:rPr>
      </w:pPr>
    </w:p>
    <w:p w14:paraId="4BD3531B">
      <w:pPr>
        <w:snapToGrid w:val="0"/>
        <w:spacing w:line="360" w:lineRule="auto"/>
        <w:ind w:right="42" w:rightChars="20" w:firstLine="422" w:firstLineChars="200"/>
        <w:jc w:val="left"/>
        <w:rPr>
          <w:rFonts w:cs="微软雅黑" w:asciiTheme="minorEastAsia" w:hAnsiTheme="minorEastAsia" w:eastAsiaTheme="minorEastAsia"/>
          <w:b/>
          <w:color w:val="auto"/>
          <w:szCs w:val="21"/>
          <w:highlight w:val="none"/>
        </w:rPr>
      </w:pPr>
    </w:p>
    <w:p w14:paraId="360CB55A">
      <w:pPr>
        <w:snapToGrid w:val="0"/>
        <w:spacing w:line="360" w:lineRule="auto"/>
        <w:ind w:right="42" w:rightChars="20" w:firstLine="422" w:firstLineChars="200"/>
        <w:jc w:val="left"/>
        <w:rPr>
          <w:rFonts w:cs="微软雅黑" w:asciiTheme="minorEastAsia" w:hAnsiTheme="minorEastAsia" w:eastAsiaTheme="minorEastAsia"/>
          <w:b/>
          <w:color w:val="auto"/>
          <w:szCs w:val="21"/>
          <w:highlight w:val="none"/>
        </w:rPr>
      </w:pPr>
    </w:p>
    <w:p w14:paraId="788794FC">
      <w:pPr>
        <w:pStyle w:val="14"/>
        <w:rPr>
          <w:rFonts w:cs="微软雅黑" w:asciiTheme="minorEastAsia" w:hAnsiTheme="minorEastAsia" w:eastAsiaTheme="minorEastAsia"/>
          <w:b/>
          <w:color w:val="auto"/>
          <w:szCs w:val="21"/>
          <w:highlight w:val="none"/>
        </w:rPr>
      </w:pPr>
    </w:p>
    <w:p w14:paraId="201B3AE9">
      <w:pPr>
        <w:pStyle w:val="15"/>
        <w:rPr>
          <w:rFonts w:cs="微软雅黑" w:asciiTheme="minorEastAsia" w:hAnsiTheme="minorEastAsia" w:eastAsiaTheme="minorEastAsia"/>
          <w:b/>
          <w:color w:val="auto"/>
          <w:szCs w:val="21"/>
          <w:highlight w:val="none"/>
        </w:rPr>
      </w:pPr>
    </w:p>
    <w:p w14:paraId="41E04D3A">
      <w:pPr>
        <w:pStyle w:val="14"/>
        <w:rPr>
          <w:rFonts w:cs="微软雅黑" w:asciiTheme="minorEastAsia" w:hAnsiTheme="minorEastAsia" w:eastAsiaTheme="minorEastAsia"/>
          <w:b/>
          <w:color w:val="auto"/>
          <w:szCs w:val="21"/>
          <w:highlight w:val="none"/>
        </w:rPr>
      </w:pPr>
    </w:p>
    <w:p w14:paraId="20253108">
      <w:pPr>
        <w:pStyle w:val="15"/>
        <w:rPr>
          <w:rFonts w:cs="微软雅黑" w:asciiTheme="minorEastAsia" w:hAnsiTheme="minorEastAsia" w:eastAsiaTheme="minorEastAsia"/>
          <w:b/>
          <w:color w:val="auto"/>
          <w:szCs w:val="21"/>
          <w:highlight w:val="none"/>
        </w:rPr>
      </w:pPr>
    </w:p>
    <w:p w14:paraId="4C671A6C">
      <w:pPr>
        <w:pStyle w:val="14"/>
        <w:rPr>
          <w:rFonts w:cs="微软雅黑" w:asciiTheme="minorEastAsia" w:hAnsiTheme="minorEastAsia" w:eastAsiaTheme="minorEastAsia"/>
          <w:b/>
          <w:color w:val="auto"/>
          <w:szCs w:val="21"/>
          <w:highlight w:val="none"/>
        </w:rPr>
      </w:pPr>
    </w:p>
    <w:p w14:paraId="1E4307F0">
      <w:pPr>
        <w:pStyle w:val="15"/>
        <w:rPr>
          <w:rFonts w:cs="微软雅黑" w:asciiTheme="minorEastAsia" w:hAnsiTheme="minorEastAsia" w:eastAsiaTheme="minorEastAsia"/>
          <w:b/>
          <w:color w:val="auto"/>
          <w:szCs w:val="21"/>
          <w:highlight w:val="none"/>
        </w:rPr>
      </w:pPr>
    </w:p>
    <w:p w14:paraId="6EE531B0">
      <w:pPr>
        <w:pStyle w:val="35"/>
        <w:rPr>
          <w:rFonts w:cs="微软雅黑" w:asciiTheme="minorEastAsia" w:hAnsiTheme="minorEastAsia" w:eastAsiaTheme="minorEastAsia"/>
          <w:b/>
          <w:color w:val="auto"/>
          <w:szCs w:val="21"/>
          <w:highlight w:val="none"/>
        </w:rPr>
      </w:pPr>
    </w:p>
    <w:p w14:paraId="0B958220">
      <w:pPr>
        <w:pStyle w:val="35"/>
        <w:rPr>
          <w:rFonts w:cs="微软雅黑" w:asciiTheme="minorEastAsia" w:hAnsiTheme="minorEastAsia" w:eastAsiaTheme="minorEastAsia"/>
          <w:b/>
          <w:color w:val="auto"/>
          <w:szCs w:val="21"/>
          <w:highlight w:val="none"/>
        </w:rPr>
      </w:pPr>
    </w:p>
    <w:p w14:paraId="4480BE46">
      <w:pPr>
        <w:pStyle w:val="35"/>
        <w:rPr>
          <w:rFonts w:cs="微软雅黑" w:asciiTheme="minorEastAsia" w:hAnsiTheme="minorEastAsia" w:eastAsiaTheme="minorEastAsia"/>
          <w:b/>
          <w:color w:val="auto"/>
          <w:szCs w:val="21"/>
          <w:highlight w:val="none"/>
        </w:rPr>
      </w:pPr>
    </w:p>
    <w:p w14:paraId="34A89896">
      <w:pPr>
        <w:pStyle w:val="14"/>
        <w:rPr>
          <w:rFonts w:cs="微软雅黑" w:asciiTheme="minorEastAsia" w:hAnsiTheme="minorEastAsia" w:eastAsiaTheme="minorEastAsia"/>
          <w:b/>
          <w:color w:val="auto"/>
          <w:szCs w:val="21"/>
          <w:highlight w:val="none"/>
        </w:rPr>
      </w:pPr>
    </w:p>
    <w:p w14:paraId="6DC99AEF">
      <w:pPr>
        <w:pStyle w:val="15"/>
        <w:rPr>
          <w:rFonts w:cs="微软雅黑" w:asciiTheme="minorEastAsia" w:hAnsiTheme="minorEastAsia" w:eastAsiaTheme="minorEastAsia"/>
          <w:b/>
          <w:color w:val="auto"/>
          <w:szCs w:val="21"/>
          <w:highlight w:val="none"/>
        </w:rPr>
      </w:pPr>
    </w:p>
    <w:p w14:paraId="1A29633E">
      <w:pPr>
        <w:pStyle w:val="14"/>
        <w:rPr>
          <w:rFonts w:cs="微软雅黑" w:asciiTheme="minorEastAsia" w:hAnsiTheme="minorEastAsia" w:eastAsiaTheme="minorEastAsia"/>
          <w:b/>
          <w:color w:val="auto"/>
          <w:szCs w:val="21"/>
          <w:highlight w:val="none"/>
        </w:rPr>
      </w:pPr>
    </w:p>
    <w:p w14:paraId="4A5AFB62">
      <w:pPr>
        <w:pStyle w:val="15"/>
        <w:rPr>
          <w:rFonts w:cs="微软雅黑" w:asciiTheme="minorEastAsia" w:hAnsiTheme="minorEastAsia" w:eastAsiaTheme="minorEastAsia"/>
          <w:b/>
          <w:color w:val="auto"/>
          <w:szCs w:val="21"/>
          <w:highlight w:val="none"/>
        </w:rPr>
      </w:pPr>
    </w:p>
    <w:p w14:paraId="4F36E8DF">
      <w:pPr>
        <w:pStyle w:val="14"/>
        <w:rPr>
          <w:rFonts w:cs="微软雅黑" w:asciiTheme="minorEastAsia" w:hAnsiTheme="minorEastAsia" w:eastAsiaTheme="minorEastAsia"/>
          <w:b/>
          <w:color w:val="auto"/>
          <w:szCs w:val="21"/>
          <w:highlight w:val="none"/>
        </w:rPr>
      </w:pPr>
    </w:p>
    <w:p w14:paraId="12653A73">
      <w:pPr>
        <w:pStyle w:val="15"/>
        <w:ind w:left="0" w:leftChars="0" w:firstLine="0" w:firstLineChars="0"/>
        <w:rPr>
          <w:rFonts w:cs="微软雅黑" w:asciiTheme="minorEastAsia" w:hAnsiTheme="minorEastAsia" w:eastAsiaTheme="minorEastAsia"/>
          <w:b/>
          <w:color w:val="auto"/>
          <w:szCs w:val="21"/>
          <w:highlight w:val="none"/>
        </w:rPr>
      </w:pPr>
    </w:p>
    <w:p w14:paraId="659268BC">
      <w:pPr>
        <w:pStyle w:val="14"/>
        <w:rPr>
          <w:rFonts w:cs="微软雅黑" w:asciiTheme="minorEastAsia" w:hAnsiTheme="minorEastAsia" w:eastAsiaTheme="minorEastAsia"/>
          <w:b/>
          <w:color w:val="auto"/>
          <w:szCs w:val="21"/>
          <w:highlight w:val="none"/>
        </w:rPr>
      </w:pPr>
    </w:p>
    <w:p w14:paraId="373E913E">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投标函格式：</w:t>
      </w:r>
    </w:p>
    <w:p w14:paraId="0D72152B">
      <w:pPr>
        <w:snapToGrid w:val="0"/>
        <w:spacing w:line="360" w:lineRule="auto"/>
        <w:ind w:right="42" w:rightChars="20" w:firstLine="422" w:firstLineChars="200"/>
        <w:jc w:val="cente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投标函</w:t>
      </w:r>
    </w:p>
    <w:p w14:paraId="436ADEE1">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致：</w:t>
      </w:r>
      <w:r>
        <w:rPr>
          <w:rFonts w:hint="eastAsia" w:asciiTheme="minorEastAsia" w:hAnsiTheme="minorEastAsia" w:eastAsiaTheme="minorEastAsia"/>
          <w:color w:val="auto"/>
          <w:szCs w:val="21"/>
          <w:highlight w:val="none"/>
          <w:u w:val="single"/>
        </w:rPr>
        <w:t>（招标采购单位名称）</w:t>
      </w:r>
      <w:r>
        <w:rPr>
          <w:rFonts w:hint="eastAsia" w:asciiTheme="minorEastAsia" w:hAnsiTheme="minorEastAsia" w:eastAsiaTheme="minorEastAsia"/>
          <w:color w:val="auto"/>
          <w:szCs w:val="21"/>
          <w:highlight w:val="none"/>
        </w:rPr>
        <w:t>：</w:t>
      </w:r>
    </w:p>
    <w:p w14:paraId="23103FCA">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根据贵方为</w:t>
      </w:r>
      <w:r>
        <w:rPr>
          <w:rFonts w:asciiTheme="minorEastAsia" w:hAnsiTheme="minorEastAsia" w:eastAsiaTheme="minorEastAsia"/>
          <w:color w:val="auto"/>
          <w:szCs w:val="21"/>
          <w:highlight w:val="none"/>
        </w:rPr>
        <w:t>____________________</w:t>
      </w:r>
      <w:r>
        <w:rPr>
          <w:rFonts w:hint="eastAsia" w:asciiTheme="minorEastAsia" w:hAnsiTheme="minorEastAsia" w:eastAsiaTheme="minorEastAsia"/>
          <w:color w:val="auto"/>
          <w:szCs w:val="21"/>
          <w:highlight w:val="none"/>
        </w:rPr>
        <w:t>项目的招标公告</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投标邀请书（项目编号：</w:t>
      </w:r>
      <w:r>
        <w:rPr>
          <w:rFonts w:asciiTheme="minorEastAsia" w:hAnsiTheme="minorEastAsia" w:eastAsiaTheme="minorEastAsia"/>
          <w:color w:val="auto"/>
          <w:szCs w:val="21"/>
          <w:highlight w:val="none"/>
        </w:rPr>
        <w:t>_____</w:t>
      </w:r>
      <w:r>
        <w:rPr>
          <w:rFonts w:hint="eastAsia" w:asciiTheme="minorEastAsia" w:hAnsiTheme="minorEastAsia" w:eastAsiaTheme="minorEastAsia"/>
          <w:color w:val="auto"/>
          <w:szCs w:val="21"/>
          <w:highlight w:val="none"/>
        </w:rPr>
        <w:t>），签字代表</w:t>
      </w:r>
      <w:r>
        <w:rPr>
          <w:rFonts w:hint="eastAsia" w:asciiTheme="minorEastAsia" w:hAnsiTheme="minorEastAsia" w:eastAsiaTheme="minorEastAsia"/>
          <w:color w:val="auto"/>
          <w:szCs w:val="21"/>
          <w:highlight w:val="none"/>
          <w:u w:val="single"/>
        </w:rPr>
        <w:t>（全名）</w:t>
      </w:r>
      <w:r>
        <w:rPr>
          <w:rFonts w:hint="eastAsia" w:asciiTheme="minorEastAsia" w:hAnsiTheme="minorEastAsia" w:eastAsiaTheme="minorEastAsia"/>
          <w:color w:val="auto"/>
          <w:szCs w:val="21"/>
          <w:highlight w:val="none"/>
        </w:rPr>
        <w:t>经正式授权并代表投标人</w:t>
      </w:r>
      <w:r>
        <w:rPr>
          <w:rFonts w:hint="eastAsia" w:asciiTheme="minorEastAsia" w:hAnsiTheme="minorEastAsia" w:eastAsiaTheme="minorEastAsia"/>
          <w:color w:val="auto"/>
          <w:szCs w:val="21"/>
          <w:highlight w:val="none"/>
          <w:u w:val="single"/>
        </w:rPr>
        <w:t>（投标人名称）</w:t>
      </w:r>
      <w:r>
        <w:rPr>
          <w:rFonts w:hint="eastAsia" w:asciiTheme="minorEastAsia" w:hAnsiTheme="minorEastAsia" w:eastAsiaTheme="minorEastAsia"/>
          <w:color w:val="auto"/>
          <w:szCs w:val="21"/>
          <w:highlight w:val="none"/>
        </w:rPr>
        <w:t>提交资信商务文件、技术文件及投标报价文件电子投标各一份。</w:t>
      </w:r>
    </w:p>
    <w:p w14:paraId="32FCB67F">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据此函，签字代表宣布同意如下：</w:t>
      </w:r>
    </w:p>
    <w:p w14:paraId="538BFDBE">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rPr>
        <w:t>、投标人已详细审查全部“招标文件”，包括修改文件（如有的话）以及全部参考资料和有关附件，已经了解我方对于招标文件、采购过程、采购结果有依法进行询问、质疑、投诉的权利及相关渠道和要求。</w:t>
      </w:r>
    </w:p>
    <w:p w14:paraId="5D644459">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rPr>
        <w:t>、投标人在投标之前已经与贵方进行了充分的沟通，完全理解并接受招标文件的各项规定和要求，对招标文件的合理性、合法性不再有异议。</w:t>
      </w:r>
    </w:p>
    <w:p w14:paraId="0B5280CF">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3</w:t>
      </w:r>
      <w:r>
        <w:rPr>
          <w:rFonts w:hint="eastAsia" w:asciiTheme="minorEastAsia" w:hAnsiTheme="minorEastAsia" w:eastAsiaTheme="minorEastAsia"/>
          <w:color w:val="auto"/>
          <w:szCs w:val="21"/>
          <w:highlight w:val="none"/>
        </w:rPr>
        <w:t>、本投标有效期自开标日起</w:t>
      </w:r>
      <w:r>
        <w:rPr>
          <w:rFonts w:asciiTheme="minorEastAsia" w:hAnsiTheme="minorEastAsia" w:eastAsiaTheme="minorEastAsia"/>
          <w:color w:val="auto"/>
          <w:szCs w:val="21"/>
          <w:highlight w:val="none"/>
        </w:rPr>
        <w:t xml:space="preserve"> ______</w:t>
      </w:r>
      <w:r>
        <w:rPr>
          <w:rFonts w:hint="eastAsia" w:asciiTheme="minorEastAsia" w:hAnsiTheme="minorEastAsia" w:eastAsiaTheme="minorEastAsia"/>
          <w:color w:val="auto"/>
          <w:szCs w:val="21"/>
          <w:highlight w:val="none"/>
        </w:rPr>
        <w:t>个日。</w:t>
      </w:r>
    </w:p>
    <w:p w14:paraId="16FD201D">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4</w:t>
      </w:r>
      <w:r>
        <w:rPr>
          <w:rFonts w:hint="eastAsia" w:asciiTheme="minorEastAsia" w:hAnsiTheme="minorEastAsia" w:eastAsiaTheme="minorEastAsia"/>
          <w:color w:val="auto"/>
          <w:szCs w:val="21"/>
          <w:highlight w:val="none"/>
        </w:rPr>
        <w:t>、如中标，本投标文件至本项目合同履行完毕止均保持有效，本投标人将按“招标文件”及政府采购法律、法规的规定履行合同责任和义务。</w:t>
      </w:r>
    </w:p>
    <w:p w14:paraId="7A8EAE62">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5</w:t>
      </w:r>
      <w:r>
        <w:rPr>
          <w:rFonts w:hint="eastAsia" w:asciiTheme="minorEastAsia" w:hAnsiTheme="minorEastAsia" w:eastAsiaTheme="minorEastAsia"/>
          <w:color w:val="auto"/>
          <w:szCs w:val="21"/>
          <w:highlight w:val="none"/>
        </w:rPr>
        <w:t>、投标人同意按照贵方要求提供与投标有关的一切数据或资料。</w:t>
      </w:r>
    </w:p>
    <w:p w14:paraId="55D16E32">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6</w:t>
      </w:r>
      <w:r>
        <w:rPr>
          <w:rFonts w:hint="eastAsia" w:asciiTheme="minorEastAsia" w:hAnsiTheme="minorEastAsia" w:eastAsiaTheme="minorEastAsia"/>
          <w:color w:val="auto"/>
          <w:szCs w:val="21"/>
          <w:highlight w:val="none"/>
        </w:rPr>
        <w:t>、与本投标有关的一切正式往来信函请寄：</w:t>
      </w:r>
    </w:p>
    <w:p w14:paraId="63B74297">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p>
    <w:p w14:paraId="0D3C451D">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地址： 邮编：</w:t>
      </w:r>
      <w:r>
        <w:rPr>
          <w:rFonts w:asciiTheme="minorEastAsia" w:hAnsiTheme="minorEastAsia" w:eastAsiaTheme="minorEastAsia"/>
          <w:color w:val="auto"/>
          <w:szCs w:val="21"/>
          <w:highlight w:val="none"/>
        </w:rPr>
        <w:t xml:space="preserve">__________   </w:t>
      </w:r>
      <w:r>
        <w:rPr>
          <w:rFonts w:hint="eastAsia" w:asciiTheme="minorEastAsia" w:hAnsiTheme="minorEastAsia" w:eastAsiaTheme="minorEastAsia"/>
          <w:color w:val="auto"/>
          <w:szCs w:val="21"/>
          <w:highlight w:val="none"/>
        </w:rPr>
        <w:t>电话：</w:t>
      </w:r>
      <w:r>
        <w:rPr>
          <w:rFonts w:asciiTheme="minorEastAsia" w:hAnsiTheme="minorEastAsia" w:eastAsiaTheme="minorEastAsia"/>
          <w:color w:val="auto"/>
          <w:szCs w:val="21"/>
          <w:highlight w:val="none"/>
        </w:rPr>
        <w:t>______________</w:t>
      </w:r>
    </w:p>
    <w:p w14:paraId="64E60854">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传真：</w:t>
      </w:r>
      <w:r>
        <w:rPr>
          <w:rFonts w:asciiTheme="minorEastAsia" w:hAnsiTheme="minorEastAsia" w:eastAsiaTheme="minorEastAsia"/>
          <w:color w:val="auto"/>
          <w:szCs w:val="21"/>
          <w:highlight w:val="none"/>
        </w:rPr>
        <w:t>______________</w:t>
      </w:r>
      <w:r>
        <w:rPr>
          <w:rFonts w:hint="eastAsia" w:asciiTheme="minorEastAsia" w:hAnsiTheme="minorEastAsia" w:eastAsiaTheme="minorEastAsia"/>
          <w:color w:val="auto"/>
          <w:szCs w:val="21"/>
          <w:highlight w:val="none"/>
        </w:rPr>
        <w:t>投标人代表姓名</w:t>
      </w:r>
      <w:r>
        <w:rPr>
          <w:rFonts w:asciiTheme="minorEastAsia" w:hAnsiTheme="minorEastAsia" w:eastAsiaTheme="minorEastAsia"/>
          <w:color w:val="auto"/>
          <w:szCs w:val="21"/>
          <w:highlight w:val="none"/>
        </w:rPr>
        <w:t xml:space="preserve"> ___________  </w:t>
      </w:r>
      <w:r>
        <w:rPr>
          <w:rFonts w:hint="eastAsia" w:asciiTheme="minorEastAsia" w:hAnsiTheme="minorEastAsia" w:eastAsiaTheme="minorEastAsia"/>
          <w:color w:val="auto"/>
          <w:szCs w:val="21"/>
          <w:highlight w:val="none"/>
        </w:rPr>
        <w:t>职务：</w:t>
      </w:r>
      <w:r>
        <w:rPr>
          <w:rFonts w:asciiTheme="minorEastAsia" w:hAnsiTheme="minorEastAsia" w:eastAsiaTheme="minorEastAsia"/>
          <w:color w:val="auto"/>
          <w:szCs w:val="21"/>
          <w:highlight w:val="none"/>
        </w:rPr>
        <w:t>_____________</w:t>
      </w:r>
    </w:p>
    <w:p w14:paraId="50B36ABA">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投标人名称</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shd w:val="clear" w:color="auto" w:fill="FFFFFF"/>
        </w:rPr>
        <w:t>CA签章</w:t>
      </w:r>
      <w:r>
        <w:rPr>
          <w:rFonts w:asciiTheme="minorEastAsia" w:hAnsiTheme="minorEastAsia" w:eastAsiaTheme="minorEastAsia"/>
          <w:color w:val="auto"/>
          <w:szCs w:val="21"/>
          <w:highlight w:val="none"/>
        </w:rPr>
        <w:t>): _____________</w:t>
      </w:r>
    </w:p>
    <w:p w14:paraId="58BED22A">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开户银行：银行帐号：</w:t>
      </w:r>
    </w:p>
    <w:p w14:paraId="172E2B10">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法定代表人或其委托代理人签名（或盖章）</w:t>
      </w:r>
      <w:r>
        <w:rPr>
          <w:rFonts w:asciiTheme="minorEastAsia" w:hAnsiTheme="minorEastAsia" w:eastAsiaTheme="minorEastAsia"/>
          <w:color w:val="auto"/>
          <w:szCs w:val="21"/>
          <w:highlight w:val="none"/>
        </w:rPr>
        <w:t xml:space="preserve">:___________                      </w:t>
      </w:r>
    </w:p>
    <w:p w14:paraId="4ABDF338">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日期</w:t>
      </w:r>
      <w:r>
        <w:rPr>
          <w:rFonts w:asciiTheme="minorEastAsia" w:hAnsiTheme="minorEastAsia" w:eastAsiaTheme="minorEastAsia"/>
          <w:color w:val="auto"/>
          <w:szCs w:val="21"/>
          <w:highlight w:val="none"/>
        </w:rPr>
        <w:t>:_____</w:t>
      </w:r>
      <w:r>
        <w:rPr>
          <w:rFonts w:hint="eastAsia" w:asciiTheme="minorEastAsia" w:hAnsiTheme="minorEastAsia" w:eastAsiaTheme="minorEastAsia"/>
          <w:color w:val="auto"/>
          <w:szCs w:val="21"/>
          <w:highlight w:val="none"/>
        </w:rPr>
        <w:t>年</w:t>
      </w:r>
      <w:r>
        <w:rPr>
          <w:rFonts w:asciiTheme="minorEastAsia" w:hAnsiTheme="minorEastAsia" w:eastAsiaTheme="minorEastAsia"/>
          <w:color w:val="auto"/>
          <w:szCs w:val="21"/>
          <w:highlight w:val="none"/>
        </w:rPr>
        <w:t>___</w:t>
      </w:r>
      <w:r>
        <w:rPr>
          <w:rFonts w:hint="eastAsia" w:asciiTheme="minorEastAsia" w:hAnsiTheme="minorEastAsia" w:eastAsiaTheme="minorEastAsia"/>
          <w:color w:val="auto"/>
          <w:szCs w:val="21"/>
          <w:highlight w:val="none"/>
        </w:rPr>
        <w:t>月</w:t>
      </w:r>
      <w:r>
        <w:rPr>
          <w:rFonts w:asciiTheme="minorEastAsia" w:hAnsiTheme="minorEastAsia" w:eastAsiaTheme="minorEastAsia"/>
          <w:color w:val="auto"/>
          <w:szCs w:val="21"/>
          <w:highlight w:val="none"/>
        </w:rPr>
        <w:t>___</w:t>
      </w:r>
      <w:r>
        <w:rPr>
          <w:rFonts w:hint="eastAsia" w:asciiTheme="minorEastAsia" w:hAnsiTheme="minorEastAsia" w:eastAsiaTheme="minorEastAsia"/>
          <w:color w:val="auto"/>
          <w:szCs w:val="21"/>
          <w:highlight w:val="none"/>
        </w:rPr>
        <w:t>日</w:t>
      </w:r>
    </w:p>
    <w:p w14:paraId="6297157A">
      <w:pPr>
        <w:pStyle w:val="51"/>
        <w:ind w:right="42" w:rightChars="20" w:firstLine="464"/>
        <w:rPr>
          <w:rFonts w:asciiTheme="minorEastAsia" w:hAnsiTheme="minorEastAsia" w:eastAsiaTheme="minorEastAsia"/>
          <w:color w:val="auto"/>
          <w:szCs w:val="21"/>
          <w:highlight w:val="none"/>
        </w:rPr>
      </w:pPr>
    </w:p>
    <w:p w14:paraId="11554CDE">
      <w:pPr>
        <w:pStyle w:val="51"/>
        <w:ind w:right="42" w:rightChars="20" w:firstLine="464"/>
        <w:rPr>
          <w:rFonts w:asciiTheme="minorEastAsia" w:hAnsiTheme="minorEastAsia" w:eastAsiaTheme="minorEastAsia"/>
          <w:color w:val="auto"/>
          <w:szCs w:val="21"/>
          <w:highlight w:val="none"/>
        </w:rPr>
      </w:pPr>
    </w:p>
    <w:p w14:paraId="1E970A71">
      <w:pPr>
        <w:pStyle w:val="64"/>
        <w:rPr>
          <w:rFonts w:asciiTheme="minorEastAsia" w:hAnsiTheme="minorEastAsia" w:eastAsiaTheme="minorEastAsia"/>
          <w:color w:val="auto"/>
          <w:szCs w:val="21"/>
          <w:highlight w:val="none"/>
        </w:rPr>
      </w:pPr>
    </w:p>
    <w:p w14:paraId="10AA1659">
      <w:pPr>
        <w:rPr>
          <w:rFonts w:asciiTheme="minorEastAsia" w:hAnsiTheme="minorEastAsia" w:eastAsiaTheme="minorEastAsia"/>
          <w:color w:val="auto"/>
          <w:szCs w:val="21"/>
          <w:highlight w:val="none"/>
        </w:rPr>
      </w:pPr>
    </w:p>
    <w:p w14:paraId="6EDA6330">
      <w:pPr>
        <w:pStyle w:val="21"/>
        <w:rPr>
          <w:rFonts w:asciiTheme="minorEastAsia" w:hAnsiTheme="minorEastAsia" w:eastAsiaTheme="minorEastAsia"/>
          <w:color w:val="auto"/>
          <w:szCs w:val="21"/>
          <w:highlight w:val="none"/>
        </w:rPr>
      </w:pPr>
    </w:p>
    <w:p w14:paraId="6711F063">
      <w:pPr>
        <w:pStyle w:val="21"/>
        <w:rPr>
          <w:rFonts w:asciiTheme="minorEastAsia" w:hAnsiTheme="minorEastAsia" w:eastAsiaTheme="minorEastAsia"/>
          <w:color w:val="auto"/>
          <w:szCs w:val="21"/>
          <w:highlight w:val="none"/>
        </w:rPr>
      </w:pPr>
    </w:p>
    <w:p w14:paraId="26CD693E">
      <w:pPr>
        <w:pStyle w:val="21"/>
        <w:rPr>
          <w:rFonts w:asciiTheme="minorEastAsia" w:hAnsiTheme="minorEastAsia" w:eastAsiaTheme="minorEastAsia"/>
          <w:color w:val="auto"/>
          <w:szCs w:val="21"/>
          <w:highlight w:val="none"/>
        </w:rPr>
      </w:pPr>
    </w:p>
    <w:p w14:paraId="19593D76">
      <w:pPr>
        <w:pStyle w:val="21"/>
        <w:rPr>
          <w:rFonts w:asciiTheme="minorEastAsia" w:hAnsiTheme="minorEastAsia" w:eastAsiaTheme="minorEastAsia"/>
          <w:color w:val="auto"/>
          <w:szCs w:val="21"/>
          <w:highlight w:val="none"/>
        </w:rPr>
      </w:pPr>
    </w:p>
    <w:p w14:paraId="6CB4DF73">
      <w:pPr>
        <w:snapToGrid w:val="0"/>
        <w:spacing w:line="360" w:lineRule="auto"/>
        <w:ind w:right="42" w:rightChars="20"/>
        <w:rPr>
          <w:rFonts w:asciiTheme="minorEastAsia" w:hAnsiTheme="minorEastAsia" w:eastAsiaTheme="minorEastAsia"/>
          <w:color w:val="auto"/>
          <w:szCs w:val="21"/>
          <w:highlight w:val="none"/>
        </w:rPr>
      </w:pPr>
    </w:p>
    <w:p w14:paraId="58B81697">
      <w:pPr>
        <w:snapToGrid w:val="0"/>
        <w:spacing w:line="360" w:lineRule="auto"/>
        <w:ind w:right="42" w:rightChars="20" w:firstLine="422" w:firstLineChars="200"/>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b/>
          <w:bCs/>
          <w:color w:val="auto"/>
          <w:szCs w:val="21"/>
          <w:highlight w:val="none"/>
        </w:rPr>
        <w:t>开标一览表</w:t>
      </w:r>
    </w:p>
    <w:p w14:paraId="68C72C31">
      <w:pPr>
        <w:snapToGrid w:val="0"/>
        <w:spacing w:line="360" w:lineRule="auto"/>
        <w:ind w:right="42" w:rightChars="20" w:firstLine="420" w:firstLineChars="200"/>
        <w:jc w:val="left"/>
        <w:rPr>
          <w:rFonts w:asciiTheme="minorEastAsia" w:hAnsiTheme="minorEastAsia" w:eastAsiaTheme="minorEastAsia"/>
          <w:color w:val="auto"/>
          <w:szCs w:val="21"/>
          <w:highlight w:val="none"/>
        </w:rPr>
      </w:pPr>
    </w:p>
    <w:p w14:paraId="14B7C14B">
      <w:pPr>
        <w:snapToGrid w:val="0"/>
        <w:spacing w:line="360" w:lineRule="auto"/>
        <w:ind w:right="42" w:rightChars="20"/>
        <w:rPr>
          <w:rFonts w:hint="default" w:asciiTheme="minorEastAsia" w:hAnsiTheme="minorEastAsia" w:eastAsiaTheme="minorEastAsia"/>
          <w:color w:val="auto"/>
          <w:szCs w:val="21"/>
          <w:highlight w:val="none"/>
          <w:lang w:val="en-US" w:eastAsia="zh-CN"/>
        </w:rPr>
      </w:pPr>
      <w:r>
        <w:rPr>
          <w:rFonts w:asciiTheme="minorEastAsia" w:hAnsiTheme="minorEastAsia" w:eastAsiaTheme="minorEastAsia"/>
          <w:color w:val="auto"/>
          <w:szCs w:val="21"/>
          <w:highlight w:val="none"/>
        </w:rPr>
        <w:t>招标编号： 投标人名称：</w:t>
      </w:r>
      <w:r>
        <w:rPr>
          <w:rFonts w:hint="eastAsia" w:asciiTheme="minorEastAsia" w:hAnsiTheme="minorEastAsia" w:eastAsiaTheme="minorEastAsia"/>
          <w:color w:val="auto"/>
          <w:szCs w:val="21"/>
          <w:highlight w:val="none"/>
          <w:lang w:val="en-US" w:eastAsia="zh-CN"/>
        </w:rPr>
        <w:t xml:space="preserve">     </w:t>
      </w:r>
    </w:p>
    <w:tbl>
      <w:tblPr>
        <w:tblStyle w:val="52"/>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1527"/>
        <w:gridCol w:w="5137"/>
      </w:tblGrid>
      <w:tr w14:paraId="53863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180" w:type="dxa"/>
            <w:vAlign w:val="center"/>
          </w:tcPr>
          <w:p w14:paraId="3491AF2F">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名称</w:t>
            </w:r>
          </w:p>
        </w:tc>
        <w:tc>
          <w:tcPr>
            <w:tcW w:w="1527" w:type="dxa"/>
            <w:vAlign w:val="center"/>
          </w:tcPr>
          <w:p w14:paraId="0C9EE885">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 xml:space="preserve">数量 </w:t>
            </w:r>
          </w:p>
        </w:tc>
        <w:tc>
          <w:tcPr>
            <w:tcW w:w="5137" w:type="dxa"/>
            <w:vAlign w:val="center"/>
          </w:tcPr>
          <w:p w14:paraId="6B173567">
            <w:pPr>
              <w:snapToGrid w:val="0"/>
              <w:spacing w:line="36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shd w:val="clear" w:color="auto" w:fill="FFFFFF"/>
                <w:lang w:val="en-US" w:eastAsia="zh-CN"/>
              </w:rPr>
              <w:t xml:space="preserve"> </w:t>
            </w:r>
            <w:r>
              <w:rPr>
                <w:rFonts w:hint="eastAsia" w:ascii="宋体" w:hAnsi="宋体"/>
                <w:color w:val="auto"/>
                <w:szCs w:val="21"/>
                <w:highlight w:val="none"/>
                <w:shd w:val="clear" w:color="auto" w:fill="FFFFFF"/>
              </w:rPr>
              <w:t>投标报总价</w:t>
            </w:r>
            <w:r>
              <w:rPr>
                <w:rFonts w:hint="eastAsia" w:ascii="宋体" w:hAnsi="宋体"/>
                <w:color w:val="auto"/>
                <w:szCs w:val="21"/>
                <w:highlight w:val="none"/>
                <w:shd w:val="clear" w:color="auto" w:fill="FFFFFF"/>
                <w:lang w:eastAsia="zh-CN"/>
              </w:rPr>
              <w:t>（</w:t>
            </w:r>
            <w:r>
              <w:rPr>
                <w:rFonts w:hint="eastAsia" w:ascii="宋体" w:hAnsi="宋体"/>
                <w:color w:val="auto"/>
                <w:szCs w:val="21"/>
                <w:highlight w:val="none"/>
                <w:shd w:val="clear" w:color="auto" w:fill="FFFFFF"/>
                <w:lang w:val="en-US" w:eastAsia="zh-CN"/>
              </w:rPr>
              <w:t>元</w:t>
            </w:r>
            <w:r>
              <w:rPr>
                <w:rFonts w:hint="eastAsia" w:ascii="宋体" w:hAnsi="宋体"/>
                <w:color w:val="auto"/>
                <w:szCs w:val="21"/>
                <w:highlight w:val="none"/>
                <w:shd w:val="clear" w:color="auto" w:fill="FFFFFF"/>
                <w:lang w:eastAsia="zh-CN"/>
              </w:rPr>
              <w:t>）</w:t>
            </w:r>
          </w:p>
        </w:tc>
      </w:tr>
      <w:tr w14:paraId="0AB1B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jc w:val="center"/>
        </w:trPr>
        <w:tc>
          <w:tcPr>
            <w:tcW w:w="2180" w:type="dxa"/>
            <w:vAlign w:val="center"/>
          </w:tcPr>
          <w:p w14:paraId="1AC616A1">
            <w:pPr>
              <w:snapToGrid w:val="0"/>
              <w:spacing w:line="360" w:lineRule="auto"/>
              <w:jc w:val="center"/>
              <w:rPr>
                <w:rFonts w:hint="eastAsia" w:ascii="宋体" w:hAnsi="宋体" w:eastAsia="宋体"/>
                <w:color w:val="auto"/>
                <w:szCs w:val="21"/>
                <w:highlight w:val="none"/>
                <w:lang w:eastAsia="zh-CN"/>
              </w:rPr>
            </w:pPr>
            <w:r>
              <w:rPr>
                <w:rFonts w:hint="eastAsia" w:ascii="宋体" w:hAnsi="宋体" w:cs="宋体"/>
                <w:i w:val="0"/>
                <w:iCs w:val="0"/>
                <w:caps w:val="0"/>
                <w:color w:val="auto"/>
                <w:spacing w:val="0"/>
                <w:sz w:val="21"/>
                <w:szCs w:val="21"/>
                <w:highlight w:val="none"/>
                <w:lang w:val="en-US" w:eastAsia="zh-CN"/>
              </w:rPr>
              <w:t>秀洲区2026年农作物病虫害统防统治与绿色防控项目</w:t>
            </w:r>
          </w:p>
        </w:tc>
        <w:tc>
          <w:tcPr>
            <w:tcW w:w="1527" w:type="dxa"/>
            <w:vAlign w:val="center"/>
          </w:tcPr>
          <w:p w14:paraId="197F49B4">
            <w:pPr>
              <w:snapToGrid w:val="0"/>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1批</w:t>
            </w:r>
          </w:p>
        </w:tc>
        <w:tc>
          <w:tcPr>
            <w:tcW w:w="5137" w:type="dxa"/>
            <w:vAlign w:val="center"/>
          </w:tcPr>
          <w:p w14:paraId="67AF120B">
            <w:pPr>
              <w:adjustRightInd w:val="0"/>
              <w:spacing w:line="440" w:lineRule="exact"/>
              <w:jc w:val="left"/>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大写（人民币）：</w:t>
            </w:r>
            <w:r>
              <w:rPr>
                <w:rFonts w:hint="eastAsia" w:ascii="宋体" w:hAnsi="宋体"/>
                <w:color w:val="auto"/>
                <w:szCs w:val="21"/>
                <w:highlight w:val="none"/>
                <w:u w:val="single"/>
                <w:shd w:val="clear" w:color="auto" w:fill="FFFFFF"/>
              </w:rPr>
              <w:t xml:space="preserve">            </w:t>
            </w:r>
          </w:p>
          <w:p w14:paraId="0CA53325">
            <w:pPr>
              <w:snapToGrid w:val="0"/>
              <w:spacing w:line="360" w:lineRule="auto"/>
              <w:jc w:val="left"/>
              <w:rPr>
                <w:rFonts w:ascii="宋体" w:hAnsi="宋体"/>
                <w:color w:val="auto"/>
                <w:szCs w:val="21"/>
                <w:highlight w:val="none"/>
              </w:rPr>
            </w:pPr>
            <w:r>
              <w:rPr>
                <w:rFonts w:hint="eastAsia" w:ascii="宋体" w:hAnsi="宋体"/>
                <w:color w:val="auto"/>
                <w:szCs w:val="21"/>
                <w:highlight w:val="none"/>
                <w:shd w:val="clear" w:color="auto" w:fill="FFFFFF"/>
              </w:rPr>
              <w:t>小写：¥</w:t>
            </w:r>
            <w:r>
              <w:rPr>
                <w:rFonts w:hint="eastAsia" w:ascii="宋体" w:hAnsi="宋体"/>
                <w:color w:val="auto"/>
                <w:szCs w:val="21"/>
                <w:highlight w:val="none"/>
                <w:u w:val="single"/>
                <w:shd w:val="clear" w:color="auto" w:fill="FFFFFF"/>
              </w:rPr>
              <w:t xml:space="preserve">                    </w:t>
            </w:r>
          </w:p>
        </w:tc>
      </w:tr>
      <w:tr w14:paraId="59CA2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2180" w:type="dxa"/>
            <w:vAlign w:val="center"/>
          </w:tcPr>
          <w:p w14:paraId="55A55BA2">
            <w:pPr>
              <w:snapToGrid w:val="0"/>
              <w:spacing w:line="360" w:lineRule="auto"/>
              <w:jc w:val="center"/>
              <w:rPr>
                <w:rFonts w:hint="eastAsia" w:ascii="宋体" w:hAnsi="宋体" w:eastAsia="宋体"/>
                <w:color w:val="auto"/>
                <w:szCs w:val="21"/>
                <w:highlight w:val="none"/>
                <w:lang w:eastAsia="zh-CN"/>
              </w:rPr>
            </w:pPr>
            <w:r>
              <w:rPr>
                <w:rFonts w:hint="eastAsia" w:asciiTheme="minorEastAsia" w:hAnsiTheme="minorEastAsia" w:eastAsiaTheme="minorEastAsia"/>
                <w:color w:val="auto"/>
                <w:szCs w:val="21"/>
                <w:highlight w:val="none"/>
                <w:lang w:val="en-US" w:eastAsia="zh-CN"/>
              </w:rPr>
              <w:t>项目负责人</w:t>
            </w:r>
          </w:p>
        </w:tc>
        <w:tc>
          <w:tcPr>
            <w:tcW w:w="6664" w:type="dxa"/>
            <w:gridSpan w:val="2"/>
            <w:vAlign w:val="center"/>
          </w:tcPr>
          <w:p w14:paraId="2B34A247">
            <w:pPr>
              <w:snapToGrid w:val="0"/>
              <w:spacing w:line="360" w:lineRule="auto"/>
              <w:jc w:val="left"/>
              <w:rPr>
                <w:rFonts w:ascii="宋体" w:hAnsi="宋体"/>
                <w:color w:val="auto"/>
                <w:szCs w:val="21"/>
                <w:highlight w:val="none"/>
                <w:shd w:val="clear" w:color="auto" w:fill="FFFFFF"/>
              </w:rPr>
            </w:pPr>
          </w:p>
        </w:tc>
      </w:tr>
      <w:tr w14:paraId="07642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2180" w:type="dxa"/>
            <w:vAlign w:val="center"/>
          </w:tcPr>
          <w:p w14:paraId="2489261D">
            <w:pPr>
              <w:snapToGrid w:val="0"/>
              <w:spacing w:line="360" w:lineRule="auto"/>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备注（如果有）</w:t>
            </w:r>
          </w:p>
        </w:tc>
        <w:tc>
          <w:tcPr>
            <w:tcW w:w="6664" w:type="dxa"/>
            <w:gridSpan w:val="2"/>
            <w:vAlign w:val="center"/>
          </w:tcPr>
          <w:p w14:paraId="5819D729">
            <w:pPr>
              <w:snapToGrid w:val="0"/>
              <w:spacing w:line="360" w:lineRule="auto"/>
              <w:jc w:val="left"/>
              <w:rPr>
                <w:rFonts w:ascii="宋体" w:hAnsi="宋体"/>
                <w:color w:val="auto"/>
                <w:szCs w:val="21"/>
                <w:highlight w:val="none"/>
                <w:shd w:val="clear" w:color="auto" w:fill="FFFFFF"/>
              </w:rPr>
            </w:pPr>
          </w:p>
        </w:tc>
      </w:tr>
    </w:tbl>
    <w:p w14:paraId="397E0C1E">
      <w:pPr>
        <w:snapToGrid w:val="0"/>
        <w:spacing w:line="360" w:lineRule="auto"/>
        <w:ind w:right="42" w:rightChars="20"/>
        <w:rPr>
          <w:rFonts w:asciiTheme="minorEastAsia" w:hAnsiTheme="minorEastAsia" w:eastAsiaTheme="minorEastAsia"/>
          <w:color w:val="auto"/>
          <w:szCs w:val="21"/>
          <w:highlight w:val="none"/>
        </w:rPr>
      </w:pPr>
    </w:p>
    <w:p w14:paraId="030CE7E4">
      <w:pPr>
        <w:pStyle w:val="29"/>
        <w:keepNext w:val="0"/>
        <w:keepLines w:val="0"/>
        <w:pageBreakBefore w:val="0"/>
        <w:widowControl w:val="0"/>
        <w:kinsoku/>
        <w:wordWrap/>
        <w:overflowPunct/>
        <w:topLinePunct w:val="0"/>
        <w:autoSpaceDE/>
        <w:autoSpaceDN/>
        <w:bidi w:val="0"/>
        <w:adjustRightInd/>
        <w:snapToGrid w:val="0"/>
        <w:spacing w:line="360" w:lineRule="auto"/>
        <w:ind w:left="420" w:right="42" w:rightChars="20" w:hanging="420"/>
        <w:textAlignment w:val="auto"/>
        <w:rPr>
          <w:rFonts w:hint="eastAsia" w:cs="Times New Roman" w:asciiTheme="minorEastAsia" w:hAnsiTheme="minorEastAsia" w:eastAsiaTheme="minorEastAsia"/>
          <w:b/>
          <w:bCs/>
          <w:color w:val="auto"/>
          <w:kern w:val="2"/>
          <w:sz w:val="21"/>
          <w:szCs w:val="21"/>
          <w:highlight w:val="none"/>
          <w:lang w:val="en-US" w:eastAsia="zh-CN" w:bidi="ar-SA"/>
        </w:rPr>
      </w:pPr>
      <w:r>
        <w:rPr>
          <w:rFonts w:hint="eastAsia" w:cs="Times New Roman" w:asciiTheme="minorEastAsia" w:hAnsiTheme="minorEastAsia" w:eastAsiaTheme="minorEastAsia"/>
          <w:b/>
          <w:bCs/>
          <w:color w:val="auto"/>
          <w:kern w:val="2"/>
          <w:sz w:val="21"/>
          <w:szCs w:val="21"/>
          <w:highlight w:val="none"/>
          <w:lang w:val="en-US" w:eastAsia="zh-CN" w:bidi="ar-SA"/>
        </w:rPr>
        <w:t>注: 1、报价一经涂改，应在涂改处加盖单位公章或者由法定代表人或授权委托人签字或盖章，否则其投标作无效标处理。</w:t>
      </w:r>
    </w:p>
    <w:p w14:paraId="19E4A206">
      <w:pPr>
        <w:keepNext w:val="0"/>
        <w:keepLines w:val="0"/>
        <w:pageBreakBefore w:val="0"/>
        <w:widowControl w:val="0"/>
        <w:numPr>
          <w:ilvl w:val="0"/>
          <w:numId w:val="0"/>
        </w:numPr>
        <w:kinsoku/>
        <w:wordWrap/>
        <w:overflowPunct/>
        <w:topLinePunct w:val="0"/>
        <w:autoSpaceDE/>
        <w:autoSpaceDN/>
        <w:bidi w:val="0"/>
        <w:adjustRightInd/>
        <w:spacing w:line="360" w:lineRule="auto"/>
        <w:ind w:firstLine="211" w:firstLineChars="100"/>
        <w:contextualSpacing/>
        <w:textAlignment w:val="auto"/>
        <w:rPr>
          <w:rFonts w:hint="eastAsia" w:cs="Times New Roman" w:asciiTheme="minorEastAsia" w:hAnsiTheme="minorEastAsia" w:eastAsiaTheme="minorEastAsia"/>
          <w:b/>
          <w:bCs/>
          <w:color w:val="auto"/>
          <w:kern w:val="2"/>
          <w:sz w:val="21"/>
          <w:szCs w:val="21"/>
          <w:highlight w:val="none"/>
          <w:lang w:val="en-US" w:eastAsia="zh-CN" w:bidi="ar-SA"/>
        </w:rPr>
      </w:pPr>
      <w:r>
        <w:rPr>
          <w:rFonts w:hint="eastAsia" w:cs="Times New Roman" w:asciiTheme="minorEastAsia" w:hAnsiTheme="minorEastAsia" w:eastAsiaTheme="minorEastAsia"/>
          <w:b/>
          <w:bCs/>
          <w:color w:val="auto"/>
          <w:kern w:val="2"/>
          <w:sz w:val="21"/>
          <w:szCs w:val="21"/>
          <w:highlight w:val="none"/>
          <w:lang w:val="en-US" w:eastAsia="zh-CN" w:bidi="ar-SA"/>
        </w:rPr>
        <w:t>▲2.预算金额：490500元，最高限价：490500元，投标报价超过限价（单价及总价）的作无效标处理。</w:t>
      </w:r>
    </w:p>
    <w:p w14:paraId="6F9B2667">
      <w:pPr>
        <w:keepNext w:val="0"/>
        <w:keepLines w:val="0"/>
        <w:pageBreakBefore w:val="0"/>
        <w:widowControl/>
        <w:kinsoku/>
        <w:wordWrap/>
        <w:overflowPunct/>
        <w:topLinePunct w:val="0"/>
        <w:autoSpaceDE/>
        <w:autoSpaceDN/>
        <w:bidi w:val="0"/>
        <w:adjustRightInd/>
        <w:spacing w:line="360" w:lineRule="auto"/>
        <w:ind w:right="42" w:rightChars="20" w:firstLine="422" w:firstLineChars="200"/>
        <w:textAlignment w:val="auto"/>
        <w:rPr>
          <w:rFonts w:hint="eastAsia" w:cs="Times New Roman" w:asciiTheme="minorEastAsia" w:hAnsiTheme="minorEastAsia" w:eastAsiaTheme="minorEastAsia"/>
          <w:b/>
          <w:bCs/>
          <w:color w:val="auto"/>
          <w:kern w:val="2"/>
          <w:sz w:val="21"/>
          <w:szCs w:val="21"/>
          <w:highlight w:val="none"/>
          <w:lang w:val="en-US" w:eastAsia="zh-CN" w:bidi="ar-SA"/>
        </w:rPr>
      </w:pPr>
      <w:r>
        <w:rPr>
          <w:rFonts w:hint="eastAsia" w:cs="Times New Roman" w:asciiTheme="minorEastAsia" w:hAnsiTheme="minorEastAsia" w:eastAsiaTheme="minorEastAsia"/>
          <w:b/>
          <w:bCs/>
          <w:color w:val="auto"/>
          <w:kern w:val="2"/>
          <w:sz w:val="21"/>
          <w:szCs w:val="21"/>
          <w:highlight w:val="none"/>
          <w:lang w:val="en-US" w:eastAsia="zh-CN" w:bidi="ar-SA"/>
        </w:rPr>
        <w:t xml:space="preserve"> 3、投标报价是履行合同的最终价格，完成合同所需的一切本身和不可或缺的所有工作开支、政策性文件规定及合同包含的所有风险、责任等各项全部费用并承担一切风险责任。</w:t>
      </w:r>
    </w:p>
    <w:p w14:paraId="6D459DCF">
      <w:pPr>
        <w:spacing w:line="360" w:lineRule="auto"/>
        <w:ind w:firstLine="422" w:firstLineChars="200"/>
        <w:contextualSpacing/>
        <w:rPr>
          <w:rFonts w:hint="eastAsia" w:cs="Times New Roman" w:asciiTheme="minorEastAsia" w:hAnsiTheme="minorEastAsia" w:eastAsiaTheme="minorEastAsia"/>
          <w:b/>
          <w:bCs/>
          <w:color w:val="auto"/>
          <w:kern w:val="2"/>
          <w:sz w:val="21"/>
          <w:szCs w:val="21"/>
          <w:highlight w:val="none"/>
          <w:lang w:val="en-US" w:eastAsia="zh-CN" w:bidi="ar-SA"/>
        </w:rPr>
      </w:pPr>
    </w:p>
    <w:p w14:paraId="3FB5E499">
      <w:pPr>
        <w:pStyle w:val="29"/>
        <w:snapToGrid w:val="0"/>
        <w:spacing w:line="360" w:lineRule="auto"/>
        <w:ind w:right="42" w:rightChars="20"/>
        <w:rPr>
          <w:rFonts w:asciiTheme="minorEastAsia" w:hAnsiTheme="minorEastAsia" w:eastAsiaTheme="minorEastAsia"/>
          <w:color w:val="auto"/>
          <w:szCs w:val="21"/>
          <w:highlight w:val="none"/>
          <w:shd w:val="clear" w:color="auto" w:fill="FFFFFF"/>
        </w:rPr>
      </w:pPr>
      <w:r>
        <w:rPr>
          <w:rFonts w:asciiTheme="minorEastAsia" w:hAnsiTheme="minorEastAsia" w:eastAsiaTheme="minorEastAsia"/>
          <w:color w:val="auto"/>
          <w:szCs w:val="21"/>
          <w:highlight w:val="none"/>
          <w:shd w:val="clear" w:color="auto" w:fill="FFFFFF"/>
        </w:rPr>
        <w:t xml:space="preserve">法定代表人或授权代表（签字或盖章）： </w:t>
      </w:r>
    </w:p>
    <w:p w14:paraId="4972AAAC">
      <w:pPr>
        <w:pStyle w:val="29"/>
        <w:snapToGrid w:val="0"/>
        <w:spacing w:line="360" w:lineRule="auto"/>
        <w:ind w:right="42" w:rightChars="20"/>
        <w:rPr>
          <w:rFonts w:asciiTheme="minorEastAsia" w:hAnsiTheme="minorEastAsia" w:eastAsiaTheme="minorEastAsia"/>
          <w:color w:val="auto"/>
          <w:szCs w:val="21"/>
          <w:highlight w:val="none"/>
          <w:shd w:val="clear" w:color="auto" w:fill="FFFFFF"/>
        </w:rPr>
      </w:pPr>
    </w:p>
    <w:p w14:paraId="6341AEA2">
      <w:pPr>
        <w:pStyle w:val="29"/>
        <w:snapToGrid w:val="0"/>
        <w:spacing w:line="360" w:lineRule="auto"/>
        <w:ind w:right="42" w:rightChars="20"/>
        <w:rPr>
          <w:rFonts w:asciiTheme="minorEastAsia" w:hAnsiTheme="minorEastAsia" w:eastAsiaTheme="minorEastAsia"/>
          <w:color w:val="auto"/>
          <w:szCs w:val="21"/>
          <w:highlight w:val="none"/>
          <w:shd w:val="clear" w:color="auto" w:fill="FFFFFF"/>
        </w:rPr>
      </w:pPr>
      <w:r>
        <w:rPr>
          <w:rFonts w:hint="eastAsia" w:asciiTheme="minorEastAsia" w:hAnsiTheme="minorEastAsia" w:eastAsiaTheme="minorEastAsia"/>
          <w:color w:val="auto"/>
          <w:szCs w:val="21"/>
          <w:highlight w:val="none"/>
          <w:shd w:val="clear" w:color="auto" w:fill="FFFFFF"/>
        </w:rPr>
        <w:t>投标人名称（CA签章）</w:t>
      </w:r>
      <w:r>
        <w:rPr>
          <w:rFonts w:asciiTheme="minorEastAsia" w:hAnsiTheme="minorEastAsia" w:eastAsiaTheme="minorEastAsia"/>
          <w:color w:val="auto"/>
          <w:szCs w:val="21"/>
          <w:highlight w:val="none"/>
          <w:shd w:val="clear" w:color="auto" w:fill="FFFFFF"/>
        </w:rPr>
        <w:t>：</w:t>
      </w:r>
    </w:p>
    <w:p w14:paraId="74E5F755">
      <w:pPr>
        <w:pStyle w:val="29"/>
        <w:snapToGrid w:val="0"/>
        <w:spacing w:line="360" w:lineRule="auto"/>
        <w:ind w:right="42" w:rightChars="20"/>
        <w:rPr>
          <w:rFonts w:asciiTheme="minorEastAsia" w:hAnsiTheme="minorEastAsia" w:eastAsiaTheme="minorEastAsia"/>
          <w:color w:val="auto"/>
          <w:szCs w:val="21"/>
          <w:highlight w:val="none"/>
        </w:rPr>
      </w:pPr>
    </w:p>
    <w:p w14:paraId="7583AB60">
      <w:pPr>
        <w:pStyle w:val="29"/>
        <w:snapToGrid w:val="0"/>
        <w:spacing w:line="360" w:lineRule="auto"/>
        <w:ind w:right="42" w:rightChars="20"/>
        <w:rPr>
          <w:rFonts w:hint="eastAsia" w:asciiTheme="minorEastAsia" w:hAnsiTheme="minorEastAsia" w:eastAsiaTheme="minorEastAsia"/>
          <w:color w:val="auto"/>
          <w:szCs w:val="21"/>
          <w:highlight w:val="none"/>
          <w:shd w:val="clear" w:color="auto" w:fill="FFFFFF"/>
        </w:rPr>
      </w:pPr>
      <w:r>
        <w:rPr>
          <w:rFonts w:hint="eastAsia" w:asciiTheme="minorEastAsia" w:hAnsiTheme="minorEastAsia" w:eastAsiaTheme="minorEastAsia"/>
          <w:color w:val="auto"/>
          <w:szCs w:val="21"/>
          <w:highlight w:val="none"/>
          <w:shd w:val="clear" w:color="auto" w:fill="FFFFFF"/>
        </w:rPr>
        <w:t>日期：</w:t>
      </w:r>
    </w:p>
    <w:p w14:paraId="2785FCF2">
      <w:pPr>
        <w:snapToGrid w:val="0"/>
        <w:spacing w:line="360" w:lineRule="auto"/>
        <w:ind w:right="42" w:rightChars="20" w:firstLine="422" w:firstLineChars="200"/>
        <w:jc w:val="center"/>
        <w:rPr>
          <w:rFonts w:hint="eastAsia" w:cs="Times New Roman" w:asciiTheme="minorEastAsia" w:hAnsiTheme="minorEastAsia" w:eastAsiaTheme="minorEastAsia"/>
          <w:b/>
          <w:bCs/>
          <w:color w:val="auto"/>
          <w:szCs w:val="21"/>
          <w:highlight w:val="none"/>
        </w:rPr>
      </w:pPr>
    </w:p>
    <w:p w14:paraId="7271D363">
      <w:pPr>
        <w:snapToGrid w:val="0"/>
        <w:spacing w:line="360" w:lineRule="auto"/>
        <w:ind w:right="42" w:rightChars="20" w:firstLine="422" w:firstLineChars="200"/>
        <w:jc w:val="center"/>
        <w:rPr>
          <w:rFonts w:hint="eastAsia" w:cs="Times New Roman" w:asciiTheme="minorEastAsia" w:hAnsiTheme="minorEastAsia" w:eastAsiaTheme="minorEastAsia"/>
          <w:b/>
          <w:bCs/>
          <w:color w:val="auto"/>
          <w:szCs w:val="21"/>
          <w:highlight w:val="none"/>
        </w:rPr>
      </w:pPr>
    </w:p>
    <w:p w14:paraId="31598D55">
      <w:pPr>
        <w:snapToGrid w:val="0"/>
        <w:spacing w:line="360" w:lineRule="auto"/>
        <w:ind w:right="42" w:rightChars="20" w:firstLine="422" w:firstLineChars="200"/>
        <w:jc w:val="center"/>
        <w:rPr>
          <w:rFonts w:hint="eastAsia" w:cs="Times New Roman" w:asciiTheme="minorEastAsia" w:hAnsiTheme="minorEastAsia" w:eastAsiaTheme="minorEastAsia"/>
          <w:b/>
          <w:bCs/>
          <w:color w:val="auto"/>
          <w:szCs w:val="21"/>
          <w:highlight w:val="none"/>
        </w:rPr>
      </w:pPr>
    </w:p>
    <w:p w14:paraId="67F4286D">
      <w:pPr>
        <w:snapToGrid w:val="0"/>
        <w:spacing w:line="360" w:lineRule="auto"/>
        <w:ind w:right="42" w:rightChars="20" w:firstLine="422" w:firstLineChars="200"/>
        <w:jc w:val="center"/>
        <w:rPr>
          <w:rFonts w:hint="eastAsia" w:cs="Times New Roman" w:asciiTheme="minorEastAsia" w:hAnsiTheme="minorEastAsia" w:eastAsiaTheme="minorEastAsia"/>
          <w:b/>
          <w:bCs/>
          <w:color w:val="auto"/>
          <w:szCs w:val="21"/>
          <w:highlight w:val="none"/>
        </w:rPr>
      </w:pPr>
    </w:p>
    <w:p w14:paraId="2A061D07">
      <w:pPr>
        <w:snapToGrid w:val="0"/>
        <w:spacing w:line="360" w:lineRule="auto"/>
        <w:ind w:right="42" w:rightChars="20" w:firstLine="422" w:firstLineChars="200"/>
        <w:jc w:val="center"/>
        <w:rPr>
          <w:rFonts w:hint="eastAsia" w:cs="Times New Roman" w:asciiTheme="minorEastAsia" w:hAnsiTheme="minorEastAsia" w:eastAsiaTheme="minorEastAsia"/>
          <w:b/>
          <w:bCs/>
          <w:color w:val="auto"/>
          <w:szCs w:val="21"/>
          <w:highlight w:val="none"/>
        </w:rPr>
      </w:pPr>
    </w:p>
    <w:p w14:paraId="6FE5EB66">
      <w:pPr>
        <w:snapToGrid w:val="0"/>
        <w:spacing w:line="360" w:lineRule="auto"/>
        <w:ind w:right="42" w:rightChars="20" w:firstLine="422" w:firstLineChars="200"/>
        <w:jc w:val="center"/>
        <w:rPr>
          <w:rFonts w:hint="eastAsia" w:cs="Times New Roman" w:asciiTheme="minorEastAsia" w:hAnsiTheme="minorEastAsia" w:eastAsiaTheme="minorEastAsia"/>
          <w:b/>
          <w:bCs/>
          <w:color w:val="auto"/>
          <w:szCs w:val="21"/>
          <w:highlight w:val="none"/>
        </w:rPr>
      </w:pPr>
    </w:p>
    <w:p w14:paraId="341A8400">
      <w:pPr>
        <w:snapToGrid w:val="0"/>
        <w:spacing w:line="360" w:lineRule="auto"/>
        <w:ind w:right="42" w:rightChars="20" w:firstLine="422" w:firstLineChars="200"/>
        <w:jc w:val="center"/>
        <w:rPr>
          <w:rFonts w:hint="eastAsia" w:cs="Times New Roman" w:asciiTheme="minorEastAsia" w:hAnsiTheme="minorEastAsia" w:eastAsiaTheme="minorEastAsia"/>
          <w:b/>
          <w:bCs/>
          <w:color w:val="auto"/>
          <w:szCs w:val="21"/>
          <w:highlight w:val="none"/>
        </w:rPr>
      </w:pPr>
      <w:r>
        <w:rPr>
          <w:rFonts w:hint="eastAsia" w:cs="Times New Roman" w:asciiTheme="minorEastAsia" w:hAnsiTheme="minorEastAsia" w:eastAsiaTheme="minorEastAsia"/>
          <w:b/>
          <w:bCs/>
          <w:color w:val="auto"/>
          <w:szCs w:val="21"/>
          <w:highlight w:val="none"/>
        </w:rPr>
        <w:t>分项报价明细表</w:t>
      </w:r>
    </w:p>
    <w:tbl>
      <w:tblPr>
        <w:tblStyle w:val="52"/>
        <w:tblW w:w="92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4"/>
        <w:gridCol w:w="2692"/>
        <w:gridCol w:w="1703"/>
        <w:gridCol w:w="1560"/>
        <w:gridCol w:w="1416"/>
        <w:gridCol w:w="1061"/>
        <w:gridCol w:w="6"/>
      </w:tblGrid>
      <w:tr w14:paraId="60F334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14:paraId="0365BD0F">
            <w:pPr>
              <w:snapToGrid w:val="0"/>
              <w:spacing w:line="360" w:lineRule="auto"/>
              <w:jc w:val="center"/>
              <w:rPr>
                <w:rFonts w:hint="eastAsia" w:ascii="宋体" w:hAnsi="宋体" w:eastAsia="宋体" w:cs="宋体"/>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1"/>
                <w:szCs w:val="21"/>
                <w:highlight w:val="none"/>
                <w:lang w:val="en-US" w:eastAsia="zh-CN"/>
              </w:rPr>
              <w:t>序号</w:t>
            </w:r>
          </w:p>
        </w:tc>
        <w:tc>
          <w:tcPr>
            <w:tcW w:w="2692" w:type="dxa"/>
            <w:tcBorders>
              <w:top w:val="single" w:color="auto" w:sz="4" w:space="0"/>
              <w:left w:val="single" w:color="auto" w:sz="4" w:space="0"/>
              <w:bottom w:val="single" w:color="auto" w:sz="4" w:space="0"/>
              <w:right w:val="single" w:color="auto" w:sz="4" w:space="0"/>
            </w:tcBorders>
            <w:noWrap w:val="0"/>
            <w:vAlign w:val="center"/>
          </w:tcPr>
          <w:p w14:paraId="1CBC687A">
            <w:pPr>
              <w:snapToGrid w:val="0"/>
              <w:spacing w:line="360" w:lineRule="auto"/>
              <w:jc w:val="center"/>
              <w:rPr>
                <w:rFonts w:hint="eastAsia" w:ascii="宋体" w:hAnsi="宋体" w:eastAsia="宋体" w:cs="宋体"/>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1"/>
                <w:szCs w:val="21"/>
                <w:highlight w:val="none"/>
                <w:lang w:val="en-US" w:eastAsia="zh-CN"/>
              </w:rPr>
              <w:t>名称</w:t>
            </w:r>
          </w:p>
        </w:tc>
        <w:tc>
          <w:tcPr>
            <w:tcW w:w="1703" w:type="dxa"/>
            <w:tcBorders>
              <w:top w:val="single" w:color="auto" w:sz="4" w:space="0"/>
              <w:left w:val="single" w:color="auto" w:sz="4" w:space="0"/>
              <w:bottom w:val="single" w:color="auto" w:sz="4" w:space="0"/>
              <w:right w:val="single" w:color="auto" w:sz="4" w:space="0"/>
            </w:tcBorders>
            <w:noWrap w:val="0"/>
            <w:vAlign w:val="center"/>
          </w:tcPr>
          <w:p w14:paraId="2A154476">
            <w:pPr>
              <w:snapToGrid w:val="0"/>
              <w:spacing w:line="360" w:lineRule="auto"/>
              <w:jc w:val="center"/>
              <w:rPr>
                <w:rFonts w:hint="eastAsia" w:ascii="宋体" w:hAnsi="宋体" w:eastAsia="宋体" w:cs="宋体"/>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1"/>
                <w:szCs w:val="21"/>
                <w:highlight w:val="none"/>
                <w:lang w:val="en-US" w:eastAsia="zh-CN"/>
              </w:rPr>
              <w:t>单位及数量</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2215A3EB">
            <w:pPr>
              <w:snapToGrid w:val="0"/>
              <w:spacing w:line="360" w:lineRule="auto"/>
              <w:jc w:val="center"/>
              <w:rPr>
                <w:rFonts w:hint="eastAsia" w:ascii="宋体" w:hAnsi="宋体" w:eastAsia="宋体" w:cs="宋体"/>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1"/>
                <w:szCs w:val="21"/>
                <w:highlight w:val="none"/>
                <w:lang w:val="en-US" w:eastAsia="zh-CN"/>
              </w:rPr>
              <w:t>单价</w:t>
            </w:r>
          </w:p>
        </w:tc>
        <w:tc>
          <w:tcPr>
            <w:tcW w:w="1416" w:type="dxa"/>
            <w:tcBorders>
              <w:top w:val="single" w:color="auto" w:sz="4" w:space="0"/>
              <w:left w:val="single" w:color="auto" w:sz="4" w:space="0"/>
              <w:bottom w:val="single" w:color="auto" w:sz="4" w:space="0"/>
              <w:right w:val="single" w:color="auto" w:sz="4" w:space="0"/>
            </w:tcBorders>
            <w:noWrap w:val="0"/>
            <w:vAlign w:val="center"/>
          </w:tcPr>
          <w:p w14:paraId="534D19C6">
            <w:pPr>
              <w:snapToGrid w:val="0"/>
              <w:spacing w:line="360" w:lineRule="auto"/>
              <w:jc w:val="center"/>
              <w:rPr>
                <w:rFonts w:hint="eastAsia" w:ascii="宋体" w:hAnsi="宋体" w:eastAsia="宋体" w:cs="宋体"/>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1"/>
                <w:szCs w:val="21"/>
                <w:highlight w:val="none"/>
                <w:lang w:val="en-US" w:eastAsia="zh-CN"/>
              </w:rPr>
              <w:t>合价</w:t>
            </w:r>
          </w:p>
        </w:tc>
        <w:tc>
          <w:tcPr>
            <w:tcW w:w="1067" w:type="dxa"/>
            <w:gridSpan w:val="2"/>
            <w:tcBorders>
              <w:top w:val="single" w:color="auto" w:sz="4" w:space="0"/>
              <w:left w:val="single" w:color="auto" w:sz="4" w:space="0"/>
              <w:bottom w:val="single" w:color="auto" w:sz="4" w:space="0"/>
              <w:right w:val="single" w:color="auto" w:sz="4" w:space="0"/>
            </w:tcBorders>
            <w:noWrap w:val="0"/>
            <w:vAlign w:val="center"/>
          </w:tcPr>
          <w:p w14:paraId="7D20D576">
            <w:pPr>
              <w:snapToGrid w:val="0"/>
              <w:spacing w:line="360" w:lineRule="auto"/>
              <w:jc w:val="center"/>
              <w:rPr>
                <w:rFonts w:hint="eastAsia" w:ascii="宋体" w:hAnsi="宋体" w:eastAsia="宋体" w:cs="宋体"/>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1"/>
                <w:szCs w:val="21"/>
                <w:highlight w:val="none"/>
                <w:lang w:val="en-US" w:eastAsia="zh-CN"/>
              </w:rPr>
              <w:t>备注</w:t>
            </w:r>
          </w:p>
        </w:tc>
      </w:tr>
      <w:tr w14:paraId="03D27B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14:paraId="0BD5F313">
            <w:pPr>
              <w:snapToGrid w:val="0"/>
              <w:spacing w:line="360" w:lineRule="auto"/>
              <w:jc w:val="center"/>
              <w:rPr>
                <w:rFonts w:hint="eastAsia" w:ascii="宋体" w:hAnsi="宋体" w:eastAsia="宋体" w:cs="宋体"/>
                <w:i w:val="0"/>
                <w:iCs w:val="0"/>
                <w:caps w:val="0"/>
                <w:color w:val="auto"/>
                <w:spacing w:val="0"/>
                <w:sz w:val="21"/>
                <w:szCs w:val="21"/>
                <w:highlight w:val="none"/>
                <w:lang w:val="en-US" w:eastAsia="zh-CN"/>
              </w:rPr>
            </w:pPr>
          </w:p>
        </w:tc>
        <w:tc>
          <w:tcPr>
            <w:tcW w:w="2692" w:type="dxa"/>
            <w:tcBorders>
              <w:top w:val="single" w:color="auto" w:sz="4" w:space="0"/>
              <w:left w:val="single" w:color="auto" w:sz="4" w:space="0"/>
              <w:bottom w:val="single" w:color="auto" w:sz="4" w:space="0"/>
              <w:right w:val="single" w:color="auto" w:sz="4" w:space="0"/>
            </w:tcBorders>
            <w:noWrap w:val="0"/>
            <w:vAlign w:val="center"/>
          </w:tcPr>
          <w:p w14:paraId="1F054EB5">
            <w:pPr>
              <w:snapToGrid w:val="0"/>
              <w:spacing w:line="360" w:lineRule="auto"/>
              <w:jc w:val="center"/>
              <w:rPr>
                <w:rFonts w:hint="eastAsia" w:ascii="宋体" w:hAnsi="宋体" w:eastAsia="宋体" w:cs="宋体"/>
                <w:i w:val="0"/>
                <w:iCs w:val="0"/>
                <w:caps w:val="0"/>
                <w:color w:val="auto"/>
                <w:spacing w:val="0"/>
                <w:sz w:val="21"/>
                <w:szCs w:val="21"/>
                <w:highlight w:val="none"/>
                <w:lang w:val="en-US" w:eastAsia="zh-CN"/>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14:paraId="50B073CE">
            <w:pPr>
              <w:snapToGrid w:val="0"/>
              <w:spacing w:line="360" w:lineRule="auto"/>
              <w:jc w:val="center"/>
              <w:rPr>
                <w:rFonts w:hint="eastAsia" w:ascii="宋体" w:hAnsi="宋体" w:eastAsia="宋体" w:cs="宋体"/>
                <w:i w:val="0"/>
                <w:iCs w:val="0"/>
                <w:caps w:val="0"/>
                <w:color w:val="auto"/>
                <w:spacing w:val="0"/>
                <w:sz w:val="21"/>
                <w:szCs w:val="21"/>
                <w:highlight w:val="none"/>
                <w:lang w:val="en-US" w:eastAsia="zh-CN"/>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6DED224">
            <w:pPr>
              <w:snapToGrid w:val="0"/>
              <w:spacing w:line="360" w:lineRule="auto"/>
              <w:jc w:val="center"/>
              <w:rPr>
                <w:rFonts w:hint="eastAsia" w:ascii="宋体" w:hAnsi="宋体" w:eastAsia="宋体" w:cs="宋体"/>
                <w:i w:val="0"/>
                <w:iCs w:val="0"/>
                <w:caps w:val="0"/>
                <w:color w:val="auto"/>
                <w:spacing w:val="0"/>
                <w:sz w:val="21"/>
                <w:szCs w:val="21"/>
                <w:highlight w:val="none"/>
                <w:lang w:val="en-US" w:eastAsia="zh-CN"/>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14:paraId="37419ED1">
            <w:pPr>
              <w:snapToGrid w:val="0"/>
              <w:spacing w:line="360" w:lineRule="auto"/>
              <w:jc w:val="center"/>
              <w:rPr>
                <w:rFonts w:hint="eastAsia" w:ascii="宋体" w:hAnsi="宋体" w:eastAsia="宋体" w:cs="宋体"/>
                <w:i w:val="0"/>
                <w:iCs w:val="0"/>
                <w:caps w:val="0"/>
                <w:color w:val="auto"/>
                <w:spacing w:val="0"/>
                <w:sz w:val="21"/>
                <w:szCs w:val="21"/>
                <w:highlight w:val="none"/>
                <w:lang w:val="en-US" w:eastAsia="zh-CN"/>
              </w:rPr>
            </w:pPr>
          </w:p>
        </w:tc>
        <w:tc>
          <w:tcPr>
            <w:tcW w:w="1067" w:type="dxa"/>
            <w:gridSpan w:val="2"/>
            <w:tcBorders>
              <w:top w:val="single" w:color="auto" w:sz="4" w:space="0"/>
              <w:left w:val="single" w:color="auto" w:sz="4" w:space="0"/>
              <w:bottom w:val="single" w:color="auto" w:sz="4" w:space="0"/>
              <w:right w:val="single" w:color="auto" w:sz="4" w:space="0"/>
            </w:tcBorders>
            <w:noWrap w:val="0"/>
            <w:vAlign w:val="center"/>
          </w:tcPr>
          <w:p w14:paraId="5B555B13">
            <w:pPr>
              <w:snapToGrid w:val="0"/>
              <w:spacing w:line="360" w:lineRule="auto"/>
              <w:jc w:val="center"/>
              <w:rPr>
                <w:rFonts w:hint="eastAsia" w:ascii="宋体" w:hAnsi="宋体" w:eastAsia="宋体" w:cs="宋体"/>
                <w:i w:val="0"/>
                <w:iCs w:val="0"/>
                <w:caps w:val="0"/>
                <w:color w:val="auto"/>
                <w:spacing w:val="0"/>
                <w:sz w:val="21"/>
                <w:szCs w:val="21"/>
                <w:highlight w:val="none"/>
                <w:lang w:val="en-US" w:eastAsia="zh-CN"/>
              </w:rPr>
            </w:pPr>
          </w:p>
        </w:tc>
      </w:tr>
      <w:tr w14:paraId="0DBC4C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14:paraId="09A5EB24">
            <w:pPr>
              <w:snapToGrid w:val="0"/>
              <w:spacing w:line="360" w:lineRule="auto"/>
              <w:jc w:val="center"/>
              <w:rPr>
                <w:rFonts w:hint="eastAsia" w:ascii="宋体" w:hAnsi="宋体" w:eastAsia="宋体" w:cs="宋体"/>
                <w:i w:val="0"/>
                <w:iCs w:val="0"/>
                <w:caps w:val="0"/>
                <w:color w:val="auto"/>
                <w:spacing w:val="0"/>
                <w:sz w:val="21"/>
                <w:szCs w:val="21"/>
                <w:highlight w:val="none"/>
                <w:lang w:val="en-US" w:eastAsia="zh-CN"/>
              </w:rPr>
            </w:pPr>
          </w:p>
        </w:tc>
        <w:tc>
          <w:tcPr>
            <w:tcW w:w="2692" w:type="dxa"/>
            <w:tcBorders>
              <w:top w:val="single" w:color="auto" w:sz="4" w:space="0"/>
              <w:left w:val="single" w:color="auto" w:sz="4" w:space="0"/>
              <w:bottom w:val="single" w:color="auto" w:sz="4" w:space="0"/>
              <w:right w:val="single" w:color="auto" w:sz="4" w:space="0"/>
            </w:tcBorders>
            <w:noWrap w:val="0"/>
            <w:vAlign w:val="center"/>
          </w:tcPr>
          <w:p w14:paraId="00C5CE9B">
            <w:pPr>
              <w:snapToGrid w:val="0"/>
              <w:spacing w:line="360" w:lineRule="auto"/>
              <w:jc w:val="center"/>
              <w:rPr>
                <w:rFonts w:hint="eastAsia" w:ascii="宋体" w:hAnsi="宋体" w:eastAsia="宋体" w:cs="宋体"/>
                <w:i w:val="0"/>
                <w:iCs w:val="0"/>
                <w:caps w:val="0"/>
                <w:color w:val="auto"/>
                <w:spacing w:val="0"/>
                <w:sz w:val="21"/>
                <w:szCs w:val="21"/>
                <w:highlight w:val="none"/>
                <w:lang w:val="en-US" w:eastAsia="zh-CN"/>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14:paraId="241E54D4">
            <w:pPr>
              <w:snapToGrid w:val="0"/>
              <w:spacing w:line="360" w:lineRule="auto"/>
              <w:jc w:val="center"/>
              <w:rPr>
                <w:rFonts w:hint="eastAsia" w:ascii="宋体" w:hAnsi="宋体" w:eastAsia="宋体" w:cs="宋体"/>
                <w:i w:val="0"/>
                <w:iCs w:val="0"/>
                <w:caps w:val="0"/>
                <w:color w:val="auto"/>
                <w:spacing w:val="0"/>
                <w:sz w:val="21"/>
                <w:szCs w:val="21"/>
                <w:highlight w:val="none"/>
                <w:lang w:val="en-US" w:eastAsia="zh-CN"/>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DFDB0F9">
            <w:pPr>
              <w:snapToGrid w:val="0"/>
              <w:spacing w:line="360" w:lineRule="auto"/>
              <w:jc w:val="center"/>
              <w:rPr>
                <w:rFonts w:hint="eastAsia" w:ascii="宋体" w:hAnsi="宋体" w:eastAsia="宋体" w:cs="宋体"/>
                <w:i w:val="0"/>
                <w:iCs w:val="0"/>
                <w:caps w:val="0"/>
                <w:color w:val="auto"/>
                <w:spacing w:val="0"/>
                <w:sz w:val="21"/>
                <w:szCs w:val="21"/>
                <w:highlight w:val="none"/>
                <w:lang w:val="en-US" w:eastAsia="zh-CN"/>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14:paraId="139B6539">
            <w:pPr>
              <w:snapToGrid w:val="0"/>
              <w:spacing w:line="360" w:lineRule="auto"/>
              <w:jc w:val="center"/>
              <w:rPr>
                <w:rFonts w:hint="eastAsia" w:ascii="宋体" w:hAnsi="宋体" w:eastAsia="宋体" w:cs="宋体"/>
                <w:i w:val="0"/>
                <w:iCs w:val="0"/>
                <w:caps w:val="0"/>
                <w:color w:val="auto"/>
                <w:spacing w:val="0"/>
                <w:sz w:val="21"/>
                <w:szCs w:val="21"/>
                <w:highlight w:val="none"/>
                <w:lang w:val="en-US" w:eastAsia="zh-CN"/>
              </w:rPr>
            </w:pPr>
          </w:p>
        </w:tc>
        <w:tc>
          <w:tcPr>
            <w:tcW w:w="1067" w:type="dxa"/>
            <w:gridSpan w:val="2"/>
            <w:tcBorders>
              <w:top w:val="single" w:color="auto" w:sz="4" w:space="0"/>
              <w:left w:val="single" w:color="auto" w:sz="4" w:space="0"/>
              <w:bottom w:val="single" w:color="auto" w:sz="4" w:space="0"/>
              <w:right w:val="single" w:color="auto" w:sz="4" w:space="0"/>
            </w:tcBorders>
            <w:noWrap w:val="0"/>
            <w:vAlign w:val="center"/>
          </w:tcPr>
          <w:p w14:paraId="01511013">
            <w:pPr>
              <w:snapToGrid w:val="0"/>
              <w:spacing w:line="360" w:lineRule="auto"/>
              <w:jc w:val="center"/>
              <w:rPr>
                <w:rFonts w:hint="eastAsia" w:ascii="宋体" w:hAnsi="宋体" w:eastAsia="宋体" w:cs="宋体"/>
                <w:i w:val="0"/>
                <w:iCs w:val="0"/>
                <w:caps w:val="0"/>
                <w:color w:val="auto"/>
                <w:spacing w:val="0"/>
                <w:sz w:val="21"/>
                <w:szCs w:val="21"/>
                <w:highlight w:val="none"/>
                <w:lang w:val="en-US" w:eastAsia="zh-CN"/>
              </w:rPr>
            </w:pPr>
          </w:p>
        </w:tc>
      </w:tr>
      <w:tr w14:paraId="605997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14:paraId="335F80B9">
            <w:pPr>
              <w:snapToGrid w:val="0"/>
              <w:spacing w:line="360" w:lineRule="auto"/>
              <w:jc w:val="center"/>
              <w:rPr>
                <w:rFonts w:hint="eastAsia" w:ascii="宋体" w:hAnsi="宋体" w:eastAsia="宋体" w:cs="宋体"/>
                <w:i w:val="0"/>
                <w:iCs w:val="0"/>
                <w:caps w:val="0"/>
                <w:color w:val="auto"/>
                <w:spacing w:val="0"/>
                <w:sz w:val="21"/>
                <w:szCs w:val="21"/>
                <w:highlight w:val="none"/>
                <w:lang w:val="en-US" w:eastAsia="zh-CN"/>
              </w:rPr>
            </w:pPr>
          </w:p>
        </w:tc>
        <w:tc>
          <w:tcPr>
            <w:tcW w:w="2692" w:type="dxa"/>
            <w:tcBorders>
              <w:top w:val="single" w:color="auto" w:sz="4" w:space="0"/>
              <w:left w:val="single" w:color="auto" w:sz="4" w:space="0"/>
              <w:bottom w:val="single" w:color="auto" w:sz="4" w:space="0"/>
              <w:right w:val="single" w:color="auto" w:sz="4" w:space="0"/>
            </w:tcBorders>
            <w:noWrap w:val="0"/>
            <w:vAlign w:val="center"/>
          </w:tcPr>
          <w:p w14:paraId="1FEC7FAF">
            <w:pPr>
              <w:snapToGrid w:val="0"/>
              <w:spacing w:line="360" w:lineRule="auto"/>
              <w:jc w:val="center"/>
              <w:rPr>
                <w:rFonts w:hint="eastAsia" w:ascii="宋体" w:hAnsi="宋体" w:eastAsia="宋体" w:cs="宋体"/>
                <w:i w:val="0"/>
                <w:iCs w:val="0"/>
                <w:caps w:val="0"/>
                <w:color w:val="auto"/>
                <w:spacing w:val="0"/>
                <w:sz w:val="21"/>
                <w:szCs w:val="21"/>
                <w:highlight w:val="none"/>
                <w:lang w:val="en-US" w:eastAsia="zh-CN"/>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14:paraId="14C759A5">
            <w:pPr>
              <w:snapToGrid w:val="0"/>
              <w:spacing w:line="360" w:lineRule="auto"/>
              <w:jc w:val="center"/>
              <w:rPr>
                <w:rFonts w:hint="eastAsia" w:ascii="宋体" w:hAnsi="宋体" w:eastAsia="宋体" w:cs="宋体"/>
                <w:i w:val="0"/>
                <w:iCs w:val="0"/>
                <w:caps w:val="0"/>
                <w:color w:val="auto"/>
                <w:spacing w:val="0"/>
                <w:sz w:val="21"/>
                <w:szCs w:val="21"/>
                <w:highlight w:val="none"/>
                <w:lang w:val="en-US" w:eastAsia="zh-CN"/>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07BA73FB">
            <w:pPr>
              <w:snapToGrid w:val="0"/>
              <w:spacing w:line="360" w:lineRule="auto"/>
              <w:jc w:val="center"/>
              <w:rPr>
                <w:rFonts w:hint="eastAsia" w:ascii="宋体" w:hAnsi="宋体" w:eastAsia="宋体" w:cs="宋体"/>
                <w:i w:val="0"/>
                <w:iCs w:val="0"/>
                <w:caps w:val="0"/>
                <w:color w:val="auto"/>
                <w:spacing w:val="0"/>
                <w:sz w:val="21"/>
                <w:szCs w:val="21"/>
                <w:highlight w:val="none"/>
                <w:lang w:val="en-US" w:eastAsia="zh-CN"/>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14:paraId="2CABEB6D">
            <w:pPr>
              <w:snapToGrid w:val="0"/>
              <w:spacing w:line="360" w:lineRule="auto"/>
              <w:jc w:val="center"/>
              <w:rPr>
                <w:rFonts w:hint="eastAsia" w:ascii="宋体" w:hAnsi="宋体" w:eastAsia="宋体" w:cs="宋体"/>
                <w:i w:val="0"/>
                <w:iCs w:val="0"/>
                <w:caps w:val="0"/>
                <w:color w:val="auto"/>
                <w:spacing w:val="0"/>
                <w:sz w:val="21"/>
                <w:szCs w:val="21"/>
                <w:highlight w:val="none"/>
                <w:lang w:val="en-US" w:eastAsia="zh-CN"/>
              </w:rPr>
            </w:pPr>
          </w:p>
        </w:tc>
        <w:tc>
          <w:tcPr>
            <w:tcW w:w="1067" w:type="dxa"/>
            <w:gridSpan w:val="2"/>
            <w:tcBorders>
              <w:top w:val="single" w:color="auto" w:sz="4" w:space="0"/>
              <w:left w:val="single" w:color="auto" w:sz="4" w:space="0"/>
              <w:bottom w:val="single" w:color="auto" w:sz="4" w:space="0"/>
              <w:right w:val="single" w:color="auto" w:sz="4" w:space="0"/>
            </w:tcBorders>
            <w:noWrap w:val="0"/>
            <w:vAlign w:val="center"/>
          </w:tcPr>
          <w:p w14:paraId="7F2B2E0A">
            <w:pPr>
              <w:snapToGrid w:val="0"/>
              <w:spacing w:line="360" w:lineRule="auto"/>
              <w:jc w:val="center"/>
              <w:rPr>
                <w:rFonts w:hint="eastAsia" w:ascii="宋体" w:hAnsi="宋体" w:eastAsia="宋体" w:cs="宋体"/>
                <w:i w:val="0"/>
                <w:iCs w:val="0"/>
                <w:caps w:val="0"/>
                <w:color w:val="auto"/>
                <w:spacing w:val="0"/>
                <w:sz w:val="21"/>
                <w:szCs w:val="21"/>
                <w:highlight w:val="none"/>
                <w:lang w:val="en-US" w:eastAsia="zh-CN"/>
              </w:rPr>
            </w:pPr>
          </w:p>
        </w:tc>
      </w:tr>
      <w:tr w14:paraId="286812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14:paraId="67F880BF">
            <w:pPr>
              <w:snapToGrid w:val="0"/>
              <w:spacing w:line="360" w:lineRule="auto"/>
              <w:jc w:val="center"/>
              <w:rPr>
                <w:rFonts w:hint="eastAsia" w:ascii="宋体" w:hAnsi="宋体" w:eastAsia="宋体" w:cs="宋体"/>
                <w:i w:val="0"/>
                <w:iCs w:val="0"/>
                <w:caps w:val="0"/>
                <w:color w:val="auto"/>
                <w:spacing w:val="0"/>
                <w:sz w:val="21"/>
                <w:szCs w:val="21"/>
                <w:highlight w:val="none"/>
                <w:lang w:val="en-US" w:eastAsia="zh-CN"/>
              </w:rPr>
            </w:pPr>
          </w:p>
        </w:tc>
        <w:tc>
          <w:tcPr>
            <w:tcW w:w="2692" w:type="dxa"/>
            <w:tcBorders>
              <w:top w:val="single" w:color="auto" w:sz="4" w:space="0"/>
              <w:left w:val="single" w:color="auto" w:sz="4" w:space="0"/>
              <w:bottom w:val="single" w:color="auto" w:sz="4" w:space="0"/>
              <w:right w:val="single" w:color="auto" w:sz="4" w:space="0"/>
            </w:tcBorders>
            <w:noWrap w:val="0"/>
            <w:vAlign w:val="center"/>
          </w:tcPr>
          <w:p w14:paraId="6AAC70E2">
            <w:pPr>
              <w:snapToGrid w:val="0"/>
              <w:spacing w:line="360" w:lineRule="auto"/>
              <w:jc w:val="center"/>
              <w:rPr>
                <w:rFonts w:hint="eastAsia" w:ascii="宋体" w:hAnsi="宋体" w:eastAsia="宋体" w:cs="宋体"/>
                <w:i w:val="0"/>
                <w:iCs w:val="0"/>
                <w:caps w:val="0"/>
                <w:color w:val="auto"/>
                <w:spacing w:val="0"/>
                <w:sz w:val="21"/>
                <w:szCs w:val="21"/>
                <w:highlight w:val="none"/>
                <w:lang w:val="en-US" w:eastAsia="zh-CN"/>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14:paraId="05C3FDBA">
            <w:pPr>
              <w:snapToGrid w:val="0"/>
              <w:spacing w:line="360" w:lineRule="auto"/>
              <w:jc w:val="center"/>
              <w:rPr>
                <w:rFonts w:hint="eastAsia" w:ascii="宋体" w:hAnsi="宋体" w:eastAsia="宋体" w:cs="宋体"/>
                <w:i w:val="0"/>
                <w:iCs w:val="0"/>
                <w:caps w:val="0"/>
                <w:color w:val="auto"/>
                <w:spacing w:val="0"/>
                <w:sz w:val="21"/>
                <w:szCs w:val="21"/>
                <w:highlight w:val="none"/>
                <w:lang w:val="en-US" w:eastAsia="zh-CN"/>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206DCB12">
            <w:pPr>
              <w:snapToGrid w:val="0"/>
              <w:spacing w:line="360" w:lineRule="auto"/>
              <w:jc w:val="center"/>
              <w:rPr>
                <w:rFonts w:hint="eastAsia" w:ascii="宋体" w:hAnsi="宋体" w:eastAsia="宋体" w:cs="宋体"/>
                <w:i w:val="0"/>
                <w:iCs w:val="0"/>
                <w:caps w:val="0"/>
                <w:color w:val="auto"/>
                <w:spacing w:val="0"/>
                <w:sz w:val="21"/>
                <w:szCs w:val="21"/>
                <w:highlight w:val="none"/>
                <w:lang w:val="en-US" w:eastAsia="zh-CN"/>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14:paraId="0784D36C">
            <w:pPr>
              <w:snapToGrid w:val="0"/>
              <w:spacing w:line="360" w:lineRule="auto"/>
              <w:jc w:val="center"/>
              <w:rPr>
                <w:rFonts w:hint="eastAsia" w:ascii="宋体" w:hAnsi="宋体" w:eastAsia="宋体" w:cs="宋体"/>
                <w:i w:val="0"/>
                <w:iCs w:val="0"/>
                <w:caps w:val="0"/>
                <w:color w:val="auto"/>
                <w:spacing w:val="0"/>
                <w:sz w:val="21"/>
                <w:szCs w:val="21"/>
                <w:highlight w:val="none"/>
                <w:lang w:val="en-US" w:eastAsia="zh-CN"/>
              </w:rPr>
            </w:pPr>
          </w:p>
        </w:tc>
        <w:tc>
          <w:tcPr>
            <w:tcW w:w="1067" w:type="dxa"/>
            <w:gridSpan w:val="2"/>
            <w:tcBorders>
              <w:top w:val="single" w:color="auto" w:sz="4" w:space="0"/>
              <w:left w:val="single" w:color="auto" w:sz="4" w:space="0"/>
              <w:bottom w:val="single" w:color="auto" w:sz="4" w:space="0"/>
              <w:right w:val="single" w:color="auto" w:sz="4" w:space="0"/>
            </w:tcBorders>
            <w:noWrap w:val="0"/>
            <w:vAlign w:val="center"/>
          </w:tcPr>
          <w:p w14:paraId="141AE8FE">
            <w:pPr>
              <w:snapToGrid w:val="0"/>
              <w:spacing w:line="360" w:lineRule="auto"/>
              <w:jc w:val="center"/>
              <w:rPr>
                <w:rFonts w:hint="eastAsia" w:ascii="宋体" w:hAnsi="宋体" w:eastAsia="宋体" w:cs="宋体"/>
                <w:i w:val="0"/>
                <w:iCs w:val="0"/>
                <w:caps w:val="0"/>
                <w:color w:val="auto"/>
                <w:spacing w:val="0"/>
                <w:sz w:val="21"/>
                <w:szCs w:val="21"/>
                <w:highlight w:val="none"/>
                <w:lang w:val="en-US" w:eastAsia="zh-CN"/>
              </w:rPr>
            </w:pPr>
          </w:p>
        </w:tc>
      </w:tr>
      <w:tr w14:paraId="12FEC0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14:paraId="049AD013">
            <w:pPr>
              <w:snapToGrid w:val="0"/>
              <w:spacing w:line="360" w:lineRule="auto"/>
              <w:jc w:val="center"/>
              <w:rPr>
                <w:rFonts w:hint="eastAsia" w:ascii="宋体" w:hAnsi="宋体" w:eastAsia="宋体" w:cs="宋体"/>
                <w:i w:val="0"/>
                <w:iCs w:val="0"/>
                <w:caps w:val="0"/>
                <w:color w:val="auto"/>
                <w:spacing w:val="0"/>
                <w:sz w:val="21"/>
                <w:szCs w:val="21"/>
                <w:highlight w:val="none"/>
                <w:lang w:val="en-US" w:eastAsia="zh-CN"/>
              </w:rPr>
            </w:pPr>
          </w:p>
        </w:tc>
        <w:tc>
          <w:tcPr>
            <w:tcW w:w="2692" w:type="dxa"/>
            <w:tcBorders>
              <w:top w:val="single" w:color="auto" w:sz="4" w:space="0"/>
              <w:left w:val="single" w:color="auto" w:sz="4" w:space="0"/>
              <w:bottom w:val="single" w:color="auto" w:sz="4" w:space="0"/>
              <w:right w:val="single" w:color="auto" w:sz="4" w:space="0"/>
            </w:tcBorders>
            <w:noWrap w:val="0"/>
            <w:vAlign w:val="center"/>
          </w:tcPr>
          <w:p w14:paraId="55C453C2">
            <w:pPr>
              <w:snapToGrid w:val="0"/>
              <w:spacing w:line="360" w:lineRule="auto"/>
              <w:jc w:val="center"/>
              <w:rPr>
                <w:rFonts w:hint="eastAsia" w:ascii="宋体" w:hAnsi="宋体" w:eastAsia="宋体" w:cs="宋体"/>
                <w:i w:val="0"/>
                <w:iCs w:val="0"/>
                <w:caps w:val="0"/>
                <w:color w:val="auto"/>
                <w:spacing w:val="0"/>
                <w:sz w:val="21"/>
                <w:szCs w:val="21"/>
                <w:highlight w:val="none"/>
                <w:lang w:val="en-US" w:eastAsia="zh-CN"/>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14:paraId="6C3D526B">
            <w:pPr>
              <w:snapToGrid w:val="0"/>
              <w:spacing w:line="360" w:lineRule="auto"/>
              <w:jc w:val="center"/>
              <w:rPr>
                <w:rFonts w:hint="eastAsia" w:ascii="宋体" w:hAnsi="宋体" w:eastAsia="宋体" w:cs="宋体"/>
                <w:i w:val="0"/>
                <w:iCs w:val="0"/>
                <w:caps w:val="0"/>
                <w:color w:val="auto"/>
                <w:spacing w:val="0"/>
                <w:sz w:val="21"/>
                <w:szCs w:val="21"/>
                <w:highlight w:val="none"/>
                <w:lang w:val="en-US" w:eastAsia="zh-CN"/>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3963BD9">
            <w:pPr>
              <w:snapToGrid w:val="0"/>
              <w:spacing w:line="360" w:lineRule="auto"/>
              <w:jc w:val="center"/>
              <w:rPr>
                <w:rFonts w:hint="eastAsia" w:ascii="宋体" w:hAnsi="宋体" w:eastAsia="宋体" w:cs="宋体"/>
                <w:i w:val="0"/>
                <w:iCs w:val="0"/>
                <w:caps w:val="0"/>
                <w:color w:val="auto"/>
                <w:spacing w:val="0"/>
                <w:sz w:val="21"/>
                <w:szCs w:val="21"/>
                <w:highlight w:val="none"/>
                <w:lang w:val="en-US" w:eastAsia="zh-CN"/>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14:paraId="18749BE7">
            <w:pPr>
              <w:snapToGrid w:val="0"/>
              <w:spacing w:line="360" w:lineRule="auto"/>
              <w:jc w:val="center"/>
              <w:rPr>
                <w:rFonts w:hint="eastAsia" w:ascii="宋体" w:hAnsi="宋体" w:eastAsia="宋体" w:cs="宋体"/>
                <w:i w:val="0"/>
                <w:iCs w:val="0"/>
                <w:caps w:val="0"/>
                <w:color w:val="auto"/>
                <w:spacing w:val="0"/>
                <w:sz w:val="21"/>
                <w:szCs w:val="21"/>
                <w:highlight w:val="none"/>
                <w:lang w:val="en-US" w:eastAsia="zh-CN"/>
              </w:rPr>
            </w:pPr>
          </w:p>
        </w:tc>
        <w:tc>
          <w:tcPr>
            <w:tcW w:w="1067" w:type="dxa"/>
            <w:gridSpan w:val="2"/>
            <w:tcBorders>
              <w:top w:val="single" w:color="auto" w:sz="4" w:space="0"/>
              <w:left w:val="single" w:color="auto" w:sz="4" w:space="0"/>
              <w:bottom w:val="single" w:color="auto" w:sz="4" w:space="0"/>
              <w:right w:val="single" w:color="auto" w:sz="4" w:space="0"/>
            </w:tcBorders>
            <w:noWrap w:val="0"/>
            <w:vAlign w:val="center"/>
          </w:tcPr>
          <w:p w14:paraId="2AE93A08">
            <w:pPr>
              <w:snapToGrid w:val="0"/>
              <w:spacing w:line="360" w:lineRule="auto"/>
              <w:jc w:val="center"/>
              <w:rPr>
                <w:rFonts w:hint="eastAsia" w:ascii="宋体" w:hAnsi="宋体" w:eastAsia="宋体" w:cs="宋体"/>
                <w:i w:val="0"/>
                <w:iCs w:val="0"/>
                <w:caps w:val="0"/>
                <w:color w:val="auto"/>
                <w:spacing w:val="0"/>
                <w:sz w:val="21"/>
                <w:szCs w:val="21"/>
                <w:highlight w:val="none"/>
                <w:lang w:val="en-US" w:eastAsia="zh-CN"/>
              </w:rPr>
            </w:pPr>
          </w:p>
        </w:tc>
      </w:tr>
      <w:tr w14:paraId="67C9B8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14:paraId="59A10421">
            <w:pPr>
              <w:snapToGrid w:val="0"/>
              <w:spacing w:line="360" w:lineRule="auto"/>
              <w:jc w:val="center"/>
              <w:rPr>
                <w:rFonts w:hint="eastAsia" w:ascii="宋体" w:hAnsi="宋体" w:eastAsia="宋体" w:cs="宋体"/>
                <w:i w:val="0"/>
                <w:iCs w:val="0"/>
                <w:caps w:val="0"/>
                <w:color w:val="auto"/>
                <w:spacing w:val="0"/>
                <w:sz w:val="21"/>
                <w:szCs w:val="21"/>
                <w:highlight w:val="none"/>
                <w:lang w:val="en-US" w:eastAsia="zh-CN"/>
              </w:rPr>
            </w:pPr>
          </w:p>
        </w:tc>
        <w:tc>
          <w:tcPr>
            <w:tcW w:w="2692" w:type="dxa"/>
            <w:tcBorders>
              <w:top w:val="single" w:color="auto" w:sz="4" w:space="0"/>
              <w:left w:val="single" w:color="auto" w:sz="4" w:space="0"/>
              <w:bottom w:val="single" w:color="auto" w:sz="4" w:space="0"/>
              <w:right w:val="single" w:color="auto" w:sz="4" w:space="0"/>
            </w:tcBorders>
            <w:noWrap w:val="0"/>
            <w:vAlign w:val="center"/>
          </w:tcPr>
          <w:p w14:paraId="10AFBF84">
            <w:pPr>
              <w:snapToGrid w:val="0"/>
              <w:spacing w:line="360" w:lineRule="auto"/>
              <w:jc w:val="center"/>
              <w:rPr>
                <w:rFonts w:hint="eastAsia" w:ascii="宋体" w:hAnsi="宋体" w:eastAsia="宋体" w:cs="宋体"/>
                <w:i w:val="0"/>
                <w:iCs w:val="0"/>
                <w:caps w:val="0"/>
                <w:color w:val="auto"/>
                <w:spacing w:val="0"/>
                <w:sz w:val="21"/>
                <w:szCs w:val="21"/>
                <w:highlight w:val="none"/>
                <w:lang w:val="en-US" w:eastAsia="zh-CN"/>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14:paraId="2FE8407C">
            <w:pPr>
              <w:snapToGrid w:val="0"/>
              <w:spacing w:line="360" w:lineRule="auto"/>
              <w:jc w:val="center"/>
              <w:rPr>
                <w:rFonts w:hint="eastAsia" w:ascii="宋体" w:hAnsi="宋体" w:eastAsia="宋体" w:cs="宋体"/>
                <w:i w:val="0"/>
                <w:iCs w:val="0"/>
                <w:caps w:val="0"/>
                <w:color w:val="auto"/>
                <w:spacing w:val="0"/>
                <w:sz w:val="21"/>
                <w:szCs w:val="21"/>
                <w:highlight w:val="none"/>
                <w:lang w:val="en-US" w:eastAsia="zh-CN"/>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2B6F8FFB">
            <w:pPr>
              <w:snapToGrid w:val="0"/>
              <w:spacing w:line="360" w:lineRule="auto"/>
              <w:jc w:val="center"/>
              <w:rPr>
                <w:rFonts w:hint="eastAsia" w:ascii="宋体" w:hAnsi="宋体" w:eastAsia="宋体" w:cs="宋体"/>
                <w:i w:val="0"/>
                <w:iCs w:val="0"/>
                <w:caps w:val="0"/>
                <w:color w:val="auto"/>
                <w:spacing w:val="0"/>
                <w:sz w:val="21"/>
                <w:szCs w:val="21"/>
                <w:highlight w:val="none"/>
                <w:lang w:val="en-US" w:eastAsia="zh-CN"/>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14:paraId="4613F1B8">
            <w:pPr>
              <w:snapToGrid w:val="0"/>
              <w:spacing w:line="360" w:lineRule="auto"/>
              <w:jc w:val="center"/>
              <w:rPr>
                <w:rFonts w:hint="eastAsia" w:ascii="宋体" w:hAnsi="宋体" w:eastAsia="宋体" w:cs="宋体"/>
                <w:i w:val="0"/>
                <w:iCs w:val="0"/>
                <w:caps w:val="0"/>
                <w:color w:val="auto"/>
                <w:spacing w:val="0"/>
                <w:sz w:val="21"/>
                <w:szCs w:val="21"/>
                <w:highlight w:val="none"/>
                <w:lang w:val="en-US" w:eastAsia="zh-CN"/>
              </w:rPr>
            </w:pPr>
          </w:p>
        </w:tc>
        <w:tc>
          <w:tcPr>
            <w:tcW w:w="1067" w:type="dxa"/>
            <w:gridSpan w:val="2"/>
            <w:tcBorders>
              <w:top w:val="single" w:color="auto" w:sz="4" w:space="0"/>
              <w:left w:val="single" w:color="auto" w:sz="4" w:space="0"/>
              <w:bottom w:val="single" w:color="auto" w:sz="4" w:space="0"/>
              <w:right w:val="single" w:color="auto" w:sz="4" w:space="0"/>
            </w:tcBorders>
            <w:noWrap w:val="0"/>
            <w:vAlign w:val="center"/>
          </w:tcPr>
          <w:p w14:paraId="2924E9B7">
            <w:pPr>
              <w:snapToGrid w:val="0"/>
              <w:spacing w:line="360" w:lineRule="auto"/>
              <w:jc w:val="center"/>
              <w:rPr>
                <w:rFonts w:hint="eastAsia" w:ascii="宋体" w:hAnsi="宋体" w:eastAsia="宋体" w:cs="宋体"/>
                <w:i w:val="0"/>
                <w:iCs w:val="0"/>
                <w:caps w:val="0"/>
                <w:color w:val="auto"/>
                <w:spacing w:val="0"/>
                <w:sz w:val="21"/>
                <w:szCs w:val="21"/>
                <w:highlight w:val="none"/>
                <w:lang w:val="en-US" w:eastAsia="zh-CN"/>
              </w:rPr>
            </w:pPr>
          </w:p>
        </w:tc>
      </w:tr>
      <w:tr w14:paraId="618C93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14:paraId="62039804">
            <w:pPr>
              <w:snapToGrid w:val="0"/>
              <w:spacing w:line="360" w:lineRule="auto"/>
              <w:jc w:val="center"/>
              <w:rPr>
                <w:rFonts w:hint="eastAsia" w:ascii="宋体" w:hAnsi="宋体" w:eastAsia="宋体" w:cs="宋体"/>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1"/>
                <w:szCs w:val="21"/>
                <w:highlight w:val="none"/>
                <w:lang w:val="en-US" w:eastAsia="zh-CN"/>
              </w:rPr>
              <w:t>……</w:t>
            </w:r>
          </w:p>
        </w:tc>
        <w:tc>
          <w:tcPr>
            <w:tcW w:w="2692" w:type="dxa"/>
            <w:tcBorders>
              <w:top w:val="single" w:color="auto" w:sz="4" w:space="0"/>
              <w:left w:val="single" w:color="auto" w:sz="4" w:space="0"/>
              <w:bottom w:val="single" w:color="auto" w:sz="4" w:space="0"/>
              <w:right w:val="single" w:color="auto" w:sz="4" w:space="0"/>
            </w:tcBorders>
            <w:noWrap w:val="0"/>
            <w:vAlign w:val="center"/>
          </w:tcPr>
          <w:p w14:paraId="09268C6D">
            <w:pPr>
              <w:snapToGrid w:val="0"/>
              <w:spacing w:line="360" w:lineRule="auto"/>
              <w:jc w:val="center"/>
              <w:rPr>
                <w:rFonts w:hint="eastAsia" w:ascii="宋体" w:hAnsi="宋体" w:eastAsia="宋体" w:cs="宋体"/>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1"/>
                <w:szCs w:val="21"/>
                <w:highlight w:val="none"/>
                <w:lang w:val="en-US" w:eastAsia="zh-CN"/>
              </w:rPr>
              <w:t>……</w:t>
            </w:r>
          </w:p>
        </w:tc>
        <w:tc>
          <w:tcPr>
            <w:tcW w:w="1703" w:type="dxa"/>
            <w:tcBorders>
              <w:top w:val="single" w:color="auto" w:sz="4" w:space="0"/>
              <w:left w:val="single" w:color="auto" w:sz="4" w:space="0"/>
              <w:bottom w:val="single" w:color="auto" w:sz="4" w:space="0"/>
              <w:right w:val="single" w:color="auto" w:sz="4" w:space="0"/>
            </w:tcBorders>
            <w:noWrap w:val="0"/>
            <w:vAlign w:val="center"/>
          </w:tcPr>
          <w:p w14:paraId="792ADFDC">
            <w:pPr>
              <w:snapToGrid w:val="0"/>
              <w:spacing w:line="360" w:lineRule="auto"/>
              <w:jc w:val="center"/>
              <w:rPr>
                <w:rFonts w:hint="eastAsia" w:ascii="宋体" w:hAnsi="宋体" w:eastAsia="宋体" w:cs="宋体"/>
                <w:i w:val="0"/>
                <w:iCs w:val="0"/>
                <w:caps w:val="0"/>
                <w:color w:val="auto"/>
                <w:spacing w:val="0"/>
                <w:sz w:val="21"/>
                <w:szCs w:val="21"/>
                <w:highlight w:val="none"/>
                <w:lang w:val="en-US" w:eastAsia="zh-CN"/>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0975CE2C">
            <w:pPr>
              <w:snapToGrid w:val="0"/>
              <w:spacing w:line="360" w:lineRule="auto"/>
              <w:jc w:val="center"/>
              <w:rPr>
                <w:rFonts w:hint="eastAsia" w:ascii="宋体" w:hAnsi="宋体" w:eastAsia="宋体" w:cs="宋体"/>
                <w:i w:val="0"/>
                <w:iCs w:val="0"/>
                <w:caps w:val="0"/>
                <w:color w:val="auto"/>
                <w:spacing w:val="0"/>
                <w:sz w:val="21"/>
                <w:szCs w:val="21"/>
                <w:highlight w:val="none"/>
                <w:lang w:val="en-US" w:eastAsia="zh-CN"/>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14:paraId="3B7BE30D">
            <w:pPr>
              <w:snapToGrid w:val="0"/>
              <w:spacing w:line="360" w:lineRule="auto"/>
              <w:jc w:val="center"/>
              <w:rPr>
                <w:rFonts w:hint="eastAsia" w:ascii="宋体" w:hAnsi="宋体" w:eastAsia="宋体" w:cs="宋体"/>
                <w:i w:val="0"/>
                <w:iCs w:val="0"/>
                <w:caps w:val="0"/>
                <w:color w:val="auto"/>
                <w:spacing w:val="0"/>
                <w:sz w:val="21"/>
                <w:szCs w:val="21"/>
                <w:highlight w:val="none"/>
                <w:lang w:val="en-US" w:eastAsia="zh-CN"/>
              </w:rPr>
            </w:pPr>
          </w:p>
        </w:tc>
        <w:tc>
          <w:tcPr>
            <w:tcW w:w="1067" w:type="dxa"/>
            <w:gridSpan w:val="2"/>
            <w:tcBorders>
              <w:top w:val="single" w:color="auto" w:sz="4" w:space="0"/>
              <w:left w:val="single" w:color="auto" w:sz="4" w:space="0"/>
              <w:bottom w:val="single" w:color="auto" w:sz="4" w:space="0"/>
              <w:right w:val="single" w:color="auto" w:sz="4" w:space="0"/>
            </w:tcBorders>
            <w:noWrap w:val="0"/>
            <w:vAlign w:val="center"/>
          </w:tcPr>
          <w:p w14:paraId="5EFE5568">
            <w:pPr>
              <w:snapToGrid w:val="0"/>
              <w:spacing w:line="360" w:lineRule="auto"/>
              <w:jc w:val="center"/>
              <w:rPr>
                <w:rFonts w:hint="eastAsia" w:ascii="宋体" w:hAnsi="宋体" w:eastAsia="宋体" w:cs="宋体"/>
                <w:i w:val="0"/>
                <w:iCs w:val="0"/>
                <w:caps w:val="0"/>
                <w:color w:val="auto"/>
                <w:spacing w:val="0"/>
                <w:sz w:val="21"/>
                <w:szCs w:val="21"/>
                <w:highlight w:val="none"/>
                <w:lang w:val="en-US" w:eastAsia="zh-CN"/>
              </w:rPr>
            </w:pPr>
          </w:p>
        </w:tc>
      </w:tr>
      <w:tr w14:paraId="12D0F7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dxa"/>
          <w:trHeight w:val="698" w:hRule="atLeast"/>
          <w:jc w:val="center"/>
        </w:trPr>
        <w:tc>
          <w:tcPr>
            <w:tcW w:w="3476" w:type="dxa"/>
            <w:gridSpan w:val="2"/>
            <w:tcBorders>
              <w:top w:val="single" w:color="auto" w:sz="4" w:space="0"/>
              <w:left w:val="single" w:color="auto" w:sz="4" w:space="0"/>
              <w:bottom w:val="single" w:color="auto" w:sz="4" w:space="0"/>
              <w:right w:val="single" w:color="auto" w:sz="4" w:space="0"/>
            </w:tcBorders>
            <w:noWrap w:val="0"/>
            <w:vAlign w:val="center"/>
          </w:tcPr>
          <w:p w14:paraId="141AB381">
            <w:pPr>
              <w:snapToGrid w:val="0"/>
              <w:spacing w:line="360" w:lineRule="auto"/>
              <w:jc w:val="center"/>
              <w:rPr>
                <w:rFonts w:hint="eastAsia" w:ascii="宋体" w:hAnsi="宋体" w:eastAsia="宋体" w:cs="宋体"/>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1"/>
                <w:szCs w:val="21"/>
                <w:highlight w:val="none"/>
                <w:lang w:val="en-US" w:eastAsia="zh-CN"/>
              </w:rPr>
              <w:t>投标总价（小写）</w:t>
            </w:r>
          </w:p>
        </w:tc>
        <w:tc>
          <w:tcPr>
            <w:tcW w:w="5740" w:type="dxa"/>
            <w:gridSpan w:val="4"/>
            <w:tcBorders>
              <w:top w:val="single" w:color="auto" w:sz="4" w:space="0"/>
              <w:left w:val="single" w:color="auto" w:sz="4" w:space="0"/>
              <w:bottom w:val="single" w:color="auto" w:sz="4" w:space="0"/>
              <w:right w:val="single" w:color="auto" w:sz="4" w:space="0"/>
            </w:tcBorders>
            <w:noWrap w:val="0"/>
            <w:vAlign w:val="center"/>
          </w:tcPr>
          <w:p w14:paraId="7C02C5FE">
            <w:pPr>
              <w:snapToGrid w:val="0"/>
              <w:spacing w:line="360" w:lineRule="auto"/>
              <w:jc w:val="center"/>
              <w:rPr>
                <w:rFonts w:hint="eastAsia" w:ascii="宋体" w:hAnsi="宋体" w:eastAsia="宋体" w:cs="宋体"/>
                <w:i w:val="0"/>
                <w:iCs w:val="0"/>
                <w:caps w:val="0"/>
                <w:color w:val="auto"/>
                <w:spacing w:val="0"/>
                <w:sz w:val="21"/>
                <w:szCs w:val="21"/>
                <w:highlight w:val="none"/>
                <w:lang w:val="en-US" w:eastAsia="zh-CN"/>
              </w:rPr>
            </w:pPr>
          </w:p>
        </w:tc>
      </w:tr>
      <w:tr w14:paraId="0D6BFE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dxa"/>
          <w:trHeight w:val="708" w:hRule="atLeast"/>
          <w:jc w:val="center"/>
        </w:trPr>
        <w:tc>
          <w:tcPr>
            <w:tcW w:w="3476" w:type="dxa"/>
            <w:gridSpan w:val="2"/>
            <w:tcBorders>
              <w:top w:val="single" w:color="auto" w:sz="4" w:space="0"/>
              <w:left w:val="single" w:color="auto" w:sz="4" w:space="0"/>
              <w:bottom w:val="single" w:color="auto" w:sz="4" w:space="0"/>
              <w:right w:val="single" w:color="auto" w:sz="4" w:space="0"/>
            </w:tcBorders>
            <w:noWrap w:val="0"/>
            <w:vAlign w:val="center"/>
          </w:tcPr>
          <w:p w14:paraId="7E392391">
            <w:pPr>
              <w:snapToGrid w:val="0"/>
              <w:spacing w:line="360" w:lineRule="auto"/>
              <w:jc w:val="center"/>
              <w:rPr>
                <w:rFonts w:hint="eastAsia" w:ascii="宋体" w:hAnsi="宋体" w:eastAsia="宋体" w:cs="宋体"/>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1"/>
                <w:szCs w:val="21"/>
                <w:highlight w:val="none"/>
                <w:lang w:val="en-US" w:eastAsia="zh-CN"/>
              </w:rPr>
              <w:t>投标总价（大写）</w:t>
            </w:r>
          </w:p>
        </w:tc>
        <w:tc>
          <w:tcPr>
            <w:tcW w:w="5740" w:type="dxa"/>
            <w:gridSpan w:val="4"/>
            <w:tcBorders>
              <w:top w:val="single" w:color="auto" w:sz="4" w:space="0"/>
              <w:left w:val="single" w:color="auto" w:sz="4" w:space="0"/>
              <w:bottom w:val="single" w:color="auto" w:sz="4" w:space="0"/>
              <w:right w:val="single" w:color="auto" w:sz="4" w:space="0"/>
            </w:tcBorders>
            <w:noWrap w:val="0"/>
            <w:vAlign w:val="center"/>
          </w:tcPr>
          <w:p w14:paraId="662EA6ED">
            <w:pPr>
              <w:snapToGrid w:val="0"/>
              <w:spacing w:line="360" w:lineRule="auto"/>
              <w:jc w:val="center"/>
              <w:rPr>
                <w:rFonts w:hint="eastAsia" w:ascii="宋体" w:hAnsi="宋体" w:eastAsia="宋体" w:cs="宋体"/>
                <w:i w:val="0"/>
                <w:iCs w:val="0"/>
                <w:caps w:val="0"/>
                <w:color w:val="auto"/>
                <w:spacing w:val="0"/>
                <w:sz w:val="21"/>
                <w:szCs w:val="21"/>
                <w:highlight w:val="none"/>
                <w:lang w:val="en-US" w:eastAsia="zh-CN"/>
              </w:rPr>
            </w:pPr>
          </w:p>
        </w:tc>
      </w:tr>
    </w:tbl>
    <w:p w14:paraId="5FCAEC64">
      <w:pPr>
        <w:pStyle w:val="101"/>
        <w:rPr>
          <w:color w:val="auto"/>
          <w:highlight w:val="none"/>
        </w:rPr>
      </w:pPr>
    </w:p>
    <w:p w14:paraId="0462EC3F">
      <w:pPr>
        <w:spacing w:line="360" w:lineRule="auto"/>
        <w:ind w:left="-2" w:leftChars="-1" w:right="42" w:rightChars="20" w:firstLine="945" w:firstLineChars="45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注：</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、本明细清单合计总价应与投标（开标）一览表报价保持一致。</w:t>
      </w:r>
    </w:p>
    <w:p w14:paraId="0AD67FB1">
      <w:pPr>
        <w:snapToGrid w:val="0"/>
        <w:spacing w:before="50" w:after="50" w:line="360" w:lineRule="auto"/>
        <w:ind w:right="42" w:rightChars="20"/>
        <w:rPr>
          <w:rFonts w:asciiTheme="minorEastAsia" w:hAnsiTheme="minorEastAsia" w:eastAsiaTheme="minorEastAsia"/>
          <w:color w:val="auto"/>
          <w:spacing w:val="20"/>
          <w:sz w:val="22"/>
          <w:szCs w:val="22"/>
          <w:highlight w:val="none"/>
        </w:rPr>
      </w:pPr>
    </w:p>
    <w:p w14:paraId="35BD3179">
      <w:pPr>
        <w:snapToGrid w:val="0"/>
        <w:spacing w:before="50" w:after="50" w:line="360" w:lineRule="auto"/>
        <w:ind w:right="42" w:rightChars="20"/>
        <w:rPr>
          <w:rFonts w:asciiTheme="minorEastAsia" w:hAnsiTheme="minorEastAsia" w:eastAsiaTheme="minorEastAsia"/>
          <w:color w:val="auto"/>
          <w:spacing w:val="20"/>
          <w:sz w:val="22"/>
          <w:szCs w:val="22"/>
          <w:highlight w:val="none"/>
        </w:rPr>
      </w:pPr>
    </w:p>
    <w:p w14:paraId="5F893102">
      <w:pPr>
        <w:snapToGrid w:val="0"/>
        <w:spacing w:before="50" w:after="50" w:line="360" w:lineRule="auto"/>
        <w:ind w:right="42" w:rightChars="20"/>
        <w:rPr>
          <w:rFonts w:asciiTheme="minorEastAsia" w:hAnsiTheme="minorEastAsia" w:eastAsiaTheme="minorEastAsia"/>
          <w:color w:val="auto"/>
          <w:spacing w:val="20"/>
          <w:sz w:val="22"/>
          <w:szCs w:val="22"/>
          <w:highlight w:val="none"/>
        </w:rPr>
      </w:pPr>
    </w:p>
    <w:p w14:paraId="2C06AF53">
      <w:pPr>
        <w:pStyle w:val="29"/>
        <w:snapToGrid w:val="0"/>
        <w:spacing w:line="360" w:lineRule="auto"/>
        <w:ind w:right="42" w:rightChars="20"/>
        <w:rPr>
          <w:rFonts w:asciiTheme="minorEastAsia" w:hAnsiTheme="minorEastAsia" w:eastAsiaTheme="minorEastAsia"/>
          <w:color w:val="auto"/>
          <w:szCs w:val="21"/>
          <w:highlight w:val="none"/>
          <w:shd w:val="clear" w:color="auto" w:fill="FFFFFF"/>
        </w:rPr>
      </w:pPr>
      <w:r>
        <w:rPr>
          <w:rFonts w:asciiTheme="minorEastAsia" w:hAnsiTheme="minorEastAsia" w:eastAsiaTheme="minorEastAsia"/>
          <w:color w:val="auto"/>
          <w:szCs w:val="21"/>
          <w:highlight w:val="none"/>
          <w:shd w:val="clear" w:color="auto" w:fill="FFFFFF"/>
        </w:rPr>
        <w:t xml:space="preserve">法定代表人或授权代表（签字或盖章）： </w:t>
      </w:r>
    </w:p>
    <w:p w14:paraId="7467A73F">
      <w:pPr>
        <w:pStyle w:val="29"/>
        <w:snapToGrid w:val="0"/>
        <w:spacing w:line="360" w:lineRule="auto"/>
        <w:ind w:right="42" w:rightChars="20"/>
        <w:rPr>
          <w:rFonts w:asciiTheme="minorEastAsia" w:hAnsiTheme="minorEastAsia" w:eastAsiaTheme="minorEastAsia"/>
          <w:color w:val="auto"/>
          <w:szCs w:val="21"/>
          <w:highlight w:val="none"/>
          <w:shd w:val="clear" w:color="auto" w:fill="FFFFFF"/>
        </w:rPr>
      </w:pPr>
    </w:p>
    <w:p w14:paraId="79FEBFCB">
      <w:pPr>
        <w:pStyle w:val="29"/>
        <w:snapToGrid w:val="0"/>
        <w:spacing w:line="360" w:lineRule="auto"/>
        <w:ind w:right="42" w:rightChars="20"/>
        <w:rPr>
          <w:rFonts w:asciiTheme="minorEastAsia" w:hAnsiTheme="minorEastAsia" w:eastAsiaTheme="minorEastAsia"/>
          <w:color w:val="auto"/>
          <w:szCs w:val="21"/>
          <w:highlight w:val="none"/>
          <w:shd w:val="clear" w:color="auto" w:fill="FFFFFF"/>
        </w:rPr>
      </w:pPr>
      <w:r>
        <w:rPr>
          <w:rFonts w:hint="eastAsia" w:asciiTheme="minorEastAsia" w:hAnsiTheme="minorEastAsia" w:eastAsiaTheme="minorEastAsia"/>
          <w:color w:val="auto"/>
          <w:szCs w:val="21"/>
          <w:highlight w:val="none"/>
          <w:shd w:val="clear" w:color="auto" w:fill="FFFFFF"/>
        </w:rPr>
        <w:t>投标人名称（CA签章）</w:t>
      </w:r>
      <w:r>
        <w:rPr>
          <w:rFonts w:asciiTheme="minorEastAsia" w:hAnsiTheme="minorEastAsia" w:eastAsiaTheme="minorEastAsia"/>
          <w:color w:val="auto"/>
          <w:szCs w:val="21"/>
          <w:highlight w:val="none"/>
          <w:shd w:val="clear" w:color="auto" w:fill="FFFFFF"/>
        </w:rPr>
        <w:t>：</w:t>
      </w:r>
    </w:p>
    <w:p w14:paraId="62BD5CEA">
      <w:pPr>
        <w:pStyle w:val="29"/>
        <w:snapToGrid w:val="0"/>
        <w:spacing w:line="360" w:lineRule="auto"/>
        <w:ind w:right="42" w:rightChars="20"/>
        <w:rPr>
          <w:rFonts w:asciiTheme="minorEastAsia" w:hAnsiTheme="minorEastAsia" w:eastAsiaTheme="minorEastAsia"/>
          <w:color w:val="auto"/>
          <w:szCs w:val="21"/>
          <w:highlight w:val="none"/>
          <w:shd w:val="clear" w:color="auto" w:fill="FFFFFF"/>
        </w:rPr>
      </w:pPr>
    </w:p>
    <w:p w14:paraId="2F8C4F91">
      <w:pPr>
        <w:pStyle w:val="29"/>
        <w:snapToGrid w:val="0"/>
        <w:spacing w:line="360" w:lineRule="auto"/>
        <w:ind w:right="42" w:rightChars="20"/>
        <w:rPr>
          <w:rFonts w:hint="eastAsia" w:asciiTheme="minorEastAsia" w:hAnsiTheme="minorEastAsia" w:eastAsiaTheme="minorEastAsia"/>
          <w:color w:val="auto"/>
          <w:szCs w:val="21"/>
          <w:highlight w:val="none"/>
          <w:shd w:val="clear" w:color="auto" w:fill="FFFFFF"/>
        </w:rPr>
      </w:pPr>
      <w:r>
        <w:rPr>
          <w:rFonts w:hint="eastAsia" w:asciiTheme="minorEastAsia" w:hAnsiTheme="minorEastAsia" w:eastAsiaTheme="minorEastAsia"/>
          <w:color w:val="auto"/>
          <w:szCs w:val="21"/>
          <w:highlight w:val="none"/>
          <w:shd w:val="clear" w:color="auto" w:fill="FFFFFF"/>
        </w:rPr>
        <w:t>日期：</w:t>
      </w:r>
    </w:p>
    <w:p w14:paraId="1D277520">
      <w:pPr>
        <w:pStyle w:val="44"/>
        <w:rPr>
          <w:rFonts w:hint="eastAsia" w:asciiTheme="minorEastAsia" w:hAnsiTheme="minorEastAsia" w:eastAsiaTheme="minorEastAsia"/>
          <w:color w:val="auto"/>
          <w:szCs w:val="21"/>
          <w:highlight w:val="none"/>
          <w:shd w:val="clear" w:color="auto" w:fill="FFFFFF"/>
        </w:rPr>
      </w:pPr>
    </w:p>
    <w:p w14:paraId="70B7DFFC">
      <w:pPr>
        <w:rPr>
          <w:rFonts w:hint="eastAsia" w:asciiTheme="minorEastAsia" w:hAnsiTheme="minorEastAsia" w:eastAsiaTheme="minorEastAsia"/>
          <w:color w:val="auto"/>
          <w:szCs w:val="21"/>
          <w:highlight w:val="none"/>
          <w:shd w:val="clear" w:color="auto" w:fill="FFFFFF"/>
        </w:rPr>
      </w:pPr>
    </w:p>
    <w:p w14:paraId="675AED79">
      <w:pPr>
        <w:pStyle w:val="224"/>
        <w:snapToGrid w:val="0"/>
        <w:spacing w:before="120" w:after="120"/>
        <w:jc w:val="center"/>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报价情况说明（如果有）</w:t>
      </w:r>
    </w:p>
    <w:p w14:paraId="74DA5411">
      <w:pPr>
        <w:snapToGrid w:val="0"/>
        <w:spacing w:before="120" w:after="120"/>
        <w:rPr>
          <w:color w:val="auto"/>
          <w:highlight w:val="none"/>
        </w:rPr>
      </w:pPr>
    </w:p>
    <w:p w14:paraId="7445B626">
      <w:pPr>
        <w:tabs>
          <w:tab w:val="left" w:pos="1313"/>
        </w:tabs>
        <w:snapToGrid w:val="0"/>
        <w:spacing w:before="120" w:after="120"/>
        <w:jc w:val="left"/>
        <w:rPr>
          <w:rFonts w:ascii="宋体" w:hAnsi="宋体" w:cs="宋体"/>
          <w:color w:val="auto"/>
          <w:sz w:val="24"/>
          <w:highlight w:val="none"/>
        </w:rPr>
      </w:pPr>
      <w:r>
        <w:rPr>
          <w:rFonts w:hint="eastAsia" w:ascii="宋体" w:hAnsi="宋体" w:cs="宋体"/>
          <w:color w:val="auto"/>
          <w:sz w:val="24"/>
          <w:highlight w:val="none"/>
        </w:rPr>
        <w:t>（如供应商报价低于项目预算</w:t>
      </w:r>
      <w:r>
        <w:rPr>
          <w:rFonts w:ascii="宋体" w:hAnsi="宋体" w:cs="宋体"/>
          <w:color w:val="auto"/>
          <w:sz w:val="24"/>
          <w:highlight w:val="none"/>
        </w:rPr>
        <w:t>50%的，应当提交本文档，详细阐述不影响产品质量或者诚信履约的具体原因</w:t>
      </w:r>
      <w:r>
        <w:rPr>
          <w:rFonts w:hint="eastAsia" w:ascii="宋体" w:hAnsi="宋体" w:cs="宋体"/>
          <w:color w:val="auto"/>
          <w:sz w:val="24"/>
          <w:highlight w:val="none"/>
        </w:rPr>
        <w:t>）</w:t>
      </w:r>
    </w:p>
    <w:p w14:paraId="047FC9E5">
      <w:pPr>
        <w:rPr>
          <w:rFonts w:hint="eastAsia" w:asciiTheme="minorEastAsia" w:hAnsiTheme="minorEastAsia" w:eastAsiaTheme="minorEastAsia"/>
          <w:color w:val="auto"/>
          <w:szCs w:val="21"/>
          <w:highlight w:val="none"/>
          <w:shd w:val="clear" w:color="auto" w:fill="FFFFFF"/>
        </w:rPr>
      </w:pPr>
    </w:p>
    <w:p w14:paraId="7651D15E">
      <w:pPr>
        <w:rPr>
          <w:rFonts w:hint="eastAsia" w:asciiTheme="minorEastAsia" w:hAnsiTheme="minorEastAsia" w:eastAsiaTheme="minorEastAsia"/>
          <w:color w:val="auto"/>
          <w:szCs w:val="21"/>
          <w:highlight w:val="none"/>
          <w:shd w:val="clear" w:color="auto" w:fill="FFFFFF"/>
        </w:rPr>
      </w:pPr>
    </w:p>
    <w:p w14:paraId="69498534">
      <w:pPr>
        <w:pStyle w:val="51"/>
        <w:rPr>
          <w:rFonts w:hint="eastAsia" w:asciiTheme="minorEastAsia" w:hAnsiTheme="minorEastAsia" w:eastAsiaTheme="minorEastAsia"/>
          <w:color w:val="auto"/>
          <w:szCs w:val="21"/>
          <w:highlight w:val="none"/>
          <w:shd w:val="clear" w:color="auto" w:fill="FFFFFF"/>
        </w:rPr>
      </w:pPr>
    </w:p>
    <w:p w14:paraId="6300FC61">
      <w:pPr>
        <w:pStyle w:val="51"/>
        <w:rPr>
          <w:rFonts w:hint="eastAsia" w:asciiTheme="minorEastAsia" w:hAnsiTheme="minorEastAsia" w:eastAsiaTheme="minorEastAsia"/>
          <w:color w:val="auto"/>
          <w:szCs w:val="21"/>
          <w:highlight w:val="none"/>
          <w:shd w:val="clear" w:color="auto" w:fill="FFFFFF"/>
        </w:rPr>
      </w:pPr>
    </w:p>
    <w:p w14:paraId="64F270F3">
      <w:pPr>
        <w:pStyle w:val="51"/>
        <w:rPr>
          <w:rFonts w:hint="eastAsia" w:asciiTheme="minorEastAsia" w:hAnsiTheme="minorEastAsia" w:eastAsiaTheme="minorEastAsia"/>
          <w:color w:val="auto"/>
          <w:szCs w:val="21"/>
          <w:highlight w:val="none"/>
          <w:shd w:val="clear" w:color="auto" w:fill="FFFFFF"/>
        </w:rPr>
      </w:pPr>
    </w:p>
    <w:p w14:paraId="2F3239E5">
      <w:pPr>
        <w:pStyle w:val="51"/>
        <w:rPr>
          <w:rFonts w:hint="eastAsia" w:asciiTheme="minorEastAsia" w:hAnsiTheme="minorEastAsia" w:eastAsiaTheme="minorEastAsia"/>
          <w:color w:val="auto"/>
          <w:szCs w:val="21"/>
          <w:highlight w:val="none"/>
          <w:shd w:val="clear" w:color="auto" w:fill="FFFFFF"/>
        </w:rPr>
      </w:pPr>
    </w:p>
    <w:p w14:paraId="57E41DF4">
      <w:pPr>
        <w:pStyle w:val="51"/>
        <w:rPr>
          <w:rFonts w:hint="eastAsia" w:asciiTheme="minorEastAsia" w:hAnsiTheme="minorEastAsia" w:eastAsiaTheme="minorEastAsia"/>
          <w:color w:val="auto"/>
          <w:szCs w:val="21"/>
          <w:highlight w:val="none"/>
          <w:shd w:val="clear" w:color="auto" w:fill="FFFFFF"/>
        </w:rPr>
      </w:pPr>
    </w:p>
    <w:p w14:paraId="1928B412">
      <w:pPr>
        <w:pStyle w:val="51"/>
        <w:rPr>
          <w:rFonts w:hint="eastAsia" w:asciiTheme="minorEastAsia" w:hAnsiTheme="minorEastAsia" w:eastAsiaTheme="minorEastAsia"/>
          <w:color w:val="auto"/>
          <w:szCs w:val="21"/>
          <w:highlight w:val="none"/>
          <w:shd w:val="clear" w:color="auto" w:fill="FFFFFF"/>
        </w:rPr>
      </w:pPr>
    </w:p>
    <w:p w14:paraId="0E996DE5">
      <w:pPr>
        <w:pStyle w:val="51"/>
        <w:rPr>
          <w:rFonts w:hint="eastAsia" w:asciiTheme="minorEastAsia" w:hAnsiTheme="minorEastAsia" w:eastAsiaTheme="minorEastAsia"/>
          <w:color w:val="auto"/>
          <w:szCs w:val="21"/>
          <w:highlight w:val="none"/>
          <w:shd w:val="clear" w:color="auto" w:fill="FFFFFF"/>
        </w:rPr>
      </w:pPr>
    </w:p>
    <w:p w14:paraId="47D3DDEA">
      <w:pPr>
        <w:pStyle w:val="51"/>
        <w:rPr>
          <w:rFonts w:hint="eastAsia" w:asciiTheme="minorEastAsia" w:hAnsiTheme="minorEastAsia" w:eastAsiaTheme="minorEastAsia"/>
          <w:color w:val="auto"/>
          <w:szCs w:val="21"/>
          <w:highlight w:val="none"/>
          <w:shd w:val="clear" w:color="auto" w:fill="FFFFFF"/>
        </w:rPr>
      </w:pPr>
    </w:p>
    <w:p w14:paraId="315F1CCC">
      <w:pPr>
        <w:pStyle w:val="51"/>
        <w:rPr>
          <w:rFonts w:hint="eastAsia" w:asciiTheme="minorEastAsia" w:hAnsiTheme="minorEastAsia" w:eastAsiaTheme="minorEastAsia"/>
          <w:color w:val="auto"/>
          <w:szCs w:val="21"/>
          <w:highlight w:val="none"/>
          <w:shd w:val="clear" w:color="auto" w:fill="FFFFFF"/>
        </w:rPr>
      </w:pPr>
    </w:p>
    <w:p w14:paraId="02607D68">
      <w:pPr>
        <w:pStyle w:val="51"/>
        <w:rPr>
          <w:rFonts w:hint="eastAsia" w:asciiTheme="minorEastAsia" w:hAnsiTheme="minorEastAsia" w:eastAsiaTheme="minorEastAsia"/>
          <w:color w:val="auto"/>
          <w:szCs w:val="21"/>
          <w:highlight w:val="none"/>
          <w:shd w:val="clear" w:color="auto" w:fill="FFFFFF"/>
        </w:rPr>
      </w:pPr>
    </w:p>
    <w:p w14:paraId="69D0CB9C">
      <w:pPr>
        <w:pStyle w:val="51"/>
        <w:rPr>
          <w:rFonts w:hint="eastAsia" w:asciiTheme="minorEastAsia" w:hAnsiTheme="minorEastAsia" w:eastAsiaTheme="minorEastAsia"/>
          <w:color w:val="auto"/>
          <w:szCs w:val="21"/>
          <w:highlight w:val="none"/>
          <w:shd w:val="clear" w:color="auto" w:fill="FFFFFF"/>
        </w:rPr>
      </w:pPr>
    </w:p>
    <w:p w14:paraId="6FE9AD1B">
      <w:pPr>
        <w:pStyle w:val="51"/>
        <w:rPr>
          <w:rFonts w:hint="eastAsia" w:asciiTheme="minorEastAsia" w:hAnsiTheme="minorEastAsia" w:eastAsiaTheme="minorEastAsia"/>
          <w:color w:val="auto"/>
          <w:szCs w:val="21"/>
          <w:highlight w:val="none"/>
          <w:shd w:val="clear" w:color="auto" w:fill="FFFFFF"/>
        </w:rPr>
      </w:pPr>
    </w:p>
    <w:p w14:paraId="28F74848">
      <w:pPr>
        <w:pStyle w:val="51"/>
        <w:rPr>
          <w:rFonts w:hint="eastAsia" w:asciiTheme="minorEastAsia" w:hAnsiTheme="minorEastAsia" w:eastAsiaTheme="minorEastAsia"/>
          <w:color w:val="auto"/>
          <w:szCs w:val="21"/>
          <w:highlight w:val="none"/>
          <w:shd w:val="clear" w:color="auto" w:fill="FFFFFF"/>
        </w:rPr>
      </w:pPr>
    </w:p>
    <w:p w14:paraId="0A0355F1">
      <w:pPr>
        <w:pStyle w:val="51"/>
        <w:rPr>
          <w:rFonts w:hint="eastAsia" w:asciiTheme="minorEastAsia" w:hAnsiTheme="minorEastAsia" w:eastAsiaTheme="minorEastAsia"/>
          <w:color w:val="auto"/>
          <w:szCs w:val="21"/>
          <w:highlight w:val="none"/>
          <w:shd w:val="clear" w:color="auto" w:fill="FFFFFF"/>
        </w:rPr>
      </w:pPr>
    </w:p>
    <w:p w14:paraId="0ADFB76E">
      <w:pPr>
        <w:pStyle w:val="51"/>
        <w:rPr>
          <w:rFonts w:hint="eastAsia" w:asciiTheme="minorEastAsia" w:hAnsiTheme="minorEastAsia" w:eastAsiaTheme="minorEastAsia"/>
          <w:color w:val="auto"/>
          <w:szCs w:val="21"/>
          <w:highlight w:val="none"/>
          <w:shd w:val="clear" w:color="auto" w:fill="FFFFFF"/>
        </w:rPr>
      </w:pPr>
    </w:p>
    <w:p w14:paraId="7F2A4BCC">
      <w:pPr>
        <w:pStyle w:val="51"/>
        <w:rPr>
          <w:rFonts w:hint="eastAsia" w:asciiTheme="minorEastAsia" w:hAnsiTheme="minorEastAsia" w:eastAsiaTheme="minorEastAsia"/>
          <w:color w:val="auto"/>
          <w:szCs w:val="21"/>
          <w:highlight w:val="none"/>
          <w:shd w:val="clear" w:color="auto" w:fill="FFFFFF"/>
        </w:rPr>
      </w:pPr>
    </w:p>
    <w:p w14:paraId="02F92375">
      <w:pPr>
        <w:pStyle w:val="51"/>
        <w:rPr>
          <w:rFonts w:hint="eastAsia" w:asciiTheme="minorEastAsia" w:hAnsiTheme="minorEastAsia" w:eastAsiaTheme="minorEastAsia"/>
          <w:color w:val="auto"/>
          <w:szCs w:val="21"/>
          <w:highlight w:val="none"/>
          <w:shd w:val="clear" w:color="auto" w:fill="FFFFFF"/>
        </w:rPr>
      </w:pPr>
    </w:p>
    <w:p w14:paraId="6A88C8FD">
      <w:pPr>
        <w:pStyle w:val="51"/>
        <w:rPr>
          <w:rFonts w:hint="eastAsia" w:asciiTheme="minorEastAsia" w:hAnsiTheme="minorEastAsia" w:eastAsiaTheme="minorEastAsia"/>
          <w:color w:val="auto"/>
          <w:szCs w:val="21"/>
          <w:highlight w:val="none"/>
          <w:shd w:val="clear" w:color="auto" w:fill="FFFFFF"/>
        </w:rPr>
      </w:pPr>
    </w:p>
    <w:p w14:paraId="3C182346">
      <w:pPr>
        <w:pStyle w:val="51"/>
        <w:rPr>
          <w:rFonts w:hint="eastAsia" w:asciiTheme="minorEastAsia" w:hAnsiTheme="minorEastAsia" w:eastAsiaTheme="minorEastAsia"/>
          <w:color w:val="auto"/>
          <w:szCs w:val="21"/>
          <w:highlight w:val="none"/>
          <w:shd w:val="clear" w:color="auto" w:fill="FFFFFF"/>
        </w:rPr>
      </w:pPr>
    </w:p>
    <w:p w14:paraId="561869B9">
      <w:pPr>
        <w:pStyle w:val="51"/>
        <w:rPr>
          <w:rFonts w:hint="eastAsia" w:asciiTheme="minorEastAsia" w:hAnsiTheme="minorEastAsia" w:eastAsiaTheme="minorEastAsia"/>
          <w:color w:val="auto"/>
          <w:szCs w:val="21"/>
          <w:highlight w:val="none"/>
          <w:shd w:val="clear" w:color="auto" w:fill="FFFFFF"/>
        </w:rPr>
      </w:pPr>
    </w:p>
    <w:p w14:paraId="08C1509E">
      <w:pPr>
        <w:spacing w:line="360" w:lineRule="auto"/>
        <w:jc w:val="left"/>
        <w:outlineLvl w:val="0"/>
        <w:rPr>
          <w:rFonts w:hint="eastAsia" w:ascii="宋体" w:hAnsi="宋体" w:cs="宋体"/>
          <w:b/>
          <w:color w:val="auto"/>
          <w:sz w:val="24"/>
          <w:szCs w:val="24"/>
          <w:highlight w:val="none"/>
        </w:rPr>
      </w:pPr>
      <w:r>
        <w:rPr>
          <w:rFonts w:hint="eastAsia" w:ascii="宋体" w:hAnsi="宋体" w:cs="宋体"/>
          <w:b/>
          <w:color w:val="auto"/>
          <w:sz w:val="24"/>
          <w:szCs w:val="24"/>
          <w:highlight w:val="none"/>
        </w:rPr>
        <w:t>附件：</w:t>
      </w:r>
    </w:p>
    <w:p w14:paraId="372971F1">
      <w:pPr>
        <w:shd w:val="clear" w:color="auto" w:fill="FFFFFF"/>
        <w:spacing w:before="156" w:line="330" w:lineRule="atLeast"/>
        <w:ind w:firstLine="420"/>
        <w:jc w:val="center"/>
        <w:rPr>
          <w:rFonts w:ascii="微软雅黑" w:hAnsi="微软雅黑" w:cs="宋体"/>
          <w:b/>
          <w:color w:val="auto"/>
          <w:sz w:val="24"/>
          <w:szCs w:val="24"/>
          <w:highlight w:val="none"/>
        </w:rPr>
      </w:pPr>
    </w:p>
    <w:p w14:paraId="05DEF689">
      <w:pPr>
        <w:pageBreakBefore w:val="0"/>
        <w:shd w:val="clear" w:color="auto" w:fill="FFFFFF"/>
        <w:kinsoku/>
        <w:overflowPunct/>
        <w:topLinePunct w:val="0"/>
        <w:bidi w:val="0"/>
        <w:spacing w:before="156" w:line="360" w:lineRule="auto"/>
        <w:ind w:firstLine="420"/>
        <w:jc w:val="center"/>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国家统计局关于印发统计上大中小微型企业划分办法的通知</w:t>
      </w:r>
    </w:p>
    <w:p w14:paraId="0FA315BF">
      <w:pPr>
        <w:pageBreakBefore w:val="0"/>
        <w:shd w:val="clear" w:color="auto" w:fill="FFFFFF"/>
        <w:kinsoku/>
        <w:overflowPunct/>
        <w:topLinePunct w:val="0"/>
        <w:bidi w:val="0"/>
        <w:spacing w:line="360" w:lineRule="auto"/>
        <w:ind w:firstLine="420"/>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国统字〔2011〕75号</w:t>
      </w:r>
    </w:p>
    <w:p w14:paraId="211DE252">
      <w:pPr>
        <w:pageBreakBefore w:val="0"/>
        <w:shd w:val="clear" w:color="auto" w:fill="FFFFFF"/>
        <w:kinsoku/>
        <w:overflowPunct/>
        <w:topLinePunct w:val="0"/>
        <w:bidi w:val="0"/>
        <w:spacing w:line="360" w:lineRule="auto"/>
        <w:ind w:firstLine="42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w:t>
      </w:r>
    </w:p>
    <w:p w14:paraId="4917AF07">
      <w:pPr>
        <w:keepNext w:val="0"/>
        <w:keepLines w:val="0"/>
        <w:pageBreakBefore w:val="0"/>
        <w:widowControl w:val="0"/>
        <w:shd w:val="clear" w:color="auto" w:fill="FFFFFF"/>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各省、自治区、直辖市统计局，新疆生产建设兵团统计局，国家统计局各调查总队，国务院有关部门：</w:t>
      </w:r>
    </w:p>
    <w:p w14:paraId="29EFB7F2">
      <w:pPr>
        <w:keepNext w:val="0"/>
        <w:keepLines w:val="0"/>
        <w:pageBreakBefore w:val="0"/>
        <w:widowControl w:val="0"/>
        <w:shd w:val="clear" w:color="auto" w:fill="FFFFFF"/>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w:t>
      </w:r>
    </w:p>
    <w:p w14:paraId="1D5ACABB">
      <w:pPr>
        <w:keepNext w:val="0"/>
        <w:keepLines w:val="0"/>
        <w:pageBreakBefore w:val="0"/>
        <w:widowControl w:val="0"/>
        <w:shd w:val="clear" w:color="auto" w:fill="FFFFFF"/>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为贯彻落实工业和信息化部、国家统计局、国家发展改革委、财政部《关于印发中小企业划型标准规定的通知》（工信部联企业〔2011〕300号），结合统计工作的实际情况，我们制定了《统计上大中小微型企业划分办法》。现印发给你们，请遵照执行。</w:t>
      </w:r>
    </w:p>
    <w:p w14:paraId="4B67CDEC">
      <w:pPr>
        <w:pageBreakBefore w:val="0"/>
        <w:shd w:val="clear" w:color="auto" w:fill="FFFFFF"/>
        <w:kinsoku/>
        <w:overflowPunct/>
        <w:topLinePunct w:val="0"/>
        <w:bidi w:val="0"/>
        <w:spacing w:line="360" w:lineRule="auto"/>
        <w:ind w:firstLine="42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w:t>
      </w:r>
    </w:p>
    <w:p w14:paraId="4F4C8C83">
      <w:pPr>
        <w:pageBreakBefore w:val="0"/>
        <w:shd w:val="clear" w:color="auto" w:fill="FFFFFF"/>
        <w:kinsoku/>
        <w:wordWrap w:val="0"/>
        <w:overflowPunct/>
        <w:topLinePunct w:val="0"/>
        <w:bidi w:val="0"/>
        <w:spacing w:line="360" w:lineRule="auto"/>
        <w:ind w:firstLine="420"/>
        <w:jc w:val="righ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国家统计局 </w:t>
      </w:r>
    </w:p>
    <w:p w14:paraId="6C5D8938">
      <w:pPr>
        <w:pageBreakBefore w:val="0"/>
        <w:shd w:val="clear" w:color="auto" w:fill="FFFFFF"/>
        <w:kinsoku/>
        <w:overflowPunct/>
        <w:topLinePunct w:val="0"/>
        <w:bidi w:val="0"/>
        <w:spacing w:line="360" w:lineRule="auto"/>
        <w:ind w:firstLine="420"/>
        <w:jc w:val="righ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二〇一一年九月二日</w:t>
      </w:r>
    </w:p>
    <w:p w14:paraId="7B53F5FA">
      <w:pPr>
        <w:pageBreakBefore w:val="0"/>
        <w:shd w:val="clear" w:color="auto" w:fill="FFFFFF"/>
        <w:kinsoku/>
        <w:overflowPunct/>
        <w:topLinePunct w:val="0"/>
        <w:bidi w:val="0"/>
        <w:spacing w:line="360" w:lineRule="auto"/>
        <w:ind w:firstLine="42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w:t>
      </w:r>
    </w:p>
    <w:p w14:paraId="1FCFE322">
      <w:pPr>
        <w:pageBreakBefore w:val="0"/>
        <w:shd w:val="clear" w:color="auto" w:fill="FFFFFF"/>
        <w:kinsoku/>
        <w:overflowPunct/>
        <w:topLinePunct w:val="0"/>
        <w:bidi w:val="0"/>
        <w:spacing w:line="360" w:lineRule="auto"/>
        <w:ind w:firstLine="420"/>
        <w:jc w:val="center"/>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统计上大中小微型企业划分办法</w:t>
      </w:r>
    </w:p>
    <w:p w14:paraId="68F9525B">
      <w:pPr>
        <w:pageBreakBefore w:val="0"/>
        <w:shd w:val="clear" w:color="auto" w:fill="FFFFFF"/>
        <w:kinsoku/>
        <w:overflowPunct/>
        <w:topLinePunct w:val="0"/>
        <w:bidi w:val="0"/>
        <w:spacing w:line="360" w:lineRule="auto"/>
        <w:ind w:firstLine="42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w:t>
      </w:r>
    </w:p>
    <w:p w14:paraId="73ACFFA2">
      <w:pPr>
        <w:keepNext w:val="0"/>
        <w:keepLines w:val="0"/>
        <w:pageBreakBefore w:val="0"/>
        <w:widowControl w:val="0"/>
        <w:shd w:val="clear" w:color="auto" w:fill="FFFFFF"/>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一、根据工业和信息化部、国家统计局、国家发展改革委、财政部《关于印发中小企业划型标准规定的通知》（工信部联企业〔2011〕300号），结合统计工作的实际情况，特制定本办法。</w:t>
      </w:r>
    </w:p>
    <w:p w14:paraId="2D5BD305">
      <w:pPr>
        <w:keepNext w:val="0"/>
        <w:keepLines w:val="0"/>
        <w:pageBreakBefore w:val="0"/>
        <w:widowControl w:val="0"/>
        <w:shd w:val="clear" w:color="auto" w:fill="FFFFFF"/>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二、本办法适用对象为在中华人民共和国境内依法设立的各种组织形式的法人企业或单位。个体工商户参照本办法进行划分。</w:t>
      </w:r>
    </w:p>
    <w:p w14:paraId="02594209">
      <w:pPr>
        <w:keepNext w:val="0"/>
        <w:keepLines w:val="0"/>
        <w:pageBreakBefore w:val="0"/>
        <w:widowControl w:val="0"/>
        <w:shd w:val="clear" w:color="auto" w:fill="FFFFFF"/>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3EA810FA">
      <w:pPr>
        <w:keepNext w:val="0"/>
        <w:keepLines w:val="0"/>
        <w:pageBreakBefore w:val="0"/>
        <w:widowControl w:val="0"/>
        <w:shd w:val="clear" w:color="auto" w:fill="FFFFFF"/>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四、本办法按照行业门类、大类、中类和组合类别，依据从业人员、营业收入、资产总额等指标或替代指标，将我国的企业划分为大型、中型、小型、微型等四种类型。具体划分标准见附表。</w:t>
      </w:r>
    </w:p>
    <w:p w14:paraId="34559DF1">
      <w:pPr>
        <w:keepNext w:val="0"/>
        <w:keepLines w:val="0"/>
        <w:pageBreakBefore w:val="0"/>
        <w:widowControl w:val="0"/>
        <w:shd w:val="clear" w:color="auto" w:fill="FFFFFF"/>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五、企业划分由政府综合统计部门根据统计年报每年确定一次，定报统计原则上不进行调整。</w:t>
      </w:r>
    </w:p>
    <w:p w14:paraId="07437016">
      <w:pPr>
        <w:keepNext w:val="0"/>
        <w:keepLines w:val="0"/>
        <w:pageBreakBefore w:val="0"/>
        <w:widowControl w:val="0"/>
        <w:shd w:val="clear" w:color="auto" w:fill="FFFFFF"/>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六、本办法自印发之日起执行，国家统计局2003年印发的《统计上大中小型企业划分办法（暂行）》（国统字〔2003〕17号）同时废止。</w:t>
      </w:r>
    </w:p>
    <w:p w14:paraId="379E960E">
      <w:pPr>
        <w:pageBreakBefore w:val="0"/>
        <w:shd w:val="clear" w:color="auto" w:fill="FFFFFF"/>
        <w:kinsoku/>
        <w:overflowPunct/>
        <w:topLinePunct w:val="0"/>
        <w:bidi w:val="0"/>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附表：</w:t>
      </w:r>
      <w:r>
        <w:rPr>
          <w:rFonts w:hint="eastAsia" w:ascii="宋体" w:hAnsi="宋体" w:eastAsia="宋体" w:cs="宋体"/>
          <w:b/>
          <w:color w:val="auto"/>
          <w:sz w:val="24"/>
          <w:szCs w:val="24"/>
          <w:highlight w:val="none"/>
        </w:rPr>
        <w:t>统计上大中小微型企业划分标准</w:t>
      </w:r>
    </w:p>
    <w:tbl>
      <w:tblPr>
        <w:tblStyle w:val="52"/>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39"/>
        <w:gridCol w:w="1428"/>
        <w:gridCol w:w="845"/>
        <w:gridCol w:w="1107"/>
        <w:gridCol w:w="1662"/>
        <w:gridCol w:w="1466"/>
        <w:gridCol w:w="1012"/>
      </w:tblGrid>
      <w:tr w14:paraId="569D0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1739" w:type="dxa"/>
            <w:tcMar>
              <w:top w:w="0" w:type="dxa"/>
              <w:left w:w="108" w:type="dxa"/>
              <w:bottom w:w="0" w:type="dxa"/>
              <w:right w:w="108" w:type="dxa"/>
            </w:tcMar>
            <w:vAlign w:val="center"/>
          </w:tcPr>
          <w:p w14:paraId="49F63ACD">
            <w:pPr>
              <w:pageBreakBefore w:val="0"/>
              <w:kinsoku/>
              <w:overflowPunct/>
              <w:topLinePunct w:val="0"/>
              <w:bidi w:val="0"/>
              <w:spacing w:line="360" w:lineRule="auto"/>
              <w:ind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color w:val="auto"/>
                <w:sz w:val="24"/>
                <w:szCs w:val="24"/>
                <w:highlight w:val="none"/>
              </w:rPr>
              <w:t>行业名称</w:t>
            </w:r>
          </w:p>
        </w:tc>
        <w:tc>
          <w:tcPr>
            <w:tcW w:w="1428" w:type="dxa"/>
            <w:tcMar>
              <w:top w:w="0" w:type="dxa"/>
              <w:left w:w="108" w:type="dxa"/>
              <w:bottom w:w="0" w:type="dxa"/>
              <w:right w:w="108" w:type="dxa"/>
            </w:tcMar>
            <w:vAlign w:val="center"/>
          </w:tcPr>
          <w:p w14:paraId="76AEA48C">
            <w:pPr>
              <w:pageBreakBefore w:val="0"/>
              <w:kinsoku/>
              <w:overflowPunct/>
              <w:topLinePunct w:val="0"/>
              <w:bidi w:val="0"/>
              <w:spacing w:line="360" w:lineRule="auto"/>
              <w:ind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指标名称</w:t>
            </w:r>
          </w:p>
        </w:tc>
        <w:tc>
          <w:tcPr>
            <w:tcW w:w="845" w:type="dxa"/>
            <w:tcMar>
              <w:top w:w="0" w:type="dxa"/>
              <w:left w:w="108" w:type="dxa"/>
              <w:bottom w:w="0" w:type="dxa"/>
              <w:right w:w="108" w:type="dxa"/>
            </w:tcMar>
            <w:vAlign w:val="center"/>
          </w:tcPr>
          <w:p w14:paraId="30F1C3BE">
            <w:pPr>
              <w:pageBreakBefore w:val="0"/>
              <w:kinsoku/>
              <w:overflowPunct/>
              <w:topLinePunct w:val="0"/>
              <w:bidi w:val="0"/>
              <w:spacing w:line="360" w:lineRule="auto"/>
              <w:ind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计量</w:t>
            </w:r>
          </w:p>
          <w:p w14:paraId="189AC5A2">
            <w:pPr>
              <w:pageBreakBefore w:val="0"/>
              <w:kinsoku/>
              <w:overflowPunct/>
              <w:topLinePunct w:val="0"/>
              <w:bidi w:val="0"/>
              <w:spacing w:line="360" w:lineRule="auto"/>
              <w:ind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单位</w:t>
            </w:r>
          </w:p>
        </w:tc>
        <w:tc>
          <w:tcPr>
            <w:tcW w:w="1107" w:type="dxa"/>
            <w:tcMar>
              <w:top w:w="0" w:type="dxa"/>
              <w:left w:w="108" w:type="dxa"/>
              <w:bottom w:w="0" w:type="dxa"/>
              <w:right w:w="108" w:type="dxa"/>
            </w:tcMar>
            <w:vAlign w:val="center"/>
          </w:tcPr>
          <w:p w14:paraId="508356D1">
            <w:pPr>
              <w:pageBreakBefore w:val="0"/>
              <w:kinsoku/>
              <w:overflowPunct/>
              <w:topLinePunct w:val="0"/>
              <w:bidi w:val="0"/>
              <w:spacing w:line="360" w:lineRule="auto"/>
              <w:ind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大型</w:t>
            </w:r>
          </w:p>
        </w:tc>
        <w:tc>
          <w:tcPr>
            <w:tcW w:w="1662" w:type="dxa"/>
            <w:tcMar>
              <w:top w:w="0" w:type="dxa"/>
              <w:left w:w="108" w:type="dxa"/>
              <w:bottom w:w="0" w:type="dxa"/>
              <w:right w:w="108" w:type="dxa"/>
            </w:tcMar>
            <w:vAlign w:val="center"/>
          </w:tcPr>
          <w:p w14:paraId="7F6EB284">
            <w:pPr>
              <w:pageBreakBefore w:val="0"/>
              <w:kinsoku/>
              <w:overflowPunct/>
              <w:topLinePunct w:val="0"/>
              <w:bidi w:val="0"/>
              <w:spacing w:line="360" w:lineRule="auto"/>
              <w:ind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中型</w:t>
            </w:r>
          </w:p>
        </w:tc>
        <w:tc>
          <w:tcPr>
            <w:tcW w:w="1466" w:type="dxa"/>
            <w:tcMar>
              <w:top w:w="0" w:type="dxa"/>
              <w:left w:w="108" w:type="dxa"/>
              <w:bottom w:w="0" w:type="dxa"/>
              <w:right w:w="108" w:type="dxa"/>
            </w:tcMar>
            <w:vAlign w:val="center"/>
          </w:tcPr>
          <w:p w14:paraId="672A53DB">
            <w:pPr>
              <w:pageBreakBefore w:val="0"/>
              <w:kinsoku/>
              <w:overflowPunct/>
              <w:topLinePunct w:val="0"/>
              <w:bidi w:val="0"/>
              <w:spacing w:line="360" w:lineRule="auto"/>
              <w:ind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小型</w:t>
            </w:r>
          </w:p>
        </w:tc>
        <w:tc>
          <w:tcPr>
            <w:tcW w:w="1012" w:type="dxa"/>
            <w:tcMar>
              <w:top w:w="0" w:type="dxa"/>
              <w:left w:w="108" w:type="dxa"/>
              <w:bottom w:w="0" w:type="dxa"/>
              <w:right w:w="108" w:type="dxa"/>
            </w:tcMar>
            <w:vAlign w:val="center"/>
          </w:tcPr>
          <w:p w14:paraId="552C763D">
            <w:pPr>
              <w:pageBreakBefore w:val="0"/>
              <w:kinsoku/>
              <w:overflowPunct/>
              <w:topLinePunct w:val="0"/>
              <w:bidi w:val="0"/>
              <w:spacing w:line="360" w:lineRule="auto"/>
              <w:ind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微型</w:t>
            </w:r>
          </w:p>
        </w:tc>
      </w:tr>
      <w:tr w14:paraId="33D61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1739" w:type="dxa"/>
            <w:tcMar>
              <w:top w:w="0" w:type="dxa"/>
              <w:left w:w="108" w:type="dxa"/>
              <w:bottom w:w="0" w:type="dxa"/>
              <w:right w:w="108" w:type="dxa"/>
            </w:tcMar>
            <w:vAlign w:val="center"/>
          </w:tcPr>
          <w:p w14:paraId="7BA6F289">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农、林、牧、渔业</w:t>
            </w:r>
          </w:p>
        </w:tc>
        <w:tc>
          <w:tcPr>
            <w:tcW w:w="1428" w:type="dxa"/>
            <w:tcMar>
              <w:top w:w="0" w:type="dxa"/>
              <w:left w:w="108" w:type="dxa"/>
              <w:bottom w:w="0" w:type="dxa"/>
              <w:right w:w="108" w:type="dxa"/>
            </w:tcMar>
            <w:vAlign w:val="center"/>
          </w:tcPr>
          <w:p w14:paraId="3A2FC85C">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营业收入(Y)</w:t>
            </w:r>
          </w:p>
        </w:tc>
        <w:tc>
          <w:tcPr>
            <w:tcW w:w="845" w:type="dxa"/>
            <w:tcMar>
              <w:top w:w="0" w:type="dxa"/>
              <w:left w:w="108" w:type="dxa"/>
              <w:bottom w:w="0" w:type="dxa"/>
              <w:right w:w="108" w:type="dxa"/>
            </w:tcMar>
            <w:vAlign w:val="center"/>
          </w:tcPr>
          <w:p w14:paraId="7F1B305B">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万元</w:t>
            </w:r>
          </w:p>
        </w:tc>
        <w:tc>
          <w:tcPr>
            <w:tcW w:w="1107" w:type="dxa"/>
            <w:tcMar>
              <w:top w:w="0" w:type="dxa"/>
              <w:left w:w="108" w:type="dxa"/>
              <w:bottom w:w="0" w:type="dxa"/>
              <w:right w:w="108" w:type="dxa"/>
            </w:tcMar>
            <w:vAlign w:val="center"/>
          </w:tcPr>
          <w:p w14:paraId="34378D7A">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Y≥20000</w:t>
            </w:r>
          </w:p>
        </w:tc>
        <w:tc>
          <w:tcPr>
            <w:tcW w:w="1662" w:type="dxa"/>
            <w:tcMar>
              <w:top w:w="0" w:type="dxa"/>
              <w:left w:w="108" w:type="dxa"/>
              <w:bottom w:w="0" w:type="dxa"/>
              <w:right w:w="108" w:type="dxa"/>
            </w:tcMar>
            <w:vAlign w:val="center"/>
          </w:tcPr>
          <w:p w14:paraId="46DBA4B2">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500≤Y＜20000</w:t>
            </w:r>
          </w:p>
        </w:tc>
        <w:tc>
          <w:tcPr>
            <w:tcW w:w="1466" w:type="dxa"/>
            <w:tcMar>
              <w:top w:w="0" w:type="dxa"/>
              <w:left w:w="108" w:type="dxa"/>
              <w:bottom w:w="0" w:type="dxa"/>
              <w:right w:w="108" w:type="dxa"/>
            </w:tcMar>
            <w:vAlign w:val="center"/>
          </w:tcPr>
          <w:p w14:paraId="6049E52E">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50≤Y＜500</w:t>
            </w:r>
          </w:p>
        </w:tc>
        <w:tc>
          <w:tcPr>
            <w:tcW w:w="1012" w:type="dxa"/>
            <w:tcMar>
              <w:top w:w="0" w:type="dxa"/>
              <w:left w:w="108" w:type="dxa"/>
              <w:bottom w:w="0" w:type="dxa"/>
              <w:right w:w="108" w:type="dxa"/>
            </w:tcMar>
            <w:vAlign w:val="center"/>
          </w:tcPr>
          <w:p w14:paraId="6291AC07">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Y＜50</w:t>
            </w:r>
          </w:p>
        </w:tc>
      </w:tr>
      <w:tr w14:paraId="5E37A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1739" w:type="dxa"/>
            <w:vMerge w:val="restart"/>
            <w:tcMar>
              <w:top w:w="0" w:type="dxa"/>
              <w:left w:w="108" w:type="dxa"/>
              <w:bottom w:w="0" w:type="dxa"/>
              <w:right w:w="108" w:type="dxa"/>
            </w:tcMar>
            <w:vAlign w:val="center"/>
          </w:tcPr>
          <w:p w14:paraId="4073CC63">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工业 *</w:t>
            </w:r>
          </w:p>
        </w:tc>
        <w:tc>
          <w:tcPr>
            <w:tcW w:w="1428" w:type="dxa"/>
            <w:tcMar>
              <w:top w:w="0" w:type="dxa"/>
              <w:left w:w="108" w:type="dxa"/>
              <w:bottom w:w="0" w:type="dxa"/>
              <w:right w:w="108" w:type="dxa"/>
            </w:tcMar>
            <w:vAlign w:val="center"/>
          </w:tcPr>
          <w:p w14:paraId="451C6EB5">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从业人员(X)</w:t>
            </w:r>
          </w:p>
        </w:tc>
        <w:tc>
          <w:tcPr>
            <w:tcW w:w="845" w:type="dxa"/>
            <w:tcMar>
              <w:top w:w="0" w:type="dxa"/>
              <w:left w:w="108" w:type="dxa"/>
              <w:bottom w:w="0" w:type="dxa"/>
              <w:right w:w="108" w:type="dxa"/>
            </w:tcMar>
            <w:vAlign w:val="center"/>
          </w:tcPr>
          <w:p w14:paraId="0F12BE8E">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人</w:t>
            </w:r>
          </w:p>
        </w:tc>
        <w:tc>
          <w:tcPr>
            <w:tcW w:w="1107" w:type="dxa"/>
            <w:tcMar>
              <w:top w:w="0" w:type="dxa"/>
              <w:left w:w="108" w:type="dxa"/>
              <w:bottom w:w="0" w:type="dxa"/>
              <w:right w:w="108" w:type="dxa"/>
            </w:tcMar>
            <w:vAlign w:val="center"/>
          </w:tcPr>
          <w:p w14:paraId="785B6A3F">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X≥1000</w:t>
            </w:r>
          </w:p>
        </w:tc>
        <w:tc>
          <w:tcPr>
            <w:tcW w:w="1662" w:type="dxa"/>
            <w:tcMar>
              <w:top w:w="0" w:type="dxa"/>
              <w:left w:w="108" w:type="dxa"/>
              <w:bottom w:w="0" w:type="dxa"/>
              <w:right w:w="108" w:type="dxa"/>
            </w:tcMar>
            <w:vAlign w:val="center"/>
          </w:tcPr>
          <w:p w14:paraId="22E4268F">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300≤X＜1000</w:t>
            </w:r>
          </w:p>
        </w:tc>
        <w:tc>
          <w:tcPr>
            <w:tcW w:w="1466" w:type="dxa"/>
            <w:tcMar>
              <w:top w:w="0" w:type="dxa"/>
              <w:left w:w="108" w:type="dxa"/>
              <w:bottom w:w="0" w:type="dxa"/>
              <w:right w:w="108" w:type="dxa"/>
            </w:tcMar>
            <w:vAlign w:val="center"/>
          </w:tcPr>
          <w:p w14:paraId="0E5C89BD">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20≤X＜300</w:t>
            </w:r>
          </w:p>
        </w:tc>
        <w:tc>
          <w:tcPr>
            <w:tcW w:w="1012" w:type="dxa"/>
            <w:tcMar>
              <w:top w:w="0" w:type="dxa"/>
              <w:left w:w="108" w:type="dxa"/>
              <w:bottom w:w="0" w:type="dxa"/>
              <w:right w:w="108" w:type="dxa"/>
            </w:tcMar>
            <w:vAlign w:val="center"/>
          </w:tcPr>
          <w:p w14:paraId="7D847CC6">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X＜20</w:t>
            </w:r>
          </w:p>
        </w:tc>
      </w:tr>
      <w:tr w14:paraId="25351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1739" w:type="dxa"/>
            <w:vMerge w:val="continue"/>
            <w:vAlign w:val="center"/>
          </w:tcPr>
          <w:p w14:paraId="0338C2F6">
            <w:pPr>
              <w:pageBreakBefore w:val="0"/>
              <w:kinsoku/>
              <w:overflowPunct/>
              <w:topLinePunct w:val="0"/>
              <w:bidi w:val="0"/>
              <w:spacing w:line="360" w:lineRule="auto"/>
              <w:rPr>
                <w:rFonts w:hint="eastAsia" w:ascii="宋体" w:hAnsi="宋体" w:eastAsia="宋体" w:cs="宋体"/>
                <w:bCs/>
                <w:color w:val="auto"/>
                <w:sz w:val="24"/>
                <w:szCs w:val="24"/>
                <w:highlight w:val="none"/>
              </w:rPr>
            </w:pPr>
          </w:p>
        </w:tc>
        <w:tc>
          <w:tcPr>
            <w:tcW w:w="1428" w:type="dxa"/>
            <w:tcMar>
              <w:top w:w="0" w:type="dxa"/>
              <w:left w:w="108" w:type="dxa"/>
              <w:bottom w:w="0" w:type="dxa"/>
              <w:right w:w="108" w:type="dxa"/>
            </w:tcMar>
            <w:vAlign w:val="center"/>
          </w:tcPr>
          <w:p w14:paraId="2D366CFA">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营业收入(Y)</w:t>
            </w:r>
          </w:p>
        </w:tc>
        <w:tc>
          <w:tcPr>
            <w:tcW w:w="845" w:type="dxa"/>
            <w:tcMar>
              <w:top w:w="0" w:type="dxa"/>
              <w:left w:w="108" w:type="dxa"/>
              <w:bottom w:w="0" w:type="dxa"/>
              <w:right w:w="108" w:type="dxa"/>
            </w:tcMar>
            <w:vAlign w:val="center"/>
          </w:tcPr>
          <w:p w14:paraId="7B6EFADB">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万元</w:t>
            </w:r>
          </w:p>
        </w:tc>
        <w:tc>
          <w:tcPr>
            <w:tcW w:w="1107" w:type="dxa"/>
            <w:tcMar>
              <w:top w:w="0" w:type="dxa"/>
              <w:left w:w="108" w:type="dxa"/>
              <w:bottom w:w="0" w:type="dxa"/>
              <w:right w:w="108" w:type="dxa"/>
            </w:tcMar>
            <w:vAlign w:val="center"/>
          </w:tcPr>
          <w:p w14:paraId="343F1BC3">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Y≥40000</w:t>
            </w:r>
          </w:p>
        </w:tc>
        <w:tc>
          <w:tcPr>
            <w:tcW w:w="1662" w:type="dxa"/>
            <w:tcMar>
              <w:top w:w="0" w:type="dxa"/>
              <w:left w:w="108" w:type="dxa"/>
              <w:bottom w:w="0" w:type="dxa"/>
              <w:right w:w="108" w:type="dxa"/>
            </w:tcMar>
            <w:vAlign w:val="center"/>
          </w:tcPr>
          <w:p w14:paraId="056E557E">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2000≤Y＜40000</w:t>
            </w:r>
          </w:p>
        </w:tc>
        <w:tc>
          <w:tcPr>
            <w:tcW w:w="1466" w:type="dxa"/>
            <w:tcMar>
              <w:top w:w="0" w:type="dxa"/>
              <w:left w:w="108" w:type="dxa"/>
              <w:bottom w:w="0" w:type="dxa"/>
              <w:right w:w="108" w:type="dxa"/>
            </w:tcMar>
            <w:vAlign w:val="center"/>
          </w:tcPr>
          <w:p w14:paraId="4CC25AC8">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300≤Y＜2000</w:t>
            </w:r>
          </w:p>
        </w:tc>
        <w:tc>
          <w:tcPr>
            <w:tcW w:w="1012" w:type="dxa"/>
            <w:tcMar>
              <w:top w:w="0" w:type="dxa"/>
              <w:left w:w="108" w:type="dxa"/>
              <w:bottom w:w="0" w:type="dxa"/>
              <w:right w:w="108" w:type="dxa"/>
            </w:tcMar>
            <w:vAlign w:val="center"/>
          </w:tcPr>
          <w:p w14:paraId="34E6C96D">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Y＜300</w:t>
            </w:r>
          </w:p>
        </w:tc>
      </w:tr>
      <w:tr w14:paraId="20F97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1739" w:type="dxa"/>
            <w:vMerge w:val="restart"/>
            <w:tcMar>
              <w:top w:w="0" w:type="dxa"/>
              <w:left w:w="108" w:type="dxa"/>
              <w:bottom w:w="0" w:type="dxa"/>
              <w:right w:w="108" w:type="dxa"/>
            </w:tcMar>
            <w:vAlign w:val="center"/>
          </w:tcPr>
          <w:p w14:paraId="66A7BFB6">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建筑业</w:t>
            </w:r>
          </w:p>
        </w:tc>
        <w:tc>
          <w:tcPr>
            <w:tcW w:w="1428" w:type="dxa"/>
            <w:tcMar>
              <w:top w:w="0" w:type="dxa"/>
              <w:left w:w="108" w:type="dxa"/>
              <w:bottom w:w="0" w:type="dxa"/>
              <w:right w:w="108" w:type="dxa"/>
            </w:tcMar>
            <w:vAlign w:val="center"/>
          </w:tcPr>
          <w:p w14:paraId="62A1F6E0">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营业收入(Y)</w:t>
            </w:r>
          </w:p>
        </w:tc>
        <w:tc>
          <w:tcPr>
            <w:tcW w:w="845" w:type="dxa"/>
            <w:tcMar>
              <w:top w:w="0" w:type="dxa"/>
              <w:left w:w="108" w:type="dxa"/>
              <w:bottom w:w="0" w:type="dxa"/>
              <w:right w:w="108" w:type="dxa"/>
            </w:tcMar>
            <w:vAlign w:val="center"/>
          </w:tcPr>
          <w:p w14:paraId="10C6C314">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万元</w:t>
            </w:r>
          </w:p>
        </w:tc>
        <w:tc>
          <w:tcPr>
            <w:tcW w:w="1107" w:type="dxa"/>
            <w:tcMar>
              <w:top w:w="0" w:type="dxa"/>
              <w:left w:w="108" w:type="dxa"/>
              <w:bottom w:w="0" w:type="dxa"/>
              <w:right w:w="108" w:type="dxa"/>
            </w:tcMar>
            <w:vAlign w:val="center"/>
          </w:tcPr>
          <w:p w14:paraId="60FF6F78">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Y≥80000</w:t>
            </w:r>
          </w:p>
        </w:tc>
        <w:tc>
          <w:tcPr>
            <w:tcW w:w="1662" w:type="dxa"/>
            <w:tcMar>
              <w:top w:w="0" w:type="dxa"/>
              <w:left w:w="108" w:type="dxa"/>
              <w:bottom w:w="0" w:type="dxa"/>
              <w:right w:w="108" w:type="dxa"/>
            </w:tcMar>
            <w:vAlign w:val="center"/>
          </w:tcPr>
          <w:p w14:paraId="6E3858A5">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6000≤Y＜80000</w:t>
            </w:r>
          </w:p>
        </w:tc>
        <w:tc>
          <w:tcPr>
            <w:tcW w:w="1466" w:type="dxa"/>
            <w:tcMar>
              <w:top w:w="0" w:type="dxa"/>
              <w:left w:w="108" w:type="dxa"/>
              <w:bottom w:w="0" w:type="dxa"/>
              <w:right w:w="108" w:type="dxa"/>
            </w:tcMar>
            <w:vAlign w:val="center"/>
          </w:tcPr>
          <w:p w14:paraId="13DB4D83">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300≤Y＜6000</w:t>
            </w:r>
          </w:p>
        </w:tc>
        <w:tc>
          <w:tcPr>
            <w:tcW w:w="1012" w:type="dxa"/>
            <w:tcMar>
              <w:top w:w="0" w:type="dxa"/>
              <w:left w:w="108" w:type="dxa"/>
              <w:bottom w:w="0" w:type="dxa"/>
              <w:right w:w="108" w:type="dxa"/>
            </w:tcMar>
            <w:vAlign w:val="center"/>
          </w:tcPr>
          <w:p w14:paraId="7B8F4EFA">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Y＜300</w:t>
            </w:r>
          </w:p>
        </w:tc>
      </w:tr>
      <w:tr w14:paraId="39589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1739" w:type="dxa"/>
            <w:vMerge w:val="continue"/>
            <w:vAlign w:val="center"/>
          </w:tcPr>
          <w:p w14:paraId="5F1B4712">
            <w:pPr>
              <w:pageBreakBefore w:val="0"/>
              <w:kinsoku/>
              <w:overflowPunct/>
              <w:topLinePunct w:val="0"/>
              <w:bidi w:val="0"/>
              <w:spacing w:line="360" w:lineRule="auto"/>
              <w:rPr>
                <w:rFonts w:hint="eastAsia" w:ascii="宋体" w:hAnsi="宋体" w:eastAsia="宋体" w:cs="宋体"/>
                <w:bCs/>
                <w:color w:val="auto"/>
                <w:sz w:val="24"/>
                <w:szCs w:val="24"/>
                <w:highlight w:val="none"/>
              </w:rPr>
            </w:pPr>
          </w:p>
        </w:tc>
        <w:tc>
          <w:tcPr>
            <w:tcW w:w="1428" w:type="dxa"/>
            <w:tcMar>
              <w:top w:w="0" w:type="dxa"/>
              <w:left w:w="108" w:type="dxa"/>
              <w:bottom w:w="0" w:type="dxa"/>
              <w:right w:w="108" w:type="dxa"/>
            </w:tcMar>
            <w:vAlign w:val="center"/>
          </w:tcPr>
          <w:p w14:paraId="64EC15B8">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资产总额(Z)</w:t>
            </w:r>
          </w:p>
        </w:tc>
        <w:tc>
          <w:tcPr>
            <w:tcW w:w="845" w:type="dxa"/>
            <w:tcMar>
              <w:top w:w="0" w:type="dxa"/>
              <w:left w:w="108" w:type="dxa"/>
              <w:bottom w:w="0" w:type="dxa"/>
              <w:right w:w="108" w:type="dxa"/>
            </w:tcMar>
            <w:vAlign w:val="center"/>
          </w:tcPr>
          <w:p w14:paraId="3D67E5C1">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万元</w:t>
            </w:r>
          </w:p>
        </w:tc>
        <w:tc>
          <w:tcPr>
            <w:tcW w:w="1107" w:type="dxa"/>
            <w:tcMar>
              <w:top w:w="0" w:type="dxa"/>
              <w:left w:w="108" w:type="dxa"/>
              <w:bottom w:w="0" w:type="dxa"/>
              <w:right w:w="108" w:type="dxa"/>
            </w:tcMar>
            <w:vAlign w:val="center"/>
          </w:tcPr>
          <w:p w14:paraId="4DD74A10">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Z≥80000</w:t>
            </w:r>
          </w:p>
        </w:tc>
        <w:tc>
          <w:tcPr>
            <w:tcW w:w="1662" w:type="dxa"/>
            <w:tcMar>
              <w:top w:w="0" w:type="dxa"/>
              <w:left w:w="108" w:type="dxa"/>
              <w:bottom w:w="0" w:type="dxa"/>
              <w:right w:w="108" w:type="dxa"/>
            </w:tcMar>
            <w:vAlign w:val="center"/>
          </w:tcPr>
          <w:p w14:paraId="4E476E40">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5000≤Z＜80000</w:t>
            </w:r>
          </w:p>
        </w:tc>
        <w:tc>
          <w:tcPr>
            <w:tcW w:w="1466" w:type="dxa"/>
            <w:tcMar>
              <w:top w:w="0" w:type="dxa"/>
              <w:left w:w="108" w:type="dxa"/>
              <w:bottom w:w="0" w:type="dxa"/>
              <w:right w:w="108" w:type="dxa"/>
            </w:tcMar>
            <w:vAlign w:val="center"/>
          </w:tcPr>
          <w:p w14:paraId="76A41D4A">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300≤Z＜5000</w:t>
            </w:r>
          </w:p>
        </w:tc>
        <w:tc>
          <w:tcPr>
            <w:tcW w:w="1012" w:type="dxa"/>
            <w:tcMar>
              <w:top w:w="0" w:type="dxa"/>
              <w:left w:w="108" w:type="dxa"/>
              <w:bottom w:w="0" w:type="dxa"/>
              <w:right w:w="108" w:type="dxa"/>
            </w:tcMar>
            <w:vAlign w:val="center"/>
          </w:tcPr>
          <w:p w14:paraId="742070F4">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Z＜300</w:t>
            </w:r>
          </w:p>
        </w:tc>
      </w:tr>
      <w:tr w14:paraId="73EB7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1739" w:type="dxa"/>
            <w:vMerge w:val="restart"/>
            <w:tcMar>
              <w:top w:w="0" w:type="dxa"/>
              <w:left w:w="108" w:type="dxa"/>
              <w:bottom w:w="0" w:type="dxa"/>
              <w:right w:w="108" w:type="dxa"/>
            </w:tcMar>
            <w:vAlign w:val="center"/>
          </w:tcPr>
          <w:p w14:paraId="5170D25B">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批发业</w:t>
            </w:r>
          </w:p>
        </w:tc>
        <w:tc>
          <w:tcPr>
            <w:tcW w:w="1428" w:type="dxa"/>
            <w:tcMar>
              <w:top w:w="0" w:type="dxa"/>
              <w:left w:w="108" w:type="dxa"/>
              <w:bottom w:w="0" w:type="dxa"/>
              <w:right w:w="108" w:type="dxa"/>
            </w:tcMar>
            <w:vAlign w:val="center"/>
          </w:tcPr>
          <w:p w14:paraId="57926418">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从业人员(X)</w:t>
            </w:r>
          </w:p>
        </w:tc>
        <w:tc>
          <w:tcPr>
            <w:tcW w:w="845" w:type="dxa"/>
            <w:tcMar>
              <w:top w:w="0" w:type="dxa"/>
              <w:left w:w="108" w:type="dxa"/>
              <w:bottom w:w="0" w:type="dxa"/>
              <w:right w:w="108" w:type="dxa"/>
            </w:tcMar>
            <w:vAlign w:val="center"/>
          </w:tcPr>
          <w:p w14:paraId="4552AFAF">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人</w:t>
            </w:r>
          </w:p>
        </w:tc>
        <w:tc>
          <w:tcPr>
            <w:tcW w:w="1107" w:type="dxa"/>
            <w:tcMar>
              <w:top w:w="0" w:type="dxa"/>
              <w:left w:w="108" w:type="dxa"/>
              <w:bottom w:w="0" w:type="dxa"/>
              <w:right w:w="108" w:type="dxa"/>
            </w:tcMar>
            <w:vAlign w:val="center"/>
          </w:tcPr>
          <w:p w14:paraId="7974D27C">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X≥200</w:t>
            </w:r>
          </w:p>
        </w:tc>
        <w:tc>
          <w:tcPr>
            <w:tcW w:w="1662" w:type="dxa"/>
            <w:tcMar>
              <w:top w:w="0" w:type="dxa"/>
              <w:left w:w="108" w:type="dxa"/>
              <w:bottom w:w="0" w:type="dxa"/>
              <w:right w:w="108" w:type="dxa"/>
            </w:tcMar>
            <w:vAlign w:val="center"/>
          </w:tcPr>
          <w:p w14:paraId="0DD36153">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20≤X＜200</w:t>
            </w:r>
          </w:p>
        </w:tc>
        <w:tc>
          <w:tcPr>
            <w:tcW w:w="1466" w:type="dxa"/>
            <w:tcMar>
              <w:top w:w="0" w:type="dxa"/>
              <w:left w:w="108" w:type="dxa"/>
              <w:bottom w:w="0" w:type="dxa"/>
              <w:right w:w="108" w:type="dxa"/>
            </w:tcMar>
            <w:vAlign w:val="center"/>
          </w:tcPr>
          <w:p w14:paraId="59D3BD3A">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5≤X＜20</w:t>
            </w:r>
          </w:p>
        </w:tc>
        <w:tc>
          <w:tcPr>
            <w:tcW w:w="1012" w:type="dxa"/>
            <w:tcMar>
              <w:top w:w="0" w:type="dxa"/>
              <w:left w:w="108" w:type="dxa"/>
              <w:bottom w:w="0" w:type="dxa"/>
              <w:right w:w="108" w:type="dxa"/>
            </w:tcMar>
            <w:vAlign w:val="center"/>
          </w:tcPr>
          <w:p w14:paraId="6FA1398A">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X＜5</w:t>
            </w:r>
          </w:p>
        </w:tc>
      </w:tr>
      <w:tr w14:paraId="2F5D5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1739" w:type="dxa"/>
            <w:vMerge w:val="continue"/>
            <w:vAlign w:val="center"/>
          </w:tcPr>
          <w:p w14:paraId="4E38096E">
            <w:pPr>
              <w:pageBreakBefore w:val="0"/>
              <w:kinsoku/>
              <w:overflowPunct/>
              <w:topLinePunct w:val="0"/>
              <w:bidi w:val="0"/>
              <w:spacing w:line="360" w:lineRule="auto"/>
              <w:rPr>
                <w:rFonts w:hint="eastAsia" w:ascii="宋体" w:hAnsi="宋体" w:eastAsia="宋体" w:cs="宋体"/>
                <w:bCs/>
                <w:color w:val="auto"/>
                <w:sz w:val="24"/>
                <w:szCs w:val="24"/>
                <w:highlight w:val="none"/>
              </w:rPr>
            </w:pPr>
          </w:p>
        </w:tc>
        <w:tc>
          <w:tcPr>
            <w:tcW w:w="1428" w:type="dxa"/>
            <w:tcMar>
              <w:top w:w="0" w:type="dxa"/>
              <w:left w:w="108" w:type="dxa"/>
              <w:bottom w:w="0" w:type="dxa"/>
              <w:right w:w="108" w:type="dxa"/>
            </w:tcMar>
            <w:vAlign w:val="center"/>
          </w:tcPr>
          <w:p w14:paraId="4726DC94">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营业收入(Y)</w:t>
            </w:r>
          </w:p>
        </w:tc>
        <w:tc>
          <w:tcPr>
            <w:tcW w:w="845" w:type="dxa"/>
            <w:tcMar>
              <w:top w:w="0" w:type="dxa"/>
              <w:left w:w="108" w:type="dxa"/>
              <w:bottom w:w="0" w:type="dxa"/>
              <w:right w:w="108" w:type="dxa"/>
            </w:tcMar>
            <w:vAlign w:val="center"/>
          </w:tcPr>
          <w:p w14:paraId="76862C4C">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万元</w:t>
            </w:r>
          </w:p>
        </w:tc>
        <w:tc>
          <w:tcPr>
            <w:tcW w:w="1107" w:type="dxa"/>
            <w:tcMar>
              <w:top w:w="0" w:type="dxa"/>
              <w:left w:w="108" w:type="dxa"/>
              <w:bottom w:w="0" w:type="dxa"/>
              <w:right w:w="108" w:type="dxa"/>
            </w:tcMar>
            <w:vAlign w:val="center"/>
          </w:tcPr>
          <w:p w14:paraId="2C7A2E61">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Y≥40000</w:t>
            </w:r>
          </w:p>
        </w:tc>
        <w:tc>
          <w:tcPr>
            <w:tcW w:w="1662" w:type="dxa"/>
            <w:tcMar>
              <w:top w:w="0" w:type="dxa"/>
              <w:left w:w="108" w:type="dxa"/>
              <w:bottom w:w="0" w:type="dxa"/>
              <w:right w:w="108" w:type="dxa"/>
            </w:tcMar>
            <w:vAlign w:val="center"/>
          </w:tcPr>
          <w:p w14:paraId="6F024FD8">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5000≤Y＜40000</w:t>
            </w:r>
          </w:p>
        </w:tc>
        <w:tc>
          <w:tcPr>
            <w:tcW w:w="1466" w:type="dxa"/>
            <w:tcMar>
              <w:top w:w="0" w:type="dxa"/>
              <w:left w:w="108" w:type="dxa"/>
              <w:bottom w:w="0" w:type="dxa"/>
              <w:right w:w="108" w:type="dxa"/>
            </w:tcMar>
            <w:vAlign w:val="center"/>
          </w:tcPr>
          <w:p w14:paraId="410DCA95">
            <w:pPr>
              <w:pageBreakBefore w:val="0"/>
              <w:kinsoku/>
              <w:overflowPunct/>
              <w:topLinePunct w:val="0"/>
              <w:bidi w:val="0"/>
              <w:spacing w:line="360" w:lineRule="auto"/>
              <w:ind w:left="-1"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1000≤Y＜5000</w:t>
            </w:r>
          </w:p>
        </w:tc>
        <w:tc>
          <w:tcPr>
            <w:tcW w:w="1012" w:type="dxa"/>
            <w:tcMar>
              <w:top w:w="0" w:type="dxa"/>
              <w:left w:w="108" w:type="dxa"/>
              <w:bottom w:w="0" w:type="dxa"/>
              <w:right w:w="108" w:type="dxa"/>
            </w:tcMar>
            <w:vAlign w:val="center"/>
          </w:tcPr>
          <w:p w14:paraId="6DA43AB7">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Y＜1000</w:t>
            </w:r>
          </w:p>
        </w:tc>
      </w:tr>
      <w:tr w14:paraId="1093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1739" w:type="dxa"/>
            <w:vMerge w:val="restart"/>
            <w:tcMar>
              <w:top w:w="0" w:type="dxa"/>
              <w:left w:w="108" w:type="dxa"/>
              <w:bottom w:w="0" w:type="dxa"/>
              <w:right w:w="108" w:type="dxa"/>
            </w:tcMar>
            <w:vAlign w:val="center"/>
          </w:tcPr>
          <w:p w14:paraId="45157237">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零售业</w:t>
            </w:r>
          </w:p>
        </w:tc>
        <w:tc>
          <w:tcPr>
            <w:tcW w:w="1428" w:type="dxa"/>
            <w:tcMar>
              <w:top w:w="0" w:type="dxa"/>
              <w:left w:w="108" w:type="dxa"/>
              <w:bottom w:w="0" w:type="dxa"/>
              <w:right w:w="108" w:type="dxa"/>
            </w:tcMar>
            <w:vAlign w:val="center"/>
          </w:tcPr>
          <w:p w14:paraId="5BE43CAF">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从业人员(X)</w:t>
            </w:r>
          </w:p>
        </w:tc>
        <w:tc>
          <w:tcPr>
            <w:tcW w:w="845" w:type="dxa"/>
            <w:tcMar>
              <w:top w:w="0" w:type="dxa"/>
              <w:left w:w="108" w:type="dxa"/>
              <w:bottom w:w="0" w:type="dxa"/>
              <w:right w:w="108" w:type="dxa"/>
            </w:tcMar>
            <w:vAlign w:val="center"/>
          </w:tcPr>
          <w:p w14:paraId="1CA16608">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人</w:t>
            </w:r>
          </w:p>
        </w:tc>
        <w:tc>
          <w:tcPr>
            <w:tcW w:w="1107" w:type="dxa"/>
            <w:tcMar>
              <w:top w:w="0" w:type="dxa"/>
              <w:left w:w="108" w:type="dxa"/>
              <w:bottom w:w="0" w:type="dxa"/>
              <w:right w:w="108" w:type="dxa"/>
            </w:tcMar>
            <w:vAlign w:val="center"/>
          </w:tcPr>
          <w:p w14:paraId="47A75604">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X≥300</w:t>
            </w:r>
          </w:p>
        </w:tc>
        <w:tc>
          <w:tcPr>
            <w:tcW w:w="1662" w:type="dxa"/>
            <w:tcMar>
              <w:top w:w="0" w:type="dxa"/>
              <w:left w:w="108" w:type="dxa"/>
              <w:bottom w:w="0" w:type="dxa"/>
              <w:right w:w="108" w:type="dxa"/>
            </w:tcMar>
            <w:vAlign w:val="center"/>
          </w:tcPr>
          <w:p w14:paraId="5BAE8C14">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50≤X＜300</w:t>
            </w:r>
          </w:p>
        </w:tc>
        <w:tc>
          <w:tcPr>
            <w:tcW w:w="1466" w:type="dxa"/>
            <w:tcMar>
              <w:top w:w="0" w:type="dxa"/>
              <w:left w:w="108" w:type="dxa"/>
              <w:bottom w:w="0" w:type="dxa"/>
              <w:right w:w="108" w:type="dxa"/>
            </w:tcMar>
            <w:vAlign w:val="center"/>
          </w:tcPr>
          <w:p w14:paraId="2FCEBC9A">
            <w:pPr>
              <w:pageBreakBefore w:val="0"/>
              <w:kinsoku/>
              <w:overflowPunct/>
              <w:topLinePunct w:val="0"/>
              <w:bidi w:val="0"/>
              <w:spacing w:line="360" w:lineRule="auto"/>
              <w:ind w:left="-1"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10≤X＜50</w:t>
            </w:r>
          </w:p>
        </w:tc>
        <w:tc>
          <w:tcPr>
            <w:tcW w:w="1012" w:type="dxa"/>
            <w:tcMar>
              <w:top w:w="0" w:type="dxa"/>
              <w:left w:w="108" w:type="dxa"/>
              <w:bottom w:w="0" w:type="dxa"/>
              <w:right w:w="108" w:type="dxa"/>
            </w:tcMar>
            <w:vAlign w:val="center"/>
          </w:tcPr>
          <w:p w14:paraId="6D3B733A">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X＜10</w:t>
            </w:r>
          </w:p>
        </w:tc>
      </w:tr>
      <w:tr w14:paraId="6FD15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1739" w:type="dxa"/>
            <w:vMerge w:val="continue"/>
            <w:vAlign w:val="center"/>
          </w:tcPr>
          <w:p w14:paraId="2D4BA88D">
            <w:pPr>
              <w:pageBreakBefore w:val="0"/>
              <w:kinsoku/>
              <w:overflowPunct/>
              <w:topLinePunct w:val="0"/>
              <w:bidi w:val="0"/>
              <w:spacing w:line="360" w:lineRule="auto"/>
              <w:rPr>
                <w:rFonts w:hint="eastAsia" w:ascii="宋体" w:hAnsi="宋体" w:eastAsia="宋体" w:cs="宋体"/>
                <w:bCs/>
                <w:color w:val="auto"/>
                <w:sz w:val="24"/>
                <w:szCs w:val="24"/>
                <w:highlight w:val="none"/>
              </w:rPr>
            </w:pPr>
          </w:p>
        </w:tc>
        <w:tc>
          <w:tcPr>
            <w:tcW w:w="1428" w:type="dxa"/>
            <w:tcMar>
              <w:top w:w="0" w:type="dxa"/>
              <w:left w:w="108" w:type="dxa"/>
              <w:bottom w:w="0" w:type="dxa"/>
              <w:right w:w="108" w:type="dxa"/>
            </w:tcMar>
            <w:vAlign w:val="center"/>
          </w:tcPr>
          <w:p w14:paraId="7B1CEC32">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营业收入(Y)</w:t>
            </w:r>
          </w:p>
        </w:tc>
        <w:tc>
          <w:tcPr>
            <w:tcW w:w="845" w:type="dxa"/>
            <w:tcMar>
              <w:top w:w="0" w:type="dxa"/>
              <w:left w:w="108" w:type="dxa"/>
              <w:bottom w:w="0" w:type="dxa"/>
              <w:right w:w="108" w:type="dxa"/>
            </w:tcMar>
            <w:vAlign w:val="center"/>
          </w:tcPr>
          <w:p w14:paraId="47D2CB39">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万元</w:t>
            </w:r>
          </w:p>
        </w:tc>
        <w:tc>
          <w:tcPr>
            <w:tcW w:w="1107" w:type="dxa"/>
            <w:tcMar>
              <w:top w:w="0" w:type="dxa"/>
              <w:left w:w="108" w:type="dxa"/>
              <w:bottom w:w="0" w:type="dxa"/>
              <w:right w:w="108" w:type="dxa"/>
            </w:tcMar>
            <w:vAlign w:val="center"/>
          </w:tcPr>
          <w:p w14:paraId="5FC1006A">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Y≥20000</w:t>
            </w:r>
          </w:p>
        </w:tc>
        <w:tc>
          <w:tcPr>
            <w:tcW w:w="1662" w:type="dxa"/>
            <w:tcMar>
              <w:top w:w="0" w:type="dxa"/>
              <w:left w:w="108" w:type="dxa"/>
              <w:bottom w:w="0" w:type="dxa"/>
              <w:right w:w="108" w:type="dxa"/>
            </w:tcMar>
            <w:vAlign w:val="center"/>
          </w:tcPr>
          <w:p w14:paraId="1A9828C3">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500≤Y＜20000</w:t>
            </w:r>
          </w:p>
        </w:tc>
        <w:tc>
          <w:tcPr>
            <w:tcW w:w="1466" w:type="dxa"/>
            <w:tcMar>
              <w:top w:w="0" w:type="dxa"/>
              <w:left w:w="108" w:type="dxa"/>
              <w:bottom w:w="0" w:type="dxa"/>
              <w:right w:w="108" w:type="dxa"/>
            </w:tcMar>
            <w:vAlign w:val="center"/>
          </w:tcPr>
          <w:p w14:paraId="48C7E2F5">
            <w:pPr>
              <w:pageBreakBefore w:val="0"/>
              <w:kinsoku/>
              <w:overflowPunct/>
              <w:topLinePunct w:val="0"/>
              <w:bidi w:val="0"/>
              <w:spacing w:line="360" w:lineRule="auto"/>
              <w:ind w:left="-1"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100≤Y＜500</w:t>
            </w:r>
          </w:p>
        </w:tc>
        <w:tc>
          <w:tcPr>
            <w:tcW w:w="1012" w:type="dxa"/>
            <w:tcMar>
              <w:top w:w="0" w:type="dxa"/>
              <w:left w:w="108" w:type="dxa"/>
              <w:bottom w:w="0" w:type="dxa"/>
              <w:right w:w="108" w:type="dxa"/>
            </w:tcMar>
            <w:vAlign w:val="center"/>
          </w:tcPr>
          <w:p w14:paraId="48DD9454">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Y＜100</w:t>
            </w:r>
          </w:p>
        </w:tc>
      </w:tr>
      <w:tr w14:paraId="044F2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1739" w:type="dxa"/>
            <w:vMerge w:val="restart"/>
            <w:tcMar>
              <w:top w:w="0" w:type="dxa"/>
              <w:left w:w="108" w:type="dxa"/>
              <w:bottom w:w="0" w:type="dxa"/>
              <w:right w:w="108" w:type="dxa"/>
            </w:tcMar>
            <w:vAlign w:val="center"/>
          </w:tcPr>
          <w:p w14:paraId="2BDFED3B">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交通运输业 *</w:t>
            </w:r>
          </w:p>
        </w:tc>
        <w:tc>
          <w:tcPr>
            <w:tcW w:w="1428" w:type="dxa"/>
            <w:tcMar>
              <w:top w:w="0" w:type="dxa"/>
              <w:left w:w="108" w:type="dxa"/>
              <w:bottom w:w="0" w:type="dxa"/>
              <w:right w:w="108" w:type="dxa"/>
            </w:tcMar>
            <w:vAlign w:val="center"/>
          </w:tcPr>
          <w:p w14:paraId="7BD25F0C">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从业人员(X)</w:t>
            </w:r>
          </w:p>
        </w:tc>
        <w:tc>
          <w:tcPr>
            <w:tcW w:w="845" w:type="dxa"/>
            <w:tcMar>
              <w:top w:w="0" w:type="dxa"/>
              <w:left w:w="108" w:type="dxa"/>
              <w:bottom w:w="0" w:type="dxa"/>
              <w:right w:w="108" w:type="dxa"/>
            </w:tcMar>
            <w:vAlign w:val="center"/>
          </w:tcPr>
          <w:p w14:paraId="4027F856">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人</w:t>
            </w:r>
          </w:p>
        </w:tc>
        <w:tc>
          <w:tcPr>
            <w:tcW w:w="1107" w:type="dxa"/>
            <w:tcMar>
              <w:top w:w="0" w:type="dxa"/>
              <w:left w:w="108" w:type="dxa"/>
              <w:bottom w:w="0" w:type="dxa"/>
              <w:right w:w="108" w:type="dxa"/>
            </w:tcMar>
            <w:vAlign w:val="center"/>
          </w:tcPr>
          <w:p w14:paraId="695A18E8">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X≥1000</w:t>
            </w:r>
          </w:p>
        </w:tc>
        <w:tc>
          <w:tcPr>
            <w:tcW w:w="1662" w:type="dxa"/>
            <w:tcMar>
              <w:top w:w="0" w:type="dxa"/>
              <w:left w:w="108" w:type="dxa"/>
              <w:bottom w:w="0" w:type="dxa"/>
              <w:right w:w="108" w:type="dxa"/>
            </w:tcMar>
            <w:vAlign w:val="center"/>
          </w:tcPr>
          <w:p w14:paraId="6C00A19F">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300≤X＜1000</w:t>
            </w:r>
          </w:p>
        </w:tc>
        <w:tc>
          <w:tcPr>
            <w:tcW w:w="1466" w:type="dxa"/>
            <w:tcMar>
              <w:top w:w="0" w:type="dxa"/>
              <w:left w:w="108" w:type="dxa"/>
              <w:bottom w:w="0" w:type="dxa"/>
              <w:right w:w="108" w:type="dxa"/>
            </w:tcMar>
            <w:vAlign w:val="center"/>
          </w:tcPr>
          <w:p w14:paraId="129FAC97">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20≤X＜300</w:t>
            </w:r>
          </w:p>
        </w:tc>
        <w:tc>
          <w:tcPr>
            <w:tcW w:w="1012" w:type="dxa"/>
            <w:tcMar>
              <w:top w:w="0" w:type="dxa"/>
              <w:left w:w="108" w:type="dxa"/>
              <w:bottom w:w="0" w:type="dxa"/>
              <w:right w:w="108" w:type="dxa"/>
            </w:tcMar>
            <w:vAlign w:val="center"/>
          </w:tcPr>
          <w:p w14:paraId="2831D9B2">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X＜20</w:t>
            </w:r>
          </w:p>
        </w:tc>
      </w:tr>
      <w:tr w14:paraId="58C4C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1739" w:type="dxa"/>
            <w:vMerge w:val="continue"/>
            <w:vAlign w:val="center"/>
          </w:tcPr>
          <w:p w14:paraId="72B2FE47">
            <w:pPr>
              <w:pageBreakBefore w:val="0"/>
              <w:kinsoku/>
              <w:overflowPunct/>
              <w:topLinePunct w:val="0"/>
              <w:bidi w:val="0"/>
              <w:spacing w:line="360" w:lineRule="auto"/>
              <w:rPr>
                <w:rFonts w:hint="eastAsia" w:ascii="宋体" w:hAnsi="宋体" w:eastAsia="宋体" w:cs="宋体"/>
                <w:bCs/>
                <w:color w:val="auto"/>
                <w:sz w:val="24"/>
                <w:szCs w:val="24"/>
                <w:highlight w:val="none"/>
              </w:rPr>
            </w:pPr>
          </w:p>
        </w:tc>
        <w:tc>
          <w:tcPr>
            <w:tcW w:w="1428" w:type="dxa"/>
            <w:tcMar>
              <w:top w:w="0" w:type="dxa"/>
              <w:left w:w="108" w:type="dxa"/>
              <w:bottom w:w="0" w:type="dxa"/>
              <w:right w:w="108" w:type="dxa"/>
            </w:tcMar>
            <w:vAlign w:val="center"/>
          </w:tcPr>
          <w:p w14:paraId="4B385C20">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营业收入(Y)</w:t>
            </w:r>
          </w:p>
        </w:tc>
        <w:tc>
          <w:tcPr>
            <w:tcW w:w="845" w:type="dxa"/>
            <w:tcMar>
              <w:top w:w="0" w:type="dxa"/>
              <w:left w:w="108" w:type="dxa"/>
              <w:bottom w:w="0" w:type="dxa"/>
              <w:right w:w="108" w:type="dxa"/>
            </w:tcMar>
            <w:vAlign w:val="center"/>
          </w:tcPr>
          <w:p w14:paraId="2B8BD16A">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万元</w:t>
            </w:r>
          </w:p>
        </w:tc>
        <w:tc>
          <w:tcPr>
            <w:tcW w:w="1107" w:type="dxa"/>
            <w:tcMar>
              <w:top w:w="0" w:type="dxa"/>
              <w:left w:w="108" w:type="dxa"/>
              <w:bottom w:w="0" w:type="dxa"/>
              <w:right w:w="108" w:type="dxa"/>
            </w:tcMar>
            <w:vAlign w:val="center"/>
          </w:tcPr>
          <w:p w14:paraId="620E1AAC">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Y≥30000</w:t>
            </w:r>
          </w:p>
        </w:tc>
        <w:tc>
          <w:tcPr>
            <w:tcW w:w="1662" w:type="dxa"/>
            <w:tcMar>
              <w:top w:w="0" w:type="dxa"/>
              <w:left w:w="108" w:type="dxa"/>
              <w:bottom w:w="0" w:type="dxa"/>
              <w:right w:w="108" w:type="dxa"/>
            </w:tcMar>
            <w:vAlign w:val="center"/>
          </w:tcPr>
          <w:p w14:paraId="64990552">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3000≤Y＜30000</w:t>
            </w:r>
          </w:p>
        </w:tc>
        <w:tc>
          <w:tcPr>
            <w:tcW w:w="1466" w:type="dxa"/>
            <w:tcMar>
              <w:top w:w="0" w:type="dxa"/>
              <w:left w:w="108" w:type="dxa"/>
              <w:bottom w:w="0" w:type="dxa"/>
              <w:right w:w="108" w:type="dxa"/>
            </w:tcMar>
            <w:vAlign w:val="center"/>
          </w:tcPr>
          <w:p w14:paraId="0E9DC14F">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200≤Y＜3000</w:t>
            </w:r>
          </w:p>
        </w:tc>
        <w:tc>
          <w:tcPr>
            <w:tcW w:w="1012" w:type="dxa"/>
            <w:tcMar>
              <w:top w:w="0" w:type="dxa"/>
              <w:left w:w="108" w:type="dxa"/>
              <w:bottom w:w="0" w:type="dxa"/>
              <w:right w:w="108" w:type="dxa"/>
            </w:tcMar>
            <w:vAlign w:val="center"/>
          </w:tcPr>
          <w:p w14:paraId="471A79D5">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Y＜200</w:t>
            </w:r>
          </w:p>
        </w:tc>
      </w:tr>
      <w:tr w14:paraId="5356E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1739" w:type="dxa"/>
            <w:vMerge w:val="restart"/>
            <w:tcMar>
              <w:top w:w="0" w:type="dxa"/>
              <w:left w:w="108" w:type="dxa"/>
              <w:bottom w:w="0" w:type="dxa"/>
              <w:right w:w="108" w:type="dxa"/>
            </w:tcMar>
            <w:vAlign w:val="center"/>
          </w:tcPr>
          <w:p w14:paraId="37B2B2F5">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仓储业</w:t>
            </w:r>
          </w:p>
        </w:tc>
        <w:tc>
          <w:tcPr>
            <w:tcW w:w="1428" w:type="dxa"/>
            <w:tcMar>
              <w:top w:w="0" w:type="dxa"/>
              <w:left w:w="108" w:type="dxa"/>
              <w:bottom w:w="0" w:type="dxa"/>
              <w:right w:w="108" w:type="dxa"/>
            </w:tcMar>
            <w:vAlign w:val="center"/>
          </w:tcPr>
          <w:p w14:paraId="7D6DD9C6">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从业人员(X)</w:t>
            </w:r>
          </w:p>
        </w:tc>
        <w:tc>
          <w:tcPr>
            <w:tcW w:w="845" w:type="dxa"/>
            <w:tcMar>
              <w:top w:w="0" w:type="dxa"/>
              <w:left w:w="108" w:type="dxa"/>
              <w:bottom w:w="0" w:type="dxa"/>
              <w:right w:w="108" w:type="dxa"/>
            </w:tcMar>
            <w:vAlign w:val="center"/>
          </w:tcPr>
          <w:p w14:paraId="1F335B14">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人</w:t>
            </w:r>
          </w:p>
        </w:tc>
        <w:tc>
          <w:tcPr>
            <w:tcW w:w="1107" w:type="dxa"/>
            <w:tcMar>
              <w:top w:w="0" w:type="dxa"/>
              <w:left w:w="108" w:type="dxa"/>
              <w:bottom w:w="0" w:type="dxa"/>
              <w:right w:w="108" w:type="dxa"/>
            </w:tcMar>
            <w:vAlign w:val="center"/>
          </w:tcPr>
          <w:p w14:paraId="53C5A4E2">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X≥200</w:t>
            </w:r>
          </w:p>
        </w:tc>
        <w:tc>
          <w:tcPr>
            <w:tcW w:w="1662" w:type="dxa"/>
            <w:tcMar>
              <w:top w:w="0" w:type="dxa"/>
              <w:left w:w="108" w:type="dxa"/>
              <w:bottom w:w="0" w:type="dxa"/>
              <w:right w:w="108" w:type="dxa"/>
            </w:tcMar>
            <w:vAlign w:val="center"/>
          </w:tcPr>
          <w:p w14:paraId="0B7A5024">
            <w:pPr>
              <w:pageBreakBefore w:val="0"/>
              <w:kinsoku/>
              <w:overflowPunct/>
              <w:topLinePunct w:val="0"/>
              <w:bidi w:val="0"/>
              <w:spacing w:line="360" w:lineRule="auto"/>
              <w:ind w:left="1"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100≤X＜200</w:t>
            </w:r>
          </w:p>
        </w:tc>
        <w:tc>
          <w:tcPr>
            <w:tcW w:w="1466" w:type="dxa"/>
            <w:tcMar>
              <w:top w:w="0" w:type="dxa"/>
              <w:left w:w="108" w:type="dxa"/>
              <w:bottom w:w="0" w:type="dxa"/>
              <w:right w:w="108" w:type="dxa"/>
            </w:tcMar>
            <w:vAlign w:val="center"/>
          </w:tcPr>
          <w:p w14:paraId="75282B94">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20≤X＜100</w:t>
            </w:r>
          </w:p>
        </w:tc>
        <w:tc>
          <w:tcPr>
            <w:tcW w:w="1012" w:type="dxa"/>
            <w:tcMar>
              <w:top w:w="0" w:type="dxa"/>
              <w:left w:w="108" w:type="dxa"/>
              <w:bottom w:w="0" w:type="dxa"/>
              <w:right w:w="108" w:type="dxa"/>
            </w:tcMar>
            <w:vAlign w:val="center"/>
          </w:tcPr>
          <w:p w14:paraId="4D79DDE6">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X＜20</w:t>
            </w:r>
          </w:p>
        </w:tc>
      </w:tr>
      <w:tr w14:paraId="696EF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1739" w:type="dxa"/>
            <w:vMerge w:val="continue"/>
            <w:vAlign w:val="center"/>
          </w:tcPr>
          <w:p w14:paraId="05C06CC2">
            <w:pPr>
              <w:pageBreakBefore w:val="0"/>
              <w:kinsoku/>
              <w:overflowPunct/>
              <w:topLinePunct w:val="0"/>
              <w:bidi w:val="0"/>
              <w:spacing w:line="360" w:lineRule="auto"/>
              <w:rPr>
                <w:rFonts w:hint="eastAsia" w:ascii="宋体" w:hAnsi="宋体" w:eastAsia="宋体" w:cs="宋体"/>
                <w:bCs/>
                <w:color w:val="auto"/>
                <w:sz w:val="24"/>
                <w:szCs w:val="24"/>
                <w:highlight w:val="none"/>
              </w:rPr>
            </w:pPr>
          </w:p>
        </w:tc>
        <w:tc>
          <w:tcPr>
            <w:tcW w:w="1428" w:type="dxa"/>
            <w:tcMar>
              <w:top w:w="0" w:type="dxa"/>
              <w:left w:w="108" w:type="dxa"/>
              <w:bottom w:w="0" w:type="dxa"/>
              <w:right w:w="108" w:type="dxa"/>
            </w:tcMar>
            <w:vAlign w:val="center"/>
          </w:tcPr>
          <w:p w14:paraId="36326E55">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营业收入(Y)</w:t>
            </w:r>
          </w:p>
        </w:tc>
        <w:tc>
          <w:tcPr>
            <w:tcW w:w="845" w:type="dxa"/>
            <w:tcMar>
              <w:top w:w="0" w:type="dxa"/>
              <w:left w:w="108" w:type="dxa"/>
              <w:bottom w:w="0" w:type="dxa"/>
              <w:right w:w="108" w:type="dxa"/>
            </w:tcMar>
            <w:vAlign w:val="center"/>
          </w:tcPr>
          <w:p w14:paraId="611B5398">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万元</w:t>
            </w:r>
          </w:p>
        </w:tc>
        <w:tc>
          <w:tcPr>
            <w:tcW w:w="1107" w:type="dxa"/>
            <w:tcMar>
              <w:top w:w="0" w:type="dxa"/>
              <w:left w:w="108" w:type="dxa"/>
              <w:bottom w:w="0" w:type="dxa"/>
              <w:right w:w="108" w:type="dxa"/>
            </w:tcMar>
            <w:vAlign w:val="center"/>
          </w:tcPr>
          <w:p w14:paraId="1E2F4A17">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Y≥30000</w:t>
            </w:r>
          </w:p>
        </w:tc>
        <w:tc>
          <w:tcPr>
            <w:tcW w:w="1662" w:type="dxa"/>
            <w:tcMar>
              <w:top w:w="0" w:type="dxa"/>
              <w:left w:w="108" w:type="dxa"/>
              <w:bottom w:w="0" w:type="dxa"/>
              <w:right w:w="108" w:type="dxa"/>
            </w:tcMar>
            <w:vAlign w:val="center"/>
          </w:tcPr>
          <w:p w14:paraId="49C83D19">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1000≤Y＜30000</w:t>
            </w:r>
          </w:p>
        </w:tc>
        <w:tc>
          <w:tcPr>
            <w:tcW w:w="1466" w:type="dxa"/>
            <w:tcMar>
              <w:top w:w="0" w:type="dxa"/>
              <w:left w:w="108" w:type="dxa"/>
              <w:bottom w:w="0" w:type="dxa"/>
              <w:right w:w="108" w:type="dxa"/>
            </w:tcMar>
            <w:vAlign w:val="center"/>
          </w:tcPr>
          <w:p w14:paraId="4A5262F1">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100≤Y＜1000</w:t>
            </w:r>
          </w:p>
        </w:tc>
        <w:tc>
          <w:tcPr>
            <w:tcW w:w="1012" w:type="dxa"/>
            <w:tcMar>
              <w:top w:w="0" w:type="dxa"/>
              <w:left w:w="108" w:type="dxa"/>
              <w:bottom w:w="0" w:type="dxa"/>
              <w:right w:w="108" w:type="dxa"/>
            </w:tcMar>
            <w:vAlign w:val="center"/>
          </w:tcPr>
          <w:p w14:paraId="4F27E250">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Y＜100</w:t>
            </w:r>
          </w:p>
        </w:tc>
      </w:tr>
      <w:tr w14:paraId="767E6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1739" w:type="dxa"/>
            <w:vMerge w:val="restart"/>
            <w:tcMar>
              <w:top w:w="0" w:type="dxa"/>
              <w:left w:w="108" w:type="dxa"/>
              <w:bottom w:w="0" w:type="dxa"/>
              <w:right w:w="108" w:type="dxa"/>
            </w:tcMar>
            <w:vAlign w:val="center"/>
          </w:tcPr>
          <w:p w14:paraId="24045BAC">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邮政业</w:t>
            </w:r>
          </w:p>
        </w:tc>
        <w:tc>
          <w:tcPr>
            <w:tcW w:w="1428" w:type="dxa"/>
            <w:tcMar>
              <w:top w:w="0" w:type="dxa"/>
              <w:left w:w="108" w:type="dxa"/>
              <w:bottom w:w="0" w:type="dxa"/>
              <w:right w:w="108" w:type="dxa"/>
            </w:tcMar>
            <w:vAlign w:val="center"/>
          </w:tcPr>
          <w:p w14:paraId="7B3918FD">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从业人员(X)</w:t>
            </w:r>
          </w:p>
        </w:tc>
        <w:tc>
          <w:tcPr>
            <w:tcW w:w="845" w:type="dxa"/>
            <w:tcMar>
              <w:top w:w="0" w:type="dxa"/>
              <w:left w:w="108" w:type="dxa"/>
              <w:bottom w:w="0" w:type="dxa"/>
              <w:right w:w="108" w:type="dxa"/>
            </w:tcMar>
            <w:vAlign w:val="center"/>
          </w:tcPr>
          <w:p w14:paraId="37B3EA94">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人</w:t>
            </w:r>
          </w:p>
        </w:tc>
        <w:tc>
          <w:tcPr>
            <w:tcW w:w="1107" w:type="dxa"/>
            <w:tcMar>
              <w:top w:w="0" w:type="dxa"/>
              <w:left w:w="108" w:type="dxa"/>
              <w:bottom w:w="0" w:type="dxa"/>
              <w:right w:w="108" w:type="dxa"/>
            </w:tcMar>
            <w:vAlign w:val="center"/>
          </w:tcPr>
          <w:p w14:paraId="22C7DAEE">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X≥1000</w:t>
            </w:r>
          </w:p>
        </w:tc>
        <w:tc>
          <w:tcPr>
            <w:tcW w:w="1662" w:type="dxa"/>
            <w:tcMar>
              <w:top w:w="0" w:type="dxa"/>
              <w:left w:w="108" w:type="dxa"/>
              <w:bottom w:w="0" w:type="dxa"/>
              <w:right w:w="108" w:type="dxa"/>
            </w:tcMar>
            <w:vAlign w:val="center"/>
          </w:tcPr>
          <w:p w14:paraId="7E7DA9CF">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300≤X＜1000</w:t>
            </w:r>
          </w:p>
        </w:tc>
        <w:tc>
          <w:tcPr>
            <w:tcW w:w="1466" w:type="dxa"/>
            <w:tcMar>
              <w:top w:w="0" w:type="dxa"/>
              <w:left w:w="108" w:type="dxa"/>
              <w:bottom w:w="0" w:type="dxa"/>
              <w:right w:w="108" w:type="dxa"/>
            </w:tcMar>
            <w:vAlign w:val="center"/>
          </w:tcPr>
          <w:p w14:paraId="0DE269EF">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20≤X＜300</w:t>
            </w:r>
          </w:p>
        </w:tc>
        <w:tc>
          <w:tcPr>
            <w:tcW w:w="1012" w:type="dxa"/>
            <w:tcMar>
              <w:top w:w="0" w:type="dxa"/>
              <w:left w:w="108" w:type="dxa"/>
              <w:bottom w:w="0" w:type="dxa"/>
              <w:right w:w="108" w:type="dxa"/>
            </w:tcMar>
            <w:vAlign w:val="center"/>
          </w:tcPr>
          <w:p w14:paraId="121ACCEC">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X＜20</w:t>
            </w:r>
          </w:p>
        </w:tc>
      </w:tr>
      <w:tr w14:paraId="0B77F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1739" w:type="dxa"/>
            <w:vMerge w:val="continue"/>
            <w:vAlign w:val="center"/>
          </w:tcPr>
          <w:p w14:paraId="65478594">
            <w:pPr>
              <w:pageBreakBefore w:val="0"/>
              <w:kinsoku/>
              <w:overflowPunct/>
              <w:topLinePunct w:val="0"/>
              <w:bidi w:val="0"/>
              <w:spacing w:line="360" w:lineRule="auto"/>
              <w:rPr>
                <w:rFonts w:hint="eastAsia" w:ascii="宋体" w:hAnsi="宋体" w:eastAsia="宋体" w:cs="宋体"/>
                <w:bCs/>
                <w:color w:val="auto"/>
                <w:sz w:val="24"/>
                <w:szCs w:val="24"/>
                <w:highlight w:val="none"/>
              </w:rPr>
            </w:pPr>
          </w:p>
        </w:tc>
        <w:tc>
          <w:tcPr>
            <w:tcW w:w="1428" w:type="dxa"/>
            <w:tcMar>
              <w:top w:w="0" w:type="dxa"/>
              <w:left w:w="108" w:type="dxa"/>
              <w:bottom w:w="0" w:type="dxa"/>
              <w:right w:w="108" w:type="dxa"/>
            </w:tcMar>
            <w:vAlign w:val="center"/>
          </w:tcPr>
          <w:p w14:paraId="3A42974B">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营业收入(Y)</w:t>
            </w:r>
          </w:p>
        </w:tc>
        <w:tc>
          <w:tcPr>
            <w:tcW w:w="845" w:type="dxa"/>
            <w:tcMar>
              <w:top w:w="0" w:type="dxa"/>
              <w:left w:w="108" w:type="dxa"/>
              <w:bottom w:w="0" w:type="dxa"/>
              <w:right w:w="108" w:type="dxa"/>
            </w:tcMar>
            <w:vAlign w:val="center"/>
          </w:tcPr>
          <w:p w14:paraId="34045F78">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万元</w:t>
            </w:r>
          </w:p>
        </w:tc>
        <w:tc>
          <w:tcPr>
            <w:tcW w:w="1107" w:type="dxa"/>
            <w:tcMar>
              <w:top w:w="0" w:type="dxa"/>
              <w:left w:w="108" w:type="dxa"/>
              <w:bottom w:w="0" w:type="dxa"/>
              <w:right w:w="108" w:type="dxa"/>
            </w:tcMar>
            <w:vAlign w:val="center"/>
          </w:tcPr>
          <w:p w14:paraId="0FD24BDB">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Y≥30000</w:t>
            </w:r>
          </w:p>
        </w:tc>
        <w:tc>
          <w:tcPr>
            <w:tcW w:w="1662" w:type="dxa"/>
            <w:tcMar>
              <w:top w:w="0" w:type="dxa"/>
              <w:left w:w="108" w:type="dxa"/>
              <w:bottom w:w="0" w:type="dxa"/>
              <w:right w:w="108" w:type="dxa"/>
            </w:tcMar>
            <w:vAlign w:val="center"/>
          </w:tcPr>
          <w:p w14:paraId="1C1D5742">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2000≤Y＜30000</w:t>
            </w:r>
          </w:p>
        </w:tc>
        <w:tc>
          <w:tcPr>
            <w:tcW w:w="1466" w:type="dxa"/>
            <w:tcMar>
              <w:top w:w="0" w:type="dxa"/>
              <w:left w:w="108" w:type="dxa"/>
              <w:bottom w:w="0" w:type="dxa"/>
              <w:right w:w="108" w:type="dxa"/>
            </w:tcMar>
            <w:vAlign w:val="center"/>
          </w:tcPr>
          <w:p w14:paraId="6DA519B3">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100≤Y＜2000</w:t>
            </w:r>
          </w:p>
        </w:tc>
        <w:tc>
          <w:tcPr>
            <w:tcW w:w="1012" w:type="dxa"/>
            <w:tcMar>
              <w:top w:w="0" w:type="dxa"/>
              <w:left w:w="108" w:type="dxa"/>
              <w:bottom w:w="0" w:type="dxa"/>
              <w:right w:w="108" w:type="dxa"/>
            </w:tcMar>
            <w:vAlign w:val="center"/>
          </w:tcPr>
          <w:p w14:paraId="57BA4969">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Y＜100</w:t>
            </w:r>
          </w:p>
        </w:tc>
      </w:tr>
      <w:tr w14:paraId="2C99D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1739" w:type="dxa"/>
            <w:vMerge w:val="restart"/>
            <w:tcMar>
              <w:top w:w="0" w:type="dxa"/>
              <w:left w:w="108" w:type="dxa"/>
              <w:bottom w:w="0" w:type="dxa"/>
              <w:right w:w="108" w:type="dxa"/>
            </w:tcMar>
            <w:vAlign w:val="center"/>
          </w:tcPr>
          <w:p w14:paraId="4EC00AA5">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住宿业</w:t>
            </w:r>
          </w:p>
        </w:tc>
        <w:tc>
          <w:tcPr>
            <w:tcW w:w="1428" w:type="dxa"/>
            <w:tcMar>
              <w:top w:w="0" w:type="dxa"/>
              <w:left w:w="108" w:type="dxa"/>
              <w:bottom w:w="0" w:type="dxa"/>
              <w:right w:w="108" w:type="dxa"/>
            </w:tcMar>
            <w:vAlign w:val="center"/>
          </w:tcPr>
          <w:p w14:paraId="3585D2CB">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从业人员(X)</w:t>
            </w:r>
          </w:p>
        </w:tc>
        <w:tc>
          <w:tcPr>
            <w:tcW w:w="845" w:type="dxa"/>
            <w:tcMar>
              <w:top w:w="0" w:type="dxa"/>
              <w:left w:w="108" w:type="dxa"/>
              <w:bottom w:w="0" w:type="dxa"/>
              <w:right w:w="108" w:type="dxa"/>
            </w:tcMar>
            <w:vAlign w:val="center"/>
          </w:tcPr>
          <w:p w14:paraId="2EE85EAC">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人</w:t>
            </w:r>
          </w:p>
        </w:tc>
        <w:tc>
          <w:tcPr>
            <w:tcW w:w="1107" w:type="dxa"/>
            <w:tcMar>
              <w:top w:w="0" w:type="dxa"/>
              <w:left w:w="108" w:type="dxa"/>
              <w:bottom w:w="0" w:type="dxa"/>
              <w:right w:w="108" w:type="dxa"/>
            </w:tcMar>
            <w:vAlign w:val="center"/>
          </w:tcPr>
          <w:p w14:paraId="43BE7AF0">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X≥300</w:t>
            </w:r>
          </w:p>
        </w:tc>
        <w:tc>
          <w:tcPr>
            <w:tcW w:w="1662" w:type="dxa"/>
            <w:tcMar>
              <w:top w:w="0" w:type="dxa"/>
              <w:left w:w="108" w:type="dxa"/>
              <w:bottom w:w="0" w:type="dxa"/>
              <w:right w:w="108" w:type="dxa"/>
            </w:tcMar>
            <w:vAlign w:val="center"/>
          </w:tcPr>
          <w:p w14:paraId="0958E7B5">
            <w:pPr>
              <w:pageBreakBefore w:val="0"/>
              <w:kinsoku/>
              <w:overflowPunct/>
              <w:topLinePunct w:val="0"/>
              <w:bidi w:val="0"/>
              <w:spacing w:line="360" w:lineRule="auto"/>
              <w:ind w:left="1"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100≤X＜300</w:t>
            </w:r>
          </w:p>
        </w:tc>
        <w:tc>
          <w:tcPr>
            <w:tcW w:w="1466" w:type="dxa"/>
            <w:tcMar>
              <w:top w:w="0" w:type="dxa"/>
              <w:left w:w="108" w:type="dxa"/>
              <w:bottom w:w="0" w:type="dxa"/>
              <w:right w:w="108" w:type="dxa"/>
            </w:tcMar>
            <w:vAlign w:val="center"/>
          </w:tcPr>
          <w:p w14:paraId="7638BA57">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10≤X＜100</w:t>
            </w:r>
          </w:p>
        </w:tc>
        <w:tc>
          <w:tcPr>
            <w:tcW w:w="1012" w:type="dxa"/>
            <w:tcMar>
              <w:top w:w="0" w:type="dxa"/>
              <w:left w:w="108" w:type="dxa"/>
              <w:bottom w:w="0" w:type="dxa"/>
              <w:right w:w="108" w:type="dxa"/>
            </w:tcMar>
            <w:vAlign w:val="center"/>
          </w:tcPr>
          <w:p w14:paraId="4EA7191E">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X＜10</w:t>
            </w:r>
          </w:p>
        </w:tc>
      </w:tr>
      <w:tr w14:paraId="21454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1739" w:type="dxa"/>
            <w:vMerge w:val="continue"/>
            <w:vAlign w:val="center"/>
          </w:tcPr>
          <w:p w14:paraId="1F37C671">
            <w:pPr>
              <w:pageBreakBefore w:val="0"/>
              <w:kinsoku/>
              <w:overflowPunct/>
              <w:topLinePunct w:val="0"/>
              <w:bidi w:val="0"/>
              <w:spacing w:line="360" w:lineRule="auto"/>
              <w:rPr>
                <w:rFonts w:hint="eastAsia" w:ascii="宋体" w:hAnsi="宋体" w:eastAsia="宋体" w:cs="宋体"/>
                <w:bCs/>
                <w:color w:val="auto"/>
                <w:sz w:val="24"/>
                <w:szCs w:val="24"/>
                <w:highlight w:val="none"/>
              </w:rPr>
            </w:pPr>
          </w:p>
        </w:tc>
        <w:tc>
          <w:tcPr>
            <w:tcW w:w="1428" w:type="dxa"/>
            <w:tcMar>
              <w:top w:w="0" w:type="dxa"/>
              <w:left w:w="108" w:type="dxa"/>
              <w:bottom w:w="0" w:type="dxa"/>
              <w:right w:w="108" w:type="dxa"/>
            </w:tcMar>
            <w:vAlign w:val="center"/>
          </w:tcPr>
          <w:p w14:paraId="10DBCD8D">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营业收入(Y)</w:t>
            </w:r>
          </w:p>
        </w:tc>
        <w:tc>
          <w:tcPr>
            <w:tcW w:w="845" w:type="dxa"/>
            <w:tcMar>
              <w:top w:w="0" w:type="dxa"/>
              <w:left w:w="108" w:type="dxa"/>
              <w:bottom w:w="0" w:type="dxa"/>
              <w:right w:w="108" w:type="dxa"/>
            </w:tcMar>
            <w:vAlign w:val="center"/>
          </w:tcPr>
          <w:p w14:paraId="7A60FBBC">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万元</w:t>
            </w:r>
          </w:p>
        </w:tc>
        <w:tc>
          <w:tcPr>
            <w:tcW w:w="1107" w:type="dxa"/>
            <w:tcMar>
              <w:top w:w="0" w:type="dxa"/>
              <w:left w:w="108" w:type="dxa"/>
              <w:bottom w:w="0" w:type="dxa"/>
              <w:right w:w="108" w:type="dxa"/>
            </w:tcMar>
            <w:vAlign w:val="center"/>
          </w:tcPr>
          <w:p w14:paraId="28F337FE">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Y≥10000</w:t>
            </w:r>
          </w:p>
        </w:tc>
        <w:tc>
          <w:tcPr>
            <w:tcW w:w="1662" w:type="dxa"/>
            <w:tcMar>
              <w:top w:w="0" w:type="dxa"/>
              <w:left w:w="108" w:type="dxa"/>
              <w:bottom w:w="0" w:type="dxa"/>
              <w:right w:w="108" w:type="dxa"/>
            </w:tcMar>
            <w:vAlign w:val="center"/>
          </w:tcPr>
          <w:p w14:paraId="11D3080A">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2000≤Y＜10000</w:t>
            </w:r>
          </w:p>
        </w:tc>
        <w:tc>
          <w:tcPr>
            <w:tcW w:w="1466" w:type="dxa"/>
            <w:tcMar>
              <w:top w:w="0" w:type="dxa"/>
              <w:left w:w="108" w:type="dxa"/>
              <w:bottom w:w="0" w:type="dxa"/>
              <w:right w:w="108" w:type="dxa"/>
            </w:tcMar>
            <w:vAlign w:val="center"/>
          </w:tcPr>
          <w:p w14:paraId="4F981A2C">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100≤Y＜2000</w:t>
            </w:r>
          </w:p>
        </w:tc>
        <w:tc>
          <w:tcPr>
            <w:tcW w:w="1012" w:type="dxa"/>
            <w:tcMar>
              <w:top w:w="0" w:type="dxa"/>
              <w:left w:w="108" w:type="dxa"/>
              <w:bottom w:w="0" w:type="dxa"/>
              <w:right w:w="108" w:type="dxa"/>
            </w:tcMar>
            <w:vAlign w:val="center"/>
          </w:tcPr>
          <w:p w14:paraId="1A6841B0">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Y＜100</w:t>
            </w:r>
          </w:p>
        </w:tc>
      </w:tr>
      <w:tr w14:paraId="1A4C7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1739" w:type="dxa"/>
            <w:vMerge w:val="restart"/>
            <w:tcMar>
              <w:top w:w="0" w:type="dxa"/>
              <w:left w:w="108" w:type="dxa"/>
              <w:bottom w:w="0" w:type="dxa"/>
              <w:right w:w="108" w:type="dxa"/>
            </w:tcMar>
            <w:vAlign w:val="center"/>
          </w:tcPr>
          <w:p w14:paraId="74964BF4">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餐饮业</w:t>
            </w:r>
          </w:p>
        </w:tc>
        <w:tc>
          <w:tcPr>
            <w:tcW w:w="1428" w:type="dxa"/>
            <w:tcMar>
              <w:top w:w="0" w:type="dxa"/>
              <w:left w:w="108" w:type="dxa"/>
              <w:bottom w:w="0" w:type="dxa"/>
              <w:right w:w="108" w:type="dxa"/>
            </w:tcMar>
            <w:vAlign w:val="center"/>
          </w:tcPr>
          <w:p w14:paraId="50CE6CD7">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从业人员(X)</w:t>
            </w:r>
          </w:p>
        </w:tc>
        <w:tc>
          <w:tcPr>
            <w:tcW w:w="845" w:type="dxa"/>
            <w:tcMar>
              <w:top w:w="0" w:type="dxa"/>
              <w:left w:w="108" w:type="dxa"/>
              <w:bottom w:w="0" w:type="dxa"/>
              <w:right w:w="108" w:type="dxa"/>
            </w:tcMar>
            <w:vAlign w:val="center"/>
          </w:tcPr>
          <w:p w14:paraId="58A13388">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人</w:t>
            </w:r>
          </w:p>
        </w:tc>
        <w:tc>
          <w:tcPr>
            <w:tcW w:w="1107" w:type="dxa"/>
            <w:tcMar>
              <w:top w:w="0" w:type="dxa"/>
              <w:left w:w="108" w:type="dxa"/>
              <w:bottom w:w="0" w:type="dxa"/>
              <w:right w:w="108" w:type="dxa"/>
            </w:tcMar>
            <w:vAlign w:val="center"/>
          </w:tcPr>
          <w:p w14:paraId="2976DF5D">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X≥300</w:t>
            </w:r>
          </w:p>
        </w:tc>
        <w:tc>
          <w:tcPr>
            <w:tcW w:w="1662" w:type="dxa"/>
            <w:tcMar>
              <w:top w:w="0" w:type="dxa"/>
              <w:left w:w="108" w:type="dxa"/>
              <w:bottom w:w="0" w:type="dxa"/>
              <w:right w:w="108" w:type="dxa"/>
            </w:tcMar>
            <w:vAlign w:val="center"/>
          </w:tcPr>
          <w:p w14:paraId="51BD30D9">
            <w:pPr>
              <w:pageBreakBefore w:val="0"/>
              <w:kinsoku/>
              <w:overflowPunct/>
              <w:topLinePunct w:val="0"/>
              <w:bidi w:val="0"/>
              <w:spacing w:line="360" w:lineRule="auto"/>
              <w:ind w:left="1"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100≤X＜300</w:t>
            </w:r>
          </w:p>
        </w:tc>
        <w:tc>
          <w:tcPr>
            <w:tcW w:w="1466" w:type="dxa"/>
            <w:tcMar>
              <w:top w:w="0" w:type="dxa"/>
              <w:left w:w="108" w:type="dxa"/>
              <w:bottom w:w="0" w:type="dxa"/>
              <w:right w:w="108" w:type="dxa"/>
            </w:tcMar>
            <w:vAlign w:val="center"/>
          </w:tcPr>
          <w:p w14:paraId="21C0C581">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10≤X＜100</w:t>
            </w:r>
          </w:p>
        </w:tc>
        <w:tc>
          <w:tcPr>
            <w:tcW w:w="1012" w:type="dxa"/>
            <w:tcMar>
              <w:top w:w="0" w:type="dxa"/>
              <w:left w:w="108" w:type="dxa"/>
              <w:bottom w:w="0" w:type="dxa"/>
              <w:right w:w="108" w:type="dxa"/>
            </w:tcMar>
            <w:vAlign w:val="center"/>
          </w:tcPr>
          <w:p w14:paraId="64C84387">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X＜10</w:t>
            </w:r>
          </w:p>
        </w:tc>
      </w:tr>
      <w:tr w14:paraId="66A8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1739" w:type="dxa"/>
            <w:vMerge w:val="continue"/>
            <w:vAlign w:val="center"/>
          </w:tcPr>
          <w:p w14:paraId="5C73FE2F">
            <w:pPr>
              <w:pageBreakBefore w:val="0"/>
              <w:kinsoku/>
              <w:overflowPunct/>
              <w:topLinePunct w:val="0"/>
              <w:bidi w:val="0"/>
              <w:spacing w:line="360" w:lineRule="auto"/>
              <w:rPr>
                <w:rFonts w:hint="eastAsia" w:ascii="宋体" w:hAnsi="宋体" w:eastAsia="宋体" w:cs="宋体"/>
                <w:bCs/>
                <w:color w:val="auto"/>
                <w:sz w:val="24"/>
                <w:szCs w:val="24"/>
                <w:highlight w:val="none"/>
              </w:rPr>
            </w:pPr>
          </w:p>
        </w:tc>
        <w:tc>
          <w:tcPr>
            <w:tcW w:w="1428" w:type="dxa"/>
            <w:tcMar>
              <w:top w:w="0" w:type="dxa"/>
              <w:left w:w="108" w:type="dxa"/>
              <w:bottom w:w="0" w:type="dxa"/>
              <w:right w:w="108" w:type="dxa"/>
            </w:tcMar>
            <w:vAlign w:val="center"/>
          </w:tcPr>
          <w:p w14:paraId="1BFEA76B">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营业收入(Y)</w:t>
            </w:r>
          </w:p>
        </w:tc>
        <w:tc>
          <w:tcPr>
            <w:tcW w:w="845" w:type="dxa"/>
            <w:tcMar>
              <w:top w:w="0" w:type="dxa"/>
              <w:left w:w="108" w:type="dxa"/>
              <w:bottom w:w="0" w:type="dxa"/>
              <w:right w:w="108" w:type="dxa"/>
            </w:tcMar>
            <w:vAlign w:val="center"/>
          </w:tcPr>
          <w:p w14:paraId="67898783">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万元</w:t>
            </w:r>
          </w:p>
        </w:tc>
        <w:tc>
          <w:tcPr>
            <w:tcW w:w="1107" w:type="dxa"/>
            <w:tcMar>
              <w:top w:w="0" w:type="dxa"/>
              <w:left w:w="108" w:type="dxa"/>
              <w:bottom w:w="0" w:type="dxa"/>
              <w:right w:w="108" w:type="dxa"/>
            </w:tcMar>
            <w:vAlign w:val="center"/>
          </w:tcPr>
          <w:p w14:paraId="08A5A803">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Y≥10000</w:t>
            </w:r>
          </w:p>
        </w:tc>
        <w:tc>
          <w:tcPr>
            <w:tcW w:w="1662" w:type="dxa"/>
            <w:tcMar>
              <w:top w:w="0" w:type="dxa"/>
              <w:left w:w="108" w:type="dxa"/>
              <w:bottom w:w="0" w:type="dxa"/>
              <w:right w:w="108" w:type="dxa"/>
            </w:tcMar>
            <w:vAlign w:val="center"/>
          </w:tcPr>
          <w:p w14:paraId="3DAE7907">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2000≤Y＜10000</w:t>
            </w:r>
          </w:p>
        </w:tc>
        <w:tc>
          <w:tcPr>
            <w:tcW w:w="1466" w:type="dxa"/>
            <w:tcMar>
              <w:top w:w="0" w:type="dxa"/>
              <w:left w:w="108" w:type="dxa"/>
              <w:bottom w:w="0" w:type="dxa"/>
              <w:right w:w="108" w:type="dxa"/>
            </w:tcMar>
            <w:vAlign w:val="center"/>
          </w:tcPr>
          <w:p w14:paraId="4501A760">
            <w:pPr>
              <w:pageBreakBefore w:val="0"/>
              <w:kinsoku/>
              <w:overflowPunct/>
              <w:topLinePunct w:val="0"/>
              <w:bidi w:val="0"/>
              <w:spacing w:line="360" w:lineRule="auto"/>
              <w:ind w:firstLine="360"/>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100≤Y＜2000</w:t>
            </w:r>
          </w:p>
        </w:tc>
        <w:tc>
          <w:tcPr>
            <w:tcW w:w="1012" w:type="dxa"/>
            <w:tcMar>
              <w:top w:w="0" w:type="dxa"/>
              <w:left w:w="108" w:type="dxa"/>
              <w:bottom w:w="0" w:type="dxa"/>
              <w:right w:w="108" w:type="dxa"/>
            </w:tcMar>
            <w:vAlign w:val="center"/>
          </w:tcPr>
          <w:p w14:paraId="32862DF6">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Y＜100</w:t>
            </w:r>
          </w:p>
        </w:tc>
      </w:tr>
      <w:tr w14:paraId="2A5B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1739" w:type="dxa"/>
            <w:vMerge w:val="restart"/>
            <w:tcMar>
              <w:top w:w="0" w:type="dxa"/>
              <w:left w:w="108" w:type="dxa"/>
              <w:bottom w:w="0" w:type="dxa"/>
              <w:right w:w="108" w:type="dxa"/>
            </w:tcMar>
            <w:vAlign w:val="center"/>
          </w:tcPr>
          <w:p w14:paraId="3C7C82B6">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信息传输业 *</w:t>
            </w:r>
          </w:p>
        </w:tc>
        <w:tc>
          <w:tcPr>
            <w:tcW w:w="1428" w:type="dxa"/>
            <w:tcMar>
              <w:top w:w="0" w:type="dxa"/>
              <w:left w:w="108" w:type="dxa"/>
              <w:bottom w:w="0" w:type="dxa"/>
              <w:right w:w="108" w:type="dxa"/>
            </w:tcMar>
            <w:vAlign w:val="center"/>
          </w:tcPr>
          <w:p w14:paraId="14B5416E">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从业人员(X)</w:t>
            </w:r>
          </w:p>
        </w:tc>
        <w:tc>
          <w:tcPr>
            <w:tcW w:w="845" w:type="dxa"/>
            <w:tcMar>
              <w:top w:w="0" w:type="dxa"/>
              <w:left w:w="108" w:type="dxa"/>
              <w:bottom w:w="0" w:type="dxa"/>
              <w:right w:w="108" w:type="dxa"/>
            </w:tcMar>
            <w:vAlign w:val="center"/>
          </w:tcPr>
          <w:p w14:paraId="0A34E09B">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人</w:t>
            </w:r>
          </w:p>
        </w:tc>
        <w:tc>
          <w:tcPr>
            <w:tcW w:w="1107" w:type="dxa"/>
            <w:tcMar>
              <w:top w:w="0" w:type="dxa"/>
              <w:left w:w="108" w:type="dxa"/>
              <w:bottom w:w="0" w:type="dxa"/>
              <w:right w:w="108" w:type="dxa"/>
            </w:tcMar>
            <w:vAlign w:val="center"/>
          </w:tcPr>
          <w:p w14:paraId="3BDB4FD9">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X≥2000</w:t>
            </w:r>
          </w:p>
        </w:tc>
        <w:tc>
          <w:tcPr>
            <w:tcW w:w="1662" w:type="dxa"/>
            <w:tcMar>
              <w:top w:w="0" w:type="dxa"/>
              <w:left w:w="108" w:type="dxa"/>
              <w:bottom w:w="0" w:type="dxa"/>
              <w:right w:w="108" w:type="dxa"/>
            </w:tcMar>
            <w:vAlign w:val="center"/>
          </w:tcPr>
          <w:p w14:paraId="0F3600F4">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100≤X＜2000</w:t>
            </w:r>
          </w:p>
        </w:tc>
        <w:tc>
          <w:tcPr>
            <w:tcW w:w="1466" w:type="dxa"/>
            <w:tcMar>
              <w:top w:w="0" w:type="dxa"/>
              <w:left w:w="108" w:type="dxa"/>
              <w:bottom w:w="0" w:type="dxa"/>
              <w:right w:w="108" w:type="dxa"/>
            </w:tcMar>
            <w:vAlign w:val="center"/>
          </w:tcPr>
          <w:p w14:paraId="7509EB42">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10≤X＜100</w:t>
            </w:r>
          </w:p>
        </w:tc>
        <w:tc>
          <w:tcPr>
            <w:tcW w:w="1012" w:type="dxa"/>
            <w:tcMar>
              <w:top w:w="0" w:type="dxa"/>
              <w:left w:w="108" w:type="dxa"/>
              <w:bottom w:w="0" w:type="dxa"/>
              <w:right w:w="108" w:type="dxa"/>
            </w:tcMar>
            <w:vAlign w:val="center"/>
          </w:tcPr>
          <w:p w14:paraId="75AEF94F">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X＜10</w:t>
            </w:r>
          </w:p>
        </w:tc>
      </w:tr>
      <w:tr w14:paraId="430A7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1739" w:type="dxa"/>
            <w:vMerge w:val="continue"/>
            <w:vAlign w:val="center"/>
          </w:tcPr>
          <w:p w14:paraId="19618F30">
            <w:pPr>
              <w:pageBreakBefore w:val="0"/>
              <w:kinsoku/>
              <w:overflowPunct/>
              <w:topLinePunct w:val="0"/>
              <w:bidi w:val="0"/>
              <w:spacing w:line="360" w:lineRule="auto"/>
              <w:rPr>
                <w:rFonts w:hint="eastAsia" w:ascii="宋体" w:hAnsi="宋体" w:eastAsia="宋体" w:cs="宋体"/>
                <w:bCs/>
                <w:color w:val="auto"/>
                <w:sz w:val="24"/>
                <w:szCs w:val="24"/>
                <w:highlight w:val="none"/>
              </w:rPr>
            </w:pPr>
          </w:p>
        </w:tc>
        <w:tc>
          <w:tcPr>
            <w:tcW w:w="1428" w:type="dxa"/>
            <w:tcMar>
              <w:top w:w="0" w:type="dxa"/>
              <w:left w:w="108" w:type="dxa"/>
              <w:bottom w:w="0" w:type="dxa"/>
              <w:right w:w="108" w:type="dxa"/>
            </w:tcMar>
            <w:vAlign w:val="center"/>
          </w:tcPr>
          <w:p w14:paraId="5DA9B77D">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营业收入(Y)</w:t>
            </w:r>
          </w:p>
        </w:tc>
        <w:tc>
          <w:tcPr>
            <w:tcW w:w="845" w:type="dxa"/>
            <w:tcMar>
              <w:top w:w="0" w:type="dxa"/>
              <w:left w:w="108" w:type="dxa"/>
              <w:bottom w:w="0" w:type="dxa"/>
              <w:right w:w="108" w:type="dxa"/>
            </w:tcMar>
            <w:vAlign w:val="center"/>
          </w:tcPr>
          <w:p w14:paraId="62D4C664">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万元</w:t>
            </w:r>
          </w:p>
        </w:tc>
        <w:tc>
          <w:tcPr>
            <w:tcW w:w="1107" w:type="dxa"/>
            <w:tcMar>
              <w:top w:w="0" w:type="dxa"/>
              <w:left w:w="108" w:type="dxa"/>
              <w:bottom w:w="0" w:type="dxa"/>
              <w:right w:w="108" w:type="dxa"/>
            </w:tcMar>
            <w:vAlign w:val="center"/>
          </w:tcPr>
          <w:p w14:paraId="4FAAAF32">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Y≥100000</w:t>
            </w:r>
          </w:p>
        </w:tc>
        <w:tc>
          <w:tcPr>
            <w:tcW w:w="1662" w:type="dxa"/>
            <w:tcMar>
              <w:top w:w="0" w:type="dxa"/>
              <w:left w:w="108" w:type="dxa"/>
              <w:bottom w:w="0" w:type="dxa"/>
              <w:right w:w="108" w:type="dxa"/>
            </w:tcMar>
            <w:vAlign w:val="center"/>
          </w:tcPr>
          <w:p w14:paraId="4CAC4956">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1000≤Y＜100000</w:t>
            </w:r>
          </w:p>
        </w:tc>
        <w:tc>
          <w:tcPr>
            <w:tcW w:w="1466" w:type="dxa"/>
            <w:tcMar>
              <w:top w:w="0" w:type="dxa"/>
              <w:left w:w="108" w:type="dxa"/>
              <w:bottom w:w="0" w:type="dxa"/>
              <w:right w:w="108" w:type="dxa"/>
            </w:tcMar>
            <w:vAlign w:val="center"/>
          </w:tcPr>
          <w:p w14:paraId="48194532">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100≤Y＜1000</w:t>
            </w:r>
          </w:p>
        </w:tc>
        <w:tc>
          <w:tcPr>
            <w:tcW w:w="1012" w:type="dxa"/>
            <w:tcMar>
              <w:top w:w="0" w:type="dxa"/>
              <w:left w:w="108" w:type="dxa"/>
              <w:bottom w:w="0" w:type="dxa"/>
              <w:right w:w="108" w:type="dxa"/>
            </w:tcMar>
            <w:vAlign w:val="center"/>
          </w:tcPr>
          <w:p w14:paraId="6E9B8864">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Y＜100</w:t>
            </w:r>
          </w:p>
        </w:tc>
      </w:tr>
      <w:tr w14:paraId="533EB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1739" w:type="dxa"/>
            <w:vMerge w:val="restart"/>
            <w:tcMar>
              <w:top w:w="0" w:type="dxa"/>
              <w:left w:w="108" w:type="dxa"/>
              <w:bottom w:w="0" w:type="dxa"/>
              <w:right w:w="108" w:type="dxa"/>
            </w:tcMar>
            <w:vAlign w:val="center"/>
          </w:tcPr>
          <w:p w14:paraId="5CCFE3FE">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pacing w:val="-12"/>
                <w:sz w:val="24"/>
                <w:szCs w:val="24"/>
                <w:highlight w:val="none"/>
              </w:rPr>
              <w:t>软件和信息技术服</w:t>
            </w:r>
            <w:r>
              <w:rPr>
                <w:rFonts w:hint="eastAsia" w:ascii="宋体" w:hAnsi="宋体" w:eastAsia="宋体" w:cs="宋体"/>
                <w:color w:val="auto"/>
                <w:sz w:val="24"/>
                <w:szCs w:val="24"/>
                <w:highlight w:val="none"/>
              </w:rPr>
              <w:t>务业</w:t>
            </w:r>
          </w:p>
        </w:tc>
        <w:tc>
          <w:tcPr>
            <w:tcW w:w="1428" w:type="dxa"/>
            <w:tcMar>
              <w:top w:w="0" w:type="dxa"/>
              <w:left w:w="108" w:type="dxa"/>
              <w:bottom w:w="0" w:type="dxa"/>
              <w:right w:w="108" w:type="dxa"/>
            </w:tcMar>
            <w:vAlign w:val="center"/>
          </w:tcPr>
          <w:p w14:paraId="23F00A20">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从业人员(X)</w:t>
            </w:r>
          </w:p>
        </w:tc>
        <w:tc>
          <w:tcPr>
            <w:tcW w:w="845" w:type="dxa"/>
            <w:tcMar>
              <w:top w:w="0" w:type="dxa"/>
              <w:left w:w="108" w:type="dxa"/>
              <w:bottom w:w="0" w:type="dxa"/>
              <w:right w:w="108" w:type="dxa"/>
            </w:tcMar>
            <w:vAlign w:val="center"/>
          </w:tcPr>
          <w:p w14:paraId="3A104066">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人</w:t>
            </w:r>
          </w:p>
        </w:tc>
        <w:tc>
          <w:tcPr>
            <w:tcW w:w="1107" w:type="dxa"/>
            <w:tcMar>
              <w:top w:w="0" w:type="dxa"/>
              <w:left w:w="108" w:type="dxa"/>
              <w:bottom w:w="0" w:type="dxa"/>
              <w:right w:w="108" w:type="dxa"/>
            </w:tcMar>
            <w:vAlign w:val="center"/>
          </w:tcPr>
          <w:p w14:paraId="68134CA6">
            <w:pPr>
              <w:pageBreakBefore w:val="0"/>
              <w:kinsoku/>
              <w:overflowPunct/>
              <w:topLinePunct w:val="0"/>
              <w:bidi w:val="0"/>
              <w:spacing w:line="360" w:lineRule="auto"/>
              <w:ind w:firstLine="360"/>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X≥300</w:t>
            </w:r>
          </w:p>
        </w:tc>
        <w:tc>
          <w:tcPr>
            <w:tcW w:w="1662" w:type="dxa"/>
            <w:tcMar>
              <w:top w:w="0" w:type="dxa"/>
              <w:left w:w="108" w:type="dxa"/>
              <w:bottom w:w="0" w:type="dxa"/>
              <w:right w:w="108" w:type="dxa"/>
            </w:tcMar>
            <w:vAlign w:val="center"/>
          </w:tcPr>
          <w:p w14:paraId="46B02559">
            <w:pPr>
              <w:pageBreakBefore w:val="0"/>
              <w:kinsoku/>
              <w:overflowPunct/>
              <w:topLinePunct w:val="0"/>
              <w:bidi w:val="0"/>
              <w:spacing w:line="360" w:lineRule="auto"/>
              <w:ind w:left="1" w:firstLine="360"/>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100≤X＜300</w:t>
            </w:r>
          </w:p>
        </w:tc>
        <w:tc>
          <w:tcPr>
            <w:tcW w:w="1466" w:type="dxa"/>
            <w:tcMar>
              <w:top w:w="0" w:type="dxa"/>
              <w:left w:w="108" w:type="dxa"/>
              <w:bottom w:w="0" w:type="dxa"/>
              <w:right w:w="108" w:type="dxa"/>
            </w:tcMar>
            <w:vAlign w:val="center"/>
          </w:tcPr>
          <w:p w14:paraId="03B2DEBD">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10≤X＜100</w:t>
            </w:r>
          </w:p>
        </w:tc>
        <w:tc>
          <w:tcPr>
            <w:tcW w:w="1012" w:type="dxa"/>
            <w:tcMar>
              <w:top w:w="0" w:type="dxa"/>
              <w:left w:w="108" w:type="dxa"/>
              <w:bottom w:w="0" w:type="dxa"/>
              <w:right w:w="108" w:type="dxa"/>
            </w:tcMar>
            <w:vAlign w:val="center"/>
          </w:tcPr>
          <w:p w14:paraId="77A1E217">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X＜10</w:t>
            </w:r>
          </w:p>
        </w:tc>
      </w:tr>
      <w:tr w14:paraId="7402E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1739" w:type="dxa"/>
            <w:vMerge w:val="continue"/>
            <w:vAlign w:val="center"/>
          </w:tcPr>
          <w:p w14:paraId="4270EE5C">
            <w:pPr>
              <w:pageBreakBefore w:val="0"/>
              <w:kinsoku/>
              <w:overflowPunct/>
              <w:topLinePunct w:val="0"/>
              <w:bidi w:val="0"/>
              <w:spacing w:line="360" w:lineRule="auto"/>
              <w:rPr>
                <w:rFonts w:hint="eastAsia" w:ascii="宋体" w:hAnsi="宋体" w:eastAsia="宋体" w:cs="宋体"/>
                <w:bCs/>
                <w:color w:val="auto"/>
                <w:sz w:val="24"/>
                <w:szCs w:val="24"/>
                <w:highlight w:val="none"/>
              </w:rPr>
            </w:pPr>
          </w:p>
        </w:tc>
        <w:tc>
          <w:tcPr>
            <w:tcW w:w="1428" w:type="dxa"/>
            <w:tcMar>
              <w:top w:w="0" w:type="dxa"/>
              <w:left w:w="108" w:type="dxa"/>
              <w:bottom w:w="0" w:type="dxa"/>
              <w:right w:w="108" w:type="dxa"/>
            </w:tcMar>
            <w:vAlign w:val="center"/>
          </w:tcPr>
          <w:p w14:paraId="5CD6BC76">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营业收入(Y)</w:t>
            </w:r>
          </w:p>
        </w:tc>
        <w:tc>
          <w:tcPr>
            <w:tcW w:w="845" w:type="dxa"/>
            <w:tcMar>
              <w:top w:w="0" w:type="dxa"/>
              <w:left w:w="108" w:type="dxa"/>
              <w:bottom w:w="0" w:type="dxa"/>
              <w:right w:w="108" w:type="dxa"/>
            </w:tcMar>
            <w:vAlign w:val="center"/>
          </w:tcPr>
          <w:p w14:paraId="26F498C1">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万元</w:t>
            </w:r>
          </w:p>
        </w:tc>
        <w:tc>
          <w:tcPr>
            <w:tcW w:w="1107" w:type="dxa"/>
            <w:tcMar>
              <w:top w:w="0" w:type="dxa"/>
              <w:left w:w="108" w:type="dxa"/>
              <w:bottom w:w="0" w:type="dxa"/>
              <w:right w:w="108" w:type="dxa"/>
            </w:tcMar>
            <w:vAlign w:val="center"/>
          </w:tcPr>
          <w:p w14:paraId="767E4819">
            <w:pPr>
              <w:pageBreakBefore w:val="0"/>
              <w:kinsoku/>
              <w:overflowPunct/>
              <w:topLinePunct w:val="0"/>
              <w:bidi w:val="0"/>
              <w:spacing w:line="360" w:lineRule="auto"/>
              <w:ind w:firstLine="360"/>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Y≥10000</w:t>
            </w:r>
          </w:p>
        </w:tc>
        <w:tc>
          <w:tcPr>
            <w:tcW w:w="1662" w:type="dxa"/>
            <w:tcMar>
              <w:top w:w="0" w:type="dxa"/>
              <w:left w:w="108" w:type="dxa"/>
              <w:bottom w:w="0" w:type="dxa"/>
              <w:right w:w="108" w:type="dxa"/>
            </w:tcMar>
            <w:vAlign w:val="center"/>
          </w:tcPr>
          <w:p w14:paraId="18564E63">
            <w:pPr>
              <w:pageBreakBefore w:val="0"/>
              <w:kinsoku/>
              <w:overflowPunct/>
              <w:topLinePunct w:val="0"/>
              <w:bidi w:val="0"/>
              <w:spacing w:line="360" w:lineRule="auto"/>
              <w:ind w:firstLine="360"/>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1000≤Y＜10000</w:t>
            </w:r>
          </w:p>
        </w:tc>
        <w:tc>
          <w:tcPr>
            <w:tcW w:w="1466" w:type="dxa"/>
            <w:tcMar>
              <w:top w:w="0" w:type="dxa"/>
              <w:left w:w="108" w:type="dxa"/>
              <w:bottom w:w="0" w:type="dxa"/>
              <w:right w:w="108" w:type="dxa"/>
            </w:tcMar>
            <w:vAlign w:val="center"/>
          </w:tcPr>
          <w:p w14:paraId="1151391B">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50≤Y＜1000</w:t>
            </w:r>
          </w:p>
        </w:tc>
        <w:tc>
          <w:tcPr>
            <w:tcW w:w="1012" w:type="dxa"/>
            <w:tcMar>
              <w:top w:w="0" w:type="dxa"/>
              <w:left w:w="108" w:type="dxa"/>
              <w:bottom w:w="0" w:type="dxa"/>
              <w:right w:w="108" w:type="dxa"/>
            </w:tcMar>
            <w:vAlign w:val="center"/>
          </w:tcPr>
          <w:p w14:paraId="7A15A024">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Y＜50</w:t>
            </w:r>
          </w:p>
        </w:tc>
      </w:tr>
      <w:tr w14:paraId="040A7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1739" w:type="dxa"/>
            <w:vMerge w:val="restart"/>
            <w:tcMar>
              <w:top w:w="0" w:type="dxa"/>
              <w:left w:w="108" w:type="dxa"/>
              <w:bottom w:w="0" w:type="dxa"/>
              <w:right w:w="108" w:type="dxa"/>
            </w:tcMar>
            <w:vAlign w:val="center"/>
          </w:tcPr>
          <w:p w14:paraId="53ECC372">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房地产开发经营</w:t>
            </w:r>
          </w:p>
        </w:tc>
        <w:tc>
          <w:tcPr>
            <w:tcW w:w="1428" w:type="dxa"/>
            <w:tcMar>
              <w:top w:w="0" w:type="dxa"/>
              <w:left w:w="108" w:type="dxa"/>
              <w:bottom w:w="0" w:type="dxa"/>
              <w:right w:w="108" w:type="dxa"/>
            </w:tcMar>
            <w:vAlign w:val="center"/>
          </w:tcPr>
          <w:p w14:paraId="611D3AA0">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营业收入(Y)</w:t>
            </w:r>
          </w:p>
        </w:tc>
        <w:tc>
          <w:tcPr>
            <w:tcW w:w="845" w:type="dxa"/>
            <w:tcMar>
              <w:top w:w="0" w:type="dxa"/>
              <w:left w:w="108" w:type="dxa"/>
              <w:bottom w:w="0" w:type="dxa"/>
              <w:right w:w="108" w:type="dxa"/>
            </w:tcMar>
            <w:vAlign w:val="center"/>
          </w:tcPr>
          <w:p w14:paraId="7A5841D0">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万元</w:t>
            </w:r>
          </w:p>
        </w:tc>
        <w:tc>
          <w:tcPr>
            <w:tcW w:w="1107" w:type="dxa"/>
            <w:tcMar>
              <w:top w:w="0" w:type="dxa"/>
              <w:left w:w="108" w:type="dxa"/>
              <w:bottom w:w="0" w:type="dxa"/>
              <w:right w:w="108" w:type="dxa"/>
            </w:tcMar>
            <w:vAlign w:val="center"/>
          </w:tcPr>
          <w:p w14:paraId="326AA2BF">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Y≥200000</w:t>
            </w:r>
          </w:p>
        </w:tc>
        <w:tc>
          <w:tcPr>
            <w:tcW w:w="1662" w:type="dxa"/>
            <w:tcMar>
              <w:top w:w="0" w:type="dxa"/>
              <w:left w:w="108" w:type="dxa"/>
              <w:bottom w:w="0" w:type="dxa"/>
              <w:right w:w="108" w:type="dxa"/>
            </w:tcMar>
            <w:vAlign w:val="center"/>
          </w:tcPr>
          <w:p w14:paraId="751575CA">
            <w:pPr>
              <w:pageBreakBefore w:val="0"/>
              <w:kinsoku/>
              <w:overflowPunct/>
              <w:topLinePunct w:val="0"/>
              <w:bidi w:val="0"/>
              <w:spacing w:line="360" w:lineRule="auto"/>
              <w:ind w:firstLine="360"/>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1000≤Y＜200000</w:t>
            </w:r>
          </w:p>
        </w:tc>
        <w:tc>
          <w:tcPr>
            <w:tcW w:w="1466" w:type="dxa"/>
            <w:tcMar>
              <w:top w:w="0" w:type="dxa"/>
              <w:left w:w="108" w:type="dxa"/>
              <w:bottom w:w="0" w:type="dxa"/>
              <w:right w:w="108" w:type="dxa"/>
            </w:tcMar>
            <w:vAlign w:val="center"/>
          </w:tcPr>
          <w:p w14:paraId="3961A0D5">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100≤Y＜1000</w:t>
            </w:r>
          </w:p>
        </w:tc>
        <w:tc>
          <w:tcPr>
            <w:tcW w:w="1012" w:type="dxa"/>
            <w:tcMar>
              <w:top w:w="0" w:type="dxa"/>
              <w:left w:w="108" w:type="dxa"/>
              <w:bottom w:w="0" w:type="dxa"/>
              <w:right w:w="108" w:type="dxa"/>
            </w:tcMar>
            <w:vAlign w:val="center"/>
          </w:tcPr>
          <w:p w14:paraId="05CAA956">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Y＜100</w:t>
            </w:r>
          </w:p>
        </w:tc>
      </w:tr>
      <w:tr w14:paraId="6902C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1739" w:type="dxa"/>
            <w:vMerge w:val="continue"/>
            <w:vAlign w:val="center"/>
          </w:tcPr>
          <w:p w14:paraId="364D92A0">
            <w:pPr>
              <w:pageBreakBefore w:val="0"/>
              <w:kinsoku/>
              <w:overflowPunct/>
              <w:topLinePunct w:val="0"/>
              <w:bidi w:val="0"/>
              <w:spacing w:line="360" w:lineRule="auto"/>
              <w:rPr>
                <w:rFonts w:hint="eastAsia" w:ascii="宋体" w:hAnsi="宋体" w:eastAsia="宋体" w:cs="宋体"/>
                <w:bCs/>
                <w:color w:val="auto"/>
                <w:sz w:val="24"/>
                <w:szCs w:val="24"/>
                <w:highlight w:val="none"/>
              </w:rPr>
            </w:pPr>
          </w:p>
        </w:tc>
        <w:tc>
          <w:tcPr>
            <w:tcW w:w="1428" w:type="dxa"/>
            <w:tcMar>
              <w:top w:w="0" w:type="dxa"/>
              <w:left w:w="108" w:type="dxa"/>
              <w:bottom w:w="0" w:type="dxa"/>
              <w:right w:w="108" w:type="dxa"/>
            </w:tcMar>
            <w:vAlign w:val="center"/>
          </w:tcPr>
          <w:p w14:paraId="3871FB70">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资产总额(Z)</w:t>
            </w:r>
          </w:p>
        </w:tc>
        <w:tc>
          <w:tcPr>
            <w:tcW w:w="845" w:type="dxa"/>
            <w:tcMar>
              <w:top w:w="0" w:type="dxa"/>
              <w:left w:w="108" w:type="dxa"/>
              <w:bottom w:w="0" w:type="dxa"/>
              <w:right w:w="108" w:type="dxa"/>
            </w:tcMar>
            <w:vAlign w:val="center"/>
          </w:tcPr>
          <w:p w14:paraId="40B525C1">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万元</w:t>
            </w:r>
          </w:p>
        </w:tc>
        <w:tc>
          <w:tcPr>
            <w:tcW w:w="1107" w:type="dxa"/>
            <w:tcMar>
              <w:top w:w="0" w:type="dxa"/>
              <w:left w:w="108" w:type="dxa"/>
              <w:bottom w:w="0" w:type="dxa"/>
              <w:right w:w="108" w:type="dxa"/>
            </w:tcMar>
            <w:vAlign w:val="center"/>
          </w:tcPr>
          <w:p w14:paraId="7AE40703">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Z≥10000</w:t>
            </w:r>
          </w:p>
        </w:tc>
        <w:tc>
          <w:tcPr>
            <w:tcW w:w="1662" w:type="dxa"/>
            <w:tcMar>
              <w:top w:w="0" w:type="dxa"/>
              <w:left w:w="108" w:type="dxa"/>
              <w:bottom w:w="0" w:type="dxa"/>
              <w:right w:w="108" w:type="dxa"/>
            </w:tcMar>
            <w:vAlign w:val="center"/>
          </w:tcPr>
          <w:p w14:paraId="471CA2B3">
            <w:pPr>
              <w:pageBreakBefore w:val="0"/>
              <w:kinsoku/>
              <w:overflowPunct/>
              <w:topLinePunct w:val="0"/>
              <w:bidi w:val="0"/>
              <w:spacing w:line="360" w:lineRule="auto"/>
              <w:ind w:firstLine="360"/>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5000≤Z＜10000</w:t>
            </w:r>
          </w:p>
        </w:tc>
        <w:tc>
          <w:tcPr>
            <w:tcW w:w="1466" w:type="dxa"/>
            <w:tcMar>
              <w:top w:w="0" w:type="dxa"/>
              <w:left w:w="108" w:type="dxa"/>
              <w:bottom w:w="0" w:type="dxa"/>
              <w:right w:w="108" w:type="dxa"/>
            </w:tcMar>
            <w:vAlign w:val="center"/>
          </w:tcPr>
          <w:p w14:paraId="290D0F81">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2000≤Z＜5000  </w:t>
            </w:r>
          </w:p>
        </w:tc>
        <w:tc>
          <w:tcPr>
            <w:tcW w:w="1012" w:type="dxa"/>
            <w:tcMar>
              <w:top w:w="0" w:type="dxa"/>
              <w:left w:w="108" w:type="dxa"/>
              <w:bottom w:w="0" w:type="dxa"/>
              <w:right w:w="108" w:type="dxa"/>
            </w:tcMar>
            <w:vAlign w:val="center"/>
          </w:tcPr>
          <w:p w14:paraId="72C9B415">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Z＜2000</w:t>
            </w:r>
          </w:p>
        </w:tc>
      </w:tr>
      <w:tr w14:paraId="5BA17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1739" w:type="dxa"/>
            <w:vMerge w:val="restart"/>
            <w:tcMar>
              <w:top w:w="0" w:type="dxa"/>
              <w:left w:w="108" w:type="dxa"/>
              <w:bottom w:w="0" w:type="dxa"/>
              <w:right w:w="108" w:type="dxa"/>
            </w:tcMar>
            <w:vAlign w:val="center"/>
          </w:tcPr>
          <w:p w14:paraId="031A5E2D">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物业管理</w:t>
            </w:r>
          </w:p>
        </w:tc>
        <w:tc>
          <w:tcPr>
            <w:tcW w:w="1428" w:type="dxa"/>
            <w:tcMar>
              <w:top w:w="0" w:type="dxa"/>
              <w:left w:w="108" w:type="dxa"/>
              <w:bottom w:w="0" w:type="dxa"/>
              <w:right w:w="108" w:type="dxa"/>
            </w:tcMar>
            <w:vAlign w:val="center"/>
          </w:tcPr>
          <w:p w14:paraId="6E107D6A">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从业人员(X)</w:t>
            </w:r>
          </w:p>
        </w:tc>
        <w:tc>
          <w:tcPr>
            <w:tcW w:w="845" w:type="dxa"/>
            <w:tcMar>
              <w:top w:w="0" w:type="dxa"/>
              <w:left w:w="108" w:type="dxa"/>
              <w:bottom w:w="0" w:type="dxa"/>
              <w:right w:w="108" w:type="dxa"/>
            </w:tcMar>
            <w:vAlign w:val="center"/>
          </w:tcPr>
          <w:p w14:paraId="32F38B6C">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人</w:t>
            </w:r>
          </w:p>
        </w:tc>
        <w:tc>
          <w:tcPr>
            <w:tcW w:w="1107" w:type="dxa"/>
            <w:tcMar>
              <w:top w:w="0" w:type="dxa"/>
              <w:left w:w="108" w:type="dxa"/>
              <w:bottom w:w="0" w:type="dxa"/>
              <w:right w:w="108" w:type="dxa"/>
            </w:tcMar>
            <w:vAlign w:val="center"/>
          </w:tcPr>
          <w:p w14:paraId="33447376">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X≥1000</w:t>
            </w:r>
          </w:p>
        </w:tc>
        <w:tc>
          <w:tcPr>
            <w:tcW w:w="1662" w:type="dxa"/>
            <w:tcMar>
              <w:top w:w="0" w:type="dxa"/>
              <w:left w:w="108" w:type="dxa"/>
              <w:bottom w:w="0" w:type="dxa"/>
              <w:right w:w="108" w:type="dxa"/>
            </w:tcMar>
            <w:vAlign w:val="center"/>
          </w:tcPr>
          <w:p w14:paraId="561E79E4">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300≤X＜1000</w:t>
            </w:r>
          </w:p>
        </w:tc>
        <w:tc>
          <w:tcPr>
            <w:tcW w:w="1466" w:type="dxa"/>
            <w:tcMar>
              <w:top w:w="0" w:type="dxa"/>
              <w:left w:w="108" w:type="dxa"/>
              <w:bottom w:w="0" w:type="dxa"/>
              <w:right w:w="108" w:type="dxa"/>
            </w:tcMar>
            <w:vAlign w:val="center"/>
          </w:tcPr>
          <w:p w14:paraId="5A35EA2B">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100≤X＜300</w:t>
            </w:r>
          </w:p>
        </w:tc>
        <w:tc>
          <w:tcPr>
            <w:tcW w:w="1012" w:type="dxa"/>
            <w:tcMar>
              <w:top w:w="0" w:type="dxa"/>
              <w:left w:w="108" w:type="dxa"/>
              <w:bottom w:w="0" w:type="dxa"/>
              <w:right w:w="108" w:type="dxa"/>
            </w:tcMar>
            <w:vAlign w:val="center"/>
          </w:tcPr>
          <w:p w14:paraId="0B305326">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X＜100</w:t>
            </w:r>
          </w:p>
        </w:tc>
      </w:tr>
      <w:tr w14:paraId="3780C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1739" w:type="dxa"/>
            <w:vMerge w:val="continue"/>
            <w:vAlign w:val="center"/>
          </w:tcPr>
          <w:p w14:paraId="691AA51B">
            <w:pPr>
              <w:pageBreakBefore w:val="0"/>
              <w:kinsoku/>
              <w:overflowPunct/>
              <w:topLinePunct w:val="0"/>
              <w:bidi w:val="0"/>
              <w:spacing w:line="360" w:lineRule="auto"/>
              <w:rPr>
                <w:rFonts w:hint="eastAsia" w:ascii="宋体" w:hAnsi="宋体" w:eastAsia="宋体" w:cs="宋体"/>
                <w:bCs/>
                <w:color w:val="auto"/>
                <w:sz w:val="24"/>
                <w:szCs w:val="24"/>
                <w:highlight w:val="none"/>
              </w:rPr>
            </w:pPr>
          </w:p>
        </w:tc>
        <w:tc>
          <w:tcPr>
            <w:tcW w:w="1428" w:type="dxa"/>
            <w:tcMar>
              <w:top w:w="0" w:type="dxa"/>
              <w:left w:w="108" w:type="dxa"/>
              <w:bottom w:w="0" w:type="dxa"/>
              <w:right w:w="108" w:type="dxa"/>
            </w:tcMar>
            <w:vAlign w:val="center"/>
          </w:tcPr>
          <w:p w14:paraId="4F66F773">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营业收入(Y)</w:t>
            </w:r>
          </w:p>
        </w:tc>
        <w:tc>
          <w:tcPr>
            <w:tcW w:w="845" w:type="dxa"/>
            <w:tcMar>
              <w:top w:w="0" w:type="dxa"/>
              <w:left w:w="108" w:type="dxa"/>
              <w:bottom w:w="0" w:type="dxa"/>
              <w:right w:w="108" w:type="dxa"/>
            </w:tcMar>
            <w:vAlign w:val="center"/>
          </w:tcPr>
          <w:p w14:paraId="2772787A">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万元</w:t>
            </w:r>
          </w:p>
        </w:tc>
        <w:tc>
          <w:tcPr>
            <w:tcW w:w="1107" w:type="dxa"/>
            <w:tcMar>
              <w:top w:w="0" w:type="dxa"/>
              <w:left w:w="108" w:type="dxa"/>
              <w:bottom w:w="0" w:type="dxa"/>
              <w:right w:w="108" w:type="dxa"/>
            </w:tcMar>
            <w:vAlign w:val="center"/>
          </w:tcPr>
          <w:p w14:paraId="12AA8026">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Y≥5000</w:t>
            </w:r>
          </w:p>
        </w:tc>
        <w:tc>
          <w:tcPr>
            <w:tcW w:w="1662" w:type="dxa"/>
            <w:tcMar>
              <w:top w:w="0" w:type="dxa"/>
              <w:left w:w="108" w:type="dxa"/>
              <w:bottom w:w="0" w:type="dxa"/>
              <w:right w:w="108" w:type="dxa"/>
            </w:tcMar>
            <w:vAlign w:val="center"/>
          </w:tcPr>
          <w:p w14:paraId="11312933">
            <w:pPr>
              <w:pageBreakBefore w:val="0"/>
              <w:kinsoku/>
              <w:overflowPunct/>
              <w:topLinePunct w:val="0"/>
              <w:bidi w:val="0"/>
              <w:spacing w:line="360" w:lineRule="auto"/>
              <w:ind w:left="1"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1000≤Y＜5000</w:t>
            </w:r>
          </w:p>
        </w:tc>
        <w:tc>
          <w:tcPr>
            <w:tcW w:w="1466" w:type="dxa"/>
            <w:tcMar>
              <w:top w:w="0" w:type="dxa"/>
              <w:left w:w="108" w:type="dxa"/>
              <w:bottom w:w="0" w:type="dxa"/>
              <w:right w:w="108" w:type="dxa"/>
            </w:tcMar>
            <w:vAlign w:val="center"/>
          </w:tcPr>
          <w:p w14:paraId="3F8E590C">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500≤Y＜1000</w:t>
            </w:r>
          </w:p>
        </w:tc>
        <w:tc>
          <w:tcPr>
            <w:tcW w:w="1012" w:type="dxa"/>
            <w:tcMar>
              <w:top w:w="0" w:type="dxa"/>
              <w:left w:w="108" w:type="dxa"/>
              <w:bottom w:w="0" w:type="dxa"/>
              <w:right w:w="108" w:type="dxa"/>
            </w:tcMar>
            <w:vAlign w:val="center"/>
          </w:tcPr>
          <w:p w14:paraId="1E9E00F6">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Y＜500</w:t>
            </w:r>
          </w:p>
        </w:tc>
      </w:tr>
      <w:tr w14:paraId="0B811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1739" w:type="dxa"/>
            <w:vMerge w:val="restart"/>
            <w:tcMar>
              <w:top w:w="0" w:type="dxa"/>
              <w:left w:w="108" w:type="dxa"/>
              <w:bottom w:w="0" w:type="dxa"/>
              <w:right w:w="108" w:type="dxa"/>
            </w:tcMar>
            <w:vAlign w:val="center"/>
          </w:tcPr>
          <w:p w14:paraId="7C05FFD3">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租赁和商务服务业</w:t>
            </w:r>
          </w:p>
        </w:tc>
        <w:tc>
          <w:tcPr>
            <w:tcW w:w="1428" w:type="dxa"/>
            <w:tcMar>
              <w:top w:w="0" w:type="dxa"/>
              <w:left w:w="108" w:type="dxa"/>
              <w:bottom w:w="0" w:type="dxa"/>
              <w:right w:w="108" w:type="dxa"/>
            </w:tcMar>
            <w:vAlign w:val="center"/>
          </w:tcPr>
          <w:p w14:paraId="61728C4A">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从业人员(X)</w:t>
            </w:r>
          </w:p>
        </w:tc>
        <w:tc>
          <w:tcPr>
            <w:tcW w:w="845" w:type="dxa"/>
            <w:tcMar>
              <w:top w:w="0" w:type="dxa"/>
              <w:left w:w="108" w:type="dxa"/>
              <w:bottom w:w="0" w:type="dxa"/>
              <w:right w:w="108" w:type="dxa"/>
            </w:tcMar>
            <w:vAlign w:val="center"/>
          </w:tcPr>
          <w:p w14:paraId="614FEC75">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人</w:t>
            </w:r>
          </w:p>
        </w:tc>
        <w:tc>
          <w:tcPr>
            <w:tcW w:w="1107" w:type="dxa"/>
            <w:tcMar>
              <w:top w:w="0" w:type="dxa"/>
              <w:left w:w="108" w:type="dxa"/>
              <w:bottom w:w="0" w:type="dxa"/>
              <w:right w:w="108" w:type="dxa"/>
            </w:tcMar>
            <w:vAlign w:val="center"/>
          </w:tcPr>
          <w:p w14:paraId="43DE1413">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X≥300</w:t>
            </w:r>
          </w:p>
        </w:tc>
        <w:tc>
          <w:tcPr>
            <w:tcW w:w="1662" w:type="dxa"/>
            <w:tcMar>
              <w:top w:w="0" w:type="dxa"/>
              <w:left w:w="108" w:type="dxa"/>
              <w:bottom w:w="0" w:type="dxa"/>
              <w:right w:w="108" w:type="dxa"/>
            </w:tcMar>
            <w:vAlign w:val="center"/>
          </w:tcPr>
          <w:p w14:paraId="2873D9D8">
            <w:pPr>
              <w:pageBreakBefore w:val="0"/>
              <w:kinsoku/>
              <w:overflowPunct/>
              <w:topLinePunct w:val="0"/>
              <w:bidi w:val="0"/>
              <w:spacing w:line="360" w:lineRule="auto"/>
              <w:ind w:left="1"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100≤X＜300</w:t>
            </w:r>
          </w:p>
        </w:tc>
        <w:tc>
          <w:tcPr>
            <w:tcW w:w="1466" w:type="dxa"/>
            <w:tcMar>
              <w:top w:w="0" w:type="dxa"/>
              <w:left w:w="108" w:type="dxa"/>
              <w:bottom w:w="0" w:type="dxa"/>
              <w:right w:w="108" w:type="dxa"/>
            </w:tcMar>
            <w:vAlign w:val="center"/>
          </w:tcPr>
          <w:p w14:paraId="47DCCBEB">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10≤X＜100</w:t>
            </w:r>
          </w:p>
        </w:tc>
        <w:tc>
          <w:tcPr>
            <w:tcW w:w="1012" w:type="dxa"/>
            <w:tcMar>
              <w:top w:w="0" w:type="dxa"/>
              <w:left w:w="108" w:type="dxa"/>
              <w:bottom w:w="0" w:type="dxa"/>
              <w:right w:w="108" w:type="dxa"/>
            </w:tcMar>
            <w:vAlign w:val="center"/>
          </w:tcPr>
          <w:p w14:paraId="2A54F38D">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X＜10</w:t>
            </w:r>
          </w:p>
        </w:tc>
      </w:tr>
      <w:tr w14:paraId="1FAF9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1739" w:type="dxa"/>
            <w:vMerge w:val="continue"/>
            <w:vAlign w:val="center"/>
          </w:tcPr>
          <w:p w14:paraId="1FD48920">
            <w:pPr>
              <w:pageBreakBefore w:val="0"/>
              <w:kinsoku/>
              <w:overflowPunct/>
              <w:topLinePunct w:val="0"/>
              <w:bidi w:val="0"/>
              <w:spacing w:line="360" w:lineRule="auto"/>
              <w:rPr>
                <w:rFonts w:hint="eastAsia" w:ascii="宋体" w:hAnsi="宋体" w:eastAsia="宋体" w:cs="宋体"/>
                <w:bCs/>
                <w:color w:val="auto"/>
                <w:sz w:val="24"/>
                <w:szCs w:val="24"/>
                <w:highlight w:val="none"/>
              </w:rPr>
            </w:pPr>
          </w:p>
        </w:tc>
        <w:tc>
          <w:tcPr>
            <w:tcW w:w="1428" w:type="dxa"/>
            <w:tcMar>
              <w:top w:w="0" w:type="dxa"/>
              <w:left w:w="108" w:type="dxa"/>
              <w:bottom w:w="0" w:type="dxa"/>
              <w:right w:w="108" w:type="dxa"/>
            </w:tcMar>
            <w:vAlign w:val="center"/>
          </w:tcPr>
          <w:p w14:paraId="0584EFA2">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资产总额(Z)</w:t>
            </w:r>
          </w:p>
        </w:tc>
        <w:tc>
          <w:tcPr>
            <w:tcW w:w="845" w:type="dxa"/>
            <w:tcMar>
              <w:top w:w="0" w:type="dxa"/>
              <w:left w:w="108" w:type="dxa"/>
              <w:bottom w:w="0" w:type="dxa"/>
              <w:right w:w="108" w:type="dxa"/>
            </w:tcMar>
            <w:vAlign w:val="center"/>
          </w:tcPr>
          <w:p w14:paraId="04172701">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万元</w:t>
            </w:r>
          </w:p>
        </w:tc>
        <w:tc>
          <w:tcPr>
            <w:tcW w:w="1107" w:type="dxa"/>
            <w:tcMar>
              <w:top w:w="0" w:type="dxa"/>
              <w:left w:w="108" w:type="dxa"/>
              <w:bottom w:w="0" w:type="dxa"/>
              <w:right w:w="108" w:type="dxa"/>
            </w:tcMar>
            <w:vAlign w:val="center"/>
          </w:tcPr>
          <w:p w14:paraId="47AF5368">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Z≥120000</w:t>
            </w:r>
          </w:p>
        </w:tc>
        <w:tc>
          <w:tcPr>
            <w:tcW w:w="1662" w:type="dxa"/>
            <w:tcMar>
              <w:top w:w="0" w:type="dxa"/>
              <w:left w:w="108" w:type="dxa"/>
              <w:bottom w:w="0" w:type="dxa"/>
              <w:right w:w="108" w:type="dxa"/>
            </w:tcMar>
            <w:vAlign w:val="center"/>
          </w:tcPr>
          <w:p w14:paraId="4BB9674D">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8000≤Z＜120000</w:t>
            </w:r>
          </w:p>
        </w:tc>
        <w:tc>
          <w:tcPr>
            <w:tcW w:w="1466" w:type="dxa"/>
            <w:tcMar>
              <w:top w:w="0" w:type="dxa"/>
              <w:left w:w="108" w:type="dxa"/>
              <w:bottom w:w="0" w:type="dxa"/>
              <w:right w:w="108" w:type="dxa"/>
            </w:tcMar>
            <w:vAlign w:val="center"/>
          </w:tcPr>
          <w:p w14:paraId="2F2A91EC">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100≤Z＜8000</w:t>
            </w:r>
          </w:p>
        </w:tc>
        <w:tc>
          <w:tcPr>
            <w:tcW w:w="1012" w:type="dxa"/>
            <w:tcMar>
              <w:top w:w="0" w:type="dxa"/>
              <w:left w:w="108" w:type="dxa"/>
              <w:bottom w:w="0" w:type="dxa"/>
              <w:right w:w="108" w:type="dxa"/>
            </w:tcMar>
            <w:vAlign w:val="center"/>
          </w:tcPr>
          <w:p w14:paraId="7E33A549">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Z＜100</w:t>
            </w:r>
          </w:p>
        </w:tc>
      </w:tr>
      <w:tr w14:paraId="62A46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739" w:type="dxa"/>
            <w:tcMar>
              <w:top w:w="0" w:type="dxa"/>
              <w:left w:w="108" w:type="dxa"/>
              <w:bottom w:w="0" w:type="dxa"/>
              <w:right w:w="108" w:type="dxa"/>
            </w:tcMar>
            <w:vAlign w:val="center"/>
          </w:tcPr>
          <w:p w14:paraId="6C0307D8">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其他未列明行业 *</w:t>
            </w:r>
          </w:p>
        </w:tc>
        <w:tc>
          <w:tcPr>
            <w:tcW w:w="1428" w:type="dxa"/>
            <w:tcMar>
              <w:top w:w="0" w:type="dxa"/>
              <w:left w:w="108" w:type="dxa"/>
              <w:bottom w:w="0" w:type="dxa"/>
              <w:right w:w="108" w:type="dxa"/>
            </w:tcMar>
            <w:vAlign w:val="center"/>
          </w:tcPr>
          <w:p w14:paraId="5D65FCC2">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从业人员(X)</w:t>
            </w:r>
          </w:p>
        </w:tc>
        <w:tc>
          <w:tcPr>
            <w:tcW w:w="845" w:type="dxa"/>
            <w:tcMar>
              <w:top w:w="0" w:type="dxa"/>
              <w:left w:w="108" w:type="dxa"/>
              <w:bottom w:w="0" w:type="dxa"/>
              <w:right w:w="108" w:type="dxa"/>
            </w:tcMar>
            <w:vAlign w:val="center"/>
          </w:tcPr>
          <w:p w14:paraId="5F9F0FE6">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人</w:t>
            </w:r>
          </w:p>
        </w:tc>
        <w:tc>
          <w:tcPr>
            <w:tcW w:w="1107" w:type="dxa"/>
            <w:tcMar>
              <w:top w:w="0" w:type="dxa"/>
              <w:left w:w="108" w:type="dxa"/>
              <w:bottom w:w="0" w:type="dxa"/>
              <w:right w:w="108" w:type="dxa"/>
            </w:tcMar>
            <w:vAlign w:val="center"/>
          </w:tcPr>
          <w:p w14:paraId="3C851F5F">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X≥300</w:t>
            </w:r>
          </w:p>
        </w:tc>
        <w:tc>
          <w:tcPr>
            <w:tcW w:w="1662" w:type="dxa"/>
            <w:tcMar>
              <w:top w:w="0" w:type="dxa"/>
              <w:left w:w="108" w:type="dxa"/>
              <w:bottom w:w="0" w:type="dxa"/>
              <w:right w:w="108" w:type="dxa"/>
            </w:tcMar>
            <w:vAlign w:val="center"/>
          </w:tcPr>
          <w:p w14:paraId="69A2E6A6">
            <w:pPr>
              <w:pageBreakBefore w:val="0"/>
              <w:kinsoku/>
              <w:overflowPunct/>
              <w:topLinePunct w:val="0"/>
              <w:bidi w:val="0"/>
              <w:spacing w:line="360" w:lineRule="auto"/>
              <w:ind w:left="1"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100≤X＜300</w:t>
            </w:r>
          </w:p>
        </w:tc>
        <w:tc>
          <w:tcPr>
            <w:tcW w:w="1466" w:type="dxa"/>
            <w:tcMar>
              <w:top w:w="0" w:type="dxa"/>
              <w:left w:w="108" w:type="dxa"/>
              <w:bottom w:w="0" w:type="dxa"/>
              <w:right w:w="108" w:type="dxa"/>
            </w:tcMar>
            <w:vAlign w:val="center"/>
          </w:tcPr>
          <w:p w14:paraId="770B821F">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10≤X＜100</w:t>
            </w:r>
          </w:p>
        </w:tc>
        <w:tc>
          <w:tcPr>
            <w:tcW w:w="1012" w:type="dxa"/>
            <w:tcMar>
              <w:top w:w="0" w:type="dxa"/>
              <w:left w:w="108" w:type="dxa"/>
              <w:bottom w:w="0" w:type="dxa"/>
              <w:right w:w="108" w:type="dxa"/>
            </w:tcMar>
            <w:vAlign w:val="center"/>
          </w:tcPr>
          <w:p w14:paraId="32DD7B0D">
            <w:pPr>
              <w:pageBreakBefore w:val="0"/>
              <w:kinsoku/>
              <w:overflowPunct/>
              <w:topLinePunct w:val="0"/>
              <w:bidi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X＜10</w:t>
            </w:r>
          </w:p>
        </w:tc>
      </w:tr>
    </w:tbl>
    <w:p w14:paraId="308BCBA1">
      <w:pPr>
        <w:keepNext w:val="0"/>
        <w:keepLines w:val="0"/>
        <w:pageBreakBefore w:val="0"/>
        <w:widowControl w:val="0"/>
        <w:shd w:val="clear" w:color="auto" w:fill="FFFFFF"/>
        <w:kinsoku/>
        <w:wordWrap/>
        <w:overflowPunct/>
        <w:topLinePunct w:val="0"/>
        <w:autoSpaceDE/>
        <w:autoSpaceDN/>
        <w:bidi w:val="0"/>
        <w:adjustRightInd w:val="0"/>
        <w:snapToGrid/>
        <w:spacing w:line="360" w:lineRule="auto"/>
        <w:ind w:firstLine="512"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pacing w:val="8"/>
          <w:sz w:val="24"/>
          <w:szCs w:val="24"/>
          <w:highlight w:val="none"/>
        </w:rPr>
        <w:t>说明：</w:t>
      </w:r>
    </w:p>
    <w:p w14:paraId="276418E2">
      <w:pPr>
        <w:keepNext w:val="0"/>
        <w:keepLines w:val="0"/>
        <w:pageBreakBefore w:val="0"/>
        <w:widowControl w:val="0"/>
        <w:shd w:val="clear" w:color="auto" w:fill="FFFFFF"/>
        <w:kinsoku/>
        <w:wordWrap/>
        <w:overflowPunct/>
        <w:topLinePunct w:val="0"/>
        <w:autoSpaceDE/>
        <w:autoSpaceDN/>
        <w:bidi w:val="0"/>
        <w:adjustRightInd w:val="0"/>
        <w:snapToGrid/>
        <w:spacing w:line="360" w:lineRule="auto"/>
        <w:ind w:firstLine="512"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pacing w:val="8"/>
          <w:sz w:val="24"/>
          <w:szCs w:val="24"/>
          <w:highlight w:val="none"/>
        </w:rPr>
        <w:t>1.大型、中型和小型企业须同时满足所列指标的下限，否则下划一档；微型企业只须满足所列指标中的一项即可。</w:t>
      </w:r>
    </w:p>
    <w:p w14:paraId="63B26A27">
      <w:pPr>
        <w:keepNext w:val="0"/>
        <w:keepLines w:val="0"/>
        <w:pageBreakBefore w:val="0"/>
        <w:widowControl w:val="0"/>
        <w:shd w:val="clear" w:color="auto" w:fill="FFFFFF"/>
        <w:kinsoku/>
        <w:wordWrap/>
        <w:overflowPunct/>
        <w:topLinePunct w:val="0"/>
        <w:autoSpaceDE/>
        <w:autoSpaceDN/>
        <w:bidi w:val="0"/>
        <w:adjustRightInd w:val="0"/>
        <w:snapToGrid/>
        <w:spacing w:line="360" w:lineRule="auto"/>
        <w:ind w:firstLine="512"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pacing w:val="8"/>
          <w:sz w:val="24"/>
          <w:szCs w:val="24"/>
          <w:highlight w:val="none"/>
        </w:rPr>
        <w:t>2.附表中各行业的范围以《国民经济行业分类》（GB/T4754-2011）为准。带*的项为行业组合类别，其中，工业包括采矿业，制造业，电力、热力、燃气及水生产和供应业；交通运输业包括道路运输业，水上运输业，航空运输业，管道运输业，装卸搬运和运输代理业，不包括铁路运输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082773F">
      <w:pPr>
        <w:keepNext w:val="0"/>
        <w:keepLines w:val="0"/>
        <w:pageBreakBefore w:val="0"/>
        <w:widowControl w:val="0"/>
        <w:shd w:val="clear" w:color="auto" w:fill="FFFFFF"/>
        <w:kinsoku/>
        <w:wordWrap/>
        <w:overflowPunct/>
        <w:topLinePunct w:val="0"/>
        <w:autoSpaceDE/>
        <w:autoSpaceDN/>
        <w:bidi w:val="0"/>
        <w:adjustRightInd w:val="0"/>
        <w:snapToGrid/>
        <w:spacing w:line="360" w:lineRule="auto"/>
        <w:ind w:firstLine="512" w:firstLineChars="200"/>
        <w:textAlignment w:val="auto"/>
        <w:rPr>
          <w:rFonts w:hint="eastAsia" w:ascii="宋体" w:hAnsi="宋体" w:eastAsia="宋体" w:cs="仿宋_GB2312"/>
          <w:b/>
          <w:color w:val="auto"/>
          <w:sz w:val="24"/>
          <w:szCs w:val="24"/>
          <w:highlight w:val="none"/>
          <w:lang w:eastAsia="zh-CN"/>
        </w:rPr>
      </w:pPr>
      <w:r>
        <w:rPr>
          <w:rFonts w:hint="eastAsia" w:ascii="宋体" w:hAnsi="宋体" w:eastAsia="宋体" w:cs="宋体"/>
          <w:color w:val="auto"/>
          <w:spacing w:val="8"/>
          <w:sz w:val="24"/>
          <w:szCs w:val="24"/>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r>
        <w:rPr>
          <w:rFonts w:hint="eastAsia" w:ascii="宋体" w:hAnsi="宋体" w:eastAsia="宋体" w:cs="宋体"/>
          <w:color w:val="auto"/>
          <w:spacing w:val="8"/>
          <w:sz w:val="24"/>
          <w:szCs w:val="24"/>
          <w:highlight w:val="none"/>
          <w:lang w:eastAsia="zh-CN"/>
        </w:rPr>
        <w:t>。</w:t>
      </w:r>
    </w:p>
    <w:p w14:paraId="3A65EE2B">
      <w:pPr>
        <w:autoSpaceDE w:val="0"/>
        <w:autoSpaceDN w:val="0"/>
        <w:jc w:val="center"/>
        <w:rPr>
          <w:rFonts w:ascii="宋体" w:hAnsi="宋体" w:cs="宋体"/>
          <w:b/>
          <w:color w:val="auto"/>
          <w:spacing w:val="6"/>
          <w:sz w:val="32"/>
          <w:szCs w:val="32"/>
          <w:highlight w:val="none"/>
        </w:rPr>
      </w:pPr>
    </w:p>
    <w:p w14:paraId="1B77836F">
      <w:pPr>
        <w:pStyle w:val="51"/>
        <w:rPr>
          <w:rFonts w:hint="eastAsia" w:asciiTheme="minorEastAsia" w:hAnsiTheme="minorEastAsia" w:eastAsiaTheme="minorEastAsia"/>
          <w:color w:val="auto"/>
          <w:szCs w:val="21"/>
          <w:highlight w:val="none"/>
          <w:shd w:val="clear" w:color="auto" w:fill="FFFFFF"/>
        </w:rPr>
      </w:pPr>
    </w:p>
    <w:p w14:paraId="45987ED9">
      <w:pPr>
        <w:pStyle w:val="101"/>
        <w:rPr>
          <w:color w:val="auto"/>
          <w:highlight w:val="none"/>
        </w:rPr>
      </w:pPr>
    </w:p>
    <w:sectPr>
      <w:pgSz w:w="11907" w:h="16839"/>
      <w:pgMar w:top="1440" w:right="1842"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1EEF257-4E7B-4E4C-BCC8-2180F5D2965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9FF9960A-AB81-45B3-9641-4A68F3904165}"/>
  </w:font>
  <w:font w:name="仿宋">
    <w:panose1 w:val="02010609060101010101"/>
    <w:charset w:val="86"/>
    <w:family w:val="auto"/>
    <w:pitch w:val="default"/>
    <w:sig w:usb0="800002BF" w:usb1="38CF7CFA" w:usb2="00000016" w:usb3="00000000" w:csb0="00040001" w:csb1="00000000"/>
    <w:embedRegular r:id="rId3" w:fontKey="{A33A44A8-CAA9-4E15-A2DE-9E7653DE3A9B}"/>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4" w:fontKey="{E420BB59-D11A-4667-B2D6-7B6C838CA50B}"/>
  </w:font>
  <w:font w:name="Courier">
    <w:altName w:val="Courier New"/>
    <w:panose1 w:val="02070409020205020404"/>
    <w:charset w:val="00"/>
    <w:family w:val="modern"/>
    <w:pitch w:val="default"/>
    <w:sig w:usb0="00000000" w:usb1="00000000" w:usb2="00000000" w:usb3="00000000" w:csb0="00000001"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embedRegular r:id="rId5" w:fontKey="{61C42C61-0F97-4355-876D-FBBC79414618}"/>
  </w:font>
  <w:font w:name="Helvetica">
    <w:altName w:val="Arial"/>
    <w:panose1 w:val="020B0604020202020204"/>
    <w:charset w:val="00"/>
    <w:family w:val="swiss"/>
    <w:pitch w:val="default"/>
    <w:sig w:usb0="00000000" w:usb1="00000000" w:usb2="00000009" w:usb3="00000000" w:csb0="0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Mincho">
    <w:panose1 w:val="02020609040205080304"/>
    <w:charset w:val="80"/>
    <w:family w:val="modern"/>
    <w:pitch w:val="default"/>
    <w:sig w:usb0="A00002BF" w:usb1="68C7FCFB" w:usb2="00000010" w:usb3="00000000" w:csb0="4002009F" w:csb1="DFD70000"/>
    <w:embedRegular r:id="rId6" w:fontKey="{D991C05B-2FFB-4047-9278-DBE9BCF55E70}"/>
  </w:font>
  <w:font w:name="方正小标宋简体">
    <w:panose1 w:val="02000000000000000000"/>
    <w:charset w:val="86"/>
    <w:family w:val="script"/>
    <w:pitch w:val="default"/>
    <w:sig w:usb0="00000001" w:usb1="08000000" w:usb2="00000000" w:usb3="00000000" w:csb0="00040000" w:csb1="00000000"/>
    <w:embedRegular r:id="rId7" w:fontKey="{E55978F6-FDEA-485C-9282-1154D34A61B5}"/>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966517"/>
    </w:sdtPr>
    <w:sdtContent>
      <w:p w14:paraId="103838B8">
        <w:pPr>
          <w:pStyle w:val="34"/>
          <w:jc w:val="center"/>
        </w:pPr>
        <w:r>
          <w:fldChar w:fldCharType="begin"/>
        </w:r>
        <w:r>
          <w:instrText xml:space="preserve"> PAGE   \* MERGEFORMAT </w:instrText>
        </w:r>
        <w:r>
          <w:fldChar w:fldCharType="separate"/>
        </w:r>
        <w:r>
          <w:rPr>
            <w:lang w:val="zh-CN"/>
          </w:rPr>
          <w:t>12</w:t>
        </w:r>
        <w:r>
          <w:rPr>
            <w:lang w:val="zh-CN"/>
          </w:rPr>
          <w:fldChar w:fldCharType="end"/>
        </w:r>
      </w:p>
    </w:sdtContent>
  </w:sdt>
  <w:p w14:paraId="7026B06C">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C2EB4">
    <w:pPr>
      <w:pStyle w:val="36"/>
      <w:jc w:val="right"/>
      <w:rPr>
        <w:rFonts w:ascii="微软雅黑" w:hAnsi="微软雅黑" w:eastAsia="微软雅黑"/>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C891B4"/>
    <w:multiLevelType w:val="singleLevel"/>
    <w:tmpl w:val="94C891B4"/>
    <w:lvl w:ilvl="0" w:tentative="0">
      <w:start w:val="1"/>
      <w:numFmt w:val="decimal"/>
      <w:suff w:val="nothing"/>
      <w:lvlText w:val="%1、"/>
      <w:lvlJc w:val="left"/>
    </w:lvl>
  </w:abstractNum>
  <w:abstractNum w:abstractNumId="1">
    <w:nsid w:val="319DA420"/>
    <w:multiLevelType w:val="singleLevel"/>
    <w:tmpl w:val="319DA420"/>
    <w:lvl w:ilvl="0" w:tentative="0">
      <w:start w:val="2"/>
      <w:numFmt w:val="chineseCounting"/>
      <w:suff w:val="space"/>
      <w:lvlText w:val="第%1章"/>
      <w:lvlJc w:val="left"/>
      <w:rPr>
        <w:rFonts w:hint="eastAsia"/>
      </w:rPr>
    </w:lvl>
  </w:abstractNum>
  <w:abstractNum w:abstractNumId="2">
    <w:nsid w:val="4036637C"/>
    <w:multiLevelType w:val="singleLevel"/>
    <w:tmpl w:val="4036637C"/>
    <w:lvl w:ilvl="0" w:tentative="0">
      <w:start w:val="2"/>
      <w:numFmt w:val="chineseCounting"/>
      <w:suff w:val="nothing"/>
      <w:lvlText w:val="（%1）"/>
      <w:lvlJc w:val="left"/>
      <w:rPr>
        <w:rFonts w:hint="eastAsia"/>
      </w:rPr>
    </w:lvl>
  </w:abstractNum>
  <w:abstractNum w:abstractNumId="3">
    <w:nsid w:val="48ECD156"/>
    <w:multiLevelType w:val="singleLevel"/>
    <w:tmpl w:val="48ECD156"/>
    <w:lvl w:ilvl="0" w:tentative="0">
      <w:start w:val="1"/>
      <w:numFmt w:val="bullet"/>
      <w:pStyle w:val="26"/>
      <w:lvlText w:val=""/>
      <w:lvlJc w:val="left"/>
      <w:pPr>
        <w:tabs>
          <w:tab w:val="left" w:pos="780"/>
        </w:tabs>
        <w:ind w:left="780" w:hanging="360"/>
      </w:pPr>
      <w:rPr>
        <w:rFonts w:hint="default" w:ascii="Wingdings" w:hAnsi="Wingdings"/>
      </w:rPr>
    </w:lvl>
  </w:abstractNum>
  <w:abstractNum w:abstractNumId="4">
    <w:nsid w:val="54F403B5"/>
    <w:multiLevelType w:val="singleLevel"/>
    <w:tmpl w:val="54F403B5"/>
    <w:lvl w:ilvl="0" w:tentative="0">
      <w:start w:val="1"/>
      <w:numFmt w:val="chineseCounting"/>
      <w:suff w:val="nothing"/>
      <w:lvlText w:val="%1、"/>
      <w:lvlJc w:val="left"/>
    </w:lvl>
  </w:abstractNum>
  <w:abstractNum w:abstractNumId="5">
    <w:nsid w:val="551E3405"/>
    <w:multiLevelType w:val="multilevel"/>
    <w:tmpl w:val="551E3405"/>
    <w:lvl w:ilvl="0" w:tentative="0">
      <w:start w:val="1"/>
      <w:numFmt w:val="decimal"/>
      <w:lvlText w:val="%1、"/>
      <w:lvlJc w:val="left"/>
      <w:pPr>
        <w:ind w:left="1198"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557FD3DA"/>
    <w:multiLevelType w:val="singleLevel"/>
    <w:tmpl w:val="557FD3DA"/>
    <w:lvl w:ilvl="0" w:tentative="0">
      <w:start w:val="3"/>
      <w:numFmt w:val="chineseCounting"/>
      <w:suff w:val="nothing"/>
      <w:lvlText w:val="%1、"/>
      <w:lvlJc w:val="left"/>
    </w:lvl>
  </w:abstractNum>
  <w:abstractNum w:abstractNumId="7">
    <w:nsid w:val="7DAA347A"/>
    <w:multiLevelType w:val="multilevel"/>
    <w:tmpl w:val="7DAA347A"/>
    <w:lvl w:ilvl="0" w:tentative="0">
      <w:start w:val="1"/>
      <w:numFmt w:val="japaneseCounting"/>
      <w:lvlText w:val="第%1条"/>
      <w:lvlJc w:val="left"/>
      <w:pPr>
        <w:tabs>
          <w:tab w:val="left" w:pos="1157"/>
        </w:tabs>
        <w:ind w:left="1157" w:hanging="735"/>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num w:numId="1">
    <w:abstractNumId w:val="3"/>
  </w:num>
  <w:num w:numId="2">
    <w:abstractNumId w:val="1"/>
  </w:num>
  <w:num w:numId="3">
    <w:abstractNumId w:val="5"/>
  </w:num>
  <w:num w:numId="4">
    <w:abstractNumId w:val="0"/>
  </w:num>
  <w:num w:numId="5">
    <w:abstractNumId w:val="2"/>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hideSpellingErrors/>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0NjEwMTJlYmM2ODk2NDkwNDFjNjAzMTYxODUxOGMifQ=="/>
  </w:docVars>
  <w:rsids>
    <w:rsidRoot w:val="00C67595"/>
    <w:rsid w:val="00000868"/>
    <w:rsid w:val="000012E1"/>
    <w:rsid w:val="00002FF3"/>
    <w:rsid w:val="00003C3C"/>
    <w:rsid w:val="000044F4"/>
    <w:rsid w:val="000050D6"/>
    <w:rsid w:val="0000517F"/>
    <w:rsid w:val="00005B6A"/>
    <w:rsid w:val="0000613F"/>
    <w:rsid w:val="00006676"/>
    <w:rsid w:val="00007A59"/>
    <w:rsid w:val="000101D3"/>
    <w:rsid w:val="00010B34"/>
    <w:rsid w:val="00010C43"/>
    <w:rsid w:val="000112E4"/>
    <w:rsid w:val="00011499"/>
    <w:rsid w:val="00011EDD"/>
    <w:rsid w:val="00012415"/>
    <w:rsid w:val="00014435"/>
    <w:rsid w:val="00015B12"/>
    <w:rsid w:val="00015C8C"/>
    <w:rsid w:val="00015EBA"/>
    <w:rsid w:val="00016F84"/>
    <w:rsid w:val="00017123"/>
    <w:rsid w:val="0001712E"/>
    <w:rsid w:val="0001791B"/>
    <w:rsid w:val="00020A3B"/>
    <w:rsid w:val="00022181"/>
    <w:rsid w:val="000234B2"/>
    <w:rsid w:val="00023EA6"/>
    <w:rsid w:val="00023F05"/>
    <w:rsid w:val="000249F2"/>
    <w:rsid w:val="00024B81"/>
    <w:rsid w:val="00026C81"/>
    <w:rsid w:val="0003103E"/>
    <w:rsid w:val="0003146C"/>
    <w:rsid w:val="00031953"/>
    <w:rsid w:val="0003293E"/>
    <w:rsid w:val="00034BAB"/>
    <w:rsid w:val="00034D4D"/>
    <w:rsid w:val="00035725"/>
    <w:rsid w:val="000370C9"/>
    <w:rsid w:val="0003713E"/>
    <w:rsid w:val="00037CD8"/>
    <w:rsid w:val="0004008C"/>
    <w:rsid w:val="000401D5"/>
    <w:rsid w:val="00041805"/>
    <w:rsid w:val="000420D3"/>
    <w:rsid w:val="00042977"/>
    <w:rsid w:val="00042AFD"/>
    <w:rsid w:val="00043120"/>
    <w:rsid w:val="00043142"/>
    <w:rsid w:val="000441CD"/>
    <w:rsid w:val="000462B4"/>
    <w:rsid w:val="0004692F"/>
    <w:rsid w:val="00046CEF"/>
    <w:rsid w:val="00047395"/>
    <w:rsid w:val="00047D1E"/>
    <w:rsid w:val="00047EDB"/>
    <w:rsid w:val="0005070C"/>
    <w:rsid w:val="000510C6"/>
    <w:rsid w:val="000518B8"/>
    <w:rsid w:val="00051FC1"/>
    <w:rsid w:val="00052067"/>
    <w:rsid w:val="00052F01"/>
    <w:rsid w:val="00052FA7"/>
    <w:rsid w:val="00055784"/>
    <w:rsid w:val="00055D20"/>
    <w:rsid w:val="00056CBF"/>
    <w:rsid w:val="000573EF"/>
    <w:rsid w:val="00057835"/>
    <w:rsid w:val="00060047"/>
    <w:rsid w:val="000623FD"/>
    <w:rsid w:val="00062990"/>
    <w:rsid w:val="00063364"/>
    <w:rsid w:val="00064222"/>
    <w:rsid w:val="00064829"/>
    <w:rsid w:val="00064E74"/>
    <w:rsid w:val="00065016"/>
    <w:rsid w:val="000651F4"/>
    <w:rsid w:val="00065E41"/>
    <w:rsid w:val="000662AD"/>
    <w:rsid w:val="00066842"/>
    <w:rsid w:val="00066EC4"/>
    <w:rsid w:val="00070876"/>
    <w:rsid w:val="00070891"/>
    <w:rsid w:val="000709B0"/>
    <w:rsid w:val="000718A7"/>
    <w:rsid w:val="00072638"/>
    <w:rsid w:val="000736C9"/>
    <w:rsid w:val="00073C4C"/>
    <w:rsid w:val="00074E55"/>
    <w:rsid w:val="00074FC4"/>
    <w:rsid w:val="00075771"/>
    <w:rsid w:val="00076500"/>
    <w:rsid w:val="00076C16"/>
    <w:rsid w:val="0007718F"/>
    <w:rsid w:val="0007759B"/>
    <w:rsid w:val="00080288"/>
    <w:rsid w:val="000806AE"/>
    <w:rsid w:val="0008113B"/>
    <w:rsid w:val="00081912"/>
    <w:rsid w:val="00083567"/>
    <w:rsid w:val="000845F6"/>
    <w:rsid w:val="00085D08"/>
    <w:rsid w:val="00086159"/>
    <w:rsid w:val="0008643D"/>
    <w:rsid w:val="000871CB"/>
    <w:rsid w:val="00087869"/>
    <w:rsid w:val="00087F2C"/>
    <w:rsid w:val="000901E0"/>
    <w:rsid w:val="00091F55"/>
    <w:rsid w:val="00092DE6"/>
    <w:rsid w:val="000932B2"/>
    <w:rsid w:val="00093B7D"/>
    <w:rsid w:val="00093EB5"/>
    <w:rsid w:val="000941A5"/>
    <w:rsid w:val="00095712"/>
    <w:rsid w:val="00096C1B"/>
    <w:rsid w:val="0009734B"/>
    <w:rsid w:val="000A0027"/>
    <w:rsid w:val="000A137F"/>
    <w:rsid w:val="000A24D3"/>
    <w:rsid w:val="000A29D9"/>
    <w:rsid w:val="000A4FF5"/>
    <w:rsid w:val="000A62A6"/>
    <w:rsid w:val="000A6697"/>
    <w:rsid w:val="000A69C1"/>
    <w:rsid w:val="000B09AE"/>
    <w:rsid w:val="000B1A3D"/>
    <w:rsid w:val="000B2508"/>
    <w:rsid w:val="000B2E80"/>
    <w:rsid w:val="000B39C4"/>
    <w:rsid w:val="000B4EDA"/>
    <w:rsid w:val="000B5BDD"/>
    <w:rsid w:val="000B60F2"/>
    <w:rsid w:val="000C0619"/>
    <w:rsid w:val="000C1788"/>
    <w:rsid w:val="000C1952"/>
    <w:rsid w:val="000C2260"/>
    <w:rsid w:val="000C2450"/>
    <w:rsid w:val="000C34D1"/>
    <w:rsid w:val="000C3A73"/>
    <w:rsid w:val="000C3CB6"/>
    <w:rsid w:val="000C400E"/>
    <w:rsid w:val="000C4636"/>
    <w:rsid w:val="000C4E12"/>
    <w:rsid w:val="000C5121"/>
    <w:rsid w:val="000C51F1"/>
    <w:rsid w:val="000C52F4"/>
    <w:rsid w:val="000C63D2"/>
    <w:rsid w:val="000C743A"/>
    <w:rsid w:val="000D00D5"/>
    <w:rsid w:val="000D0A89"/>
    <w:rsid w:val="000D0CCE"/>
    <w:rsid w:val="000D1BEF"/>
    <w:rsid w:val="000D270C"/>
    <w:rsid w:val="000D2959"/>
    <w:rsid w:val="000D3375"/>
    <w:rsid w:val="000D3BD8"/>
    <w:rsid w:val="000D3CA8"/>
    <w:rsid w:val="000D3DBC"/>
    <w:rsid w:val="000D3E83"/>
    <w:rsid w:val="000D4E06"/>
    <w:rsid w:val="000D51BB"/>
    <w:rsid w:val="000D5879"/>
    <w:rsid w:val="000D73FD"/>
    <w:rsid w:val="000E0758"/>
    <w:rsid w:val="000E0C03"/>
    <w:rsid w:val="000E1631"/>
    <w:rsid w:val="000E1EB6"/>
    <w:rsid w:val="000E2A99"/>
    <w:rsid w:val="000E4833"/>
    <w:rsid w:val="000E5B07"/>
    <w:rsid w:val="000E5B86"/>
    <w:rsid w:val="000E5BED"/>
    <w:rsid w:val="000E63B3"/>
    <w:rsid w:val="000F00C6"/>
    <w:rsid w:val="000F03BE"/>
    <w:rsid w:val="000F1174"/>
    <w:rsid w:val="000F200A"/>
    <w:rsid w:val="000F2A44"/>
    <w:rsid w:val="000F2E02"/>
    <w:rsid w:val="000F37FB"/>
    <w:rsid w:val="000F41DC"/>
    <w:rsid w:val="000F68B4"/>
    <w:rsid w:val="000F79F2"/>
    <w:rsid w:val="000F7AE1"/>
    <w:rsid w:val="000F7BE1"/>
    <w:rsid w:val="001001E6"/>
    <w:rsid w:val="00100BEF"/>
    <w:rsid w:val="00102032"/>
    <w:rsid w:val="00102946"/>
    <w:rsid w:val="001029B5"/>
    <w:rsid w:val="00104A23"/>
    <w:rsid w:val="00104E7B"/>
    <w:rsid w:val="001056B0"/>
    <w:rsid w:val="00106261"/>
    <w:rsid w:val="00106CA0"/>
    <w:rsid w:val="00111AC6"/>
    <w:rsid w:val="00111C03"/>
    <w:rsid w:val="00112C9C"/>
    <w:rsid w:val="001136F2"/>
    <w:rsid w:val="0011453D"/>
    <w:rsid w:val="001157FF"/>
    <w:rsid w:val="00115C70"/>
    <w:rsid w:val="00117042"/>
    <w:rsid w:val="0012000F"/>
    <w:rsid w:val="001204E0"/>
    <w:rsid w:val="00122DA4"/>
    <w:rsid w:val="001241CC"/>
    <w:rsid w:val="0012571C"/>
    <w:rsid w:val="00131164"/>
    <w:rsid w:val="0013190C"/>
    <w:rsid w:val="00131EB3"/>
    <w:rsid w:val="0013300D"/>
    <w:rsid w:val="001331D8"/>
    <w:rsid w:val="00136E52"/>
    <w:rsid w:val="001411A8"/>
    <w:rsid w:val="0014296B"/>
    <w:rsid w:val="0014548E"/>
    <w:rsid w:val="00145D66"/>
    <w:rsid w:val="00150C59"/>
    <w:rsid w:val="001512EB"/>
    <w:rsid w:val="00152126"/>
    <w:rsid w:val="00152CF7"/>
    <w:rsid w:val="001545E7"/>
    <w:rsid w:val="00155885"/>
    <w:rsid w:val="0015627F"/>
    <w:rsid w:val="0015639E"/>
    <w:rsid w:val="00157136"/>
    <w:rsid w:val="001608DD"/>
    <w:rsid w:val="00160CB6"/>
    <w:rsid w:val="00162430"/>
    <w:rsid w:val="00162AB9"/>
    <w:rsid w:val="001663C1"/>
    <w:rsid w:val="001670E7"/>
    <w:rsid w:val="00171130"/>
    <w:rsid w:val="001733E7"/>
    <w:rsid w:val="001737B3"/>
    <w:rsid w:val="00174657"/>
    <w:rsid w:val="001749E9"/>
    <w:rsid w:val="001749EA"/>
    <w:rsid w:val="00175ACF"/>
    <w:rsid w:val="00175FF0"/>
    <w:rsid w:val="00180135"/>
    <w:rsid w:val="001807AC"/>
    <w:rsid w:val="0018080D"/>
    <w:rsid w:val="00180B6C"/>
    <w:rsid w:val="00183A3B"/>
    <w:rsid w:val="00183E56"/>
    <w:rsid w:val="00184A25"/>
    <w:rsid w:val="00185BE6"/>
    <w:rsid w:val="00186C73"/>
    <w:rsid w:val="00190584"/>
    <w:rsid w:val="00190A51"/>
    <w:rsid w:val="00191C4B"/>
    <w:rsid w:val="001930F4"/>
    <w:rsid w:val="00193B68"/>
    <w:rsid w:val="001951A6"/>
    <w:rsid w:val="001952FF"/>
    <w:rsid w:val="001961BA"/>
    <w:rsid w:val="001963C7"/>
    <w:rsid w:val="00196943"/>
    <w:rsid w:val="00196E8A"/>
    <w:rsid w:val="001A1210"/>
    <w:rsid w:val="001A3799"/>
    <w:rsid w:val="001A385B"/>
    <w:rsid w:val="001A3D66"/>
    <w:rsid w:val="001A45C5"/>
    <w:rsid w:val="001A4752"/>
    <w:rsid w:val="001A5907"/>
    <w:rsid w:val="001A6FF0"/>
    <w:rsid w:val="001A7535"/>
    <w:rsid w:val="001A78E7"/>
    <w:rsid w:val="001B024B"/>
    <w:rsid w:val="001B0ECC"/>
    <w:rsid w:val="001B1149"/>
    <w:rsid w:val="001B31E0"/>
    <w:rsid w:val="001B333B"/>
    <w:rsid w:val="001B444A"/>
    <w:rsid w:val="001B4756"/>
    <w:rsid w:val="001B4BD3"/>
    <w:rsid w:val="001B52C5"/>
    <w:rsid w:val="001B598A"/>
    <w:rsid w:val="001B6161"/>
    <w:rsid w:val="001B6DF8"/>
    <w:rsid w:val="001B7633"/>
    <w:rsid w:val="001B7C02"/>
    <w:rsid w:val="001C01C4"/>
    <w:rsid w:val="001C1990"/>
    <w:rsid w:val="001C2AE0"/>
    <w:rsid w:val="001C2C06"/>
    <w:rsid w:val="001C2E1A"/>
    <w:rsid w:val="001C2F33"/>
    <w:rsid w:val="001C531A"/>
    <w:rsid w:val="001C585A"/>
    <w:rsid w:val="001C5F4C"/>
    <w:rsid w:val="001C70F2"/>
    <w:rsid w:val="001D0E96"/>
    <w:rsid w:val="001D15FA"/>
    <w:rsid w:val="001D2391"/>
    <w:rsid w:val="001D3D2D"/>
    <w:rsid w:val="001D6C3A"/>
    <w:rsid w:val="001D7FC4"/>
    <w:rsid w:val="001E0DAD"/>
    <w:rsid w:val="001E0ED4"/>
    <w:rsid w:val="001E14EA"/>
    <w:rsid w:val="001E23F2"/>
    <w:rsid w:val="001E2F45"/>
    <w:rsid w:val="001E31F8"/>
    <w:rsid w:val="001E3427"/>
    <w:rsid w:val="001E3FCE"/>
    <w:rsid w:val="001E4776"/>
    <w:rsid w:val="001E4978"/>
    <w:rsid w:val="001E5308"/>
    <w:rsid w:val="001E550F"/>
    <w:rsid w:val="001E7513"/>
    <w:rsid w:val="001F020B"/>
    <w:rsid w:val="001F02A5"/>
    <w:rsid w:val="001F2692"/>
    <w:rsid w:val="001F305F"/>
    <w:rsid w:val="001F32E4"/>
    <w:rsid w:val="001F3957"/>
    <w:rsid w:val="001F45BF"/>
    <w:rsid w:val="001F6A15"/>
    <w:rsid w:val="001F7159"/>
    <w:rsid w:val="001F7336"/>
    <w:rsid w:val="001F7D98"/>
    <w:rsid w:val="002001BC"/>
    <w:rsid w:val="002004C0"/>
    <w:rsid w:val="00200E8E"/>
    <w:rsid w:val="002012BC"/>
    <w:rsid w:val="00201E99"/>
    <w:rsid w:val="002033CF"/>
    <w:rsid w:val="00203654"/>
    <w:rsid w:val="00203D55"/>
    <w:rsid w:val="00204712"/>
    <w:rsid w:val="00204AFB"/>
    <w:rsid w:val="00205048"/>
    <w:rsid w:val="0020630C"/>
    <w:rsid w:val="002069E8"/>
    <w:rsid w:val="00206B06"/>
    <w:rsid w:val="00206FEC"/>
    <w:rsid w:val="00210A6D"/>
    <w:rsid w:val="002115EE"/>
    <w:rsid w:val="00211B35"/>
    <w:rsid w:val="00212194"/>
    <w:rsid w:val="002122A4"/>
    <w:rsid w:val="00214014"/>
    <w:rsid w:val="0021426B"/>
    <w:rsid w:val="00214F3B"/>
    <w:rsid w:val="00215167"/>
    <w:rsid w:val="00215261"/>
    <w:rsid w:val="0021582A"/>
    <w:rsid w:val="00216455"/>
    <w:rsid w:val="00216784"/>
    <w:rsid w:val="00216AF8"/>
    <w:rsid w:val="002172A3"/>
    <w:rsid w:val="002202C1"/>
    <w:rsid w:val="00221406"/>
    <w:rsid w:val="002214C3"/>
    <w:rsid w:val="00221609"/>
    <w:rsid w:val="00221DE0"/>
    <w:rsid w:val="00222725"/>
    <w:rsid w:val="0022501A"/>
    <w:rsid w:val="00225680"/>
    <w:rsid w:val="00225B70"/>
    <w:rsid w:val="0022638E"/>
    <w:rsid w:val="002266AF"/>
    <w:rsid w:val="00226F31"/>
    <w:rsid w:val="00227079"/>
    <w:rsid w:val="002272CC"/>
    <w:rsid w:val="0022764B"/>
    <w:rsid w:val="00230B44"/>
    <w:rsid w:val="002310E4"/>
    <w:rsid w:val="00231165"/>
    <w:rsid w:val="002321B2"/>
    <w:rsid w:val="00232532"/>
    <w:rsid w:val="002331D8"/>
    <w:rsid w:val="0023367C"/>
    <w:rsid w:val="0023556C"/>
    <w:rsid w:val="0023594C"/>
    <w:rsid w:val="0023766E"/>
    <w:rsid w:val="00241365"/>
    <w:rsid w:val="002450E8"/>
    <w:rsid w:val="00245739"/>
    <w:rsid w:val="0024712C"/>
    <w:rsid w:val="0024757D"/>
    <w:rsid w:val="00250561"/>
    <w:rsid w:val="0025074F"/>
    <w:rsid w:val="00250FF3"/>
    <w:rsid w:val="00251D1B"/>
    <w:rsid w:val="00251DDD"/>
    <w:rsid w:val="0025315C"/>
    <w:rsid w:val="00254D47"/>
    <w:rsid w:val="00255D0F"/>
    <w:rsid w:val="0025630A"/>
    <w:rsid w:val="0025717D"/>
    <w:rsid w:val="00257251"/>
    <w:rsid w:val="002576F9"/>
    <w:rsid w:val="00260090"/>
    <w:rsid w:val="00260141"/>
    <w:rsid w:val="00261255"/>
    <w:rsid w:val="00261B17"/>
    <w:rsid w:val="0026292E"/>
    <w:rsid w:val="00263428"/>
    <w:rsid w:val="00264367"/>
    <w:rsid w:val="00266055"/>
    <w:rsid w:val="0026746C"/>
    <w:rsid w:val="00270335"/>
    <w:rsid w:val="002705BE"/>
    <w:rsid w:val="00270CF7"/>
    <w:rsid w:val="00270F20"/>
    <w:rsid w:val="00272EC3"/>
    <w:rsid w:val="00273015"/>
    <w:rsid w:val="0027308B"/>
    <w:rsid w:val="0027337F"/>
    <w:rsid w:val="00274258"/>
    <w:rsid w:val="0027449C"/>
    <w:rsid w:val="00274F22"/>
    <w:rsid w:val="002754FB"/>
    <w:rsid w:val="00275E3B"/>
    <w:rsid w:val="00276170"/>
    <w:rsid w:val="00276513"/>
    <w:rsid w:val="002800F9"/>
    <w:rsid w:val="002801AF"/>
    <w:rsid w:val="00283B35"/>
    <w:rsid w:val="0028553D"/>
    <w:rsid w:val="0028590F"/>
    <w:rsid w:val="0028632D"/>
    <w:rsid w:val="002864B8"/>
    <w:rsid w:val="00286F4E"/>
    <w:rsid w:val="0029034A"/>
    <w:rsid w:val="00290975"/>
    <w:rsid w:val="0029223C"/>
    <w:rsid w:val="00293D33"/>
    <w:rsid w:val="0029485F"/>
    <w:rsid w:val="00294FC5"/>
    <w:rsid w:val="0029609E"/>
    <w:rsid w:val="00297229"/>
    <w:rsid w:val="002A0E86"/>
    <w:rsid w:val="002A3638"/>
    <w:rsid w:val="002A4614"/>
    <w:rsid w:val="002A5215"/>
    <w:rsid w:val="002A62CD"/>
    <w:rsid w:val="002A6348"/>
    <w:rsid w:val="002A673A"/>
    <w:rsid w:val="002A67D8"/>
    <w:rsid w:val="002B09B7"/>
    <w:rsid w:val="002B0D8A"/>
    <w:rsid w:val="002B4339"/>
    <w:rsid w:val="002B48C1"/>
    <w:rsid w:val="002B52C7"/>
    <w:rsid w:val="002B5598"/>
    <w:rsid w:val="002B5C0A"/>
    <w:rsid w:val="002B73C5"/>
    <w:rsid w:val="002B7CC9"/>
    <w:rsid w:val="002C2BFF"/>
    <w:rsid w:val="002C2C79"/>
    <w:rsid w:val="002C2D68"/>
    <w:rsid w:val="002C30B4"/>
    <w:rsid w:val="002C3195"/>
    <w:rsid w:val="002C3490"/>
    <w:rsid w:val="002C4048"/>
    <w:rsid w:val="002C4195"/>
    <w:rsid w:val="002C49C2"/>
    <w:rsid w:val="002C4CA1"/>
    <w:rsid w:val="002C518C"/>
    <w:rsid w:val="002C5920"/>
    <w:rsid w:val="002C5F4F"/>
    <w:rsid w:val="002C60A9"/>
    <w:rsid w:val="002C695B"/>
    <w:rsid w:val="002C7739"/>
    <w:rsid w:val="002C7D6C"/>
    <w:rsid w:val="002D0334"/>
    <w:rsid w:val="002D1096"/>
    <w:rsid w:val="002D1656"/>
    <w:rsid w:val="002D30D0"/>
    <w:rsid w:val="002D3A29"/>
    <w:rsid w:val="002D3DE7"/>
    <w:rsid w:val="002D40B4"/>
    <w:rsid w:val="002D4599"/>
    <w:rsid w:val="002D501A"/>
    <w:rsid w:val="002D6047"/>
    <w:rsid w:val="002D6ED5"/>
    <w:rsid w:val="002D7D1D"/>
    <w:rsid w:val="002D7E86"/>
    <w:rsid w:val="002E0380"/>
    <w:rsid w:val="002E3DB0"/>
    <w:rsid w:val="002E4582"/>
    <w:rsid w:val="002E608E"/>
    <w:rsid w:val="002E6D16"/>
    <w:rsid w:val="002E6D2B"/>
    <w:rsid w:val="002E78E6"/>
    <w:rsid w:val="002E7AFC"/>
    <w:rsid w:val="002E7CFC"/>
    <w:rsid w:val="002E7E1D"/>
    <w:rsid w:val="002F0064"/>
    <w:rsid w:val="002F0B10"/>
    <w:rsid w:val="002F176C"/>
    <w:rsid w:val="002F22D6"/>
    <w:rsid w:val="002F46AD"/>
    <w:rsid w:val="002F4F9C"/>
    <w:rsid w:val="002F52A4"/>
    <w:rsid w:val="002F6AA7"/>
    <w:rsid w:val="002F6D21"/>
    <w:rsid w:val="002F6FCC"/>
    <w:rsid w:val="003034C4"/>
    <w:rsid w:val="00303B30"/>
    <w:rsid w:val="00303CB3"/>
    <w:rsid w:val="003070E6"/>
    <w:rsid w:val="00312FB3"/>
    <w:rsid w:val="00313617"/>
    <w:rsid w:val="003146C2"/>
    <w:rsid w:val="00314A13"/>
    <w:rsid w:val="00314F8A"/>
    <w:rsid w:val="00315A4D"/>
    <w:rsid w:val="003163D4"/>
    <w:rsid w:val="00316CBA"/>
    <w:rsid w:val="00317ECF"/>
    <w:rsid w:val="00320024"/>
    <w:rsid w:val="003235A5"/>
    <w:rsid w:val="00323E19"/>
    <w:rsid w:val="0032517A"/>
    <w:rsid w:val="00326214"/>
    <w:rsid w:val="003262E3"/>
    <w:rsid w:val="0032659B"/>
    <w:rsid w:val="00326C39"/>
    <w:rsid w:val="00326F34"/>
    <w:rsid w:val="00327B44"/>
    <w:rsid w:val="00330637"/>
    <w:rsid w:val="00330B38"/>
    <w:rsid w:val="00331439"/>
    <w:rsid w:val="003314C8"/>
    <w:rsid w:val="0033382F"/>
    <w:rsid w:val="003339BF"/>
    <w:rsid w:val="0033557B"/>
    <w:rsid w:val="00337ABB"/>
    <w:rsid w:val="00340753"/>
    <w:rsid w:val="00340DCE"/>
    <w:rsid w:val="00340EF0"/>
    <w:rsid w:val="0034120C"/>
    <w:rsid w:val="00341BA6"/>
    <w:rsid w:val="0034299D"/>
    <w:rsid w:val="003446A7"/>
    <w:rsid w:val="0034565D"/>
    <w:rsid w:val="00345E93"/>
    <w:rsid w:val="003462B2"/>
    <w:rsid w:val="003471ED"/>
    <w:rsid w:val="00347CE9"/>
    <w:rsid w:val="00350320"/>
    <w:rsid w:val="00351958"/>
    <w:rsid w:val="0035270B"/>
    <w:rsid w:val="0035270E"/>
    <w:rsid w:val="00353D48"/>
    <w:rsid w:val="00353D4B"/>
    <w:rsid w:val="00357213"/>
    <w:rsid w:val="00360259"/>
    <w:rsid w:val="00360275"/>
    <w:rsid w:val="00360278"/>
    <w:rsid w:val="00361B16"/>
    <w:rsid w:val="00361F22"/>
    <w:rsid w:val="00363E2C"/>
    <w:rsid w:val="00364900"/>
    <w:rsid w:val="00367043"/>
    <w:rsid w:val="00367868"/>
    <w:rsid w:val="00367E68"/>
    <w:rsid w:val="003702DB"/>
    <w:rsid w:val="003726C9"/>
    <w:rsid w:val="00372EFB"/>
    <w:rsid w:val="00374661"/>
    <w:rsid w:val="00374AFA"/>
    <w:rsid w:val="00375F2E"/>
    <w:rsid w:val="0037623E"/>
    <w:rsid w:val="0037688E"/>
    <w:rsid w:val="00376CC4"/>
    <w:rsid w:val="00377A30"/>
    <w:rsid w:val="00377D87"/>
    <w:rsid w:val="00380F76"/>
    <w:rsid w:val="00381553"/>
    <w:rsid w:val="00381601"/>
    <w:rsid w:val="00381DC5"/>
    <w:rsid w:val="003827C0"/>
    <w:rsid w:val="00382D2E"/>
    <w:rsid w:val="003831B5"/>
    <w:rsid w:val="003833E2"/>
    <w:rsid w:val="003857B1"/>
    <w:rsid w:val="0038631D"/>
    <w:rsid w:val="00387D85"/>
    <w:rsid w:val="00391146"/>
    <w:rsid w:val="003913CC"/>
    <w:rsid w:val="0039180D"/>
    <w:rsid w:val="00392C38"/>
    <w:rsid w:val="00393B51"/>
    <w:rsid w:val="003940A9"/>
    <w:rsid w:val="00394485"/>
    <w:rsid w:val="003945FE"/>
    <w:rsid w:val="00394AE3"/>
    <w:rsid w:val="00395629"/>
    <w:rsid w:val="00396529"/>
    <w:rsid w:val="00397033"/>
    <w:rsid w:val="00397632"/>
    <w:rsid w:val="00397A22"/>
    <w:rsid w:val="003A08B8"/>
    <w:rsid w:val="003A0ACF"/>
    <w:rsid w:val="003A35DE"/>
    <w:rsid w:val="003A368B"/>
    <w:rsid w:val="003A3F1A"/>
    <w:rsid w:val="003A48E3"/>
    <w:rsid w:val="003A55E2"/>
    <w:rsid w:val="003A65FE"/>
    <w:rsid w:val="003A6EB4"/>
    <w:rsid w:val="003A7F12"/>
    <w:rsid w:val="003B2868"/>
    <w:rsid w:val="003B296C"/>
    <w:rsid w:val="003B6222"/>
    <w:rsid w:val="003C1488"/>
    <w:rsid w:val="003C17B9"/>
    <w:rsid w:val="003C2847"/>
    <w:rsid w:val="003C4C6A"/>
    <w:rsid w:val="003C542B"/>
    <w:rsid w:val="003C5CA6"/>
    <w:rsid w:val="003C6088"/>
    <w:rsid w:val="003C6925"/>
    <w:rsid w:val="003C6A7D"/>
    <w:rsid w:val="003C704B"/>
    <w:rsid w:val="003C7C88"/>
    <w:rsid w:val="003D1D29"/>
    <w:rsid w:val="003D1E74"/>
    <w:rsid w:val="003D38BD"/>
    <w:rsid w:val="003D3F8F"/>
    <w:rsid w:val="003D44ED"/>
    <w:rsid w:val="003D5BE8"/>
    <w:rsid w:val="003D6D0F"/>
    <w:rsid w:val="003D7B96"/>
    <w:rsid w:val="003E25C9"/>
    <w:rsid w:val="003E3291"/>
    <w:rsid w:val="003E4A05"/>
    <w:rsid w:val="003E4F44"/>
    <w:rsid w:val="003E62A6"/>
    <w:rsid w:val="003E6BD1"/>
    <w:rsid w:val="003E7580"/>
    <w:rsid w:val="003F00F1"/>
    <w:rsid w:val="003F08DD"/>
    <w:rsid w:val="003F095C"/>
    <w:rsid w:val="003F32EA"/>
    <w:rsid w:val="003F3578"/>
    <w:rsid w:val="003F361B"/>
    <w:rsid w:val="003F47CC"/>
    <w:rsid w:val="003F7A70"/>
    <w:rsid w:val="00400A18"/>
    <w:rsid w:val="00401095"/>
    <w:rsid w:val="00401627"/>
    <w:rsid w:val="00401A1A"/>
    <w:rsid w:val="00404445"/>
    <w:rsid w:val="00404C20"/>
    <w:rsid w:val="00405C98"/>
    <w:rsid w:val="00407E08"/>
    <w:rsid w:val="00407ED7"/>
    <w:rsid w:val="00410A0F"/>
    <w:rsid w:val="00410FAF"/>
    <w:rsid w:val="004114AA"/>
    <w:rsid w:val="0041237D"/>
    <w:rsid w:val="0041238F"/>
    <w:rsid w:val="00412CBD"/>
    <w:rsid w:val="00412CD1"/>
    <w:rsid w:val="004139D5"/>
    <w:rsid w:val="00413F4C"/>
    <w:rsid w:val="00415698"/>
    <w:rsid w:val="004156B5"/>
    <w:rsid w:val="00415CD0"/>
    <w:rsid w:val="00417BE9"/>
    <w:rsid w:val="00420F8D"/>
    <w:rsid w:val="004214B5"/>
    <w:rsid w:val="004225B5"/>
    <w:rsid w:val="0042297C"/>
    <w:rsid w:val="00423F7F"/>
    <w:rsid w:val="004250BA"/>
    <w:rsid w:val="004256E8"/>
    <w:rsid w:val="00425B57"/>
    <w:rsid w:val="004267A0"/>
    <w:rsid w:val="00426EEF"/>
    <w:rsid w:val="00430924"/>
    <w:rsid w:val="004317C7"/>
    <w:rsid w:val="00431C25"/>
    <w:rsid w:val="00431CF0"/>
    <w:rsid w:val="0043214E"/>
    <w:rsid w:val="00432879"/>
    <w:rsid w:val="00434060"/>
    <w:rsid w:val="004368EC"/>
    <w:rsid w:val="00437762"/>
    <w:rsid w:val="00440432"/>
    <w:rsid w:val="00440709"/>
    <w:rsid w:val="004409B0"/>
    <w:rsid w:val="004410F2"/>
    <w:rsid w:val="0044176C"/>
    <w:rsid w:val="004426D3"/>
    <w:rsid w:val="004432C4"/>
    <w:rsid w:val="00444BDC"/>
    <w:rsid w:val="00444E81"/>
    <w:rsid w:val="004461E1"/>
    <w:rsid w:val="0044624A"/>
    <w:rsid w:val="004466ED"/>
    <w:rsid w:val="00451372"/>
    <w:rsid w:val="00451D14"/>
    <w:rsid w:val="00453177"/>
    <w:rsid w:val="0045398A"/>
    <w:rsid w:val="004548E3"/>
    <w:rsid w:val="00454A5E"/>
    <w:rsid w:val="00454CAC"/>
    <w:rsid w:val="00454FEF"/>
    <w:rsid w:val="00455983"/>
    <w:rsid w:val="00455FB6"/>
    <w:rsid w:val="00456AB9"/>
    <w:rsid w:val="00456B40"/>
    <w:rsid w:val="00457A35"/>
    <w:rsid w:val="004621BB"/>
    <w:rsid w:val="00463AE4"/>
    <w:rsid w:val="00464141"/>
    <w:rsid w:val="00465CE3"/>
    <w:rsid w:val="00466865"/>
    <w:rsid w:val="0047000B"/>
    <w:rsid w:val="00470411"/>
    <w:rsid w:val="00470989"/>
    <w:rsid w:val="00472A6B"/>
    <w:rsid w:val="004730CD"/>
    <w:rsid w:val="00474463"/>
    <w:rsid w:val="004753EA"/>
    <w:rsid w:val="004756E5"/>
    <w:rsid w:val="00476950"/>
    <w:rsid w:val="00477067"/>
    <w:rsid w:val="0047747E"/>
    <w:rsid w:val="0047764D"/>
    <w:rsid w:val="00480837"/>
    <w:rsid w:val="00482362"/>
    <w:rsid w:val="00482D87"/>
    <w:rsid w:val="004837DF"/>
    <w:rsid w:val="00483A8C"/>
    <w:rsid w:val="00483AF6"/>
    <w:rsid w:val="004845BA"/>
    <w:rsid w:val="00485E36"/>
    <w:rsid w:val="00486130"/>
    <w:rsid w:val="00487EA8"/>
    <w:rsid w:val="00491467"/>
    <w:rsid w:val="00491686"/>
    <w:rsid w:val="00491C3D"/>
    <w:rsid w:val="00491CE5"/>
    <w:rsid w:val="00492C3D"/>
    <w:rsid w:val="004935E2"/>
    <w:rsid w:val="004935F5"/>
    <w:rsid w:val="00493D52"/>
    <w:rsid w:val="00494311"/>
    <w:rsid w:val="00494E09"/>
    <w:rsid w:val="00495508"/>
    <w:rsid w:val="00496347"/>
    <w:rsid w:val="0049757D"/>
    <w:rsid w:val="004A074A"/>
    <w:rsid w:val="004A081C"/>
    <w:rsid w:val="004A193D"/>
    <w:rsid w:val="004A29C6"/>
    <w:rsid w:val="004A339A"/>
    <w:rsid w:val="004A33C5"/>
    <w:rsid w:val="004A3408"/>
    <w:rsid w:val="004A3427"/>
    <w:rsid w:val="004A35EC"/>
    <w:rsid w:val="004A3D67"/>
    <w:rsid w:val="004A5FE4"/>
    <w:rsid w:val="004A63AD"/>
    <w:rsid w:val="004A664D"/>
    <w:rsid w:val="004A6CD4"/>
    <w:rsid w:val="004A763F"/>
    <w:rsid w:val="004A7686"/>
    <w:rsid w:val="004B1146"/>
    <w:rsid w:val="004B1B25"/>
    <w:rsid w:val="004B3872"/>
    <w:rsid w:val="004B5BDD"/>
    <w:rsid w:val="004B64CA"/>
    <w:rsid w:val="004B6D4D"/>
    <w:rsid w:val="004B7634"/>
    <w:rsid w:val="004B76FA"/>
    <w:rsid w:val="004C024F"/>
    <w:rsid w:val="004C08D1"/>
    <w:rsid w:val="004C09A2"/>
    <w:rsid w:val="004C2CFD"/>
    <w:rsid w:val="004C30F4"/>
    <w:rsid w:val="004C34B1"/>
    <w:rsid w:val="004C48CD"/>
    <w:rsid w:val="004C4F9B"/>
    <w:rsid w:val="004C6A4F"/>
    <w:rsid w:val="004D0473"/>
    <w:rsid w:val="004D07AC"/>
    <w:rsid w:val="004D3047"/>
    <w:rsid w:val="004D3105"/>
    <w:rsid w:val="004D39A3"/>
    <w:rsid w:val="004D46B5"/>
    <w:rsid w:val="004D4F09"/>
    <w:rsid w:val="004D5556"/>
    <w:rsid w:val="004D5665"/>
    <w:rsid w:val="004D688A"/>
    <w:rsid w:val="004D7812"/>
    <w:rsid w:val="004D7E27"/>
    <w:rsid w:val="004E0F43"/>
    <w:rsid w:val="004E180E"/>
    <w:rsid w:val="004E3AAC"/>
    <w:rsid w:val="004E3F53"/>
    <w:rsid w:val="004E443A"/>
    <w:rsid w:val="004E49CF"/>
    <w:rsid w:val="004E6C19"/>
    <w:rsid w:val="004E7946"/>
    <w:rsid w:val="004F054E"/>
    <w:rsid w:val="004F14AA"/>
    <w:rsid w:val="004F28FF"/>
    <w:rsid w:val="004F49C9"/>
    <w:rsid w:val="004F5EEB"/>
    <w:rsid w:val="004F6AAA"/>
    <w:rsid w:val="004F773C"/>
    <w:rsid w:val="004F7EA8"/>
    <w:rsid w:val="00500A89"/>
    <w:rsid w:val="00501FF8"/>
    <w:rsid w:val="005032B5"/>
    <w:rsid w:val="00503847"/>
    <w:rsid w:val="00504332"/>
    <w:rsid w:val="00504E3A"/>
    <w:rsid w:val="00505174"/>
    <w:rsid w:val="00507566"/>
    <w:rsid w:val="005101D0"/>
    <w:rsid w:val="00510670"/>
    <w:rsid w:val="0051205B"/>
    <w:rsid w:val="0051264D"/>
    <w:rsid w:val="00512C76"/>
    <w:rsid w:val="00512DE6"/>
    <w:rsid w:val="00513119"/>
    <w:rsid w:val="00513791"/>
    <w:rsid w:val="00513EE1"/>
    <w:rsid w:val="0051455D"/>
    <w:rsid w:val="00515FA8"/>
    <w:rsid w:val="005163A0"/>
    <w:rsid w:val="005167B7"/>
    <w:rsid w:val="005205BE"/>
    <w:rsid w:val="00520BD0"/>
    <w:rsid w:val="00520EB6"/>
    <w:rsid w:val="00521558"/>
    <w:rsid w:val="00521858"/>
    <w:rsid w:val="00521C5E"/>
    <w:rsid w:val="00521FA8"/>
    <w:rsid w:val="00521FF6"/>
    <w:rsid w:val="00523056"/>
    <w:rsid w:val="0052346E"/>
    <w:rsid w:val="005235A4"/>
    <w:rsid w:val="00525BDD"/>
    <w:rsid w:val="0052684A"/>
    <w:rsid w:val="00526FB9"/>
    <w:rsid w:val="00527687"/>
    <w:rsid w:val="005309B4"/>
    <w:rsid w:val="00531101"/>
    <w:rsid w:val="005312BB"/>
    <w:rsid w:val="00532778"/>
    <w:rsid w:val="00532B2C"/>
    <w:rsid w:val="00532F3A"/>
    <w:rsid w:val="00533812"/>
    <w:rsid w:val="00534342"/>
    <w:rsid w:val="00535AFE"/>
    <w:rsid w:val="00535CA4"/>
    <w:rsid w:val="00535F25"/>
    <w:rsid w:val="005363AD"/>
    <w:rsid w:val="00536684"/>
    <w:rsid w:val="00536B9E"/>
    <w:rsid w:val="00536EDE"/>
    <w:rsid w:val="00536FC0"/>
    <w:rsid w:val="00537646"/>
    <w:rsid w:val="00537B4B"/>
    <w:rsid w:val="00540F92"/>
    <w:rsid w:val="005432E2"/>
    <w:rsid w:val="0054336E"/>
    <w:rsid w:val="005445EF"/>
    <w:rsid w:val="00545D29"/>
    <w:rsid w:val="0054671E"/>
    <w:rsid w:val="00546ADF"/>
    <w:rsid w:val="00546C74"/>
    <w:rsid w:val="00547404"/>
    <w:rsid w:val="005474F2"/>
    <w:rsid w:val="00551A9F"/>
    <w:rsid w:val="00551FAE"/>
    <w:rsid w:val="005520FF"/>
    <w:rsid w:val="00553EF5"/>
    <w:rsid w:val="005574A3"/>
    <w:rsid w:val="005577EC"/>
    <w:rsid w:val="005579A1"/>
    <w:rsid w:val="00557B69"/>
    <w:rsid w:val="005608EF"/>
    <w:rsid w:val="00562FE2"/>
    <w:rsid w:val="00563341"/>
    <w:rsid w:val="00563D15"/>
    <w:rsid w:val="00564533"/>
    <w:rsid w:val="00566FF8"/>
    <w:rsid w:val="0056771B"/>
    <w:rsid w:val="0056780F"/>
    <w:rsid w:val="00567FD0"/>
    <w:rsid w:val="0057024F"/>
    <w:rsid w:val="005719F3"/>
    <w:rsid w:val="00571C2F"/>
    <w:rsid w:val="00572072"/>
    <w:rsid w:val="00572649"/>
    <w:rsid w:val="00573C43"/>
    <w:rsid w:val="005769D3"/>
    <w:rsid w:val="00576E0E"/>
    <w:rsid w:val="00576F27"/>
    <w:rsid w:val="005774DA"/>
    <w:rsid w:val="00577C05"/>
    <w:rsid w:val="00580329"/>
    <w:rsid w:val="00583887"/>
    <w:rsid w:val="00583E2C"/>
    <w:rsid w:val="005844A7"/>
    <w:rsid w:val="00584C25"/>
    <w:rsid w:val="00585467"/>
    <w:rsid w:val="0058575C"/>
    <w:rsid w:val="00585FD8"/>
    <w:rsid w:val="0059061B"/>
    <w:rsid w:val="005907E4"/>
    <w:rsid w:val="00591922"/>
    <w:rsid w:val="00591C01"/>
    <w:rsid w:val="005930F4"/>
    <w:rsid w:val="005955B8"/>
    <w:rsid w:val="00595BD6"/>
    <w:rsid w:val="005969CE"/>
    <w:rsid w:val="00596EB2"/>
    <w:rsid w:val="00597102"/>
    <w:rsid w:val="005976A0"/>
    <w:rsid w:val="00597843"/>
    <w:rsid w:val="005979E9"/>
    <w:rsid w:val="00597A7A"/>
    <w:rsid w:val="005A102D"/>
    <w:rsid w:val="005A182D"/>
    <w:rsid w:val="005A1858"/>
    <w:rsid w:val="005A2A66"/>
    <w:rsid w:val="005A422B"/>
    <w:rsid w:val="005A452F"/>
    <w:rsid w:val="005A4EA4"/>
    <w:rsid w:val="005A5D0F"/>
    <w:rsid w:val="005A74B8"/>
    <w:rsid w:val="005A76B0"/>
    <w:rsid w:val="005A78CB"/>
    <w:rsid w:val="005B067A"/>
    <w:rsid w:val="005B10FC"/>
    <w:rsid w:val="005B11F4"/>
    <w:rsid w:val="005B26C5"/>
    <w:rsid w:val="005B3970"/>
    <w:rsid w:val="005B6616"/>
    <w:rsid w:val="005B67AE"/>
    <w:rsid w:val="005B7C00"/>
    <w:rsid w:val="005B7EC3"/>
    <w:rsid w:val="005B7F47"/>
    <w:rsid w:val="005C020F"/>
    <w:rsid w:val="005C0785"/>
    <w:rsid w:val="005C0E52"/>
    <w:rsid w:val="005C1C87"/>
    <w:rsid w:val="005C25DD"/>
    <w:rsid w:val="005C34B9"/>
    <w:rsid w:val="005C35FC"/>
    <w:rsid w:val="005C3A36"/>
    <w:rsid w:val="005C4C43"/>
    <w:rsid w:val="005C5C63"/>
    <w:rsid w:val="005C6DB7"/>
    <w:rsid w:val="005C75FA"/>
    <w:rsid w:val="005D146E"/>
    <w:rsid w:val="005D2086"/>
    <w:rsid w:val="005D2694"/>
    <w:rsid w:val="005D2A4D"/>
    <w:rsid w:val="005D2A91"/>
    <w:rsid w:val="005D3740"/>
    <w:rsid w:val="005D46E1"/>
    <w:rsid w:val="005D4DE6"/>
    <w:rsid w:val="005D547F"/>
    <w:rsid w:val="005D5F44"/>
    <w:rsid w:val="005D6F33"/>
    <w:rsid w:val="005E250B"/>
    <w:rsid w:val="005E30E2"/>
    <w:rsid w:val="005E3AEC"/>
    <w:rsid w:val="005E60BB"/>
    <w:rsid w:val="005E7161"/>
    <w:rsid w:val="005E7ACC"/>
    <w:rsid w:val="005F05EE"/>
    <w:rsid w:val="005F0F42"/>
    <w:rsid w:val="005F1237"/>
    <w:rsid w:val="005F14C0"/>
    <w:rsid w:val="005F1A43"/>
    <w:rsid w:val="005F22D0"/>
    <w:rsid w:val="005F27D0"/>
    <w:rsid w:val="005F3F1A"/>
    <w:rsid w:val="005F51B4"/>
    <w:rsid w:val="005F5253"/>
    <w:rsid w:val="005F55D0"/>
    <w:rsid w:val="005F5636"/>
    <w:rsid w:val="005F6215"/>
    <w:rsid w:val="005F6F6C"/>
    <w:rsid w:val="005F6F8E"/>
    <w:rsid w:val="005F7B25"/>
    <w:rsid w:val="006003FA"/>
    <w:rsid w:val="00600451"/>
    <w:rsid w:val="006010E8"/>
    <w:rsid w:val="006016E9"/>
    <w:rsid w:val="00601FAB"/>
    <w:rsid w:val="006034DD"/>
    <w:rsid w:val="00603938"/>
    <w:rsid w:val="006061EE"/>
    <w:rsid w:val="00610BBA"/>
    <w:rsid w:val="006122BB"/>
    <w:rsid w:val="006127E7"/>
    <w:rsid w:val="006134C2"/>
    <w:rsid w:val="0061389F"/>
    <w:rsid w:val="00613CE4"/>
    <w:rsid w:val="00614DF0"/>
    <w:rsid w:val="00616792"/>
    <w:rsid w:val="00617CB5"/>
    <w:rsid w:val="00617E39"/>
    <w:rsid w:val="006212FF"/>
    <w:rsid w:val="006216C7"/>
    <w:rsid w:val="006239D2"/>
    <w:rsid w:val="0062434B"/>
    <w:rsid w:val="00625664"/>
    <w:rsid w:val="00626086"/>
    <w:rsid w:val="00627A20"/>
    <w:rsid w:val="00627BB3"/>
    <w:rsid w:val="00630160"/>
    <w:rsid w:val="00631638"/>
    <w:rsid w:val="0063192E"/>
    <w:rsid w:val="00632B93"/>
    <w:rsid w:val="00633F6D"/>
    <w:rsid w:val="006343E9"/>
    <w:rsid w:val="0063463C"/>
    <w:rsid w:val="006361F8"/>
    <w:rsid w:val="00636968"/>
    <w:rsid w:val="00636BB2"/>
    <w:rsid w:val="00637470"/>
    <w:rsid w:val="006374F5"/>
    <w:rsid w:val="00640596"/>
    <w:rsid w:val="0064089E"/>
    <w:rsid w:val="00640D1D"/>
    <w:rsid w:val="00643083"/>
    <w:rsid w:val="00643DDB"/>
    <w:rsid w:val="006450AA"/>
    <w:rsid w:val="0064553A"/>
    <w:rsid w:val="00647897"/>
    <w:rsid w:val="0065028A"/>
    <w:rsid w:val="00650D71"/>
    <w:rsid w:val="00650E2E"/>
    <w:rsid w:val="0065164A"/>
    <w:rsid w:val="00652459"/>
    <w:rsid w:val="006526B4"/>
    <w:rsid w:val="0065272A"/>
    <w:rsid w:val="00656DA8"/>
    <w:rsid w:val="00660207"/>
    <w:rsid w:val="0066034E"/>
    <w:rsid w:val="00660B7E"/>
    <w:rsid w:val="00660EF8"/>
    <w:rsid w:val="00661A0B"/>
    <w:rsid w:val="00662379"/>
    <w:rsid w:val="006625F1"/>
    <w:rsid w:val="006626E8"/>
    <w:rsid w:val="00662D47"/>
    <w:rsid w:val="00663202"/>
    <w:rsid w:val="0066420F"/>
    <w:rsid w:val="00665BF6"/>
    <w:rsid w:val="00665C33"/>
    <w:rsid w:val="00665D9C"/>
    <w:rsid w:val="00665EA4"/>
    <w:rsid w:val="0066619B"/>
    <w:rsid w:val="006674FA"/>
    <w:rsid w:val="006708E4"/>
    <w:rsid w:val="00670985"/>
    <w:rsid w:val="00670FB1"/>
    <w:rsid w:val="00672FAE"/>
    <w:rsid w:val="0067304C"/>
    <w:rsid w:val="006731F3"/>
    <w:rsid w:val="0067332C"/>
    <w:rsid w:val="006733E5"/>
    <w:rsid w:val="00673758"/>
    <w:rsid w:val="006756B6"/>
    <w:rsid w:val="00676B76"/>
    <w:rsid w:val="006779C7"/>
    <w:rsid w:val="00680D84"/>
    <w:rsid w:val="00683635"/>
    <w:rsid w:val="0068600C"/>
    <w:rsid w:val="006867FE"/>
    <w:rsid w:val="00686DEF"/>
    <w:rsid w:val="0069003B"/>
    <w:rsid w:val="00690265"/>
    <w:rsid w:val="006908CB"/>
    <w:rsid w:val="00693547"/>
    <w:rsid w:val="00693761"/>
    <w:rsid w:val="00693B4B"/>
    <w:rsid w:val="00694C0A"/>
    <w:rsid w:val="00695059"/>
    <w:rsid w:val="006951B6"/>
    <w:rsid w:val="00695242"/>
    <w:rsid w:val="00696549"/>
    <w:rsid w:val="0069692F"/>
    <w:rsid w:val="00696C84"/>
    <w:rsid w:val="0069719C"/>
    <w:rsid w:val="006973C0"/>
    <w:rsid w:val="0069768D"/>
    <w:rsid w:val="006A0193"/>
    <w:rsid w:val="006A0516"/>
    <w:rsid w:val="006A09E2"/>
    <w:rsid w:val="006A20B4"/>
    <w:rsid w:val="006A2CF4"/>
    <w:rsid w:val="006A506E"/>
    <w:rsid w:val="006A56B8"/>
    <w:rsid w:val="006A731A"/>
    <w:rsid w:val="006A73C5"/>
    <w:rsid w:val="006B2869"/>
    <w:rsid w:val="006B3051"/>
    <w:rsid w:val="006B429A"/>
    <w:rsid w:val="006B453A"/>
    <w:rsid w:val="006B4904"/>
    <w:rsid w:val="006B526A"/>
    <w:rsid w:val="006B5A6C"/>
    <w:rsid w:val="006B687A"/>
    <w:rsid w:val="006B7799"/>
    <w:rsid w:val="006C029A"/>
    <w:rsid w:val="006C0ED1"/>
    <w:rsid w:val="006C119A"/>
    <w:rsid w:val="006C2E01"/>
    <w:rsid w:val="006C3040"/>
    <w:rsid w:val="006C37A6"/>
    <w:rsid w:val="006C4979"/>
    <w:rsid w:val="006C4CD4"/>
    <w:rsid w:val="006C51AB"/>
    <w:rsid w:val="006C574A"/>
    <w:rsid w:val="006C6554"/>
    <w:rsid w:val="006C7114"/>
    <w:rsid w:val="006C7366"/>
    <w:rsid w:val="006C769A"/>
    <w:rsid w:val="006C7F22"/>
    <w:rsid w:val="006D0625"/>
    <w:rsid w:val="006D0E7E"/>
    <w:rsid w:val="006D1AB5"/>
    <w:rsid w:val="006D1C10"/>
    <w:rsid w:val="006D3EC2"/>
    <w:rsid w:val="006D41C9"/>
    <w:rsid w:val="006D48EB"/>
    <w:rsid w:val="006D4B04"/>
    <w:rsid w:val="006D4D8B"/>
    <w:rsid w:val="006D5C07"/>
    <w:rsid w:val="006D6571"/>
    <w:rsid w:val="006D7AA7"/>
    <w:rsid w:val="006E0134"/>
    <w:rsid w:val="006E0DFA"/>
    <w:rsid w:val="006E0FD3"/>
    <w:rsid w:val="006E1BA5"/>
    <w:rsid w:val="006E1C93"/>
    <w:rsid w:val="006E1D94"/>
    <w:rsid w:val="006E20B4"/>
    <w:rsid w:val="006E23C2"/>
    <w:rsid w:val="006E2473"/>
    <w:rsid w:val="006E33F0"/>
    <w:rsid w:val="006E3C08"/>
    <w:rsid w:val="006E46D1"/>
    <w:rsid w:val="006E4C23"/>
    <w:rsid w:val="006E5365"/>
    <w:rsid w:val="006E6113"/>
    <w:rsid w:val="006E6D37"/>
    <w:rsid w:val="006F1882"/>
    <w:rsid w:val="006F2296"/>
    <w:rsid w:val="006F271C"/>
    <w:rsid w:val="006F4BE4"/>
    <w:rsid w:val="006F5118"/>
    <w:rsid w:val="006F55BF"/>
    <w:rsid w:val="006F5954"/>
    <w:rsid w:val="00700127"/>
    <w:rsid w:val="007003DE"/>
    <w:rsid w:val="007006A7"/>
    <w:rsid w:val="00701B3B"/>
    <w:rsid w:val="007035AF"/>
    <w:rsid w:val="007046EF"/>
    <w:rsid w:val="007047D4"/>
    <w:rsid w:val="00704C7E"/>
    <w:rsid w:val="00704DB1"/>
    <w:rsid w:val="007107C9"/>
    <w:rsid w:val="00711632"/>
    <w:rsid w:val="007116D7"/>
    <w:rsid w:val="007122C6"/>
    <w:rsid w:val="00712E9E"/>
    <w:rsid w:val="00714040"/>
    <w:rsid w:val="00714D00"/>
    <w:rsid w:val="0071596C"/>
    <w:rsid w:val="00715C18"/>
    <w:rsid w:val="00715F64"/>
    <w:rsid w:val="00717FBC"/>
    <w:rsid w:val="00720042"/>
    <w:rsid w:val="00720D68"/>
    <w:rsid w:val="00721233"/>
    <w:rsid w:val="0072159D"/>
    <w:rsid w:val="007224ED"/>
    <w:rsid w:val="007227A5"/>
    <w:rsid w:val="00724F17"/>
    <w:rsid w:val="007267BA"/>
    <w:rsid w:val="00726FB9"/>
    <w:rsid w:val="00727D8A"/>
    <w:rsid w:val="00730833"/>
    <w:rsid w:val="00731A35"/>
    <w:rsid w:val="007325C3"/>
    <w:rsid w:val="0073287D"/>
    <w:rsid w:val="00732BBD"/>
    <w:rsid w:val="00733274"/>
    <w:rsid w:val="00734C56"/>
    <w:rsid w:val="00734F91"/>
    <w:rsid w:val="007354DB"/>
    <w:rsid w:val="007355FD"/>
    <w:rsid w:val="007365F1"/>
    <w:rsid w:val="0073703D"/>
    <w:rsid w:val="00737E26"/>
    <w:rsid w:val="00740E34"/>
    <w:rsid w:val="00741443"/>
    <w:rsid w:val="007428E1"/>
    <w:rsid w:val="0074472E"/>
    <w:rsid w:val="007477CD"/>
    <w:rsid w:val="0075085C"/>
    <w:rsid w:val="00750C53"/>
    <w:rsid w:val="00750F5D"/>
    <w:rsid w:val="00751F77"/>
    <w:rsid w:val="0075486D"/>
    <w:rsid w:val="0075542C"/>
    <w:rsid w:val="00755509"/>
    <w:rsid w:val="007556A3"/>
    <w:rsid w:val="00755EDC"/>
    <w:rsid w:val="0075681F"/>
    <w:rsid w:val="007602DE"/>
    <w:rsid w:val="00760565"/>
    <w:rsid w:val="00760AE5"/>
    <w:rsid w:val="0076277F"/>
    <w:rsid w:val="007641DC"/>
    <w:rsid w:val="0076501F"/>
    <w:rsid w:val="00765390"/>
    <w:rsid w:val="0076602C"/>
    <w:rsid w:val="007674A5"/>
    <w:rsid w:val="007674BE"/>
    <w:rsid w:val="007677DB"/>
    <w:rsid w:val="00771333"/>
    <w:rsid w:val="0077177C"/>
    <w:rsid w:val="00773806"/>
    <w:rsid w:val="007776CA"/>
    <w:rsid w:val="0078038B"/>
    <w:rsid w:val="00780D1C"/>
    <w:rsid w:val="007824BC"/>
    <w:rsid w:val="00782FEF"/>
    <w:rsid w:val="00783049"/>
    <w:rsid w:val="007831A0"/>
    <w:rsid w:val="00783A8A"/>
    <w:rsid w:val="0078417B"/>
    <w:rsid w:val="00786222"/>
    <w:rsid w:val="00786753"/>
    <w:rsid w:val="00787045"/>
    <w:rsid w:val="0079078D"/>
    <w:rsid w:val="00790F1A"/>
    <w:rsid w:val="00791058"/>
    <w:rsid w:val="007918EB"/>
    <w:rsid w:val="00792754"/>
    <w:rsid w:val="00792D5E"/>
    <w:rsid w:val="0079305E"/>
    <w:rsid w:val="00793CD6"/>
    <w:rsid w:val="007973CE"/>
    <w:rsid w:val="007A0048"/>
    <w:rsid w:val="007A1211"/>
    <w:rsid w:val="007A166C"/>
    <w:rsid w:val="007A1A85"/>
    <w:rsid w:val="007A2813"/>
    <w:rsid w:val="007A2979"/>
    <w:rsid w:val="007A29E6"/>
    <w:rsid w:val="007A39FD"/>
    <w:rsid w:val="007A523F"/>
    <w:rsid w:val="007A68F9"/>
    <w:rsid w:val="007A6FB4"/>
    <w:rsid w:val="007A7604"/>
    <w:rsid w:val="007B125D"/>
    <w:rsid w:val="007B158D"/>
    <w:rsid w:val="007B2033"/>
    <w:rsid w:val="007B2975"/>
    <w:rsid w:val="007B33D2"/>
    <w:rsid w:val="007B3A1C"/>
    <w:rsid w:val="007B4571"/>
    <w:rsid w:val="007B4BB8"/>
    <w:rsid w:val="007B4DC3"/>
    <w:rsid w:val="007B5F6E"/>
    <w:rsid w:val="007B6DE8"/>
    <w:rsid w:val="007B6E79"/>
    <w:rsid w:val="007B7AE9"/>
    <w:rsid w:val="007C0BC3"/>
    <w:rsid w:val="007C28D0"/>
    <w:rsid w:val="007C2BCC"/>
    <w:rsid w:val="007C3BD3"/>
    <w:rsid w:val="007C3D13"/>
    <w:rsid w:val="007C4DD4"/>
    <w:rsid w:val="007C7003"/>
    <w:rsid w:val="007C712C"/>
    <w:rsid w:val="007D04E8"/>
    <w:rsid w:val="007D0507"/>
    <w:rsid w:val="007D0D1C"/>
    <w:rsid w:val="007D149F"/>
    <w:rsid w:val="007D17C7"/>
    <w:rsid w:val="007D1D68"/>
    <w:rsid w:val="007D1DD1"/>
    <w:rsid w:val="007D1E3D"/>
    <w:rsid w:val="007D4CC7"/>
    <w:rsid w:val="007D4E6E"/>
    <w:rsid w:val="007D51DD"/>
    <w:rsid w:val="007D6377"/>
    <w:rsid w:val="007D69E1"/>
    <w:rsid w:val="007D6A5D"/>
    <w:rsid w:val="007D725A"/>
    <w:rsid w:val="007D72DD"/>
    <w:rsid w:val="007D78AF"/>
    <w:rsid w:val="007D799A"/>
    <w:rsid w:val="007E0CDD"/>
    <w:rsid w:val="007E1BEB"/>
    <w:rsid w:val="007E59D4"/>
    <w:rsid w:val="007E6EAB"/>
    <w:rsid w:val="007E7296"/>
    <w:rsid w:val="007E72D9"/>
    <w:rsid w:val="007F0274"/>
    <w:rsid w:val="007F12CD"/>
    <w:rsid w:val="007F1C24"/>
    <w:rsid w:val="007F3380"/>
    <w:rsid w:val="007F3C74"/>
    <w:rsid w:val="007F49DD"/>
    <w:rsid w:val="007F5EE7"/>
    <w:rsid w:val="007F707D"/>
    <w:rsid w:val="007F757C"/>
    <w:rsid w:val="007F75BA"/>
    <w:rsid w:val="00801661"/>
    <w:rsid w:val="0080173B"/>
    <w:rsid w:val="00802B0C"/>
    <w:rsid w:val="00803D5B"/>
    <w:rsid w:val="00804AC8"/>
    <w:rsid w:val="00805DB5"/>
    <w:rsid w:val="008062BD"/>
    <w:rsid w:val="008068D1"/>
    <w:rsid w:val="00807320"/>
    <w:rsid w:val="00807935"/>
    <w:rsid w:val="00807F93"/>
    <w:rsid w:val="008108E2"/>
    <w:rsid w:val="008109AF"/>
    <w:rsid w:val="00810B53"/>
    <w:rsid w:val="0081145A"/>
    <w:rsid w:val="00812DA6"/>
    <w:rsid w:val="00814678"/>
    <w:rsid w:val="0081505A"/>
    <w:rsid w:val="00815B82"/>
    <w:rsid w:val="00815E7F"/>
    <w:rsid w:val="00817109"/>
    <w:rsid w:val="008233B0"/>
    <w:rsid w:val="0082379B"/>
    <w:rsid w:val="008242DB"/>
    <w:rsid w:val="00824615"/>
    <w:rsid w:val="00824E78"/>
    <w:rsid w:val="00826EDE"/>
    <w:rsid w:val="00826F90"/>
    <w:rsid w:val="00827283"/>
    <w:rsid w:val="0083230F"/>
    <w:rsid w:val="00832A0B"/>
    <w:rsid w:val="00834221"/>
    <w:rsid w:val="0083477D"/>
    <w:rsid w:val="00837D28"/>
    <w:rsid w:val="008400FE"/>
    <w:rsid w:val="00840E53"/>
    <w:rsid w:val="0084100B"/>
    <w:rsid w:val="0084161D"/>
    <w:rsid w:val="00841E45"/>
    <w:rsid w:val="0084223A"/>
    <w:rsid w:val="0084364A"/>
    <w:rsid w:val="00844133"/>
    <w:rsid w:val="0084589A"/>
    <w:rsid w:val="0085149F"/>
    <w:rsid w:val="00852726"/>
    <w:rsid w:val="008529C4"/>
    <w:rsid w:val="00852AD5"/>
    <w:rsid w:val="00852D3F"/>
    <w:rsid w:val="00853144"/>
    <w:rsid w:val="00856156"/>
    <w:rsid w:val="00857444"/>
    <w:rsid w:val="00857E65"/>
    <w:rsid w:val="00861FE8"/>
    <w:rsid w:val="00862183"/>
    <w:rsid w:val="00863C21"/>
    <w:rsid w:val="00863EA8"/>
    <w:rsid w:val="00864368"/>
    <w:rsid w:val="00865389"/>
    <w:rsid w:val="00865BD0"/>
    <w:rsid w:val="008660BF"/>
    <w:rsid w:val="008670C0"/>
    <w:rsid w:val="0086763B"/>
    <w:rsid w:val="00867695"/>
    <w:rsid w:val="00867DB1"/>
    <w:rsid w:val="00870E9F"/>
    <w:rsid w:val="008715E2"/>
    <w:rsid w:val="0087228F"/>
    <w:rsid w:val="00873771"/>
    <w:rsid w:val="00874C34"/>
    <w:rsid w:val="00875CB0"/>
    <w:rsid w:val="008771EE"/>
    <w:rsid w:val="0087768F"/>
    <w:rsid w:val="0088024B"/>
    <w:rsid w:val="008802C1"/>
    <w:rsid w:val="00880ED4"/>
    <w:rsid w:val="00883807"/>
    <w:rsid w:val="00885117"/>
    <w:rsid w:val="00885F21"/>
    <w:rsid w:val="00886208"/>
    <w:rsid w:val="00887326"/>
    <w:rsid w:val="0088742D"/>
    <w:rsid w:val="008874B0"/>
    <w:rsid w:val="008879CF"/>
    <w:rsid w:val="0089028E"/>
    <w:rsid w:val="00890A34"/>
    <w:rsid w:val="008911FC"/>
    <w:rsid w:val="00891708"/>
    <w:rsid w:val="00891A03"/>
    <w:rsid w:val="00892213"/>
    <w:rsid w:val="0089268E"/>
    <w:rsid w:val="00892F9F"/>
    <w:rsid w:val="008934C7"/>
    <w:rsid w:val="00895693"/>
    <w:rsid w:val="0089600B"/>
    <w:rsid w:val="008A13C0"/>
    <w:rsid w:val="008A1501"/>
    <w:rsid w:val="008A1A66"/>
    <w:rsid w:val="008A263A"/>
    <w:rsid w:val="008A2D62"/>
    <w:rsid w:val="008A3428"/>
    <w:rsid w:val="008A3834"/>
    <w:rsid w:val="008A3F5A"/>
    <w:rsid w:val="008A7414"/>
    <w:rsid w:val="008B039E"/>
    <w:rsid w:val="008B1F00"/>
    <w:rsid w:val="008B2239"/>
    <w:rsid w:val="008B2446"/>
    <w:rsid w:val="008B333D"/>
    <w:rsid w:val="008B351C"/>
    <w:rsid w:val="008B47ED"/>
    <w:rsid w:val="008B6EDB"/>
    <w:rsid w:val="008C1649"/>
    <w:rsid w:val="008C1B09"/>
    <w:rsid w:val="008C2E7B"/>
    <w:rsid w:val="008C3389"/>
    <w:rsid w:val="008C35F5"/>
    <w:rsid w:val="008C3B3E"/>
    <w:rsid w:val="008C462C"/>
    <w:rsid w:val="008C4831"/>
    <w:rsid w:val="008C486C"/>
    <w:rsid w:val="008C5778"/>
    <w:rsid w:val="008D094C"/>
    <w:rsid w:val="008D0AD6"/>
    <w:rsid w:val="008D288A"/>
    <w:rsid w:val="008D3C76"/>
    <w:rsid w:val="008D40FE"/>
    <w:rsid w:val="008D44A6"/>
    <w:rsid w:val="008D5502"/>
    <w:rsid w:val="008D6764"/>
    <w:rsid w:val="008D6AE9"/>
    <w:rsid w:val="008D792D"/>
    <w:rsid w:val="008E13D5"/>
    <w:rsid w:val="008E3C9E"/>
    <w:rsid w:val="008E4205"/>
    <w:rsid w:val="008E4365"/>
    <w:rsid w:val="008E440F"/>
    <w:rsid w:val="008E459D"/>
    <w:rsid w:val="008E605F"/>
    <w:rsid w:val="008E7754"/>
    <w:rsid w:val="008F019A"/>
    <w:rsid w:val="008F3F27"/>
    <w:rsid w:val="008F425C"/>
    <w:rsid w:val="008F516B"/>
    <w:rsid w:val="008F5D87"/>
    <w:rsid w:val="008F6541"/>
    <w:rsid w:val="008F669A"/>
    <w:rsid w:val="008F6AFA"/>
    <w:rsid w:val="008F7C92"/>
    <w:rsid w:val="008F7D1A"/>
    <w:rsid w:val="009002CF"/>
    <w:rsid w:val="009019EB"/>
    <w:rsid w:val="00902056"/>
    <w:rsid w:val="00902097"/>
    <w:rsid w:val="00903445"/>
    <w:rsid w:val="009035A2"/>
    <w:rsid w:val="00903CAD"/>
    <w:rsid w:val="00904F2D"/>
    <w:rsid w:val="009063E7"/>
    <w:rsid w:val="00907B36"/>
    <w:rsid w:val="00911E6D"/>
    <w:rsid w:val="00911EC2"/>
    <w:rsid w:val="0091372B"/>
    <w:rsid w:val="00913AFB"/>
    <w:rsid w:val="009172A2"/>
    <w:rsid w:val="00917857"/>
    <w:rsid w:val="00917F98"/>
    <w:rsid w:val="009219BC"/>
    <w:rsid w:val="00922280"/>
    <w:rsid w:val="009232BB"/>
    <w:rsid w:val="00923DFD"/>
    <w:rsid w:val="00924527"/>
    <w:rsid w:val="00924F37"/>
    <w:rsid w:val="0092562D"/>
    <w:rsid w:val="00926352"/>
    <w:rsid w:val="00931AE8"/>
    <w:rsid w:val="00931ED7"/>
    <w:rsid w:val="00933D0C"/>
    <w:rsid w:val="00933EA0"/>
    <w:rsid w:val="00934086"/>
    <w:rsid w:val="0093431C"/>
    <w:rsid w:val="009356E6"/>
    <w:rsid w:val="0093634D"/>
    <w:rsid w:val="00937C7C"/>
    <w:rsid w:val="00940426"/>
    <w:rsid w:val="0094096B"/>
    <w:rsid w:val="0094184E"/>
    <w:rsid w:val="00942355"/>
    <w:rsid w:val="00942C97"/>
    <w:rsid w:val="00943512"/>
    <w:rsid w:val="00943B3E"/>
    <w:rsid w:val="00944743"/>
    <w:rsid w:val="00944AD4"/>
    <w:rsid w:val="00944E03"/>
    <w:rsid w:val="009455C7"/>
    <w:rsid w:val="00945A5A"/>
    <w:rsid w:val="00945D37"/>
    <w:rsid w:val="00950968"/>
    <w:rsid w:val="0095401B"/>
    <w:rsid w:val="009546FA"/>
    <w:rsid w:val="00954CC7"/>
    <w:rsid w:val="009550FB"/>
    <w:rsid w:val="00960F09"/>
    <w:rsid w:val="00961025"/>
    <w:rsid w:val="00961C89"/>
    <w:rsid w:val="00963B98"/>
    <w:rsid w:val="00963E8A"/>
    <w:rsid w:val="0096408B"/>
    <w:rsid w:val="00964E39"/>
    <w:rsid w:val="0096523F"/>
    <w:rsid w:val="0096541D"/>
    <w:rsid w:val="0096577B"/>
    <w:rsid w:val="0096586A"/>
    <w:rsid w:val="00967065"/>
    <w:rsid w:val="0096772B"/>
    <w:rsid w:val="009707D3"/>
    <w:rsid w:val="0097147D"/>
    <w:rsid w:val="009716D7"/>
    <w:rsid w:val="009717DC"/>
    <w:rsid w:val="00971C84"/>
    <w:rsid w:val="0097408E"/>
    <w:rsid w:val="0097581E"/>
    <w:rsid w:val="00976756"/>
    <w:rsid w:val="00977B42"/>
    <w:rsid w:val="009805B6"/>
    <w:rsid w:val="00980884"/>
    <w:rsid w:val="009812FB"/>
    <w:rsid w:val="00982CA1"/>
    <w:rsid w:val="00983BD8"/>
    <w:rsid w:val="00983EB7"/>
    <w:rsid w:val="0098421F"/>
    <w:rsid w:val="009851CF"/>
    <w:rsid w:val="00987241"/>
    <w:rsid w:val="00987B72"/>
    <w:rsid w:val="00990ACE"/>
    <w:rsid w:val="00991C50"/>
    <w:rsid w:val="009932FD"/>
    <w:rsid w:val="009953DA"/>
    <w:rsid w:val="00996A6A"/>
    <w:rsid w:val="0099730A"/>
    <w:rsid w:val="009A01A1"/>
    <w:rsid w:val="009A05B4"/>
    <w:rsid w:val="009A1026"/>
    <w:rsid w:val="009A1635"/>
    <w:rsid w:val="009A1B68"/>
    <w:rsid w:val="009A26DA"/>
    <w:rsid w:val="009A2F73"/>
    <w:rsid w:val="009A3D54"/>
    <w:rsid w:val="009A5858"/>
    <w:rsid w:val="009A5B9F"/>
    <w:rsid w:val="009A63DE"/>
    <w:rsid w:val="009B0745"/>
    <w:rsid w:val="009B1D19"/>
    <w:rsid w:val="009B2B19"/>
    <w:rsid w:val="009B44FE"/>
    <w:rsid w:val="009B4821"/>
    <w:rsid w:val="009B65FF"/>
    <w:rsid w:val="009B6700"/>
    <w:rsid w:val="009C1A76"/>
    <w:rsid w:val="009C1CD0"/>
    <w:rsid w:val="009C2218"/>
    <w:rsid w:val="009C317F"/>
    <w:rsid w:val="009C76CB"/>
    <w:rsid w:val="009D0F9C"/>
    <w:rsid w:val="009D12F8"/>
    <w:rsid w:val="009D15FF"/>
    <w:rsid w:val="009D2660"/>
    <w:rsid w:val="009D2C63"/>
    <w:rsid w:val="009D3830"/>
    <w:rsid w:val="009D39F5"/>
    <w:rsid w:val="009D3AEF"/>
    <w:rsid w:val="009D454F"/>
    <w:rsid w:val="009D47FF"/>
    <w:rsid w:val="009E034E"/>
    <w:rsid w:val="009E0A7A"/>
    <w:rsid w:val="009E24CB"/>
    <w:rsid w:val="009E422F"/>
    <w:rsid w:val="009E6421"/>
    <w:rsid w:val="009E6815"/>
    <w:rsid w:val="009E7148"/>
    <w:rsid w:val="009E7514"/>
    <w:rsid w:val="009F04B9"/>
    <w:rsid w:val="009F168F"/>
    <w:rsid w:val="009F19C3"/>
    <w:rsid w:val="009F2DC9"/>
    <w:rsid w:val="009F4180"/>
    <w:rsid w:val="009F4487"/>
    <w:rsid w:val="009F4AF1"/>
    <w:rsid w:val="009F5B28"/>
    <w:rsid w:val="009F5C2E"/>
    <w:rsid w:val="009F6DBF"/>
    <w:rsid w:val="009F757B"/>
    <w:rsid w:val="009F7948"/>
    <w:rsid w:val="00A009F7"/>
    <w:rsid w:val="00A01DFD"/>
    <w:rsid w:val="00A022AC"/>
    <w:rsid w:val="00A0423C"/>
    <w:rsid w:val="00A04CB9"/>
    <w:rsid w:val="00A0505C"/>
    <w:rsid w:val="00A067B2"/>
    <w:rsid w:val="00A06856"/>
    <w:rsid w:val="00A06AC4"/>
    <w:rsid w:val="00A0776D"/>
    <w:rsid w:val="00A07E6E"/>
    <w:rsid w:val="00A110CB"/>
    <w:rsid w:val="00A1297B"/>
    <w:rsid w:val="00A1304B"/>
    <w:rsid w:val="00A135C1"/>
    <w:rsid w:val="00A139BE"/>
    <w:rsid w:val="00A13EE0"/>
    <w:rsid w:val="00A140FC"/>
    <w:rsid w:val="00A14D57"/>
    <w:rsid w:val="00A14EBE"/>
    <w:rsid w:val="00A17DAF"/>
    <w:rsid w:val="00A206E5"/>
    <w:rsid w:val="00A20D42"/>
    <w:rsid w:val="00A20E15"/>
    <w:rsid w:val="00A217C0"/>
    <w:rsid w:val="00A22B19"/>
    <w:rsid w:val="00A22EDD"/>
    <w:rsid w:val="00A23CD6"/>
    <w:rsid w:val="00A24EE6"/>
    <w:rsid w:val="00A27898"/>
    <w:rsid w:val="00A30301"/>
    <w:rsid w:val="00A31827"/>
    <w:rsid w:val="00A34B44"/>
    <w:rsid w:val="00A35282"/>
    <w:rsid w:val="00A35A0B"/>
    <w:rsid w:val="00A40F71"/>
    <w:rsid w:val="00A415F5"/>
    <w:rsid w:val="00A41BCB"/>
    <w:rsid w:val="00A41E16"/>
    <w:rsid w:val="00A43625"/>
    <w:rsid w:val="00A43832"/>
    <w:rsid w:val="00A43DC1"/>
    <w:rsid w:val="00A4581F"/>
    <w:rsid w:val="00A4595F"/>
    <w:rsid w:val="00A46CF7"/>
    <w:rsid w:val="00A477EC"/>
    <w:rsid w:val="00A50701"/>
    <w:rsid w:val="00A50AE8"/>
    <w:rsid w:val="00A50FD4"/>
    <w:rsid w:val="00A5175B"/>
    <w:rsid w:val="00A522E7"/>
    <w:rsid w:val="00A53356"/>
    <w:rsid w:val="00A540FA"/>
    <w:rsid w:val="00A553B3"/>
    <w:rsid w:val="00A5586F"/>
    <w:rsid w:val="00A55C89"/>
    <w:rsid w:val="00A560B4"/>
    <w:rsid w:val="00A5672A"/>
    <w:rsid w:val="00A57653"/>
    <w:rsid w:val="00A57AA2"/>
    <w:rsid w:val="00A60679"/>
    <w:rsid w:val="00A622E4"/>
    <w:rsid w:val="00A62591"/>
    <w:rsid w:val="00A6391F"/>
    <w:rsid w:val="00A639F6"/>
    <w:rsid w:val="00A640C6"/>
    <w:rsid w:val="00A66BE6"/>
    <w:rsid w:val="00A672D9"/>
    <w:rsid w:val="00A67BF2"/>
    <w:rsid w:val="00A67DE3"/>
    <w:rsid w:val="00A70002"/>
    <w:rsid w:val="00A700DC"/>
    <w:rsid w:val="00A70891"/>
    <w:rsid w:val="00A72156"/>
    <w:rsid w:val="00A72211"/>
    <w:rsid w:val="00A73EE2"/>
    <w:rsid w:val="00A740FB"/>
    <w:rsid w:val="00A74173"/>
    <w:rsid w:val="00A746A3"/>
    <w:rsid w:val="00A74B20"/>
    <w:rsid w:val="00A74C43"/>
    <w:rsid w:val="00A74D3D"/>
    <w:rsid w:val="00A74F9C"/>
    <w:rsid w:val="00A771A3"/>
    <w:rsid w:val="00A778D0"/>
    <w:rsid w:val="00A80F72"/>
    <w:rsid w:val="00A81798"/>
    <w:rsid w:val="00A83A12"/>
    <w:rsid w:val="00A83B7A"/>
    <w:rsid w:val="00A83F83"/>
    <w:rsid w:val="00A84669"/>
    <w:rsid w:val="00A846A9"/>
    <w:rsid w:val="00A850BE"/>
    <w:rsid w:val="00A856C5"/>
    <w:rsid w:val="00A863DD"/>
    <w:rsid w:val="00A9096F"/>
    <w:rsid w:val="00A90B18"/>
    <w:rsid w:val="00A921F2"/>
    <w:rsid w:val="00A92E4A"/>
    <w:rsid w:val="00A944D2"/>
    <w:rsid w:val="00A947D5"/>
    <w:rsid w:val="00A95969"/>
    <w:rsid w:val="00A96260"/>
    <w:rsid w:val="00A96EE8"/>
    <w:rsid w:val="00A9703C"/>
    <w:rsid w:val="00AA030E"/>
    <w:rsid w:val="00AA3143"/>
    <w:rsid w:val="00AA37B0"/>
    <w:rsid w:val="00AA3C98"/>
    <w:rsid w:val="00AA3F9B"/>
    <w:rsid w:val="00AA42C7"/>
    <w:rsid w:val="00AA49CC"/>
    <w:rsid w:val="00AA5C83"/>
    <w:rsid w:val="00AA66B6"/>
    <w:rsid w:val="00AA6A0B"/>
    <w:rsid w:val="00AA7670"/>
    <w:rsid w:val="00AB00D5"/>
    <w:rsid w:val="00AB052B"/>
    <w:rsid w:val="00AB3B96"/>
    <w:rsid w:val="00AB5926"/>
    <w:rsid w:val="00AB758B"/>
    <w:rsid w:val="00AC0D28"/>
    <w:rsid w:val="00AC1327"/>
    <w:rsid w:val="00AC153F"/>
    <w:rsid w:val="00AC1A60"/>
    <w:rsid w:val="00AC2340"/>
    <w:rsid w:val="00AC3FD1"/>
    <w:rsid w:val="00AC424A"/>
    <w:rsid w:val="00AC5810"/>
    <w:rsid w:val="00AC5FFB"/>
    <w:rsid w:val="00AC695E"/>
    <w:rsid w:val="00AD0933"/>
    <w:rsid w:val="00AD210E"/>
    <w:rsid w:val="00AD2370"/>
    <w:rsid w:val="00AD28B6"/>
    <w:rsid w:val="00AD303A"/>
    <w:rsid w:val="00AD3E5A"/>
    <w:rsid w:val="00AD441C"/>
    <w:rsid w:val="00AD4FDE"/>
    <w:rsid w:val="00AD6904"/>
    <w:rsid w:val="00AD694B"/>
    <w:rsid w:val="00AE2548"/>
    <w:rsid w:val="00AE3B00"/>
    <w:rsid w:val="00AE42D3"/>
    <w:rsid w:val="00AE46C1"/>
    <w:rsid w:val="00AE5870"/>
    <w:rsid w:val="00AE5CBA"/>
    <w:rsid w:val="00AE630A"/>
    <w:rsid w:val="00AE672E"/>
    <w:rsid w:val="00AE6B42"/>
    <w:rsid w:val="00AE782E"/>
    <w:rsid w:val="00AE7BC9"/>
    <w:rsid w:val="00AF0C03"/>
    <w:rsid w:val="00AF0CED"/>
    <w:rsid w:val="00AF1358"/>
    <w:rsid w:val="00AF31BD"/>
    <w:rsid w:val="00AF3C70"/>
    <w:rsid w:val="00AF3D89"/>
    <w:rsid w:val="00AF5A26"/>
    <w:rsid w:val="00AF6438"/>
    <w:rsid w:val="00AF6972"/>
    <w:rsid w:val="00AF79AE"/>
    <w:rsid w:val="00B0131C"/>
    <w:rsid w:val="00B01F1C"/>
    <w:rsid w:val="00B02D24"/>
    <w:rsid w:val="00B02EA7"/>
    <w:rsid w:val="00B031CB"/>
    <w:rsid w:val="00B0495D"/>
    <w:rsid w:val="00B058B5"/>
    <w:rsid w:val="00B059B1"/>
    <w:rsid w:val="00B07171"/>
    <w:rsid w:val="00B073BC"/>
    <w:rsid w:val="00B07739"/>
    <w:rsid w:val="00B07C8A"/>
    <w:rsid w:val="00B10013"/>
    <w:rsid w:val="00B10322"/>
    <w:rsid w:val="00B10E1E"/>
    <w:rsid w:val="00B11E3E"/>
    <w:rsid w:val="00B11F0D"/>
    <w:rsid w:val="00B11FF9"/>
    <w:rsid w:val="00B1217E"/>
    <w:rsid w:val="00B12333"/>
    <w:rsid w:val="00B13A91"/>
    <w:rsid w:val="00B1419C"/>
    <w:rsid w:val="00B1687F"/>
    <w:rsid w:val="00B20276"/>
    <w:rsid w:val="00B20963"/>
    <w:rsid w:val="00B212CC"/>
    <w:rsid w:val="00B22C33"/>
    <w:rsid w:val="00B24110"/>
    <w:rsid w:val="00B2434A"/>
    <w:rsid w:val="00B24C1A"/>
    <w:rsid w:val="00B2508D"/>
    <w:rsid w:val="00B25528"/>
    <w:rsid w:val="00B258C4"/>
    <w:rsid w:val="00B267B0"/>
    <w:rsid w:val="00B2782D"/>
    <w:rsid w:val="00B30AD4"/>
    <w:rsid w:val="00B30FF4"/>
    <w:rsid w:val="00B3190F"/>
    <w:rsid w:val="00B31AF4"/>
    <w:rsid w:val="00B31EC3"/>
    <w:rsid w:val="00B3265D"/>
    <w:rsid w:val="00B33198"/>
    <w:rsid w:val="00B333F3"/>
    <w:rsid w:val="00B3381D"/>
    <w:rsid w:val="00B345E0"/>
    <w:rsid w:val="00B34FF6"/>
    <w:rsid w:val="00B354FD"/>
    <w:rsid w:val="00B400C5"/>
    <w:rsid w:val="00B4010B"/>
    <w:rsid w:val="00B41CCB"/>
    <w:rsid w:val="00B43B34"/>
    <w:rsid w:val="00B44E02"/>
    <w:rsid w:val="00B450DE"/>
    <w:rsid w:val="00B46ADF"/>
    <w:rsid w:val="00B46B89"/>
    <w:rsid w:val="00B50697"/>
    <w:rsid w:val="00B50A8B"/>
    <w:rsid w:val="00B51BFB"/>
    <w:rsid w:val="00B52619"/>
    <w:rsid w:val="00B531F8"/>
    <w:rsid w:val="00B53DC3"/>
    <w:rsid w:val="00B54B48"/>
    <w:rsid w:val="00B564FD"/>
    <w:rsid w:val="00B56C2B"/>
    <w:rsid w:val="00B56E20"/>
    <w:rsid w:val="00B57BD7"/>
    <w:rsid w:val="00B61D63"/>
    <w:rsid w:val="00B63CA4"/>
    <w:rsid w:val="00B644CE"/>
    <w:rsid w:val="00B6478F"/>
    <w:rsid w:val="00B64E75"/>
    <w:rsid w:val="00B66126"/>
    <w:rsid w:val="00B67C85"/>
    <w:rsid w:val="00B67FCB"/>
    <w:rsid w:val="00B705B5"/>
    <w:rsid w:val="00B70714"/>
    <w:rsid w:val="00B70C75"/>
    <w:rsid w:val="00B717DC"/>
    <w:rsid w:val="00B720E3"/>
    <w:rsid w:val="00B727EA"/>
    <w:rsid w:val="00B73403"/>
    <w:rsid w:val="00B739A7"/>
    <w:rsid w:val="00B73E0B"/>
    <w:rsid w:val="00B767D1"/>
    <w:rsid w:val="00B77287"/>
    <w:rsid w:val="00B833F4"/>
    <w:rsid w:val="00B8363B"/>
    <w:rsid w:val="00B84CA9"/>
    <w:rsid w:val="00B85EF8"/>
    <w:rsid w:val="00B8668D"/>
    <w:rsid w:val="00B8687E"/>
    <w:rsid w:val="00B86D63"/>
    <w:rsid w:val="00B877E8"/>
    <w:rsid w:val="00B87822"/>
    <w:rsid w:val="00B902DB"/>
    <w:rsid w:val="00B90445"/>
    <w:rsid w:val="00B90CE7"/>
    <w:rsid w:val="00B951D3"/>
    <w:rsid w:val="00B95669"/>
    <w:rsid w:val="00B95A0E"/>
    <w:rsid w:val="00B95D82"/>
    <w:rsid w:val="00B96341"/>
    <w:rsid w:val="00B96AD3"/>
    <w:rsid w:val="00B97977"/>
    <w:rsid w:val="00B97F02"/>
    <w:rsid w:val="00BA148F"/>
    <w:rsid w:val="00BA252C"/>
    <w:rsid w:val="00BA36F9"/>
    <w:rsid w:val="00BA45F4"/>
    <w:rsid w:val="00BA4DE2"/>
    <w:rsid w:val="00BA57C2"/>
    <w:rsid w:val="00BA6A79"/>
    <w:rsid w:val="00BA6D65"/>
    <w:rsid w:val="00BA7C9F"/>
    <w:rsid w:val="00BB0ACD"/>
    <w:rsid w:val="00BB1514"/>
    <w:rsid w:val="00BB1A45"/>
    <w:rsid w:val="00BB241A"/>
    <w:rsid w:val="00BB27C8"/>
    <w:rsid w:val="00BB377E"/>
    <w:rsid w:val="00BB3868"/>
    <w:rsid w:val="00BB449E"/>
    <w:rsid w:val="00BB5155"/>
    <w:rsid w:val="00BB5419"/>
    <w:rsid w:val="00BB578C"/>
    <w:rsid w:val="00BB6398"/>
    <w:rsid w:val="00BB72E5"/>
    <w:rsid w:val="00BB77C6"/>
    <w:rsid w:val="00BB7AA9"/>
    <w:rsid w:val="00BB7CD1"/>
    <w:rsid w:val="00BC206C"/>
    <w:rsid w:val="00BC2C8E"/>
    <w:rsid w:val="00BC3AEC"/>
    <w:rsid w:val="00BC3B06"/>
    <w:rsid w:val="00BC4506"/>
    <w:rsid w:val="00BC4F53"/>
    <w:rsid w:val="00BC55AE"/>
    <w:rsid w:val="00BC6B41"/>
    <w:rsid w:val="00BC7726"/>
    <w:rsid w:val="00BC784D"/>
    <w:rsid w:val="00BD00F3"/>
    <w:rsid w:val="00BD049D"/>
    <w:rsid w:val="00BD04F0"/>
    <w:rsid w:val="00BD068D"/>
    <w:rsid w:val="00BD11D3"/>
    <w:rsid w:val="00BD2170"/>
    <w:rsid w:val="00BD25B3"/>
    <w:rsid w:val="00BD3BC3"/>
    <w:rsid w:val="00BD438B"/>
    <w:rsid w:val="00BD4C0D"/>
    <w:rsid w:val="00BD638A"/>
    <w:rsid w:val="00BD6483"/>
    <w:rsid w:val="00BE067C"/>
    <w:rsid w:val="00BE07A0"/>
    <w:rsid w:val="00BE19AE"/>
    <w:rsid w:val="00BE20E2"/>
    <w:rsid w:val="00BE2A7B"/>
    <w:rsid w:val="00BE405F"/>
    <w:rsid w:val="00BE4129"/>
    <w:rsid w:val="00BE44E8"/>
    <w:rsid w:val="00BE471E"/>
    <w:rsid w:val="00BE4FD6"/>
    <w:rsid w:val="00BE5314"/>
    <w:rsid w:val="00BE5F2B"/>
    <w:rsid w:val="00BE66CD"/>
    <w:rsid w:val="00BE76E2"/>
    <w:rsid w:val="00BF0819"/>
    <w:rsid w:val="00BF0C84"/>
    <w:rsid w:val="00BF1F84"/>
    <w:rsid w:val="00BF2121"/>
    <w:rsid w:val="00BF3222"/>
    <w:rsid w:val="00BF3325"/>
    <w:rsid w:val="00BF3445"/>
    <w:rsid w:val="00BF3821"/>
    <w:rsid w:val="00BF60AE"/>
    <w:rsid w:val="00BF6496"/>
    <w:rsid w:val="00BF6DA5"/>
    <w:rsid w:val="00BF6E09"/>
    <w:rsid w:val="00C00750"/>
    <w:rsid w:val="00C03817"/>
    <w:rsid w:val="00C03ED8"/>
    <w:rsid w:val="00C040B6"/>
    <w:rsid w:val="00C04C8F"/>
    <w:rsid w:val="00C06CCC"/>
    <w:rsid w:val="00C07536"/>
    <w:rsid w:val="00C07842"/>
    <w:rsid w:val="00C07925"/>
    <w:rsid w:val="00C07934"/>
    <w:rsid w:val="00C101CD"/>
    <w:rsid w:val="00C1205B"/>
    <w:rsid w:val="00C1212A"/>
    <w:rsid w:val="00C12356"/>
    <w:rsid w:val="00C130E4"/>
    <w:rsid w:val="00C13EF5"/>
    <w:rsid w:val="00C1583D"/>
    <w:rsid w:val="00C17027"/>
    <w:rsid w:val="00C1740C"/>
    <w:rsid w:val="00C17609"/>
    <w:rsid w:val="00C17F41"/>
    <w:rsid w:val="00C20367"/>
    <w:rsid w:val="00C20D08"/>
    <w:rsid w:val="00C232BC"/>
    <w:rsid w:val="00C24074"/>
    <w:rsid w:val="00C2493B"/>
    <w:rsid w:val="00C25ADA"/>
    <w:rsid w:val="00C26995"/>
    <w:rsid w:val="00C27678"/>
    <w:rsid w:val="00C30504"/>
    <w:rsid w:val="00C308B6"/>
    <w:rsid w:val="00C31177"/>
    <w:rsid w:val="00C31346"/>
    <w:rsid w:val="00C31DC1"/>
    <w:rsid w:val="00C33162"/>
    <w:rsid w:val="00C34216"/>
    <w:rsid w:val="00C3460D"/>
    <w:rsid w:val="00C349E0"/>
    <w:rsid w:val="00C356A9"/>
    <w:rsid w:val="00C36950"/>
    <w:rsid w:val="00C41797"/>
    <w:rsid w:val="00C4452D"/>
    <w:rsid w:val="00C47DC3"/>
    <w:rsid w:val="00C5109A"/>
    <w:rsid w:val="00C51755"/>
    <w:rsid w:val="00C51E13"/>
    <w:rsid w:val="00C52765"/>
    <w:rsid w:val="00C52A6B"/>
    <w:rsid w:val="00C53DB6"/>
    <w:rsid w:val="00C54167"/>
    <w:rsid w:val="00C541FB"/>
    <w:rsid w:val="00C54B89"/>
    <w:rsid w:val="00C54EB8"/>
    <w:rsid w:val="00C57E71"/>
    <w:rsid w:val="00C60816"/>
    <w:rsid w:val="00C60F04"/>
    <w:rsid w:val="00C614C2"/>
    <w:rsid w:val="00C61B31"/>
    <w:rsid w:val="00C61F0D"/>
    <w:rsid w:val="00C62285"/>
    <w:rsid w:val="00C635D2"/>
    <w:rsid w:val="00C63C49"/>
    <w:rsid w:val="00C63D09"/>
    <w:rsid w:val="00C6407F"/>
    <w:rsid w:val="00C64172"/>
    <w:rsid w:val="00C652DC"/>
    <w:rsid w:val="00C65F2F"/>
    <w:rsid w:val="00C662A5"/>
    <w:rsid w:val="00C67595"/>
    <w:rsid w:val="00C677E7"/>
    <w:rsid w:val="00C720E4"/>
    <w:rsid w:val="00C74A70"/>
    <w:rsid w:val="00C758F9"/>
    <w:rsid w:val="00C76EBA"/>
    <w:rsid w:val="00C77E32"/>
    <w:rsid w:val="00C803CE"/>
    <w:rsid w:val="00C8084B"/>
    <w:rsid w:val="00C819F9"/>
    <w:rsid w:val="00C81F22"/>
    <w:rsid w:val="00C82BC8"/>
    <w:rsid w:val="00C85AA3"/>
    <w:rsid w:val="00C85E77"/>
    <w:rsid w:val="00C86B5C"/>
    <w:rsid w:val="00C86E6D"/>
    <w:rsid w:val="00C9092A"/>
    <w:rsid w:val="00C911D4"/>
    <w:rsid w:val="00C91287"/>
    <w:rsid w:val="00C93521"/>
    <w:rsid w:val="00C93888"/>
    <w:rsid w:val="00C93BB4"/>
    <w:rsid w:val="00C94090"/>
    <w:rsid w:val="00C947AD"/>
    <w:rsid w:val="00C94D3F"/>
    <w:rsid w:val="00C96459"/>
    <w:rsid w:val="00C96E38"/>
    <w:rsid w:val="00C9731B"/>
    <w:rsid w:val="00C97C92"/>
    <w:rsid w:val="00CA0401"/>
    <w:rsid w:val="00CA0A89"/>
    <w:rsid w:val="00CA0B59"/>
    <w:rsid w:val="00CA1375"/>
    <w:rsid w:val="00CA179C"/>
    <w:rsid w:val="00CA48F1"/>
    <w:rsid w:val="00CA4C9C"/>
    <w:rsid w:val="00CA55D0"/>
    <w:rsid w:val="00CA5B1E"/>
    <w:rsid w:val="00CA6289"/>
    <w:rsid w:val="00CA7C4D"/>
    <w:rsid w:val="00CB04EB"/>
    <w:rsid w:val="00CB2777"/>
    <w:rsid w:val="00CB333C"/>
    <w:rsid w:val="00CB478B"/>
    <w:rsid w:val="00CB54C8"/>
    <w:rsid w:val="00CB6525"/>
    <w:rsid w:val="00CB728B"/>
    <w:rsid w:val="00CC027E"/>
    <w:rsid w:val="00CC2027"/>
    <w:rsid w:val="00CC26F5"/>
    <w:rsid w:val="00CC2C1B"/>
    <w:rsid w:val="00CC3B42"/>
    <w:rsid w:val="00CC42AB"/>
    <w:rsid w:val="00CC44F4"/>
    <w:rsid w:val="00CC66B9"/>
    <w:rsid w:val="00CC6847"/>
    <w:rsid w:val="00CC6D78"/>
    <w:rsid w:val="00CC7F58"/>
    <w:rsid w:val="00CD01CF"/>
    <w:rsid w:val="00CD088F"/>
    <w:rsid w:val="00CD186C"/>
    <w:rsid w:val="00CD1FC9"/>
    <w:rsid w:val="00CD1FE4"/>
    <w:rsid w:val="00CD2E19"/>
    <w:rsid w:val="00CD2FC2"/>
    <w:rsid w:val="00CD3717"/>
    <w:rsid w:val="00CD3A53"/>
    <w:rsid w:val="00CD3B17"/>
    <w:rsid w:val="00CD3BC9"/>
    <w:rsid w:val="00CD4DF8"/>
    <w:rsid w:val="00CE0432"/>
    <w:rsid w:val="00CE0C86"/>
    <w:rsid w:val="00CE14CE"/>
    <w:rsid w:val="00CE1C4C"/>
    <w:rsid w:val="00CE3A57"/>
    <w:rsid w:val="00CE3C06"/>
    <w:rsid w:val="00CE6F12"/>
    <w:rsid w:val="00CE743A"/>
    <w:rsid w:val="00CE7812"/>
    <w:rsid w:val="00CF08D3"/>
    <w:rsid w:val="00CF0EA2"/>
    <w:rsid w:val="00CF1299"/>
    <w:rsid w:val="00CF29E3"/>
    <w:rsid w:val="00CF34B8"/>
    <w:rsid w:val="00CF3ABC"/>
    <w:rsid w:val="00CF4957"/>
    <w:rsid w:val="00CF6FCE"/>
    <w:rsid w:val="00CF7043"/>
    <w:rsid w:val="00CF727C"/>
    <w:rsid w:val="00CF754D"/>
    <w:rsid w:val="00CF77E7"/>
    <w:rsid w:val="00D02675"/>
    <w:rsid w:val="00D02DFC"/>
    <w:rsid w:val="00D02EE4"/>
    <w:rsid w:val="00D04651"/>
    <w:rsid w:val="00D04E21"/>
    <w:rsid w:val="00D0655D"/>
    <w:rsid w:val="00D073F3"/>
    <w:rsid w:val="00D077B7"/>
    <w:rsid w:val="00D10427"/>
    <w:rsid w:val="00D1066A"/>
    <w:rsid w:val="00D10A35"/>
    <w:rsid w:val="00D10A83"/>
    <w:rsid w:val="00D10ED1"/>
    <w:rsid w:val="00D11DA0"/>
    <w:rsid w:val="00D1209F"/>
    <w:rsid w:val="00D12713"/>
    <w:rsid w:val="00D12EC1"/>
    <w:rsid w:val="00D138E6"/>
    <w:rsid w:val="00D1431C"/>
    <w:rsid w:val="00D16327"/>
    <w:rsid w:val="00D166EA"/>
    <w:rsid w:val="00D16CFB"/>
    <w:rsid w:val="00D16DE6"/>
    <w:rsid w:val="00D17BA4"/>
    <w:rsid w:val="00D208A6"/>
    <w:rsid w:val="00D20EAC"/>
    <w:rsid w:val="00D213E6"/>
    <w:rsid w:val="00D213F4"/>
    <w:rsid w:val="00D22F77"/>
    <w:rsid w:val="00D243A2"/>
    <w:rsid w:val="00D25DF2"/>
    <w:rsid w:val="00D26BAA"/>
    <w:rsid w:val="00D2720E"/>
    <w:rsid w:val="00D2788C"/>
    <w:rsid w:val="00D30090"/>
    <w:rsid w:val="00D31123"/>
    <w:rsid w:val="00D31A9C"/>
    <w:rsid w:val="00D31B8D"/>
    <w:rsid w:val="00D3309D"/>
    <w:rsid w:val="00D34708"/>
    <w:rsid w:val="00D351A2"/>
    <w:rsid w:val="00D36209"/>
    <w:rsid w:val="00D36496"/>
    <w:rsid w:val="00D370DD"/>
    <w:rsid w:val="00D37D21"/>
    <w:rsid w:val="00D40186"/>
    <w:rsid w:val="00D40A92"/>
    <w:rsid w:val="00D460AC"/>
    <w:rsid w:val="00D460E5"/>
    <w:rsid w:val="00D46CD3"/>
    <w:rsid w:val="00D46D80"/>
    <w:rsid w:val="00D476CE"/>
    <w:rsid w:val="00D479A4"/>
    <w:rsid w:val="00D506E1"/>
    <w:rsid w:val="00D50CFD"/>
    <w:rsid w:val="00D510E0"/>
    <w:rsid w:val="00D52F53"/>
    <w:rsid w:val="00D534E2"/>
    <w:rsid w:val="00D5534B"/>
    <w:rsid w:val="00D56B2D"/>
    <w:rsid w:val="00D56E13"/>
    <w:rsid w:val="00D570F4"/>
    <w:rsid w:val="00D607C2"/>
    <w:rsid w:val="00D60B78"/>
    <w:rsid w:val="00D61068"/>
    <w:rsid w:val="00D61199"/>
    <w:rsid w:val="00D61F40"/>
    <w:rsid w:val="00D62259"/>
    <w:rsid w:val="00D622EC"/>
    <w:rsid w:val="00D623AF"/>
    <w:rsid w:val="00D64982"/>
    <w:rsid w:val="00D65953"/>
    <w:rsid w:val="00D65A78"/>
    <w:rsid w:val="00D71C7E"/>
    <w:rsid w:val="00D71E3A"/>
    <w:rsid w:val="00D73444"/>
    <w:rsid w:val="00D73633"/>
    <w:rsid w:val="00D73FDF"/>
    <w:rsid w:val="00D75813"/>
    <w:rsid w:val="00D76018"/>
    <w:rsid w:val="00D76083"/>
    <w:rsid w:val="00D76A87"/>
    <w:rsid w:val="00D76F54"/>
    <w:rsid w:val="00D7779A"/>
    <w:rsid w:val="00D8040E"/>
    <w:rsid w:val="00D808AE"/>
    <w:rsid w:val="00D82051"/>
    <w:rsid w:val="00D83251"/>
    <w:rsid w:val="00D85744"/>
    <w:rsid w:val="00D863F8"/>
    <w:rsid w:val="00D90682"/>
    <w:rsid w:val="00D90FDA"/>
    <w:rsid w:val="00D92D20"/>
    <w:rsid w:val="00D92FAC"/>
    <w:rsid w:val="00D943A3"/>
    <w:rsid w:val="00D968C5"/>
    <w:rsid w:val="00D96D49"/>
    <w:rsid w:val="00D97408"/>
    <w:rsid w:val="00D9761B"/>
    <w:rsid w:val="00D9780E"/>
    <w:rsid w:val="00DA049C"/>
    <w:rsid w:val="00DA1430"/>
    <w:rsid w:val="00DA2F03"/>
    <w:rsid w:val="00DA4AB1"/>
    <w:rsid w:val="00DA4E28"/>
    <w:rsid w:val="00DA657E"/>
    <w:rsid w:val="00DA68F6"/>
    <w:rsid w:val="00DA6D2D"/>
    <w:rsid w:val="00DA6F72"/>
    <w:rsid w:val="00DB03D9"/>
    <w:rsid w:val="00DB0ED2"/>
    <w:rsid w:val="00DB1159"/>
    <w:rsid w:val="00DB3587"/>
    <w:rsid w:val="00DB4DC9"/>
    <w:rsid w:val="00DB52EA"/>
    <w:rsid w:val="00DB5427"/>
    <w:rsid w:val="00DB5510"/>
    <w:rsid w:val="00DB7330"/>
    <w:rsid w:val="00DB7BD6"/>
    <w:rsid w:val="00DC01CF"/>
    <w:rsid w:val="00DC0304"/>
    <w:rsid w:val="00DC05AA"/>
    <w:rsid w:val="00DC05C9"/>
    <w:rsid w:val="00DC07E6"/>
    <w:rsid w:val="00DC1625"/>
    <w:rsid w:val="00DC2245"/>
    <w:rsid w:val="00DC3292"/>
    <w:rsid w:val="00DC34CA"/>
    <w:rsid w:val="00DC3758"/>
    <w:rsid w:val="00DC5EF3"/>
    <w:rsid w:val="00DC7EE0"/>
    <w:rsid w:val="00DD1CB4"/>
    <w:rsid w:val="00DD1D88"/>
    <w:rsid w:val="00DD1DFE"/>
    <w:rsid w:val="00DD22A5"/>
    <w:rsid w:val="00DD25AF"/>
    <w:rsid w:val="00DD4618"/>
    <w:rsid w:val="00DD4911"/>
    <w:rsid w:val="00DD4FA5"/>
    <w:rsid w:val="00DD6099"/>
    <w:rsid w:val="00DD63EA"/>
    <w:rsid w:val="00DD708E"/>
    <w:rsid w:val="00DD7942"/>
    <w:rsid w:val="00DE0C29"/>
    <w:rsid w:val="00DE0F91"/>
    <w:rsid w:val="00DE1EB2"/>
    <w:rsid w:val="00DE260A"/>
    <w:rsid w:val="00DE3126"/>
    <w:rsid w:val="00DE3142"/>
    <w:rsid w:val="00DE3271"/>
    <w:rsid w:val="00DE4301"/>
    <w:rsid w:val="00DE4336"/>
    <w:rsid w:val="00DE4F7E"/>
    <w:rsid w:val="00DE51AF"/>
    <w:rsid w:val="00DE54A2"/>
    <w:rsid w:val="00DE54E1"/>
    <w:rsid w:val="00DE60D8"/>
    <w:rsid w:val="00DE6415"/>
    <w:rsid w:val="00DE6BFE"/>
    <w:rsid w:val="00DE75CE"/>
    <w:rsid w:val="00DF02CF"/>
    <w:rsid w:val="00DF054C"/>
    <w:rsid w:val="00DF0696"/>
    <w:rsid w:val="00DF10DE"/>
    <w:rsid w:val="00DF18EA"/>
    <w:rsid w:val="00DF2554"/>
    <w:rsid w:val="00DF42F2"/>
    <w:rsid w:val="00DF4BFB"/>
    <w:rsid w:val="00DF51F1"/>
    <w:rsid w:val="00DF5223"/>
    <w:rsid w:val="00DF5E5E"/>
    <w:rsid w:val="00DF665C"/>
    <w:rsid w:val="00DF7250"/>
    <w:rsid w:val="00DF72A5"/>
    <w:rsid w:val="00DF7367"/>
    <w:rsid w:val="00E00549"/>
    <w:rsid w:val="00E00BCE"/>
    <w:rsid w:val="00E0154C"/>
    <w:rsid w:val="00E031E4"/>
    <w:rsid w:val="00E04341"/>
    <w:rsid w:val="00E04D37"/>
    <w:rsid w:val="00E04F98"/>
    <w:rsid w:val="00E05BBE"/>
    <w:rsid w:val="00E05C5C"/>
    <w:rsid w:val="00E060D6"/>
    <w:rsid w:val="00E06342"/>
    <w:rsid w:val="00E06AB9"/>
    <w:rsid w:val="00E07ED7"/>
    <w:rsid w:val="00E100B6"/>
    <w:rsid w:val="00E10188"/>
    <w:rsid w:val="00E10C8D"/>
    <w:rsid w:val="00E1153C"/>
    <w:rsid w:val="00E11A31"/>
    <w:rsid w:val="00E11B4B"/>
    <w:rsid w:val="00E13035"/>
    <w:rsid w:val="00E134B3"/>
    <w:rsid w:val="00E1363E"/>
    <w:rsid w:val="00E140C7"/>
    <w:rsid w:val="00E143C7"/>
    <w:rsid w:val="00E15207"/>
    <w:rsid w:val="00E1529C"/>
    <w:rsid w:val="00E1579C"/>
    <w:rsid w:val="00E15D47"/>
    <w:rsid w:val="00E16995"/>
    <w:rsid w:val="00E16DDA"/>
    <w:rsid w:val="00E16FE8"/>
    <w:rsid w:val="00E20949"/>
    <w:rsid w:val="00E21088"/>
    <w:rsid w:val="00E21B5B"/>
    <w:rsid w:val="00E22095"/>
    <w:rsid w:val="00E22184"/>
    <w:rsid w:val="00E230CE"/>
    <w:rsid w:val="00E24F6E"/>
    <w:rsid w:val="00E25417"/>
    <w:rsid w:val="00E25C58"/>
    <w:rsid w:val="00E26FF4"/>
    <w:rsid w:val="00E271C1"/>
    <w:rsid w:val="00E2760F"/>
    <w:rsid w:val="00E27C67"/>
    <w:rsid w:val="00E3064D"/>
    <w:rsid w:val="00E329D2"/>
    <w:rsid w:val="00E33458"/>
    <w:rsid w:val="00E33AFA"/>
    <w:rsid w:val="00E34041"/>
    <w:rsid w:val="00E34D99"/>
    <w:rsid w:val="00E352DF"/>
    <w:rsid w:val="00E36CA0"/>
    <w:rsid w:val="00E37057"/>
    <w:rsid w:val="00E40836"/>
    <w:rsid w:val="00E41464"/>
    <w:rsid w:val="00E4185F"/>
    <w:rsid w:val="00E418A7"/>
    <w:rsid w:val="00E41E7D"/>
    <w:rsid w:val="00E430C1"/>
    <w:rsid w:val="00E4395B"/>
    <w:rsid w:val="00E44086"/>
    <w:rsid w:val="00E4417C"/>
    <w:rsid w:val="00E45518"/>
    <w:rsid w:val="00E45D67"/>
    <w:rsid w:val="00E50D22"/>
    <w:rsid w:val="00E51237"/>
    <w:rsid w:val="00E514E1"/>
    <w:rsid w:val="00E51D03"/>
    <w:rsid w:val="00E52070"/>
    <w:rsid w:val="00E55CD7"/>
    <w:rsid w:val="00E56118"/>
    <w:rsid w:val="00E56C65"/>
    <w:rsid w:val="00E60023"/>
    <w:rsid w:val="00E600D6"/>
    <w:rsid w:val="00E605AE"/>
    <w:rsid w:val="00E609BB"/>
    <w:rsid w:val="00E61031"/>
    <w:rsid w:val="00E613A0"/>
    <w:rsid w:val="00E6235E"/>
    <w:rsid w:val="00E636C0"/>
    <w:rsid w:val="00E64383"/>
    <w:rsid w:val="00E66C45"/>
    <w:rsid w:val="00E674E5"/>
    <w:rsid w:val="00E675D0"/>
    <w:rsid w:val="00E702C4"/>
    <w:rsid w:val="00E70B8C"/>
    <w:rsid w:val="00E71EFD"/>
    <w:rsid w:val="00E741D5"/>
    <w:rsid w:val="00E74412"/>
    <w:rsid w:val="00E74EEC"/>
    <w:rsid w:val="00E74FFA"/>
    <w:rsid w:val="00E76683"/>
    <w:rsid w:val="00E767D2"/>
    <w:rsid w:val="00E81AB3"/>
    <w:rsid w:val="00E83F56"/>
    <w:rsid w:val="00E841DE"/>
    <w:rsid w:val="00E8455F"/>
    <w:rsid w:val="00E85A3B"/>
    <w:rsid w:val="00E874B4"/>
    <w:rsid w:val="00E90301"/>
    <w:rsid w:val="00E90F8A"/>
    <w:rsid w:val="00E9259D"/>
    <w:rsid w:val="00E92B74"/>
    <w:rsid w:val="00E93101"/>
    <w:rsid w:val="00E9313E"/>
    <w:rsid w:val="00E93761"/>
    <w:rsid w:val="00E948A5"/>
    <w:rsid w:val="00E95067"/>
    <w:rsid w:val="00E95E3E"/>
    <w:rsid w:val="00E95E76"/>
    <w:rsid w:val="00E962F2"/>
    <w:rsid w:val="00E970CA"/>
    <w:rsid w:val="00E973D5"/>
    <w:rsid w:val="00EA010D"/>
    <w:rsid w:val="00EA0ED1"/>
    <w:rsid w:val="00EA12B5"/>
    <w:rsid w:val="00EA1523"/>
    <w:rsid w:val="00EA279A"/>
    <w:rsid w:val="00EA2F8B"/>
    <w:rsid w:val="00EA3A1D"/>
    <w:rsid w:val="00EA57D0"/>
    <w:rsid w:val="00EA6445"/>
    <w:rsid w:val="00EA6973"/>
    <w:rsid w:val="00EA70CB"/>
    <w:rsid w:val="00EA7D98"/>
    <w:rsid w:val="00EB2483"/>
    <w:rsid w:val="00EB2F51"/>
    <w:rsid w:val="00EB41DA"/>
    <w:rsid w:val="00EB4759"/>
    <w:rsid w:val="00EB5B14"/>
    <w:rsid w:val="00EB683C"/>
    <w:rsid w:val="00EB734F"/>
    <w:rsid w:val="00EB75C2"/>
    <w:rsid w:val="00EC0019"/>
    <w:rsid w:val="00EC02A2"/>
    <w:rsid w:val="00EC0520"/>
    <w:rsid w:val="00EC070C"/>
    <w:rsid w:val="00EC0E05"/>
    <w:rsid w:val="00EC17B5"/>
    <w:rsid w:val="00EC23BF"/>
    <w:rsid w:val="00EC2428"/>
    <w:rsid w:val="00EC3BFD"/>
    <w:rsid w:val="00EC3E45"/>
    <w:rsid w:val="00EC439B"/>
    <w:rsid w:val="00EC5E5E"/>
    <w:rsid w:val="00EC7FDD"/>
    <w:rsid w:val="00ED0996"/>
    <w:rsid w:val="00ED1312"/>
    <w:rsid w:val="00ED1A64"/>
    <w:rsid w:val="00ED3E13"/>
    <w:rsid w:val="00ED5F31"/>
    <w:rsid w:val="00ED64EE"/>
    <w:rsid w:val="00EE0049"/>
    <w:rsid w:val="00EE01D0"/>
    <w:rsid w:val="00EE055B"/>
    <w:rsid w:val="00EE05B8"/>
    <w:rsid w:val="00EE0E63"/>
    <w:rsid w:val="00EE10A5"/>
    <w:rsid w:val="00EE1BA6"/>
    <w:rsid w:val="00EE2AC6"/>
    <w:rsid w:val="00EE2EBF"/>
    <w:rsid w:val="00EE5274"/>
    <w:rsid w:val="00EE55CB"/>
    <w:rsid w:val="00EE6081"/>
    <w:rsid w:val="00EE6375"/>
    <w:rsid w:val="00EE6A96"/>
    <w:rsid w:val="00EE71C2"/>
    <w:rsid w:val="00EF05FD"/>
    <w:rsid w:val="00EF1219"/>
    <w:rsid w:val="00EF1B3B"/>
    <w:rsid w:val="00EF231F"/>
    <w:rsid w:val="00EF3C22"/>
    <w:rsid w:val="00EF4657"/>
    <w:rsid w:val="00EF4C37"/>
    <w:rsid w:val="00EF4F0B"/>
    <w:rsid w:val="00EF5217"/>
    <w:rsid w:val="00EF5378"/>
    <w:rsid w:val="00EF54AC"/>
    <w:rsid w:val="00EF59F0"/>
    <w:rsid w:val="00EF5EF3"/>
    <w:rsid w:val="00EF6F47"/>
    <w:rsid w:val="00F007BC"/>
    <w:rsid w:val="00F01733"/>
    <w:rsid w:val="00F02EA7"/>
    <w:rsid w:val="00F033F2"/>
    <w:rsid w:val="00F045F2"/>
    <w:rsid w:val="00F051A2"/>
    <w:rsid w:val="00F055FE"/>
    <w:rsid w:val="00F05AF4"/>
    <w:rsid w:val="00F05C68"/>
    <w:rsid w:val="00F05FD8"/>
    <w:rsid w:val="00F10B41"/>
    <w:rsid w:val="00F10CB6"/>
    <w:rsid w:val="00F113B5"/>
    <w:rsid w:val="00F1154F"/>
    <w:rsid w:val="00F11DDD"/>
    <w:rsid w:val="00F12106"/>
    <w:rsid w:val="00F13231"/>
    <w:rsid w:val="00F15101"/>
    <w:rsid w:val="00F15307"/>
    <w:rsid w:val="00F15AB4"/>
    <w:rsid w:val="00F15D05"/>
    <w:rsid w:val="00F15ED8"/>
    <w:rsid w:val="00F164E6"/>
    <w:rsid w:val="00F16DC2"/>
    <w:rsid w:val="00F16E89"/>
    <w:rsid w:val="00F178C8"/>
    <w:rsid w:val="00F17B63"/>
    <w:rsid w:val="00F20B5D"/>
    <w:rsid w:val="00F21756"/>
    <w:rsid w:val="00F2296F"/>
    <w:rsid w:val="00F22DC4"/>
    <w:rsid w:val="00F24D45"/>
    <w:rsid w:val="00F252E5"/>
    <w:rsid w:val="00F26AA1"/>
    <w:rsid w:val="00F30CF8"/>
    <w:rsid w:val="00F31F04"/>
    <w:rsid w:val="00F34292"/>
    <w:rsid w:val="00F35F54"/>
    <w:rsid w:val="00F362B5"/>
    <w:rsid w:val="00F40A99"/>
    <w:rsid w:val="00F42FEF"/>
    <w:rsid w:val="00F46E21"/>
    <w:rsid w:val="00F4723C"/>
    <w:rsid w:val="00F47F3F"/>
    <w:rsid w:val="00F50D7A"/>
    <w:rsid w:val="00F520A9"/>
    <w:rsid w:val="00F52F66"/>
    <w:rsid w:val="00F53AA0"/>
    <w:rsid w:val="00F54B7A"/>
    <w:rsid w:val="00F5519F"/>
    <w:rsid w:val="00F553B1"/>
    <w:rsid w:val="00F55B94"/>
    <w:rsid w:val="00F5716E"/>
    <w:rsid w:val="00F57471"/>
    <w:rsid w:val="00F57672"/>
    <w:rsid w:val="00F57978"/>
    <w:rsid w:val="00F60260"/>
    <w:rsid w:val="00F608E2"/>
    <w:rsid w:val="00F612B1"/>
    <w:rsid w:val="00F61A41"/>
    <w:rsid w:val="00F61E95"/>
    <w:rsid w:val="00F63934"/>
    <w:rsid w:val="00F64BE6"/>
    <w:rsid w:val="00F64DD5"/>
    <w:rsid w:val="00F64F8E"/>
    <w:rsid w:val="00F65ED9"/>
    <w:rsid w:val="00F66501"/>
    <w:rsid w:val="00F7014A"/>
    <w:rsid w:val="00F715BA"/>
    <w:rsid w:val="00F72CAC"/>
    <w:rsid w:val="00F74C4E"/>
    <w:rsid w:val="00F750A2"/>
    <w:rsid w:val="00F76109"/>
    <w:rsid w:val="00F76B24"/>
    <w:rsid w:val="00F76B4C"/>
    <w:rsid w:val="00F7719C"/>
    <w:rsid w:val="00F777F3"/>
    <w:rsid w:val="00F80155"/>
    <w:rsid w:val="00F804F9"/>
    <w:rsid w:val="00F8118E"/>
    <w:rsid w:val="00F84C34"/>
    <w:rsid w:val="00F8609A"/>
    <w:rsid w:val="00F86B1B"/>
    <w:rsid w:val="00F873D2"/>
    <w:rsid w:val="00F8764E"/>
    <w:rsid w:val="00F877ED"/>
    <w:rsid w:val="00F878A5"/>
    <w:rsid w:val="00F87F71"/>
    <w:rsid w:val="00F90589"/>
    <w:rsid w:val="00F90A8F"/>
    <w:rsid w:val="00F91D2F"/>
    <w:rsid w:val="00F923DE"/>
    <w:rsid w:val="00F9332C"/>
    <w:rsid w:val="00F95529"/>
    <w:rsid w:val="00F966D4"/>
    <w:rsid w:val="00F96CC1"/>
    <w:rsid w:val="00F977F7"/>
    <w:rsid w:val="00FA108E"/>
    <w:rsid w:val="00FA2C7A"/>
    <w:rsid w:val="00FA2F73"/>
    <w:rsid w:val="00FA3EB0"/>
    <w:rsid w:val="00FA49D9"/>
    <w:rsid w:val="00FA4A08"/>
    <w:rsid w:val="00FA4CAB"/>
    <w:rsid w:val="00FA4DB9"/>
    <w:rsid w:val="00FA59B4"/>
    <w:rsid w:val="00FA60BF"/>
    <w:rsid w:val="00FA67E6"/>
    <w:rsid w:val="00FA7D6D"/>
    <w:rsid w:val="00FB06AC"/>
    <w:rsid w:val="00FB13C0"/>
    <w:rsid w:val="00FB204D"/>
    <w:rsid w:val="00FB25FB"/>
    <w:rsid w:val="00FB2AE1"/>
    <w:rsid w:val="00FB36F3"/>
    <w:rsid w:val="00FB4486"/>
    <w:rsid w:val="00FB4BAB"/>
    <w:rsid w:val="00FB4C7F"/>
    <w:rsid w:val="00FB4DFC"/>
    <w:rsid w:val="00FB4E8D"/>
    <w:rsid w:val="00FB6606"/>
    <w:rsid w:val="00FB6C2C"/>
    <w:rsid w:val="00FB6F40"/>
    <w:rsid w:val="00FB6FB1"/>
    <w:rsid w:val="00FB7CD5"/>
    <w:rsid w:val="00FC057E"/>
    <w:rsid w:val="00FC09B6"/>
    <w:rsid w:val="00FC1ED9"/>
    <w:rsid w:val="00FC23EF"/>
    <w:rsid w:val="00FC55B3"/>
    <w:rsid w:val="00FC5B0E"/>
    <w:rsid w:val="00FC5F72"/>
    <w:rsid w:val="00FC692E"/>
    <w:rsid w:val="00FC6A64"/>
    <w:rsid w:val="00FD00AF"/>
    <w:rsid w:val="00FD0635"/>
    <w:rsid w:val="00FD1E0C"/>
    <w:rsid w:val="00FD2604"/>
    <w:rsid w:val="00FD2728"/>
    <w:rsid w:val="00FD2A1B"/>
    <w:rsid w:val="00FD326B"/>
    <w:rsid w:val="00FD5416"/>
    <w:rsid w:val="00FD6FA6"/>
    <w:rsid w:val="00FD7CE2"/>
    <w:rsid w:val="00FE0090"/>
    <w:rsid w:val="00FE0490"/>
    <w:rsid w:val="00FE14CB"/>
    <w:rsid w:val="00FE21E3"/>
    <w:rsid w:val="00FE25D0"/>
    <w:rsid w:val="00FE3C8C"/>
    <w:rsid w:val="00FE571D"/>
    <w:rsid w:val="00FE585E"/>
    <w:rsid w:val="00FE5999"/>
    <w:rsid w:val="00FE5A74"/>
    <w:rsid w:val="00FE5EF4"/>
    <w:rsid w:val="00FE6508"/>
    <w:rsid w:val="00FE6905"/>
    <w:rsid w:val="00FE7EE4"/>
    <w:rsid w:val="00FF13A4"/>
    <w:rsid w:val="00FF1496"/>
    <w:rsid w:val="00FF32A1"/>
    <w:rsid w:val="00FF37E9"/>
    <w:rsid w:val="00FF3FA1"/>
    <w:rsid w:val="00FF5D23"/>
    <w:rsid w:val="00FF615D"/>
    <w:rsid w:val="00FF6511"/>
    <w:rsid w:val="00FF6D98"/>
    <w:rsid w:val="00FF7475"/>
    <w:rsid w:val="00FF7D2B"/>
    <w:rsid w:val="0152789A"/>
    <w:rsid w:val="016D1A70"/>
    <w:rsid w:val="017A51F3"/>
    <w:rsid w:val="01986A32"/>
    <w:rsid w:val="01A71776"/>
    <w:rsid w:val="01E274E0"/>
    <w:rsid w:val="021F2E8D"/>
    <w:rsid w:val="026D5F7C"/>
    <w:rsid w:val="02AA5B7D"/>
    <w:rsid w:val="02E23B82"/>
    <w:rsid w:val="03433A15"/>
    <w:rsid w:val="03554F68"/>
    <w:rsid w:val="037D56E7"/>
    <w:rsid w:val="037F5DF4"/>
    <w:rsid w:val="03C22BDA"/>
    <w:rsid w:val="03C74BB5"/>
    <w:rsid w:val="03DE7AE9"/>
    <w:rsid w:val="040F3D70"/>
    <w:rsid w:val="04B66128"/>
    <w:rsid w:val="04CF716A"/>
    <w:rsid w:val="059C75E5"/>
    <w:rsid w:val="05B970E0"/>
    <w:rsid w:val="05D70B6B"/>
    <w:rsid w:val="06311428"/>
    <w:rsid w:val="064B660F"/>
    <w:rsid w:val="064C3F14"/>
    <w:rsid w:val="06896CEB"/>
    <w:rsid w:val="06D1098D"/>
    <w:rsid w:val="07344756"/>
    <w:rsid w:val="07D33A0D"/>
    <w:rsid w:val="080D768A"/>
    <w:rsid w:val="083D4F1A"/>
    <w:rsid w:val="089321E6"/>
    <w:rsid w:val="08AB601E"/>
    <w:rsid w:val="09F53A8C"/>
    <w:rsid w:val="0A6E1588"/>
    <w:rsid w:val="0B1A1A6E"/>
    <w:rsid w:val="0B295CA3"/>
    <w:rsid w:val="0B657B94"/>
    <w:rsid w:val="0BBB6595"/>
    <w:rsid w:val="0BC52A4B"/>
    <w:rsid w:val="0C471254"/>
    <w:rsid w:val="0C6726D1"/>
    <w:rsid w:val="0C857FD9"/>
    <w:rsid w:val="0CDA4765"/>
    <w:rsid w:val="0CE17F47"/>
    <w:rsid w:val="0CFF716D"/>
    <w:rsid w:val="0D011B3A"/>
    <w:rsid w:val="0D1E1C95"/>
    <w:rsid w:val="0E697D19"/>
    <w:rsid w:val="0E950C63"/>
    <w:rsid w:val="0EBF3E76"/>
    <w:rsid w:val="0EF67745"/>
    <w:rsid w:val="0F3747BA"/>
    <w:rsid w:val="0F6B0B59"/>
    <w:rsid w:val="0FB02CFE"/>
    <w:rsid w:val="0FC5251F"/>
    <w:rsid w:val="10666255"/>
    <w:rsid w:val="10C62872"/>
    <w:rsid w:val="10FB6B90"/>
    <w:rsid w:val="113960BC"/>
    <w:rsid w:val="116D0BB5"/>
    <w:rsid w:val="130E5924"/>
    <w:rsid w:val="132B2B4B"/>
    <w:rsid w:val="13A638EA"/>
    <w:rsid w:val="13AC6670"/>
    <w:rsid w:val="13BE0704"/>
    <w:rsid w:val="13EC7465"/>
    <w:rsid w:val="14457A7C"/>
    <w:rsid w:val="1464040F"/>
    <w:rsid w:val="146411B3"/>
    <w:rsid w:val="14770F16"/>
    <w:rsid w:val="14C666CC"/>
    <w:rsid w:val="14F52FE5"/>
    <w:rsid w:val="150A0CB5"/>
    <w:rsid w:val="151D606A"/>
    <w:rsid w:val="155F5265"/>
    <w:rsid w:val="156E4926"/>
    <w:rsid w:val="16285816"/>
    <w:rsid w:val="162B0438"/>
    <w:rsid w:val="16927D0C"/>
    <w:rsid w:val="16D55E88"/>
    <w:rsid w:val="16EF11E8"/>
    <w:rsid w:val="170E3325"/>
    <w:rsid w:val="17420DF1"/>
    <w:rsid w:val="175672E8"/>
    <w:rsid w:val="17E55AD7"/>
    <w:rsid w:val="182E2909"/>
    <w:rsid w:val="185C1FA2"/>
    <w:rsid w:val="18D25C6E"/>
    <w:rsid w:val="19695702"/>
    <w:rsid w:val="199C547A"/>
    <w:rsid w:val="19DC0EE6"/>
    <w:rsid w:val="1A21343D"/>
    <w:rsid w:val="1A3732E0"/>
    <w:rsid w:val="1A7333D4"/>
    <w:rsid w:val="1B176618"/>
    <w:rsid w:val="1B311555"/>
    <w:rsid w:val="1BDE2731"/>
    <w:rsid w:val="1C0F0BE7"/>
    <w:rsid w:val="1C6D67B6"/>
    <w:rsid w:val="1C6E114D"/>
    <w:rsid w:val="1CB61892"/>
    <w:rsid w:val="1CB6273E"/>
    <w:rsid w:val="1D3B2AD1"/>
    <w:rsid w:val="1D9E3913"/>
    <w:rsid w:val="1D9F75EB"/>
    <w:rsid w:val="1DAB2D6B"/>
    <w:rsid w:val="1E457FA5"/>
    <w:rsid w:val="1E703E8C"/>
    <w:rsid w:val="1E8577B5"/>
    <w:rsid w:val="1EEB72DF"/>
    <w:rsid w:val="1F25374F"/>
    <w:rsid w:val="1F412BF8"/>
    <w:rsid w:val="1FB45B75"/>
    <w:rsid w:val="1FD00E3E"/>
    <w:rsid w:val="1FE1254C"/>
    <w:rsid w:val="20960049"/>
    <w:rsid w:val="213327DD"/>
    <w:rsid w:val="213837AC"/>
    <w:rsid w:val="21444B65"/>
    <w:rsid w:val="222D54C8"/>
    <w:rsid w:val="22525555"/>
    <w:rsid w:val="22954160"/>
    <w:rsid w:val="23346271"/>
    <w:rsid w:val="23416A1E"/>
    <w:rsid w:val="23864454"/>
    <w:rsid w:val="23A871EB"/>
    <w:rsid w:val="23E80DCF"/>
    <w:rsid w:val="24085B1D"/>
    <w:rsid w:val="24AB2CF8"/>
    <w:rsid w:val="24D81CE6"/>
    <w:rsid w:val="24DE1949"/>
    <w:rsid w:val="257973F6"/>
    <w:rsid w:val="25801E28"/>
    <w:rsid w:val="25B368EF"/>
    <w:rsid w:val="25DD2D5E"/>
    <w:rsid w:val="26112049"/>
    <w:rsid w:val="26A45B8A"/>
    <w:rsid w:val="276D0CBA"/>
    <w:rsid w:val="278F43F8"/>
    <w:rsid w:val="2799320E"/>
    <w:rsid w:val="27EF0DD4"/>
    <w:rsid w:val="28A112BE"/>
    <w:rsid w:val="29055E8C"/>
    <w:rsid w:val="29591F3F"/>
    <w:rsid w:val="297C4317"/>
    <w:rsid w:val="29EC64BE"/>
    <w:rsid w:val="2A8D33C0"/>
    <w:rsid w:val="2A905451"/>
    <w:rsid w:val="2AB772D9"/>
    <w:rsid w:val="2B06798D"/>
    <w:rsid w:val="2B0A01F9"/>
    <w:rsid w:val="2B733F06"/>
    <w:rsid w:val="2BC060EA"/>
    <w:rsid w:val="2BCA663C"/>
    <w:rsid w:val="2C4172EA"/>
    <w:rsid w:val="2CED25AE"/>
    <w:rsid w:val="2CFC6971"/>
    <w:rsid w:val="2E204B94"/>
    <w:rsid w:val="2EC44A6F"/>
    <w:rsid w:val="2ED222DD"/>
    <w:rsid w:val="2EEB1475"/>
    <w:rsid w:val="2EF759D2"/>
    <w:rsid w:val="2F2E13E3"/>
    <w:rsid w:val="2F4A155B"/>
    <w:rsid w:val="2FC14016"/>
    <w:rsid w:val="3121636C"/>
    <w:rsid w:val="31224F5E"/>
    <w:rsid w:val="313B5858"/>
    <w:rsid w:val="31A35157"/>
    <w:rsid w:val="31CF708E"/>
    <w:rsid w:val="320A6CCA"/>
    <w:rsid w:val="32170A33"/>
    <w:rsid w:val="32A57649"/>
    <w:rsid w:val="32E86094"/>
    <w:rsid w:val="33125515"/>
    <w:rsid w:val="332778E6"/>
    <w:rsid w:val="33351062"/>
    <w:rsid w:val="341E7787"/>
    <w:rsid w:val="34883477"/>
    <w:rsid w:val="35254AE9"/>
    <w:rsid w:val="35624A90"/>
    <w:rsid w:val="357E6C66"/>
    <w:rsid w:val="36075561"/>
    <w:rsid w:val="36161B60"/>
    <w:rsid w:val="362E2FAF"/>
    <w:rsid w:val="36541C94"/>
    <w:rsid w:val="368C0D3F"/>
    <w:rsid w:val="36D32766"/>
    <w:rsid w:val="37340B1D"/>
    <w:rsid w:val="373F8D98"/>
    <w:rsid w:val="37440ADB"/>
    <w:rsid w:val="37631917"/>
    <w:rsid w:val="37AD46B1"/>
    <w:rsid w:val="37C74D9D"/>
    <w:rsid w:val="37F401F0"/>
    <w:rsid w:val="38893E4C"/>
    <w:rsid w:val="38A17ABD"/>
    <w:rsid w:val="38BC79E1"/>
    <w:rsid w:val="38FD7B47"/>
    <w:rsid w:val="39017DC5"/>
    <w:rsid w:val="39375943"/>
    <w:rsid w:val="394C24B0"/>
    <w:rsid w:val="39505E8F"/>
    <w:rsid w:val="395D00CC"/>
    <w:rsid w:val="39C75948"/>
    <w:rsid w:val="3A06416B"/>
    <w:rsid w:val="3A3A6E1C"/>
    <w:rsid w:val="3A465F52"/>
    <w:rsid w:val="3A8D3E1B"/>
    <w:rsid w:val="3AE51FFC"/>
    <w:rsid w:val="3AF670DF"/>
    <w:rsid w:val="3B0C300B"/>
    <w:rsid w:val="3B491927"/>
    <w:rsid w:val="3B494567"/>
    <w:rsid w:val="3B6002E9"/>
    <w:rsid w:val="3B7D7790"/>
    <w:rsid w:val="3BA74DCA"/>
    <w:rsid w:val="3BE4213F"/>
    <w:rsid w:val="3C66681A"/>
    <w:rsid w:val="3C7B7C45"/>
    <w:rsid w:val="3D0C402B"/>
    <w:rsid w:val="3D215DC0"/>
    <w:rsid w:val="3DC435CE"/>
    <w:rsid w:val="3DF6CD05"/>
    <w:rsid w:val="3E07382C"/>
    <w:rsid w:val="3E693E7D"/>
    <w:rsid w:val="3E931DC5"/>
    <w:rsid w:val="3E9D1DCA"/>
    <w:rsid w:val="3F2C49A1"/>
    <w:rsid w:val="3F377165"/>
    <w:rsid w:val="3F7C70EB"/>
    <w:rsid w:val="3F7D014F"/>
    <w:rsid w:val="3FB51AE8"/>
    <w:rsid w:val="3FBF39F4"/>
    <w:rsid w:val="3FC225CE"/>
    <w:rsid w:val="3FD04097"/>
    <w:rsid w:val="402406BD"/>
    <w:rsid w:val="40567570"/>
    <w:rsid w:val="409449B1"/>
    <w:rsid w:val="40F168FB"/>
    <w:rsid w:val="4104783D"/>
    <w:rsid w:val="41581837"/>
    <w:rsid w:val="418BAFB4"/>
    <w:rsid w:val="418D1537"/>
    <w:rsid w:val="41F16075"/>
    <w:rsid w:val="41F8782F"/>
    <w:rsid w:val="42606FB0"/>
    <w:rsid w:val="42B515E3"/>
    <w:rsid w:val="42DD0C8B"/>
    <w:rsid w:val="432C46F2"/>
    <w:rsid w:val="433F07FF"/>
    <w:rsid w:val="435B690C"/>
    <w:rsid w:val="43772C44"/>
    <w:rsid w:val="43DD305D"/>
    <w:rsid w:val="43EE444C"/>
    <w:rsid w:val="44127401"/>
    <w:rsid w:val="4481511F"/>
    <w:rsid w:val="449A36F7"/>
    <w:rsid w:val="44AB4F09"/>
    <w:rsid w:val="44C1345F"/>
    <w:rsid w:val="450338D7"/>
    <w:rsid w:val="45235D66"/>
    <w:rsid w:val="454A3D0E"/>
    <w:rsid w:val="456E5F95"/>
    <w:rsid w:val="45954D08"/>
    <w:rsid w:val="459C373C"/>
    <w:rsid w:val="46042E81"/>
    <w:rsid w:val="467731D4"/>
    <w:rsid w:val="46897320"/>
    <w:rsid w:val="46D85EA2"/>
    <w:rsid w:val="47075239"/>
    <w:rsid w:val="479D2A2E"/>
    <w:rsid w:val="48223734"/>
    <w:rsid w:val="482C7B89"/>
    <w:rsid w:val="48A65D93"/>
    <w:rsid w:val="49255D76"/>
    <w:rsid w:val="49555AFB"/>
    <w:rsid w:val="498C237F"/>
    <w:rsid w:val="49911941"/>
    <w:rsid w:val="49AF10F0"/>
    <w:rsid w:val="49BD39F5"/>
    <w:rsid w:val="49CF292D"/>
    <w:rsid w:val="4A2603A5"/>
    <w:rsid w:val="4AC8574D"/>
    <w:rsid w:val="4B3B30DB"/>
    <w:rsid w:val="4B421DA5"/>
    <w:rsid w:val="4B4565B7"/>
    <w:rsid w:val="4B6AB3B9"/>
    <w:rsid w:val="4C1435A8"/>
    <w:rsid w:val="4C267596"/>
    <w:rsid w:val="4C913325"/>
    <w:rsid w:val="4CA14F0B"/>
    <w:rsid w:val="4CAB57D4"/>
    <w:rsid w:val="4CB62598"/>
    <w:rsid w:val="4CD93974"/>
    <w:rsid w:val="4CED2FB9"/>
    <w:rsid w:val="4D16390E"/>
    <w:rsid w:val="4D8345DA"/>
    <w:rsid w:val="4D893F5F"/>
    <w:rsid w:val="4D8945CB"/>
    <w:rsid w:val="4DB71BBA"/>
    <w:rsid w:val="4E2B70BB"/>
    <w:rsid w:val="4E3E325D"/>
    <w:rsid w:val="4E710ABB"/>
    <w:rsid w:val="4E7858DA"/>
    <w:rsid w:val="4EE474EB"/>
    <w:rsid w:val="4F132E30"/>
    <w:rsid w:val="4FA727D4"/>
    <w:rsid w:val="4FDD5D43"/>
    <w:rsid w:val="50491270"/>
    <w:rsid w:val="50941722"/>
    <w:rsid w:val="50944385"/>
    <w:rsid w:val="50DD7F4B"/>
    <w:rsid w:val="511F7529"/>
    <w:rsid w:val="518C2659"/>
    <w:rsid w:val="51AE226D"/>
    <w:rsid w:val="51BC3FFE"/>
    <w:rsid w:val="51F67C28"/>
    <w:rsid w:val="5332648A"/>
    <w:rsid w:val="5412063E"/>
    <w:rsid w:val="54150E83"/>
    <w:rsid w:val="54E11E02"/>
    <w:rsid w:val="54E95CD8"/>
    <w:rsid w:val="5508216F"/>
    <w:rsid w:val="55186680"/>
    <w:rsid w:val="551F6180"/>
    <w:rsid w:val="557C5D14"/>
    <w:rsid w:val="56312EDB"/>
    <w:rsid w:val="56564561"/>
    <w:rsid w:val="567A0087"/>
    <w:rsid w:val="56816334"/>
    <w:rsid w:val="56AB0FF1"/>
    <w:rsid w:val="56CA69E9"/>
    <w:rsid w:val="57FF9A84"/>
    <w:rsid w:val="587A054C"/>
    <w:rsid w:val="587E56DD"/>
    <w:rsid w:val="58E171CF"/>
    <w:rsid w:val="58ED5BCE"/>
    <w:rsid w:val="59AB2C3C"/>
    <w:rsid w:val="59DA53A8"/>
    <w:rsid w:val="5B8D0B13"/>
    <w:rsid w:val="5BFF1155"/>
    <w:rsid w:val="5C2414EF"/>
    <w:rsid w:val="5C2D7D77"/>
    <w:rsid w:val="5C551434"/>
    <w:rsid w:val="5D27015D"/>
    <w:rsid w:val="5D5B5065"/>
    <w:rsid w:val="5DED9D75"/>
    <w:rsid w:val="5DFC3680"/>
    <w:rsid w:val="5DFF738D"/>
    <w:rsid w:val="5E7104C8"/>
    <w:rsid w:val="5EA467FA"/>
    <w:rsid w:val="5EA65DEF"/>
    <w:rsid w:val="5EB80508"/>
    <w:rsid w:val="5F410E4B"/>
    <w:rsid w:val="5F5BC5A5"/>
    <w:rsid w:val="5F975369"/>
    <w:rsid w:val="5FF612D7"/>
    <w:rsid w:val="603B19B4"/>
    <w:rsid w:val="60724208"/>
    <w:rsid w:val="609127CD"/>
    <w:rsid w:val="60DF56E6"/>
    <w:rsid w:val="60F229B9"/>
    <w:rsid w:val="61092A40"/>
    <w:rsid w:val="61BE21CF"/>
    <w:rsid w:val="61C82338"/>
    <w:rsid w:val="622B131D"/>
    <w:rsid w:val="62320BDE"/>
    <w:rsid w:val="626D134A"/>
    <w:rsid w:val="62700640"/>
    <w:rsid w:val="627D1683"/>
    <w:rsid w:val="628559C8"/>
    <w:rsid w:val="62C90385"/>
    <w:rsid w:val="62E72A4C"/>
    <w:rsid w:val="63D61797"/>
    <w:rsid w:val="644C495D"/>
    <w:rsid w:val="648B25EF"/>
    <w:rsid w:val="64EC1E5C"/>
    <w:rsid w:val="65A71B2D"/>
    <w:rsid w:val="65FA31A1"/>
    <w:rsid w:val="663B3E97"/>
    <w:rsid w:val="66B27B10"/>
    <w:rsid w:val="66F41243"/>
    <w:rsid w:val="679436C4"/>
    <w:rsid w:val="67A930D3"/>
    <w:rsid w:val="67AB1448"/>
    <w:rsid w:val="67FD5CC9"/>
    <w:rsid w:val="683A03FE"/>
    <w:rsid w:val="68C46AF0"/>
    <w:rsid w:val="68F230AD"/>
    <w:rsid w:val="6942338E"/>
    <w:rsid w:val="696C07EA"/>
    <w:rsid w:val="69CB780F"/>
    <w:rsid w:val="69FFE423"/>
    <w:rsid w:val="6A1F5CD0"/>
    <w:rsid w:val="6ACC4E6D"/>
    <w:rsid w:val="6AF9611F"/>
    <w:rsid w:val="6B0961EE"/>
    <w:rsid w:val="6BCA186A"/>
    <w:rsid w:val="6BE84AAE"/>
    <w:rsid w:val="6BFD9042"/>
    <w:rsid w:val="6C520652"/>
    <w:rsid w:val="6C5456EE"/>
    <w:rsid w:val="6C574D88"/>
    <w:rsid w:val="6D304694"/>
    <w:rsid w:val="6D7C5FAF"/>
    <w:rsid w:val="6E6A23B4"/>
    <w:rsid w:val="6E8A7B98"/>
    <w:rsid w:val="6EF6637F"/>
    <w:rsid w:val="6F0C1E15"/>
    <w:rsid w:val="6F5F0A02"/>
    <w:rsid w:val="6F7A6564"/>
    <w:rsid w:val="6F9208F0"/>
    <w:rsid w:val="6FB013F6"/>
    <w:rsid w:val="6FB9D2A0"/>
    <w:rsid w:val="6FBF9E51"/>
    <w:rsid w:val="6FD46890"/>
    <w:rsid w:val="6FD64A60"/>
    <w:rsid w:val="70144D00"/>
    <w:rsid w:val="70173F03"/>
    <w:rsid w:val="70650505"/>
    <w:rsid w:val="70651D96"/>
    <w:rsid w:val="708B52BC"/>
    <w:rsid w:val="70D1630B"/>
    <w:rsid w:val="711E6943"/>
    <w:rsid w:val="71256BF6"/>
    <w:rsid w:val="71772B56"/>
    <w:rsid w:val="722F3441"/>
    <w:rsid w:val="7231586C"/>
    <w:rsid w:val="72696558"/>
    <w:rsid w:val="72B01C6E"/>
    <w:rsid w:val="72F247EE"/>
    <w:rsid w:val="72FFD53F"/>
    <w:rsid w:val="734D3F2E"/>
    <w:rsid w:val="73AF4C17"/>
    <w:rsid w:val="74877DD8"/>
    <w:rsid w:val="748E78D8"/>
    <w:rsid w:val="74D51DF0"/>
    <w:rsid w:val="74DB07F0"/>
    <w:rsid w:val="74E12E70"/>
    <w:rsid w:val="750151C3"/>
    <w:rsid w:val="750E0484"/>
    <w:rsid w:val="755F9275"/>
    <w:rsid w:val="76966FA4"/>
    <w:rsid w:val="76F601A6"/>
    <w:rsid w:val="77396964"/>
    <w:rsid w:val="773B2023"/>
    <w:rsid w:val="775E6DD8"/>
    <w:rsid w:val="776D5A49"/>
    <w:rsid w:val="777C7500"/>
    <w:rsid w:val="77C600FB"/>
    <w:rsid w:val="77F9EDAA"/>
    <w:rsid w:val="77FA9F67"/>
    <w:rsid w:val="78717D6C"/>
    <w:rsid w:val="78AD34DA"/>
    <w:rsid w:val="796B4919"/>
    <w:rsid w:val="79CB3388"/>
    <w:rsid w:val="79FD8ACA"/>
    <w:rsid w:val="7A560E98"/>
    <w:rsid w:val="7ADD4B45"/>
    <w:rsid w:val="7B0F2F38"/>
    <w:rsid w:val="7B7A34C4"/>
    <w:rsid w:val="7BBF8BBD"/>
    <w:rsid w:val="7BFF1ADD"/>
    <w:rsid w:val="7C1242B5"/>
    <w:rsid w:val="7C30041C"/>
    <w:rsid w:val="7C9018CA"/>
    <w:rsid w:val="7CA41DB2"/>
    <w:rsid w:val="7CAB43D5"/>
    <w:rsid w:val="7D6350C7"/>
    <w:rsid w:val="7D8B4F86"/>
    <w:rsid w:val="7D9B5DFB"/>
    <w:rsid w:val="7DBD129F"/>
    <w:rsid w:val="7DC31F48"/>
    <w:rsid w:val="7DEB177B"/>
    <w:rsid w:val="7E100532"/>
    <w:rsid w:val="7E133FBA"/>
    <w:rsid w:val="7E483DBE"/>
    <w:rsid w:val="7E53034C"/>
    <w:rsid w:val="7E560A5B"/>
    <w:rsid w:val="7E600616"/>
    <w:rsid w:val="7E696E35"/>
    <w:rsid w:val="7EDA740E"/>
    <w:rsid w:val="7EEB19F2"/>
    <w:rsid w:val="7EFBBA8E"/>
    <w:rsid w:val="7EFF92C7"/>
    <w:rsid w:val="7F060544"/>
    <w:rsid w:val="7F088455"/>
    <w:rsid w:val="7F37BA78"/>
    <w:rsid w:val="7F3C3A24"/>
    <w:rsid w:val="7F782745"/>
    <w:rsid w:val="7F7B7293"/>
    <w:rsid w:val="7FD05668"/>
    <w:rsid w:val="7FDF052C"/>
    <w:rsid w:val="7FE82341"/>
    <w:rsid w:val="7FF71420"/>
    <w:rsid w:val="7FFE1D00"/>
    <w:rsid w:val="7FFE215D"/>
    <w:rsid w:val="97B7F146"/>
    <w:rsid w:val="9FDD883A"/>
    <w:rsid w:val="9FED4992"/>
    <w:rsid w:val="AD434789"/>
    <w:rsid w:val="AEB57F23"/>
    <w:rsid w:val="AEFB0833"/>
    <w:rsid w:val="B8E2AD10"/>
    <w:rsid w:val="BBCE02DA"/>
    <w:rsid w:val="BD7FF930"/>
    <w:rsid w:val="BDFFF74E"/>
    <w:rsid w:val="BEFABBA9"/>
    <w:rsid w:val="BF75B437"/>
    <w:rsid w:val="BFB56E56"/>
    <w:rsid w:val="BFDFC4E6"/>
    <w:rsid w:val="C75E770F"/>
    <w:rsid w:val="CD6BAE4E"/>
    <w:rsid w:val="CFBDB74B"/>
    <w:rsid w:val="D7EF3E91"/>
    <w:rsid w:val="DABF0340"/>
    <w:rsid w:val="DD49EFF9"/>
    <w:rsid w:val="DDEB036B"/>
    <w:rsid w:val="DFA93E39"/>
    <w:rsid w:val="DFD7409D"/>
    <w:rsid w:val="DFF3A893"/>
    <w:rsid w:val="DFFEE67B"/>
    <w:rsid w:val="EB6FB11C"/>
    <w:rsid w:val="ECF7940A"/>
    <w:rsid w:val="EDBF736F"/>
    <w:rsid w:val="EDFEEC32"/>
    <w:rsid w:val="EF2BEF26"/>
    <w:rsid w:val="EF3520DF"/>
    <w:rsid w:val="EF3600B1"/>
    <w:rsid w:val="EFEB1FB6"/>
    <w:rsid w:val="EFFBB699"/>
    <w:rsid w:val="F66E7ED0"/>
    <w:rsid w:val="F6DB108B"/>
    <w:rsid w:val="F6FE7C1D"/>
    <w:rsid w:val="F75B467A"/>
    <w:rsid w:val="F7AE5A29"/>
    <w:rsid w:val="F7AEE74C"/>
    <w:rsid w:val="FA7E044F"/>
    <w:rsid w:val="FAEEC986"/>
    <w:rsid w:val="FBCA6236"/>
    <w:rsid w:val="FBFF0ED9"/>
    <w:rsid w:val="FCB77393"/>
    <w:rsid w:val="FCBFAF7B"/>
    <w:rsid w:val="FD1F3065"/>
    <w:rsid w:val="FD7F0B55"/>
    <w:rsid w:val="FDE3C273"/>
    <w:rsid w:val="FDF744D0"/>
    <w:rsid w:val="FDFF6057"/>
    <w:rsid w:val="FE7EB95D"/>
    <w:rsid w:val="FEDC2904"/>
    <w:rsid w:val="FEFF210D"/>
    <w:rsid w:val="FF5F7A3E"/>
    <w:rsid w:val="FF6C1918"/>
    <w:rsid w:val="FFB3B004"/>
    <w:rsid w:val="FFD6068F"/>
    <w:rsid w:val="FFF563DA"/>
    <w:rsid w:val="FFF864F1"/>
    <w:rsid w:val="FFFDDBD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qFormat="1" w:unhideWhenUsed="0" w:uiPriority="0" w:semiHidden="0" w:name="envelope return"/>
    <w:lsdException w:qFormat="1" w:unhideWhenUsed="0" w:uiPriority="99"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qFormat="1" w:unhideWhenUsed="0" w:uiPriority="0" w:semiHidden="0" w:name="List"/>
    <w:lsdException w:uiPriority="0" w:name="List Bullet"/>
    <w:lsdException w:qFormat="1" w:unhideWhenUsed="0" w:uiPriority="0" w:semiHidden="0" w:name="List Number"/>
    <w:lsdException w:qFormat="1" w:unhideWhenUsed="0" w:uiPriority="0" w:semiHidden="0" w:name="List 2"/>
    <w:lsdException w:uiPriority="0" w:name="List 3"/>
    <w:lsdException w:uiPriority="0" w:name="List 4"/>
    <w:lsdException w:uiPriority="0" w:name="List 5"/>
    <w:lsdException w:qFormat="1"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qFormat="1"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qFormat="1" w:unhideWhenUsed="0" w:uiPriority="0" w:semiHidden="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0"/>
    <w:qFormat/>
    <w:uiPriority w:val="9"/>
    <w:pPr>
      <w:keepNext/>
      <w:adjustRightInd w:val="0"/>
      <w:snapToGrid w:val="0"/>
      <w:spacing w:before="120" w:after="120" w:line="360" w:lineRule="auto"/>
      <w:jc w:val="center"/>
      <w:textAlignment w:val="baseline"/>
      <w:outlineLvl w:val="1"/>
    </w:pPr>
    <w:rPr>
      <w:rFonts w:ascii="仿宋_GB2312" w:eastAsia="仿宋_GB2312"/>
      <w:kern w:val="0"/>
      <w:sz w:val="36"/>
      <w:szCs w:val="20"/>
    </w:rPr>
  </w:style>
  <w:style w:type="paragraph" w:styleId="4">
    <w:name w:val="heading 3"/>
    <w:basedOn w:val="1"/>
    <w:next w:val="1"/>
    <w:link w:val="73"/>
    <w:qFormat/>
    <w:uiPriority w:val="9"/>
    <w:pPr>
      <w:keepNext/>
      <w:keepLines/>
      <w:spacing w:before="260" w:after="260" w:line="360" w:lineRule="auto"/>
      <w:ind w:firstLine="602" w:firstLineChars="200"/>
      <w:outlineLvl w:val="2"/>
    </w:pPr>
    <w:rPr>
      <w:rFonts w:ascii="仿宋_GB2312" w:eastAsia="仿宋_GB2312"/>
      <w:b/>
      <w:bCs/>
      <w:sz w:val="30"/>
      <w:szCs w:val="20"/>
    </w:rPr>
  </w:style>
  <w:style w:type="paragraph" w:styleId="5">
    <w:name w:val="heading 4"/>
    <w:basedOn w:val="1"/>
    <w:next w:val="1"/>
    <w:link w:val="74"/>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75"/>
    <w:qFormat/>
    <w:uiPriority w:val="0"/>
    <w:pPr>
      <w:keepNext/>
      <w:keepLines/>
      <w:spacing w:beforeLines="100" w:afterLines="100" w:line="360" w:lineRule="auto"/>
      <w:outlineLvl w:val="4"/>
    </w:pPr>
    <w:rPr>
      <w:b/>
      <w:bCs/>
      <w:sz w:val="28"/>
      <w:szCs w:val="28"/>
    </w:rPr>
  </w:style>
  <w:style w:type="paragraph" w:styleId="7">
    <w:name w:val="heading 6"/>
    <w:basedOn w:val="1"/>
    <w:next w:val="1"/>
    <w:link w:val="76"/>
    <w:qFormat/>
    <w:uiPriority w:val="9"/>
    <w:pPr>
      <w:keepNext/>
      <w:keepLines/>
      <w:spacing w:beforeLines="100" w:afterLines="100" w:line="360" w:lineRule="auto"/>
      <w:outlineLvl w:val="5"/>
    </w:pPr>
    <w:rPr>
      <w:rFonts w:ascii="Cambria" w:hAnsi="Cambria"/>
      <w:b/>
      <w:bCs/>
      <w:sz w:val="24"/>
    </w:rPr>
  </w:style>
  <w:style w:type="paragraph" w:styleId="8">
    <w:name w:val="heading 7"/>
    <w:basedOn w:val="1"/>
    <w:next w:val="1"/>
    <w:link w:val="77"/>
    <w:qFormat/>
    <w:uiPriority w:val="0"/>
    <w:pPr>
      <w:keepNext/>
      <w:keepLines/>
      <w:spacing w:beforeLines="100" w:afterLines="100" w:line="360" w:lineRule="auto"/>
      <w:outlineLvl w:val="6"/>
    </w:pPr>
    <w:rPr>
      <w:b/>
      <w:bCs/>
      <w:sz w:val="24"/>
    </w:rPr>
  </w:style>
  <w:style w:type="paragraph" w:styleId="9">
    <w:name w:val="heading 8"/>
    <w:basedOn w:val="1"/>
    <w:next w:val="1"/>
    <w:link w:val="78"/>
    <w:qFormat/>
    <w:uiPriority w:val="0"/>
    <w:pPr>
      <w:keepNext/>
      <w:keepLines/>
      <w:spacing w:beforeLines="100" w:afterLines="100" w:line="360" w:lineRule="auto"/>
      <w:outlineLvl w:val="7"/>
    </w:pPr>
    <w:rPr>
      <w:rFonts w:ascii="Cambria" w:hAnsi="Cambria"/>
      <w:b/>
      <w:sz w:val="24"/>
    </w:rPr>
  </w:style>
  <w:style w:type="paragraph" w:styleId="10">
    <w:name w:val="heading 9"/>
    <w:basedOn w:val="1"/>
    <w:next w:val="1"/>
    <w:link w:val="79"/>
    <w:qFormat/>
    <w:uiPriority w:val="0"/>
    <w:pPr>
      <w:keepNext/>
      <w:keepLines/>
      <w:spacing w:beforeLines="100" w:afterLines="100" w:line="360" w:lineRule="auto"/>
      <w:outlineLvl w:val="8"/>
    </w:pPr>
    <w:rPr>
      <w:rFonts w:ascii="Cambria" w:hAnsi="Cambria"/>
      <w:b/>
      <w:sz w:val="24"/>
      <w:szCs w:val="21"/>
    </w:rPr>
  </w:style>
  <w:style w:type="character" w:default="1" w:styleId="55">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Calibri" w:hAnsi="Calibri"/>
      <w:szCs w:val="22"/>
    </w:rPr>
  </w:style>
  <w:style w:type="paragraph" w:styleId="12">
    <w:name w:val="table of authorities"/>
    <w:basedOn w:val="1"/>
    <w:next w:val="1"/>
    <w:qFormat/>
    <w:uiPriority w:val="0"/>
    <w:pPr>
      <w:spacing w:line="440" w:lineRule="exact"/>
      <w:ind w:left="420" w:leftChars="200" w:firstLine="883" w:firstLineChars="200"/>
    </w:pPr>
    <w:rPr>
      <w:sz w:val="28"/>
    </w:rPr>
  </w:style>
  <w:style w:type="paragraph" w:styleId="13">
    <w:name w:val="List Number"/>
    <w:basedOn w:val="1"/>
    <w:qFormat/>
    <w:uiPriority w:val="0"/>
    <w:pPr>
      <w:widowControl/>
      <w:tabs>
        <w:tab w:val="left" w:pos="454"/>
        <w:tab w:val="left" w:pos="720"/>
      </w:tabs>
      <w:spacing w:afterLines="50"/>
      <w:ind w:left="720" w:hanging="720"/>
      <w:jc w:val="left"/>
    </w:pPr>
    <w:rPr>
      <w:kern w:val="0"/>
      <w:sz w:val="24"/>
      <w:szCs w:val="20"/>
    </w:rPr>
  </w:style>
  <w:style w:type="paragraph" w:styleId="14">
    <w:name w:val="Normal Indent"/>
    <w:basedOn w:val="1"/>
    <w:next w:val="15"/>
    <w:link w:val="72"/>
    <w:qFormat/>
    <w:uiPriority w:val="0"/>
    <w:pPr>
      <w:ind w:firstLine="420"/>
    </w:pPr>
    <w:rPr>
      <w:szCs w:val="20"/>
    </w:rPr>
  </w:style>
  <w:style w:type="paragraph" w:styleId="15">
    <w:name w:val="Body Text Indent"/>
    <w:basedOn w:val="1"/>
    <w:link w:val="85"/>
    <w:qFormat/>
    <w:uiPriority w:val="0"/>
    <w:pPr>
      <w:spacing w:line="200" w:lineRule="exact"/>
      <w:ind w:firstLine="301"/>
    </w:pPr>
    <w:rPr>
      <w:rFonts w:ascii="宋体" w:hAnsi="Courier New"/>
      <w:spacing w:val="-4"/>
      <w:sz w:val="18"/>
      <w:szCs w:val="20"/>
    </w:rPr>
  </w:style>
  <w:style w:type="paragraph" w:styleId="16">
    <w:name w:val="caption"/>
    <w:basedOn w:val="1"/>
    <w:next w:val="1"/>
    <w:link w:val="80"/>
    <w:qFormat/>
    <w:uiPriority w:val="0"/>
    <w:pPr>
      <w:spacing w:before="152" w:after="160"/>
    </w:pPr>
    <w:rPr>
      <w:rFonts w:ascii="Arial" w:hAnsi="Arial" w:eastAsia="黑体"/>
      <w:sz w:val="20"/>
      <w:szCs w:val="20"/>
    </w:rPr>
  </w:style>
  <w:style w:type="paragraph" w:styleId="17">
    <w:name w:val="index 5"/>
    <w:basedOn w:val="1"/>
    <w:next w:val="1"/>
    <w:qFormat/>
    <w:uiPriority w:val="0"/>
    <w:pPr>
      <w:ind w:left="1680"/>
    </w:pPr>
  </w:style>
  <w:style w:type="paragraph" w:styleId="18">
    <w:name w:val="Document Map"/>
    <w:basedOn w:val="1"/>
    <w:link w:val="81"/>
    <w:semiHidden/>
    <w:qFormat/>
    <w:uiPriority w:val="0"/>
    <w:pPr>
      <w:shd w:val="clear" w:color="auto" w:fill="000080"/>
    </w:pPr>
  </w:style>
  <w:style w:type="paragraph" w:styleId="19">
    <w:name w:val="annotation text"/>
    <w:basedOn w:val="1"/>
    <w:link w:val="82"/>
    <w:qFormat/>
    <w:uiPriority w:val="0"/>
    <w:pPr>
      <w:jc w:val="left"/>
    </w:pPr>
  </w:style>
  <w:style w:type="paragraph" w:styleId="20">
    <w:name w:val="Body Text 3"/>
    <w:basedOn w:val="1"/>
    <w:link w:val="83"/>
    <w:qFormat/>
    <w:uiPriority w:val="0"/>
    <w:pPr>
      <w:spacing w:after="120"/>
    </w:pPr>
    <w:rPr>
      <w:sz w:val="16"/>
      <w:szCs w:val="16"/>
    </w:rPr>
  </w:style>
  <w:style w:type="paragraph" w:styleId="21">
    <w:name w:val="Body Text"/>
    <w:basedOn w:val="1"/>
    <w:next w:val="22"/>
    <w:link w:val="84"/>
    <w:qFormat/>
    <w:uiPriority w:val="0"/>
    <w:pPr>
      <w:spacing w:after="120"/>
    </w:pPr>
  </w:style>
  <w:style w:type="paragraph" w:styleId="22">
    <w:name w:val="Body Text First Indent"/>
    <w:basedOn w:val="21"/>
    <w:next w:val="23"/>
    <w:link w:val="99"/>
    <w:qFormat/>
    <w:uiPriority w:val="0"/>
    <w:pPr>
      <w:ind w:firstLine="420" w:firstLineChars="100"/>
    </w:pPr>
  </w:style>
  <w:style w:type="paragraph" w:styleId="23">
    <w:name w:val="toc 6"/>
    <w:basedOn w:val="1"/>
    <w:next w:val="1"/>
    <w:unhideWhenUsed/>
    <w:qFormat/>
    <w:uiPriority w:val="39"/>
    <w:pPr>
      <w:ind w:left="2100" w:leftChars="1000"/>
    </w:pPr>
    <w:rPr>
      <w:rFonts w:ascii="Calibri" w:hAnsi="Calibri"/>
      <w:szCs w:val="22"/>
    </w:rPr>
  </w:style>
  <w:style w:type="paragraph" w:styleId="24">
    <w:name w:val="List Number 3"/>
    <w:basedOn w:val="1"/>
    <w:qFormat/>
    <w:uiPriority w:val="0"/>
    <w:pPr>
      <w:tabs>
        <w:tab w:val="left" w:pos="1200"/>
      </w:tabs>
      <w:ind w:left="1200" w:hanging="360"/>
    </w:pPr>
  </w:style>
  <w:style w:type="paragraph" w:styleId="25">
    <w:name w:val="List 2"/>
    <w:basedOn w:val="1"/>
    <w:qFormat/>
    <w:uiPriority w:val="0"/>
    <w:pPr>
      <w:ind w:left="566" w:hanging="283"/>
      <w:contextualSpacing/>
    </w:pPr>
  </w:style>
  <w:style w:type="paragraph" w:styleId="26">
    <w:name w:val="List Bullet 2"/>
    <w:basedOn w:val="1"/>
    <w:semiHidden/>
    <w:unhideWhenUsed/>
    <w:qFormat/>
    <w:uiPriority w:val="0"/>
    <w:pPr>
      <w:numPr>
        <w:ilvl w:val="0"/>
        <w:numId w:val="1"/>
      </w:numPr>
    </w:pPr>
  </w:style>
  <w:style w:type="paragraph" w:styleId="27">
    <w:name w:val="toc 5"/>
    <w:basedOn w:val="1"/>
    <w:next w:val="1"/>
    <w:unhideWhenUsed/>
    <w:qFormat/>
    <w:uiPriority w:val="39"/>
    <w:pPr>
      <w:ind w:left="1680" w:leftChars="800"/>
    </w:pPr>
    <w:rPr>
      <w:rFonts w:ascii="Calibri" w:hAnsi="Calibri"/>
      <w:szCs w:val="22"/>
    </w:rPr>
  </w:style>
  <w:style w:type="paragraph" w:styleId="28">
    <w:name w:val="toc 3"/>
    <w:basedOn w:val="1"/>
    <w:next w:val="1"/>
    <w:qFormat/>
    <w:uiPriority w:val="39"/>
    <w:pPr>
      <w:ind w:left="840" w:leftChars="400"/>
    </w:pPr>
  </w:style>
  <w:style w:type="paragraph" w:styleId="29">
    <w:name w:val="Plain Text"/>
    <w:basedOn w:val="1"/>
    <w:next w:val="1"/>
    <w:link w:val="86"/>
    <w:qFormat/>
    <w:uiPriority w:val="0"/>
    <w:rPr>
      <w:rFonts w:ascii="宋体" w:hAnsi="Courier New"/>
      <w:szCs w:val="20"/>
    </w:rPr>
  </w:style>
  <w:style w:type="paragraph" w:styleId="30">
    <w:name w:val="toc 8"/>
    <w:basedOn w:val="1"/>
    <w:next w:val="1"/>
    <w:unhideWhenUsed/>
    <w:qFormat/>
    <w:uiPriority w:val="39"/>
    <w:pPr>
      <w:ind w:left="2940" w:leftChars="1400"/>
    </w:pPr>
    <w:rPr>
      <w:rFonts w:ascii="Calibri" w:hAnsi="Calibri"/>
      <w:szCs w:val="22"/>
    </w:rPr>
  </w:style>
  <w:style w:type="paragraph" w:styleId="31">
    <w:name w:val="Date"/>
    <w:basedOn w:val="1"/>
    <w:next w:val="1"/>
    <w:link w:val="87"/>
    <w:qFormat/>
    <w:uiPriority w:val="0"/>
    <w:pPr>
      <w:ind w:left="2500" w:leftChars="2500"/>
    </w:pPr>
    <w:rPr>
      <w:rFonts w:eastAsia="楷体_GB2312"/>
      <w:sz w:val="32"/>
      <w:szCs w:val="20"/>
    </w:rPr>
  </w:style>
  <w:style w:type="paragraph" w:styleId="32">
    <w:name w:val="Body Text Indent 2"/>
    <w:basedOn w:val="1"/>
    <w:link w:val="88"/>
    <w:qFormat/>
    <w:uiPriority w:val="0"/>
    <w:pPr>
      <w:snapToGrid w:val="0"/>
      <w:ind w:firstLine="542" w:firstLineChars="225"/>
    </w:pPr>
    <w:rPr>
      <w:rFonts w:ascii="仿宋_GB2312" w:hAnsi="宋体"/>
      <w:b/>
      <w:bCs/>
      <w:color w:val="000000"/>
      <w:sz w:val="24"/>
    </w:rPr>
  </w:style>
  <w:style w:type="paragraph" w:styleId="33">
    <w:name w:val="Balloon Text"/>
    <w:basedOn w:val="1"/>
    <w:link w:val="89"/>
    <w:qFormat/>
    <w:uiPriority w:val="0"/>
    <w:rPr>
      <w:sz w:val="18"/>
      <w:szCs w:val="18"/>
    </w:rPr>
  </w:style>
  <w:style w:type="paragraph" w:styleId="34">
    <w:name w:val="footer"/>
    <w:basedOn w:val="1"/>
    <w:link w:val="90"/>
    <w:qFormat/>
    <w:uiPriority w:val="99"/>
    <w:pPr>
      <w:tabs>
        <w:tab w:val="center" w:pos="4153"/>
        <w:tab w:val="right" w:pos="8306"/>
      </w:tabs>
      <w:snapToGrid w:val="0"/>
      <w:jc w:val="left"/>
    </w:pPr>
    <w:rPr>
      <w:sz w:val="18"/>
      <w:szCs w:val="18"/>
    </w:rPr>
  </w:style>
  <w:style w:type="paragraph" w:styleId="35">
    <w:name w:val="envelope return"/>
    <w:basedOn w:val="1"/>
    <w:qFormat/>
    <w:uiPriority w:val="0"/>
    <w:pPr>
      <w:snapToGrid w:val="0"/>
    </w:pPr>
    <w:rPr>
      <w:rFonts w:ascii="Arial" w:hAnsi="Arial" w:cs="Arial"/>
      <w:szCs w:val="24"/>
    </w:rPr>
  </w:style>
  <w:style w:type="paragraph" w:styleId="36">
    <w:name w:val="header"/>
    <w:basedOn w:val="1"/>
    <w:link w:val="91"/>
    <w:qFormat/>
    <w:uiPriority w:val="99"/>
    <w:pPr>
      <w:pBdr>
        <w:bottom w:val="single" w:color="auto" w:sz="6" w:space="1"/>
      </w:pBdr>
      <w:tabs>
        <w:tab w:val="center" w:pos="4153"/>
        <w:tab w:val="right" w:pos="8306"/>
      </w:tabs>
      <w:snapToGrid w:val="0"/>
      <w:jc w:val="center"/>
    </w:pPr>
    <w:rPr>
      <w:sz w:val="18"/>
      <w:szCs w:val="18"/>
    </w:rPr>
  </w:style>
  <w:style w:type="paragraph" w:styleId="37">
    <w:name w:val="toc 1"/>
    <w:basedOn w:val="1"/>
    <w:next w:val="1"/>
    <w:qFormat/>
    <w:uiPriority w:val="39"/>
  </w:style>
  <w:style w:type="paragraph" w:styleId="38">
    <w:name w:val="toc 4"/>
    <w:basedOn w:val="1"/>
    <w:next w:val="1"/>
    <w:unhideWhenUsed/>
    <w:qFormat/>
    <w:uiPriority w:val="39"/>
    <w:pPr>
      <w:ind w:left="1260" w:leftChars="600"/>
    </w:pPr>
    <w:rPr>
      <w:rFonts w:ascii="Calibri" w:hAnsi="Calibri"/>
      <w:szCs w:val="22"/>
    </w:rPr>
  </w:style>
  <w:style w:type="paragraph" w:styleId="39">
    <w:name w:val="Subtitle"/>
    <w:basedOn w:val="1"/>
    <w:next w:val="1"/>
    <w:link w:val="92"/>
    <w:qFormat/>
    <w:uiPriority w:val="0"/>
    <w:pPr>
      <w:spacing w:before="240" w:after="60" w:line="312" w:lineRule="auto"/>
      <w:jc w:val="center"/>
      <w:outlineLvl w:val="1"/>
    </w:pPr>
    <w:rPr>
      <w:rFonts w:ascii="Cambria" w:hAnsi="Cambria"/>
      <w:b/>
      <w:bCs/>
      <w:kern w:val="28"/>
      <w:sz w:val="32"/>
      <w:szCs w:val="32"/>
    </w:rPr>
  </w:style>
  <w:style w:type="paragraph" w:styleId="40">
    <w:name w:val="List"/>
    <w:basedOn w:val="1"/>
    <w:qFormat/>
    <w:uiPriority w:val="0"/>
    <w:pPr>
      <w:ind w:left="283" w:hanging="283"/>
      <w:contextualSpacing/>
    </w:pPr>
  </w:style>
  <w:style w:type="paragraph" w:styleId="41">
    <w:name w:val="footnote text"/>
    <w:basedOn w:val="1"/>
    <w:link w:val="93"/>
    <w:qFormat/>
    <w:uiPriority w:val="99"/>
    <w:pPr>
      <w:jc w:val="left"/>
    </w:pPr>
    <w:rPr>
      <w:kern w:val="1"/>
      <w:sz w:val="18"/>
      <w:szCs w:val="18"/>
    </w:rPr>
  </w:style>
  <w:style w:type="paragraph" w:styleId="42">
    <w:name w:val="Body Text Indent 3"/>
    <w:basedOn w:val="1"/>
    <w:link w:val="94"/>
    <w:qFormat/>
    <w:uiPriority w:val="0"/>
    <w:pPr>
      <w:snapToGrid w:val="0"/>
      <w:ind w:firstLine="480" w:firstLineChars="200"/>
      <w:jc w:val="left"/>
    </w:pPr>
    <w:rPr>
      <w:rFonts w:ascii="仿宋_GB2312" w:hAnsi="宋体" w:eastAsia="仿宋_GB2312"/>
      <w:color w:val="000000"/>
      <w:sz w:val="24"/>
    </w:rPr>
  </w:style>
  <w:style w:type="paragraph" w:styleId="43">
    <w:name w:val="table of figures"/>
    <w:basedOn w:val="1"/>
    <w:next w:val="1"/>
    <w:qFormat/>
    <w:uiPriority w:val="99"/>
    <w:pPr>
      <w:widowControl/>
      <w:tabs>
        <w:tab w:val="left" w:pos="1270"/>
      </w:tabs>
      <w:spacing w:line="360" w:lineRule="auto"/>
      <w:ind w:left="1270" w:hanging="420"/>
      <w:jc w:val="left"/>
    </w:pPr>
    <w:rPr>
      <w:rFonts w:ascii="宋体" w:hAnsi="宋体" w:cs="宋体"/>
      <w:smallCaps/>
      <w:kern w:val="0"/>
      <w:sz w:val="20"/>
      <w:szCs w:val="20"/>
    </w:rPr>
  </w:style>
  <w:style w:type="paragraph" w:styleId="44">
    <w:name w:val="toc 2"/>
    <w:basedOn w:val="1"/>
    <w:next w:val="1"/>
    <w:qFormat/>
    <w:uiPriority w:val="39"/>
    <w:pPr>
      <w:ind w:left="420" w:leftChars="200"/>
    </w:pPr>
  </w:style>
  <w:style w:type="paragraph" w:styleId="45">
    <w:name w:val="toc 9"/>
    <w:basedOn w:val="1"/>
    <w:next w:val="1"/>
    <w:unhideWhenUsed/>
    <w:qFormat/>
    <w:uiPriority w:val="39"/>
    <w:pPr>
      <w:ind w:left="3360" w:leftChars="1600"/>
    </w:pPr>
    <w:rPr>
      <w:rFonts w:ascii="Calibri" w:hAnsi="Calibri"/>
      <w:szCs w:val="22"/>
    </w:rPr>
  </w:style>
  <w:style w:type="paragraph" w:styleId="46">
    <w:name w:val="Body Text 2"/>
    <w:basedOn w:val="1"/>
    <w:link w:val="95"/>
    <w:qFormat/>
    <w:uiPriority w:val="0"/>
    <w:pPr>
      <w:widowControl/>
      <w:snapToGrid w:val="0"/>
      <w:spacing w:before="50" w:afterLines="50" w:line="400" w:lineRule="exact"/>
      <w:jc w:val="left"/>
    </w:pPr>
    <w:rPr>
      <w:rFonts w:ascii="宋体" w:hAnsi="宋体"/>
      <w:color w:val="000000"/>
      <w:sz w:val="24"/>
    </w:rPr>
  </w:style>
  <w:style w:type="paragraph" w:styleId="4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8">
    <w:name w:val="Normal (Web)"/>
    <w:basedOn w:val="1"/>
    <w:link w:val="96"/>
    <w:qFormat/>
    <w:uiPriority w:val="99"/>
    <w:pPr>
      <w:widowControl/>
      <w:spacing w:before="100" w:beforeAutospacing="1" w:after="100" w:afterAutospacing="1"/>
      <w:jc w:val="left"/>
    </w:pPr>
    <w:rPr>
      <w:rFonts w:ascii="宋体" w:hAnsi="宋体"/>
      <w:kern w:val="0"/>
      <w:sz w:val="24"/>
    </w:rPr>
  </w:style>
  <w:style w:type="paragraph" w:styleId="49">
    <w:name w:val="Title"/>
    <w:basedOn w:val="1"/>
    <w:next w:val="1"/>
    <w:link w:val="97"/>
    <w:qFormat/>
    <w:uiPriority w:val="0"/>
    <w:pPr>
      <w:spacing w:before="240" w:after="60"/>
      <w:jc w:val="center"/>
      <w:outlineLvl w:val="0"/>
    </w:pPr>
    <w:rPr>
      <w:rFonts w:ascii="Cambria" w:hAnsi="Cambria"/>
      <w:b/>
      <w:bCs/>
      <w:sz w:val="32"/>
      <w:szCs w:val="32"/>
    </w:rPr>
  </w:style>
  <w:style w:type="paragraph" w:styleId="50">
    <w:name w:val="annotation subject"/>
    <w:basedOn w:val="19"/>
    <w:next w:val="19"/>
    <w:link w:val="98"/>
    <w:qFormat/>
    <w:uiPriority w:val="99"/>
    <w:rPr>
      <w:b/>
      <w:bCs/>
    </w:rPr>
  </w:style>
  <w:style w:type="paragraph" w:styleId="51">
    <w:name w:val="Body Text First Indent 2"/>
    <w:basedOn w:val="15"/>
    <w:link w:val="100"/>
    <w:unhideWhenUsed/>
    <w:qFormat/>
    <w:uiPriority w:val="0"/>
    <w:pPr>
      <w:spacing w:after="120" w:line="360" w:lineRule="auto"/>
      <w:ind w:left="420" w:leftChars="200" w:firstLine="420" w:firstLineChars="200"/>
    </w:pPr>
    <w:rPr>
      <w:sz w:val="24"/>
    </w:rPr>
  </w:style>
  <w:style w:type="table" w:styleId="53">
    <w:name w:val="Table Grid"/>
    <w:basedOn w:val="5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4">
    <w:name w:val="Table Grid 8"/>
    <w:basedOn w:val="52"/>
    <w:qFormat/>
    <w:uiPriority w:val="0"/>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character" w:styleId="56">
    <w:name w:val="Strong"/>
    <w:qFormat/>
    <w:uiPriority w:val="22"/>
    <w:rPr>
      <w:b/>
      <w:bCs/>
    </w:rPr>
  </w:style>
  <w:style w:type="character" w:styleId="57">
    <w:name w:val="page number"/>
    <w:basedOn w:val="55"/>
    <w:qFormat/>
    <w:uiPriority w:val="0"/>
  </w:style>
  <w:style w:type="character" w:styleId="58">
    <w:name w:val="FollowedHyperlink"/>
    <w:qFormat/>
    <w:uiPriority w:val="99"/>
    <w:rPr>
      <w:color w:val="800080"/>
      <w:u w:val="single"/>
    </w:rPr>
  </w:style>
  <w:style w:type="character" w:styleId="59">
    <w:name w:val="Hyperlink"/>
    <w:qFormat/>
    <w:uiPriority w:val="99"/>
    <w:rPr>
      <w:color w:val="0000FF"/>
      <w:u w:val="single"/>
    </w:rPr>
  </w:style>
  <w:style w:type="character" w:styleId="60">
    <w:name w:val="annotation reference"/>
    <w:qFormat/>
    <w:uiPriority w:val="99"/>
    <w:rPr>
      <w:sz w:val="21"/>
      <w:szCs w:val="21"/>
    </w:rPr>
  </w:style>
  <w:style w:type="character" w:styleId="61">
    <w:name w:val="footnote reference"/>
    <w:qFormat/>
    <w:uiPriority w:val="99"/>
    <w:rPr>
      <w:position w:val="-2"/>
      <w:vertAlign w:val="superscript"/>
    </w:rPr>
  </w:style>
  <w:style w:type="character" w:styleId="62">
    <w:name w:val="HTML Sample"/>
    <w:basedOn w:val="55"/>
    <w:semiHidden/>
    <w:unhideWhenUsed/>
    <w:qFormat/>
    <w:uiPriority w:val="0"/>
    <w:rPr>
      <w:rFonts w:ascii="Courier New" w:hAnsi="Courier New"/>
    </w:rPr>
  </w:style>
  <w:style w:type="paragraph" w:customStyle="1" w:styleId="63">
    <w:name w:val="标准正文"/>
    <w:basedOn w:val="1"/>
    <w:qFormat/>
    <w:uiPriority w:val="0"/>
    <w:pPr>
      <w:spacing w:line="360" w:lineRule="auto"/>
      <w:ind w:firstLine="200" w:firstLineChars="200"/>
    </w:pPr>
    <w:rPr>
      <w:sz w:val="24"/>
      <w:szCs w:val="20"/>
    </w:rPr>
  </w:style>
  <w:style w:type="paragraph" w:customStyle="1" w:styleId="64">
    <w:name w:val="xl53"/>
    <w:next w:val="1"/>
    <w:qFormat/>
    <w:uiPriority w:val="0"/>
    <w:pPr>
      <w:spacing w:before="280" w:after="280" w:line="100" w:lineRule="exact"/>
      <w:ind w:firstLine="480" w:firstLineChars="200"/>
      <w:jc w:val="center"/>
    </w:pPr>
    <w:rPr>
      <w:rFonts w:ascii="宋体" w:hAnsi="Times New Roman" w:eastAsia="宋体" w:cstheme="minorBidi"/>
      <w:b/>
      <w:szCs w:val="22"/>
      <w:lang w:val="en-US" w:eastAsia="zh-CN" w:bidi="ar-SA"/>
    </w:rPr>
  </w:style>
  <w:style w:type="paragraph" w:customStyle="1" w:styleId="65">
    <w:name w:val="Default"/>
    <w:next w:val="66"/>
    <w:unhideWhenUsed/>
    <w:qFormat/>
    <w:uiPriority w:val="99"/>
    <w:pPr>
      <w:widowControl w:val="0"/>
      <w:autoSpaceDE w:val="0"/>
      <w:autoSpaceDN w:val="0"/>
      <w:adjustRightInd w:val="0"/>
    </w:pPr>
    <w:rPr>
      <w:rFonts w:hint="eastAsia" w:ascii="仿宋" w:hAnsi="Times New Roman" w:eastAsia="仿宋" w:cs="Times New Roman"/>
      <w:color w:val="000000"/>
      <w:sz w:val="24"/>
      <w:lang w:val="en-US" w:eastAsia="zh-CN" w:bidi="ar-SA"/>
    </w:rPr>
  </w:style>
  <w:style w:type="paragraph" w:customStyle="1" w:styleId="6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67">
    <w:name w:val="表格文字"/>
    <w:basedOn w:val="68"/>
    <w:next w:val="21"/>
    <w:link w:val="196"/>
    <w:qFormat/>
    <w:uiPriority w:val="0"/>
    <w:pPr>
      <w:jc w:val="left"/>
      <w:textAlignment w:val="top"/>
    </w:pPr>
    <w:rPr>
      <w:sz w:val="18"/>
    </w:rPr>
  </w:style>
  <w:style w:type="paragraph" w:customStyle="1" w:styleId="68">
    <w:name w:val="表格文字（两侧对齐）"/>
    <w:basedOn w:val="1"/>
    <w:qFormat/>
    <w:uiPriority w:val="0"/>
    <w:pPr>
      <w:snapToGrid w:val="0"/>
    </w:pPr>
    <w:rPr>
      <w:sz w:val="20"/>
    </w:rPr>
  </w:style>
  <w:style w:type="paragraph" w:customStyle="1" w:styleId="69">
    <w:name w:val="一级标题"/>
    <w:basedOn w:val="1"/>
    <w:next w:val="21"/>
    <w:qFormat/>
    <w:uiPriority w:val="0"/>
    <w:pPr>
      <w:outlineLvl w:val="0"/>
    </w:pPr>
    <w:rPr>
      <w:b/>
      <w:bCs/>
      <w:sz w:val="32"/>
    </w:rPr>
  </w:style>
  <w:style w:type="character" w:customStyle="1" w:styleId="70">
    <w:name w:val="标题 2 字符"/>
    <w:link w:val="3"/>
    <w:qFormat/>
    <w:uiPriority w:val="9"/>
    <w:rPr>
      <w:rFonts w:ascii="仿宋_GB2312" w:eastAsia="仿宋_GB2312"/>
      <w:b/>
      <w:sz w:val="36"/>
    </w:rPr>
  </w:style>
  <w:style w:type="character" w:customStyle="1" w:styleId="71">
    <w:name w:val="标题 1 字符"/>
    <w:link w:val="2"/>
    <w:qFormat/>
    <w:uiPriority w:val="9"/>
    <w:rPr>
      <w:b/>
      <w:bCs/>
      <w:kern w:val="44"/>
      <w:sz w:val="44"/>
      <w:szCs w:val="44"/>
    </w:rPr>
  </w:style>
  <w:style w:type="character" w:customStyle="1" w:styleId="72">
    <w:name w:val="正文缩进 字符"/>
    <w:link w:val="14"/>
    <w:qFormat/>
    <w:uiPriority w:val="0"/>
    <w:rPr>
      <w:kern w:val="2"/>
      <w:sz w:val="21"/>
    </w:rPr>
  </w:style>
  <w:style w:type="character" w:customStyle="1" w:styleId="73">
    <w:name w:val="标题 3 字符"/>
    <w:link w:val="4"/>
    <w:qFormat/>
    <w:uiPriority w:val="9"/>
    <w:rPr>
      <w:rFonts w:ascii="仿宋_GB2312" w:eastAsia="仿宋_GB2312"/>
      <w:b/>
      <w:bCs/>
      <w:kern w:val="2"/>
      <w:sz w:val="30"/>
    </w:rPr>
  </w:style>
  <w:style w:type="character" w:customStyle="1" w:styleId="74">
    <w:name w:val="标题 4 字符"/>
    <w:link w:val="5"/>
    <w:qFormat/>
    <w:uiPriority w:val="9"/>
    <w:rPr>
      <w:rFonts w:ascii="Cambria" w:hAnsi="Cambria" w:eastAsia="宋体" w:cs="Times New Roman"/>
      <w:b/>
      <w:bCs/>
      <w:kern w:val="2"/>
      <w:sz w:val="28"/>
      <w:szCs w:val="28"/>
    </w:rPr>
  </w:style>
  <w:style w:type="character" w:customStyle="1" w:styleId="75">
    <w:name w:val="标题 5 字符"/>
    <w:link w:val="6"/>
    <w:qFormat/>
    <w:uiPriority w:val="9"/>
    <w:rPr>
      <w:rFonts w:eastAsia="宋体"/>
      <w:b/>
      <w:bCs/>
      <w:kern w:val="2"/>
      <w:sz w:val="28"/>
      <w:szCs w:val="28"/>
    </w:rPr>
  </w:style>
  <w:style w:type="character" w:customStyle="1" w:styleId="76">
    <w:name w:val="标题 6 字符"/>
    <w:link w:val="7"/>
    <w:qFormat/>
    <w:uiPriority w:val="9"/>
    <w:rPr>
      <w:rFonts w:ascii="Cambria" w:hAnsi="Cambria" w:eastAsia="宋体" w:cs="Times New Roman"/>
      <w:b/>
      <w:bCs/>
      <w:kern w:val="2"/>
      <w:sz w:val="24"/>
      <w:szCs w:val="24"/>
    </w:rPr>
  </w:style>
  <w:style w:type="character" w:customStyle="1" w:styleId="77">
    <w:name w:val="标题 7 字符"/>
    <w:link w:val="8"/>
    <w:qFormat/>
    <w:uiPriority w:val="0"/>
    <w:rPr>
      <w:rFonts w:eastAsia="宋体"/>
      <w:b/>
      <w:bCs/>
      <w:kern w:val="2"/>
      <w:sz w:val="24"/>
      <w:szCs w:val="24"/>
    </w:rPr>
  </w:style>
  <w:style w:type="character" w:customStyle="1" w:styleId="78">
    <w:name w:val="标题 8 字符"/>
    <w:link w:val="9"/>
    <w:qFormat/>
    <w:uiPriority w:val="0"/>
    <w:rPr>
      <w:rFonts w:ascii="Cambria" w:hAnsi="Cambria" w:eastAsia="宋体" w:cs="Times New Roman"/>
      <w:b/>
      <w:kern w:val="2"/>
      <w:sz w:val="24"/>
      <w:szCs w:val="24"/>
    </w:rPr>
  </w:style>
  <w:style w:type="character" w:customStyle="1" w:styleId="79">
    <w:name w:val="标题 9 字符"/>
    <w:link w:val="10"/>
    <w:qFormat/>
    <w:uiPriority w:val="0"/>
    <w:rPr>
      <w:rFonts w:ascii="Cambria" w:hAnsi="Cambria" w:eastAsia="宋体" w:cs="Times New Roman"/>
      <w:b/>
      <w:kern w:val="2"/>
      <w:sz w:val="24"/>
      <w:szCs w:val="21"/>
    </w:rPr>
  </w:style>
  <w:style w:type="character" w:customStyle="1" w:styleId="80">
    <w:name w:val="题注 字符"/>
    <w:link w:val="16"/>
    <w:qFormat/>
    <w:locked/>
    <w:uiPriority w:val="0"/>
    <w:rPr>
      <w:rFonts w:ascii="Arial" w:hAnsi="Arial" w:eastAsia="黑体" w:cs="Arial"/>
      <w:kern w:val="2"/>
    </w:rPr>
  </w:style>
  <w:style w:type="character" w:customStyle="1" w:styleId="81">
    <w:name w:val="文档结构图 字符"/>
    <w:link w:val="18"/>
    <w:semiHidden/>
    <w:qFormat/>
    <w:uiPriority w:val="0"/>
    <w:rPr>
      <w:kern w:val="2"/>
      <w:sz w:val="21"/>
      <w:szCs w:val="24"/>
      <w:shd w:val="clear" w:color="auto" w:fill="000080"/>
    </w:rPr>
  </w:style>
  <w:style w:type="character" w:customStyle="1" w:styleId="82">
    <w:name w:val="批注文字 字符"/>
    <w:link w:val="19"/>
    <w:qFormat/>
    <w:uiPriority w:val="0"/>
    <w:rPr>
      <w:kern w:val="2"/>
      <w:sz w:val="21"/>
      <w:szCs w:val="24"/>
    </w:rPr>
  </w:style>
  <w:style w:type="character" w:customStyle="1" w:styleId="83">
    <w:name w:val="正文文本 3 字符"/>
    <w:link w:val="20"/>
    <w:qFormat/>
    <w:uiPriority w:val="0"/>
    <w:rPr>
      <w:kern w:val="2"/>
      <w:sz w:val="16"/>
      <w:szCs w:val="16"/>
    </w:rPr>
  </w:style>
  <w:style w:type="character" w:customStyle="1" w:styleId="84">
    <w:name w:val="正文文本 字符"/>
    <w:link w:val="21"/>
    <w:qFormat/>
    <w:uiPriority w:val="0"/>
    <w:rPr>
      <w:kern w:val="2"/>
      <w:sz w:val="21"/>
      <w:szCs w:val="24"/>
    </w:rPr>
  </w:style>
  <w:style w:type="character" w:customStyle="1" w:styleId="85">
    <w:name w:val="正文文本缩进 字符"/>
    <w:link w:val="15"/>
    <w:qFormat/>
    <w:uiPriority w:val="0"/>
    <w:rPr>
      <w:rFonts w:ascii="宋体" w:hAnsi="Courier New"/>
      <w:spacing w:val="-4"/>
      <w:kern w:val="2"/>
      <w:sz w:val="18"/>
    </w:rPr>
  </w:style>
  <w:style w:type="character" w:customStyle="1" w:styleId="86">
    <w:name w:val="纯文本 字符1"/>
    <w:link w:val="29"/>
    <w:qFormat/>
    <w:uiPriority w:val="0"/>
    <w:rPr>
      <w:rFonts w:ascii="宋体" w:hAnsi="Courier New"/>
      <w:kern w:val="2"/>
      <w:sz w:val="21"/>
    </w:rPr>
  </w:style>
  <w:style w:type="character" w:customStyle="1" w:styleId="87">
    <w:name w:val="日期 字符"/>
    <w:link w:val="31"/>
    <w:qFormat/>
    <w:uiPriority w:val="0"/>
    <w:rPr>
      <w:rFonts w:eastAsia="楷体_GB2312"/>
      <w:kern w:val="2"/>
      <w:sz w:val="32"/>
    </w:rPr>
  </w:style>
  <w:style w:type="character" w:customStyle="1" w:styleId="88">
    <w:name w:val="正文文本缩进 2 字符"/>
    <w:link w:val="32"/>
    <w:qFormat/>
    <w:uiPriority w:val="0"/>
    <w:rPr>
      <w:rFonts w:ascii="仿宋_GB2312" w:hAnsi="宋体" w:cs="Arial"/>
      <w:b/>
      <w:bCs/>
      <w:color w:val="000000"/>
      <w:kern w:val="2"/>
      <w:sz w:val="24"/>
      <w:szCs w:val="24"/>
    </w:rPr>
  </w:style>
  <w:style w:type="character" w:customStyle="1" w:styleId="89">
    <w:name w:val="批注框文本 字符"/>
    <w:link w:val="33"/>
    <w:qFormat/>
    <w:uiPriority w:val="0"/>
    <w:rPr>
      <w:kern w:val="2"/>
      <w:sz w:val="18"/>
      <w:szCs w:val="18"/>
    </w:rPr>
  </w:style>
  <w:style w:type="character" w:customStyle="1" w:styleId="90">
    <w:name w:val="页脚 字符"/>
    <w:link w:val="34"/>
    <w:qFormat/>
    <w:locked/>
    <w:uiPriority w:val="99"/>
    <w:rPr>
      <w:kern w:val="2"/>
      <w:sz w:val="18"/>
      <w:szCs w:val="18"/>
    </w:rPr>
  </w:style>
  <w:style w:type="character" w:customStyle="1" w:styleId="91">
    <w:name w:val="页眉 字符"/>
    <w:link w:val="36"/>
    <w:qFormat/>
    <w:uiPriority w:val="99"/>
    <w:rPr>
      <w:rFonts w:eastAsia="宋体"/>
      <w:kern w:val="2"/>
      <w:sz w:val="18"/>
      <w:szCs w:val="18"/>
      <w:lang w:val="en-US" w:eastAsia="zh-CN" w:bidi="ar-SA"/>
    </w:rPr>
  </w:style>
  <w:style w:type="character" w:customStyle="1" w:styleId="92">
    <w:name w:val="副标题 字符"/>
    <w:link w:val="39"/>
    <w:qFormat/>
    <w:uiPriority w:val="0"/>
    <w:rPr>
      <w:rFonts w:ascii="Cambria" w:hAnsi="Cambria"/>
      <w:b/>
      <w:bCs/>
      <w:kern w:val="28"/>
      <w:sz w:val="32"/>
      <w:szCs w:val="32"/>
    </w:rPr>
  </w:style>
  <w:style w:type="character" w:customStyle="1" w:styleId="93">
    <w:name w:val="脚注文本 字符"/>
    <w:basedOn w:val="55"/>
    <w:link w:val="41"/>
    <w:qFormat/>
    <w:uiPriority w:val="99"/>
    <w:rPr>
      <w:kern w:val="1"/>
      <w:sz w:val="18"/>
      <w:szCs w:val="18"/>
    </w:rPr>
  </w:style>
  <w:style w:type="character" w:customStyle="1" w:styleId="94">
    <w:name w:val="正文文本缩进 3 字符"/>
    <w:link w:val="42"/>
    <w:qFormat/>
    <w:uiPriority w:val="0"/>
    <w:rPr>
      <w:rFonts w:ascii="仿宋_GB2312" w:hAnsi="宋体" w:eastAsia="仿宋_GB2312"/>
      <w:color w:val="000000"/>
      <w:kern w:val="2"/>
      <w:sz w:val="24"/>
      <w:szCs w:val="24"/>
    </w:rPr>
  </w:style>
  <w:style w:type="character" w:customStyle="1" w:styleId="95">
    <w:name w:val="正文文本 2 字符"/>
    <w:link w:val="46"/>
    <w:qFormat/>
    <w:uiPriority w:val="0"/>
    <w:rPr>
      <w:rFonts w:ascii="宋体" w:hAnsi="宋体"/>
      <w:color w:val="000000"/>
      <w:kern w:val="2"/>
      <w:sz w:val="24"/>
      <w:szCs w:val="24"/>
    </w:rPr>
  </w:style>
  <w:style w:type="character" w:customStyle="1" w:styleId="96">
    <w:name w:val="普通(网站) 字符"/>
    <w:link w:val="48"/>
    <w:qFormat/>
    <w:locked/>
    <w:uiPriority w:val="0"/>
    <w:rPr>
      <w:rFonts w:ascii="宋体" w:hAnsi="宋体" w:cs="宋体"/>
      <w:sz w:val="24"/>
      <w:szCs w:val="24"/>
    </w:rPr>
  </w:style>
  <w:style w:type="character" w:customStyle="1" w:styleId="97">
    <w:name w:val="标题 字符"/>
    <w:link w:val="49"/>
    <w:qFormat/>
    <w:uiPriority w:val="0"/>
    <w:rPr>
      <w:rFonts w:ascii="Cambria" w:hAnsi="Cambria"/>
      <w:b/>
      <w:bCs/>
      <w:kern w:val="2"/>
      <w:sz w:val="32"/>
      <w:szCs w:val="32"/>
    </w:rPr>
  </w:style>
  <w:style w:type="character" w:customStyle="1" w:styleId="98">
    <w:name w:val="批注主题 字符"/>
    <w:link w:val="50"/>
    <w:qFormat/>
    <w:uiPriority w:val="99"/>
    <w:rPr>
      <w:b/>
      <w:bCs/>
      <w:kern w:val="2"/>
      <w:sz w:val="21"/>
      <w:szCs w:val="24"/>
    </w:rPr>
  </w:style>
  <w:style w:type="character" w:customStyle="1" w:styleId="99">
    <w:name w:val="正文文本首行缩进 字符"/>
    <w:basedOn w:val="84"/>
    <w:link w:val="22"/>
    <w:qFormat/>
    <w:uiPriority w:val="0"/>
    <w:rPr>
      <w:kern w:val="2"/>
      <w:sz w:val="21"/>
      <w:szCs w:val="24"/>
    </w:rPr>
  </w:style>
  <w:style w:type="character" w:customStyle="1" w:styleId="100">
    <w:name w:val="正文文本首行缩进 2 字符"/>
    <w:link w:val="51"/>
    <w:qFormat/>
    <w:uiPriority w:val="0"/>
    <w:rPr>
      <w:rFonts w:ascii="宋体" w:hAnsi="Courier New"/>
      <w:spacing w:val="-4"/>
      <w:kern w:val="2"/>
      <w:sz w:val="24"/>
    </w:rPr>
  </w:style>
  <w:style w:type="paragraph" w:customStyle="1" w:styleId="101">
    <w:name w:val="_Style 3"/>
    <w:qFormat/>
    <w:uiPriority w:val="1"/>
    <w:pPr>
      <w:widowControl w:val="0"/>
      <w:spacing w:line="360" w:lineRule="auto"/>
      <w:jc w:val="both"/>
    </w:pPr>
    <w:rPr>
      <w:rFonts w:cs="Times New Roman" w:asciiTheme="minorEastAsia" w:hAnsiTheme="minorEastAsia" w:eastAsiaTheme="minorEastAsia"/>
      <w:kern w:val="2"/>
      <w:sz w:val="21"/>
      <w:szCs w:val="22"/>
      <w:lang w:val="en-US" w:eastAsia="zh-CN" w:bidi="ar-SA"/>
    </w:rPr>
  </w:style>
  <w:style w:type="character" w:customStyle="1" w:styleId="102">
    <w:name w:val="页眉 Char1"/>
    <w:qFormat/>
    <w:uiPriority w:val="0"/>
    <w:rPr>
      <w:kern w:val="2"/>
      <w:sz w:val="18"/>
      <w:szCs w:val="18"/>
    </w:rPr>
  </w:style>
  <w:style w:type="character" w:customStyle="1" w:styleId="103">
    <w:name w:val="hover"/>
    <w:qFormat/>
    <w:uiPriority w:val="0"/>
    <w:rPr>
      <w:color w:val="4178BE"/>
    </w:rPr>
  </w:style>
  <w:style w:type="character" w:customStyle="1" w:styleId="104">
    <w:name w:val="页眉 字符1"/>
    <w:qFormat/>
    <w:uiPriority w:val="99"/>
    <w:rPr>
      <w:rFonts w:eastAsia="宋体"/>
      <w:sz w:val="18"/>
      <w:szCs w:val="18"/>
    </w:rPr>
  </w:style>
  <w:style w:type="character" w:customStyle="1" w:styleId="105">
    <w:name w:val="font111"/>
    <w:qFormat/>
    <w:uiPriority w:val="0"/>
    <w:rPr>
      <w:rFonts w:ascii="宋体" w:hAnsi="宋体" w:eastAsia="宋体" w:cs="宋体"/>
      <w:color w:val="FF0000"/>
      <w:sz w:val="18"/>
      <w:szCs w:val="18"/>
      <w:u w:val="none"/>
    </w:rPr>
  </w:style>
  <w:style w:type="character" w:customStyle="1" w:styleId="106">
    <w:name w:val="页脚 字符1"/>
    <w:qFormat/>
    <w:locked/>
    <w:uiPriority w:val="99"/>
    <w:rPr>
      <w:sz w:val="18"/>
      <w:szCs w:val="18"/>
    </w:rPr>
  </w:style>
  <w:style w:type="character" w:customStyle="1" w:styleId="107">
    <w:name w:val="font21"/>
    <w:basedOn w:val="55"/>
    <w:qFormat/>
    <w:uiPriority w:val="0"/>
    <w:rPr>
      <w:rFonts w:hint="eastAsia" w:ascii="微软雅黑" w:hAnsi="微软雅黑" w:eastAsia="微软雅黑" w:cs="微软雅黑"/>
      <w:color w:val="000000"/>
      <w:sz w:val="18"/>
      <w:szCs w:val="18"/>
      <w:u w:val="none"/>
    </w:rPr>
  </w:style>
  <w:style w:type="character" w:customStyle="1" w:styleId="108">
    <w:name w:val="样式一"/>
    <w:qFormat/>
    <w:uiPriority w:val="0"/>
    <w:rPr>
      <w:rFonts w:ascii="宋体" w:hAnsi="宋体"/>
      <w:b/>
      <w:bCs/>
      <w:color w:val="000000"/>
      <w:sz w:val="36"/>
    </w:rPr>
  </w:style>
  <w:style w:type="character" w:customStyle="1" w:styleId="109">
    <w:name w:val="optnmoresets"/>
    <w:qFormat/>
    <w:uiPriority w:val="0"/>
    <w:rPr>
      <w:color w:val="5596E6"/>
    </w:rPr>
  </w:style>
  <w:style w:type="character" w:customStyle="1" w:styleId="110">
    <w:name w:val="ca-92"/>
    <w:basedOn w:val="55"/>
    <w:qFormat/>
    <w:uiPriority w:val="0"/>
  </w:style>
  <w:style w:type="character" w:customStyle="1" w:styleId="111">
    <w:name w:val="font91"/>
    <w:qFormat/>
    <w:uiPriority w:val="0"/>
    <w:rPr>
      <w:rFonts w:ascii="宋体" w:hAnsi="宋体" w:eastAsia="宋体" w:cs="宋体"/>
      <w:color w:val="auto"/>
      <w:sz w:val="18"/>
      <w:szCs w:val="18"/>
      <w:u w:val="none"/>
    </w:rPr>
  </w:style>
  <w:style w:type="character" w:customStyle="1" w:styleId="112">
    <w:name w:val="纯文本 Char3"/>
    <w:qFormat/>
    <w:uiPriority w:val="0"/>
    <w:rPr>
      <w:rFonts w:ascii="宋体" w:hAnsi="Courier New" w:eastAsia="宋体"/>
      <w:kern w:val="2"/>
      <w:sz w:val="24"/>
      <w:szCs w:val="24"/>
      <w:lang w:val="en-US" w:eastAsia="zh-CN" w:bidi="ar-SA"/>
    </w:rPr>
  </w:style>
  <w:style w:type="character" w:customStyle="1" w:styleId="113">
    <w:name w:val="列出段落 Char1"/>
    <w:qFormat/>
    <w:uiPriority w:val="34"/>
    <w:rPr>
      <w:sz w:val="24"/>
    </w:rPr>
  </w:style>
  <w:style w:type="character" w:customStyle="1" w:styleId="114">
    <w:name w:val="标题字符1"/>
    <w:qFormat/>
    <w:uiPriority w:val="0"/>
    <w:rPr>
      <w:rFonts w:ascii="Cambria" w:hAnsi="Cambria" w:cs="Times New Roman"/>
      <w:b/>
      <w:bCs/>
      <w:snapToGrid w:val="0"/>
      <w:sz w:val="32"/>
      <w:szCs w:val="32"/>
    </w:rPr>
  </w:style>
  <w:style w:type="character" w:customStyle="1" w:styleId="115">
    <w:name w:val="sub"/>
    <w:basedOn w:val="55"/>
    <w:qFormat/>
    <w:uiPriority w:val="0"/>
  </w:style>
  <w:style w:type="character" w:customStyle="1" w:styleId="116">
    <w:name w:val="lotusbtndisabled2"/>
    <w:basedOn w:val="55"/>
    <w:qFormat/>
    <w:uiPriority w:val="0"/>
  </w:style>
  <w:style w:type="character" w:customStyle="1" w:styleId="117">
    <w:name w:val="列出段落 Char"/>
    <w:qFormat/>
    <w:uiPriority w:val="34"/>
    <w:rPr>
      <w:kern w:val="2"/>
      <w:sz w:val="21"/>
      <w:szCs w:val="22"/>
    </w:rPr>
  </w:style>
  <w:style w:type="character" w:customStyle="1" w:styleId="118">
    <w:name w:val="dijitarrowbuttoninner"/>
    <w:qFormat/>
    <w:uiPriority w:val="0"/>
    <w:rPr>
      <w:vanish/>
    </w:rPr>
  </w:style>
  <w:style w:type="character" w:customStyle="1" w:styleId="119">
    <w:name w:val="hover21"/>
    <w:qFormat/>
    <w:uiPriority w:val="0"/>
    <w:rPr>
      <w:color w:val="4178BE"/>
    </w:rPr>
  </w:style>
  <w:style w:type="character" w:customStyle="1" w:styleId="120">
    <w:name w:val="普通文字 Char Char2"/>
    <w:qFormat/>
    <w:uiPriority w:val="0"/>
    <w:rPr>
      <w:rFonts w:ascii="宋体" w:hAnsi="Courier New" w:eastAsia="宋体"/>
      <w:kern w:val="2"/>
      <w:sz w:val="24"/>
      <w:szCs w:val="24"/>
      <w:lang w:val="en-US" w:eastAsia="zh-CN" w:bidi="ar-SA"/>
    </w:rPr>
  </w:style>
  <w:style w:type="character" w:customStyle="1" w:styleId="121">
    <w:name w:val="font11"/>
    <w:qFormat/>
    <w:uiPriority w:val="0"/>
    <w:rPr>
      <w:rFonts w:hint="eastAsia" w:ascii="微软雅黑" w:hAnsi="微软雅黑" w:eastAsia="微软雅黑" w:cs="微软雅黑"/>
      <w:color w:val="FF0000"/>
      <w:sz w:val="18"/>
      <w:szCs w:val="18"/>
      <w:u w:val="none"/>
    </w:rPr>
  </w:style>
  <w:style w:type="character" w:customStyle="1" w:styleId="122">
    <w:name w:val="纯文本 Char1"/>
    <w:qFormat/>
    <w:uiPriority w:val="99"/>
    <w:rPr>
      <w:rFonts w:ascii="宋体" w:hAnsi="Courier New" w:eastAsia="宋体" w:cs="Times New Roman"/>
      <w:sz w:val="24"/>
      <w:szCs w:val="24"/>
    </w:rPr>
  </w:style>
  <w:style w:type="character" w:customStyle="1" w:styleId="123">
    <w:name w:val="lotusalttext10"/>
    <w:basedOn w:val="55"/>
    <w:qFormat/>
    <w:uiPriority w:val="0"/>
  </w:style>
  <w:style w:type="character" w:customStyle="1" w:styleId="124">
    <w:name w:val="纯文本 字符"/>
    <w:qFormat/>
    <w:uiPriority w:val="0"/>
    <w:rPr>
      <w:rFonts w:ascii="宋体" w:hAnsi="Courier New" w:eastAsia="宋体" w:cs="Courier New"/>
      <w:kern w:val="2"/>
      <w:sz w:val="21"/>
      <w:szCs w:val="24"/>
    </w:rPr>
  </w:style>
  <w:style w:type="character" w:customStyle="1" w:styleId="125">
    <w:name w:val="*正文 Char"/>
    <w:link w:val="126"/>
    <w:qFormat/>
    <w:uiPriority w:val="99"/>
    <w:rPr>
      <w:rFonts w:ascii="宋体" w:hAnsi="宋体"/>
      <w:sz w:val="24"/>
    </w:rPr>
  </w:style>
  <w:style w:type="paragraph" w:customStyle="1" w:styleId="126">
    <w:name w:val="*正文"/>
    <w:basedOn w:val="1"/>
    <w:link w:val="125"/>
    <w:qFormat/>
    <w:uiPriority w:val="99"/>
    <w:pPr>
      <w:spacing w:line="360" w:lineRule="auto"/>
      <w:ind w:firstLine="482"/>
    </w:pPr>
    <w:rPr>
      <w:rFonts w:ascii="宋体" w:hAnsi="宋体"/>
      <w:kern w:val="0"/>
      <w:sz w:val="24"/>
      <w:szCs w:val="20"/>
    </w:rPr>
  </w:style>
  <w:style w:type="character" w:customStyle="1" w:styleId="127">
    <w:name w:val="before"/>
    <w:basedOn w:val="55"/>
    <w:qFormat/>
    <w:uiPriority w:val="0"/>
  </w:style>
  <w:style w:type="character" w:customStyle="1" w:styleId="128">
    <w:name w:val="font101"/>
    <w:qFormat/>
    <w:uiPriority w:val="0"/>
    <w:rPr>
      <w:rFonts w:ascii="Times New Roman" w:hAnsi="Times New Roman" w:cs="Times New Roman"/>
      <w:color w:val="auto"/>
      <w:sz w:val="24"/>
      <w:szCs w:val="24"/>
      <w:u w:val="none"/>
    </w:rPr>
  </w:style>
  <w:style w:type="character" w:customStyle="1" w:styleId="129">
    <w:name w:val="font81"/>
    <w:qFormat/>
    <w:uiPriority w:val="0"/>
    <w:rPr>
      <w:rFonts w:ascii="Times New Roman" w:hAnsi="Times New Roman" w:cs="Times New Roman"/>
      <w:color w:val="FF0000"/>
      <w:sz w:val="18"/>
      <w:szCs w:val="18"/>
      <w:u w:val="none"/>
    </w:rPr>
  </w:style>
  <w:style w:type="character" w:customStyle="1" w:styleId="130">
    <w:name w:val="正文文本缩进字符1"/>
    <w:semiHidden/>
    <w:qFormat/>
    <w:uiPriority w:val="0"/>
    <w:rPr>
      <w:snapToGrid w:val="0"/>
      <w:sz w:val="21"/>
      <w:szCs w:val="21"/>
    </w:rPr>
  </w:style>
  <w:style w:type="character" w:customStyle="1" w:styleId="131">
    <w:name w:val="before1"/>
    <w:qFormat/>
    <w:uiPriority w:val="0"/>
    <w:rPr>
      <w:shd w:val="clear" w:color="auto" w:fill="4178BE"/>
    </w:rPr>
  </w:style>
  <w:style w:type="character" w:customStyle="1" w:styleId="132">
    <w:name w:val="font51"/>
    <w:qFormat/>
    <w:uiPriority w:val="0"/>
    <w:rPr>
      <w:rFonts w:hint="eastAsia" w:ascii="微软雅黑" w:hAnsi="微软雅黑" w:eastAsia="微软雅黑" w:cs="微软雅黑"/>
      <w:i/>
      <w:color w:val="FF0000"/>
      <w:sz w:val="18"/>
      <w:szCs w:val="18"/>
      <w:u w:val="none"/>
    </w:rPr>
  </w:style>
  <w:style w:type="character" w:customStyle="1" w:styleId="133">
    <w:name w:val="optnless"/>
    <w:qFormat/>
    <w:uiPriority w:val="0"/>
    <w:rPr>
      <w:color w:val="5596E6"/>
    </w:rPr>
  </w:style>
  <w:style w:type="character" w:customStyle="1" w:styleId="134">
    <w:name w:val="font01"/>
    <w:qFormat/>
    <w:uiPriority w:val="0"/>
    <w:rPr>
      <w:rFonts w:hint="eastAsia" w:ascii="微软雅黑" w:hAnsi="微软雅黑" w:eastAsia="微软雅黑" w:cs="微软雅黑"/>
      <w:color w:val="000000"/>
      <w:sz w:val="18"/>
      <w:szCs w:val="18"/>
      <w:u w:val="none"/>
    </w:rPr>
  </w:style>
  <w:style w:type="character" w:customStyle="1" w:styleId="135">
    <w:name w:val="列表段落 字符"/>
    <w:link w:val="136"/>
    <w:qFormat/>
    <w:uiPriority w:val="34"/>
    <w:rPr>
      <w:kern w:val="2"/>
      <w:sz w:val="21"/>
      <w:szCs w:val="22"/>
    </w:rPr>
  </w:style>
  <w:style w:type="paragraph" w:styleId="136">
    <w:name w:val="List Paragraph"/>
    <w:basedOn w:val="1"/>
    <w:link w:val="135"/>
    <w:qFormat/>
    <w:uiPriority w:val="34"/>
    <w:pPr>
      <w:ind w:firstLine="420" w:firstLineChars="200"/>
    </w:pPr>
    <w:rPr>
      <w:szCs w:val="22"/>
    </w:rPr>
  </w:style>
  <w:style w:type="character" w:customStyle="1" w:styleId="137">
    <w:name w:val="bookmark-item"/>
    <w:basedOn w:val="55"/>
    <w:qFormat/>
    <w:uiPriority w:val="0"/>
  </w:style>
  <w:style w:type="character" w:customStyle="1" w:styleId="138">
    <w:name w:val="lotusalttext"/>
    <w:basedOn w:val="55"/>
    <w:qFormat/>
    <w:uiPriority w:val="0"/>
  </w:style>
  <w:style w:type="character" w:customStyle="1" w:styleId="139">
    <w:name w:val="optnmore"/>
    <w:qFormat/>
    <w:uiPriority w:val="0"/>
    <w:rPr>
      <w:color w:val="5596E6"/>
    </w:rPr>
  </w:style>
  <w:style w:type="character" w:customStyle="1" w:styleId="140">
    <w:name w:val="纯文本字符1"/>
    <w:semiHidden/>
    <w:qFormat/>
    <w:uiPriority w:val="0"/>
    <w:rPr>
      <w:rFonts w:ascii="宋体" w:hAnsi="Courier"/>
      <w:snapToGrid w:val="0"/>
      <w:sz w:val="24"/>
      <w:szCs w:val="24"/>
    </w:rPr>
  </w:style>
  <w:style w:type="character" w:customStyle="1" w:styleId="141">
    <w:name w:val="GW-正文 Char"/>
    <w:link w:val="142"/>
    <w:qFormat/>
    <w:uiPriority w:val="0"/>
    <w:rPr>
      <w:rFonts w:eastAsia="仿宋_GB2312"/>
      <w:sz w:val="24"/>
      <w:szCs w:val="24"/>
      <w:lang w:val="en-US" w:eastAsia="zh-CN" w:bidi="ar-SA"/>
    </w:rPr>
  </w:style>
  <w:style w:type="paragraph" w:customStyle="1" w:styleId="142">
    <w:name w:val="GW-正文"/>
    <w:link w:val="141"/>
    <w:qFormat/>
    <w:uiPriority w:val="0"/>
    <w:pPr>
      <w:spacing w:line="300" w:lineRule="auto"/>
      <w:ind w:firstLine="200" w:firstLineChars="200"/>
    </w:pPr>
    <w:rPr>
      <w:rFonts w:ascii="Times New Roman" w:hAnsi="Times New Roman" w:eastAsia="仿宋_GB2312" w:cs="Times New Roman"/>
      <w:sz w:val="24"/>
      <w:szCs w:val="24"/>
      <w:lang w:val="en-US" w:eastAsia="zh-CN" w:bidi="ar-SA"/>
    </w:rPr>
  </w:style>
  <w:style w:type="character" w:customStyle="1" w:styleId="143">
    <w:name w:val="optnsets"/>
    <w:qFormat/>
    <w:uiPriority w:val="0"/>
    <w:rPr>
      <w:color w:val="5596E6"/>
    </w:rPr>
  </w:style>
  <w:style w:type="character" w:customStyle="1" w:styleId="144">
    <w:name w:val="批注文字 Char"/>
    <w:qFormat/>
    <w:uiPriority w:val="99"/>
    <w:rPr>
      <w:kern w:val="2"/>
      <w:sz w:val="21"/>
      <w:szCs w:val="24"/>
    </w:rPr>
  </w:style>
  <w:style w:type="character" w:customStyle="1" w:styleId="145">
    <w:name w:val="标题 Char3"/>
    <w:qFormat/>
    <w:uiPriority w:val="0"/>
    <w:rPr>
      <w:rFonts w:ascii="Calibri Light" w:hAnsi="Calibri Light"/>
      <w:b/>
      <w:bCs/>
      <w:kern w:val="2"/>
      <w:sz w:val="32"/>
      <w:szCs w:val="32"/>
    </w:rPr>
  </w:style>
  <w:style w:type="character" w:customStyle="1" w:styleId="146">
    <w:name w:val="样式二"/>
    <w:basedOn w:val="108"/>
    <w:qFormat/>
    <w:uiPriority w:val="0"/>
    <w:rPr>
      <w:rFonts w:ascii="宋体" w:hAnsi="宋体"/>
      <w:color w:val="000000"/>
      <w:sz w:val="36"/>
    </w:rPr>
  </w:style>
  <w:style w:type="character" w:customStyle="1" w:styleId="147">
    <w:name w:val="after1"/>
    <w:basedOn w:val="55"/>
    <w:qFormat/>
    <w:uiPriority w:val="0"/>
  </w:style>
  <w:style w:type="character" w:customStyle="1" w:styleId="148">
    <w:name w:val="after"/>
    <w:qFormat/>
    <w:uiPriority w:val="0"/>
    <w:rPr>
      <w:shd w:val="clear" w:color="auto" w:fill="008571"/>
    </w:rPr>
  </w:style>
  <w:style w:type="paragraph" w:customStyle="1" w:styleId="149">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50">
    <w:name w:val="表头文本"/>
    <w:qFormat/>
    <w:uiPriority w:val="0"/>
    <w:pPr>
      <w:jc w:val="center"/>
    </w:pPr>
    <w:rPr>
      <w:rFonts w:ascii="Arial" w:hAnsi="Arial" w:eastAsia="宋体" w:cs="Times New Roman"/>
      <w:b/>
      <w:sz w:val="21"/>
      <w:szCs w:val="21"/>
      <w:lang w:val="en-US" w:eastAsia="zh-CN" w:bidi="ar-SA"/>
    </w:rPr>
  </w:style>
  <w:style w:type="paragraph" w:customStyle="1" w:styleId="151">
    <w:name w:val="节"/>
    <w:basedOn w:val="3"/>
    <w:qFormat/>
    <w:uiPriority w:val="99"/>
    <w:pPr>
      <w:keepLines/>
      <w:tabs>
        <w:tab w:val="left" w:pos="432"/>
        <w:tab w:val="left" w:pos="576"/>
      </w:tabs>
      <w:adjustRightInd/>
      <w:snapToGrid/>
      <w:spacing w:beforeLines="100" w:afterLines="100" w:line="240" w:lineRule="auto"/>
      <w:ind w:left="576" w:hanging="576"/>
      <w:jc w:val="both"/>
      <w:textAlignment w:val="auto"/>
    </w:pPr>
    <w:rPr>
      <w:rFonts w:ascii="黑体" w:hAnsi="Arial" w:eastAsia="黑体"/>
      <w:kern w:val="2"/>
      <w:sz w:val="28"/>
      <w:szCs w:val="28"/>
      <w:lang w:val="zh-CN"/>
    </w:rPr>
  </w:style>
  <w:style w:type="paragraph" w:customStyle="1" w:styleId="152">
    <w:name w:val="正文段"/>
    <w:basedOn w:val="1"/>
    <w:qFormat/>
    <w:uiPriority w:val="0"/>
    <w:pPr>
      <w:widowControl/>
      <w:snapToGrid w:val="0"/>
      <w:spacing w:afterLines="50"/>
      <w:ind w:firstLine="200" w:firstLineChars="200"/>
    </w:pPr>
    <w:rPr>
      <w:kern w:val="0"/>
      <w:sz w:val="24"/>
      <w:szCs w:val="20"/>
    </w:rPr>
  </w:style>
  <w:style w:type="paragraph" w:customStyle="1" w:styleId="153">
    <w:name w:val="--规划正文"/>
    <w:basedOn w:val="1"/>
    <w:qFormat/>
    <w:uiPriority w:val="0"/>
    <w:pPr>
      <w:widowControl/>
      <w:suppressAutoHyphens/>
      <w:spacing w:line="360" w:lineRule="auto"/>
      <w:ind w:firstLine="200"/>
      <w:jc w:val="left"/>
    </w:pPr>
    <w:rPr>
      <w:kern w:val="1"/>
      <w:szCs w:val="20"/>
      <w:lang w:eastAsia="ar-SA"/>
    </w:rPr>
  </w:style>
  <w:style w:type="paragraph" w:customStyle="1" w:styleId="154">
    <w:name w:val="Char Char Char Char Char Char Char"/>
    <w:basedOn w:val="1"/>
    <w:qFormat/>
    <w:uiPriority w:val="0"/>
    <w:rPr>
      <w:szCs w:val="21"/>
    </w:rPr>
  </w:style>
  <w:style w:type="paragraph" w:customStyle="1" w:styleId="155">
    <w:name w:val="_Style 2"/>
    <w:basedOn w:val="1"/>
    <w:qFormat/>
    <w:uiPriority w:val="0"/>
    <w:pPr>
      <w:adjustRightInd w:val="0"/>
      <w:snapToGrid w:val="0"/>
      <w:spacing w:line="360" w:lineRule="auto"/>
      <w:ind w:firstLine="200" w:firstLineChars="200"/>
      <w:jc w:val="center"/>
    </w:pPr>
    <w:rPr>
      <w:rFonts w:ascii="Calibri" w:hAnsi="Calibri" w:eastAsia="微软雅黑"/>
      <w:sz w:val="30"/>
    </w:rPr>
  </w:style>
  <w:style w:type="paragraph" w:customStyle="1" w:styleId="156">
    <w:name w:val="【正文】"/>
    <w:basedOn w:val="1"/>
    <w:qFormat/>
    <w:uiPriority w:val="0"/>
    <w:pPr>
      <w:spacing w:beforeAutospacing="1" w:afterAutospacing="1" w:line="360" w:lineRule="auto"/>
      <w:ind w:firstLine="200" w:firstLineChars="200"/>
      <w:contextualSpacing/>
    </w:pPr>
    <w:rPr>
      <w:rFonts w:ascii="Calibri" w:hAnsi="Calibri" w:cs="黑体"/>
      <w:sz w:val="24"/>
      <w:szCs w:val="22"/>
    </w:rPr>
  </w:style>
  <w:style w:type="paragraph" w:customStyle="1" w:styleId="157">
    <w:name w:val="样式 正文1 + 段前: 0.1 行"/>
    <w:basedOn w:val="1"/>
    <w:qFormat/>
    <w:uiPriority w:val="0"/>
    <w:pPr>
      <w:snapToGrid w:val="0"/>
      <w:spacing w:beforeLines="10" w:line="440" w:lineRule="atLeast"/>
      <w:ind w:firstLine="510"/>
    </w:pPr>
    <w:rPr>
      <w:sz w:val="24"/>
    </w:rPr>
  </w:style>
  <w:style w:type="paragraph" w:customStyle="1" w:styleId="158">
    <w:name w:val="图样式"/>
    <w:basedOn w:val="1"/>
    <w:qFormat/>
    <w:uiPriority w:val="0"/>
    <w:pPr>
      <w:keepNext/>
      <w:widowControl/>
      <w:autoSpaceDE w:val="0"/>
      <w:autoSpaceDN w:val="0"/>
      <w:adjustRightInd w:val="0"/>
      <w:spacing w:before="80" w:after="80" w:line="360" w:lineRule="auto"/>
      <w:jc w:val="center"/>
    </w:pPr>
    <w:rPr>
      <w:snapToGrid w:val="0"/>
      <w:kern w:val="0"/>
      <w:sz w:val="24"/>
      <w:szCs w:val="21"/>
    </w:rPr>
  </w:style>
  <w:style w:type="paragraph" w:customStyle="1" w:styleId="159">
    <w:name w:val="正文2"/>
    <w:basedOn w:val="1"/>
    <w:qFormat/>
    <w:uiPriority w:val="0"/>
    <w:pPr>
      <w:spacing w:before="156" w:line="360" w:lineRule="auto"/>
      <w:ind w:firstLine="510" w:firstLineChars="200"/>
    </w:pPr>
    <w:rPr>
      <w:sz w:val="24"/>
      <w:szCs w:val="20"/>
    </w:rPr>
  </w:style>
  <w:style w:type="paragraph" w:customStyle="1" w:styleId="160">
    <w:name w:val="列出段落1"/>
    <w:basedOn w:val="1"/>
    <w:qFormat/>
    <w:uiPriority w:val="0"/>
    <w:pPr>
      <w:ind w:firstLine="420" w:firstLineChars="200"/>
    </w:pPr>
    <w:rPr>
      <w:szCs w:val="21"/>
    </w:rPr>
  </w:style>
  <w:style w:type="paragraph" w:customStyle="1" w:styleId="161">
    <w:name w:val="表格文本"/>
    <w:qFormat/>
    <w:uiPriority w:val="0"/>
    <w:pPr>
      <w:tabs>
        <w:tab w:val="decimal" w:pos="0"/>
      </w:tabs>
    </w:pPr>
    <w:rPr>
      <w:rFonts w:ascii="Arial" w:hAnsi="Arial" w:eastAsia="宋体" w:cs="Times New Roman"/>
      <w:sz w:val="21"/>
      <w:szCs w:val="21"/>
      <w:lang w:val="en-US" w:eastAsia="zh-CN" w:bidi="ar-SA"/>
    </w:rPr>
  </w:style>
  <w:style w:type="paragraph" w:customStyle="1" w:styleId="162">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63">
    <w:name w:val="Char Char Char Char Char Char Char Char Char Char Char Char Char"/>
    <w:basedOn w:val="1"/>
    <w:qFormat/>
    <w:uiPriority w:val="0"/>
    <w:pPr>
      <w:tabs>
        <w:tab w:val="left" w:pos="432"/>
      </w:tabs>
      <w:ind w:left="432" w:hanging="432"/>
    </w:pPr>
    <w:rPr>
      <w:rFonts w:ascii="Tahoma" w:hAnsi="Tahoma"/>
      <w:sz w:val="24"/>
      <w:szCs w:val="20"/>
    </w:rPr>
  </w:style>
  <w:style w:type="paragraph" w:customStyle="1" w:styleId="164">
    <w:name w:val="6级标题"/>
    <w:basedOn w:val="1"/>
    <w:qFormat/>
    <w:uiPriority w:val="0"/>
    <w:pPr>
      <w:keepNext/>
      <w:spacing w:line="360" w:lineRule="auto"/>
      <w:ind w:left="1151" w:hanging="431"/>
      <w:jc w:val="center"/>
      <w:outlineLvl w:val="5"/>
    </w:pPr>
    <w:rPr>
      <w:rFonts w:ascii="黑体" w:hAnsi="宋体" w:eastAsia="微软雅黑"/>
      <w:b/>
      <w:bCs/>
      <w:sz w:val="24"/>
      <w:szCs w:val="52"/>
    </w:rPr>
  </w:style>
  <w:style w:type="paragraph" w:customStyle="1" w:styleId="165">
    <w:name w:val="f1"/>
    <w:basedOn w:val="1"/>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166">
    <w:name w:val="_Style 58"/>
    <w:basedOn w:val="1"/>
    <w:next w:val="136"/>
    <w:qFormat/>
    <w:uiPriority w:val="0"/>
    <w:pPr>
      <w:ind w:firstLine="420" w:firstLineChars="200"/>
    </w:pPr>
    <w:rPr>
      <w:rFonts w:ascii="Calibri" w:hAnsi="Calibri"/>
      <w:szCs w:val="22"/>
    </w:rPr>
  </w:style>
  <w:style w:type="paragraph" w:customStyle="1" w:styleId="167">
    <w:name w:val="Body text|1"/>
    <w:basedOn w:val="1"/>
    <w:qFormat/>
    <w:uiPriority w:val="0"/>
    <w:pPr>
      <w:autoSpaceDE w:val="0"/>
      <w:autoSpaceDN w:val="0"/>
      <w:adjustRightInd w:val="0"/>
      <w:spacing w:after="200" w:line="314" w:lineRule="auto"/>
      <w:jc w:val="left"/>
    </w:pPr>
    <w:rPr>
      <w:rFonts w:ascii="MingLiU" w:hAnsi="MingLiU" w:eastAsia="MingLiU" w:cs="MingLiU"/>
      <w:snapToGrid w:val="0"/>
      <w:color w:val="000963"/>
      <w:kern w:val="0"/>
      <w:sz w:val="19"/>
      <w:szCs w:val="19"/>
      <w:lang w:val="zh-TW" w:eastAsia="zh-TW" w:bidi="zh-TW"/>
    </w:rPr>
  </w:style>
  <w:style w:type="paragraph" w:customStyle="1" w:styleId="168">
    <w:name w:val="纯文本1"/>
    <w:basedOn w:val="1"/>
    <w:qFormat/>
    <w:uiPriority w:val="0"/>
    <w:pPr>
      <w:adjustRightInd w:val="0"/>
      <w:textAlignment w:val="baseline"/>
    </w:pPr>
    <w:rPr>
      <w:rFonts w:ascii="宋体" w:hAnsi="Courier New" w:eastAsia="楷体_GB2312"/>
      <w:sz w:val="26"/>
      <w:szCs w:val="20"/>
    </w:rPr>
  </w:style>
  <w:style w:type="paragraph" w:customStyle="1" w:styleId="169">
    <w:name w:val="编写建议"/>
    <w:basedOn w:val="1"/>
    <w:qFormat/>
    <w:uiPriority w:val="0"/>
    <w:pPr>
      <w:autoSpaceDE w:val="0"/>
      <w:autoSpaceDN w:val="0"/>
      <w:adjustRightInd w:val="0"/>
      <w:spacing w:line="360" w:lineRule="auto"/>
      <w:ind w:firstLine="420"/>
      <w:jc w:val="left"/>
    </w:pPr>
    <w:rPr>
      <w:rFonts w:ascii="Arial" w:hAnsi="Arial" w:cs="Arial"/>
      <w:i/>
      <w:snapToGrid w:val="0"/>
      <w:color w:val="0000FF"/>
      <w:kern w:val="0"/>
      <w:sz w:val="24"/>
      <w:szCs w:val="21"/>
    </w:rPr>
  </w:style>
  <w:style w:type="paragraph" w:customStyle="1" w:styleId="170">
    <w:name w:val="CM11"/>
    <w:basedOn w:val="65"/>
    <w:next w:val="65"/>
    <w:unhideWhenUsed/>
    <w:qFormat/>
    <w:uiPriority w:val="99"/>
    <w:pPr>
      <w:spacing w:line="520" w:lineRule="atLeast"/>
    </w:pPr>
  </w:style>
  <w:style w:type="paragraph" w:customStyle="1" w:styleId="171">
    <w:name w:val="正文11"/>
    <w:basedOn w:val="1"/>
    <w:next w:val="1"/>
    <w:qFormat/>
    <w:uiPriority w:val="0"/>
    <w:pPr>
      <w:spacing w:before="120" w:line="360" w:lineRule="auto"/>
      <w:ind w:left="420" w:firstLine="527"/>
    </w:pPr>
    <w:rPr>
      <w:rFonts w:ascii="宋体" w:hAnsi="宋体"/>
    </w:rPr>
  </w:style>
  <w:style w:type="paragraph" w:customStyle="1" w:styleId="172">
    <w:name w:val="_Style 54"/>
    <w:basedOn w:val="1"/>
    <w:qFormat/>
    <w:uiPriority w:val="0"/>
    <w:pPr>
      <w:adjustRightInd w:val="0"/>
      <w:snapToGrid w:val="0"/>
      <w:spacing w:line="360" w:lineRule="auto"/>
      <w:ind w:firstLine="420" w:firstLineChars="200"/>
    </w:pPr>
    <w:rPr>
      <w:rFonts w:ascii="Calibri" w:hAnsi="Calibri"/>
      <w:sz w:val="24"/>
    </w:rPr>
  </w:style>
  <w:style w:type="paragraph" w:customStyle="1" w:styleId="173">
    <w:name w:val="注示头"/>
    <w:basedOn w:val="1"/>
    <w:qFormat/>
    <w:uiPriority w:val="0"/>
    <w:pPr>
      <w:pBdr>
        <w:top w:val="single" w:color="000000" w:sz="4" w:space="1"/>
      </w:pBdr>
      <w:autoSpaceDE w:val="0"/>
      <w:autoSpaceDN w:val="0"/>
      <w:adjustRightInd w:val="0"/>
      <w:spacing w:line="360" w:lineRule="auto"/>
    </w:pPr>
    <w:rPr>
      <w:rFonts w:ascii="Arial" w:hAnsi="Arial" w:eastAsia="黑体"/>
      <w:snapToGrid w:val="0"/>
      <w:kern w:val="0"/>
      <w:sz w:val="18"/>
      <w:szCs w:val="21"/>
    </w:rPr>
  </w:style>
  <w:style w:type="paragraph" w:customStyle="1" w:styleId="174">
    <w:name w:val="5级标题"/>
    <w:basedOn w:val="1"/>
    <w:qFormat/>
    <w:uiPriority w:val="0"/>
    <w:pPr>
      <w:keepNext/>
      <w:ind w:left="148" w:leftChars="-52" w:right="-7" w:rightChars="-7" w:hanging="200" w:hangingChars="200"/>
      <w:jc w:val="left"/>
      <w:outlineLvl w:val="4"/>
    </w:pPr>
    <w:rPr>
      <w:rFonts w:ascii="宋体" w:hAnsi="宋体"/>
      <w:bCs/>
      <w:sz w:val="24"/>
      <w:szCs w:val="30"/>
    </w:rPr>
  </w:style>
  <w:style w:type="paragraph" w:customStyle="1" w:styleId="175">
    <w:name w:val="表内文字"/>
    <w:basedOn w:val="1"/>
    <w:qFormat/>
    <w:uiPriority w:val="0"/>
    <w:pPr>
      <w:jc w:val="center"/>
    </w:pPr>
    <w:rPr>
      <w:rFonts w:ascii="仿宋_GB2312" w:eastAsia="仿宋_GB2312"/>
      <w:sz w:val="24"/>
    </w:rPr>
  </w:style>
  <w:style w:type="paragraph" w:customStyle="1" w:styleId="176">
    <w:name w:val="Char Char9 Char Char"/>
    <w:basedOn w:val="1"/>
    <w:qFormat/>
    <w:uiPriority w:val="0"/>
    <w:pPr>
      <w:tabs>
        <w:tab w:val="left" w:pos="360"/>
      </w:tabs>
    </w:pPr>
  </w:style>
  <w:style w:type="paragraph" w:customStyle="1" w:styleId="177">
    <w:name w:val="纯文本11"/>
    <w:basedOn w:val="1"/>
    <w:qFormat/>
    <w:uiPriority w:val="0"/>
    <w:pPr>
      <w:adjustRightInd w:val="0"/>
      <w:textAlignment w:val="baseline"/>
    </w:pPr>
    <w:rPr>
      <w:rFonts w:ascii="宋体" w:hAnsi="Courier New" w:eastAsia="楷体_GB2312"/>
      <w:sz w:val="26"/>
      <w:szCs w:val="20"/>
    </w:rPr>
  </w:style>
  <w:style w:type="paragraph" w:customStyle="1" w:styleId="178">
    <w:name w:val="正文（首行不缩进）"/>
    <w:basedOn w:val="1"/>
    <w:qFormat/>
    <w:uiPriority w:val="0"/>
    <w:pPr>
      <w:autoSpaceDE w:val="0"/>
      <w:autoSpaceDN w:val="0"/>
      <w:adjustRightInd w:val="0"/>
      <w:spacing w:line="360" w:lineRule="auto"/>
      <w:jc w:val="left"/>
    </w:pPr>
    <w:rPr>
      <w:snapToGrid w:val="0"/>
      <w:kern w:val="0"/>
      <w:sz w:val="24"/>
      <w:szCs w:val="21"/>
    </w:rPr>
  </w:style>
  <w:style w:type="paragraph" w:customStyle="1" w:styleId="179">
    <w:name w:val="封面标题"/>
    <w:qFormat/>
    <w:uiPriority w:val="0"/>
    <w:pPr>
      <w:spacing w:beforeLines="500" w:afterLines="300"/>
      <w:jc w:val="center"/>
    </w:pPr>
    <w:rPr>
      <w:rFonts w:ascii="Times New Roman" w:hAnsi="Times New Roman" w:eastAsia="黑体" w:cs="Times New Roman"/>
      <w:b/>
      <w:kern w:val="2"/>
      <w:sz w:val="52"/>
      <w:szCs w:val="22"/>
      <w:lang w:val="en-US" w:eastAsia="zh-CN" w:bidi="ar-SA"/>
    </w:rPr>
  </w:style>
  <w:style w:type="paragraph" w:customStyle="1" w:styleId="180">
    <w:name w:val="列出段落11"/>
    <w:basedOn w:val="1"/>
    <w:qFormat/>
    <w:uiPriority w:val="0"/>
    <w:pPr>
      <w:ind w:firstLine="420" w:firstLineChars="200"/>
    </w:pPr>
    <w:rPr>
      <w:rFonts w:ascii="Calibri" w:hAnsi="Calibri"/>
      <w:szCs w:val="20"/>
    </w:rPr>
  </w:style>
  <w:style w:type="paragraph" w:customStyle="1" w:styleId="181">
    <w:name w:val="FBY-表格文字"/>
    <w:basedOn w:val="1"/>
    <w:qFormat/>
    <w:uiPriority w:val="99"/>
    <w:pPr>
      <w:adjustRightInd w:val="0"/>
      <w:jc w:val="left"/>
      <w:textAlignment w:val="top"/>
    </w:pPr>
    <w:rPr>
      <w:szCs w:val="20"/>
    </w:rPr>
  </w:style>
  <w:style w:type="paragraph" w:customStyle="1" w:styleId="182">
    <w:name w:val="默认段落字体 Para Char Char Char Char Char Char Char Char Char1 Char Char Char Char"/>
    <w:basedOn w:val="1"/>
    <w:qFormat/>
    <w:uiPriority w:val="0"/>
    <w:rPr>
      <w:rFonts w:ascii="Tahoma" w:hAnsi="Tahoma"/>
      <w:sz w:val="24"/>
      <w:szCs w:val="20"/>
    </w:rPr>
  </w:style>
  <w:style w:type="paragraph" w:customStyle="1" w:styleId="183">
    <w:name w:val="文档标题"/>
    <w:basedOn w:val="1"/>
    <w:qFormat/>
    <w:uiPriority w:val="0"/>
    <w:pPr>
      <w:tabs>
        <w:tab w:val="left" w:pos="0"/>
      </w:tabs>
      <w:autoSpaceDE w:val="0"/>
      <w:autoSpaceDN w:val="0"/>
      <w:adjustRightInd w:val="0"/>
      <w:spacing w:before="300" w:after="300" w:line="360" w:lineRule="auto"/>
      <w:jc w:val="center"/>
    </w:pPr>
    <w:rPr>
      <w:rFonts w:ascii="Arial" w:hAnsi="Arial" w:eastAsia="黑体"/>
      <w:snapToGrid w:val="0"/>
      <w:kern w:val="0"/>
      <w:sz w:val="36"/>
      <w:szCs w:val="36"/>
    </w:rPr>
  </w:style>
  <w:style w:type="paragraph" w:customStyle="1" w:styleId="184">
    <w:name w:val="1 Char Char Char Char"/>
    <w:basedOn w:val="1"/>
    <w:qFormat/>
    <w:uiPriority w:val="0"/>
    <w:rPr>
      <w:rFonts w:ascii="Tahoma" w:hAnsi="Tahoma"/>
      <w:sz w:val="24"/>
      <w:szCs w:val="20"/>
    </w:rPr>
  </w:style>
  <w:style w:type="paragraph" w:customStyle="1" w:styleId="185">
    <w:name w:val="默认段落字体 Para Char Char Char Char"/>
    <w:basedOn w:val="1"/>
    <w:qFormat/>
    <w:uiPriority w:val="0"/>
    <w:rPr>
      <w:rFonts w:ascii="Arial" w:hAnsi="Arial" w:cs="Arial"/>
      <w:szCs w:val="21"/>
    </w:rPr>
  </w:style>
  <w:style w:type="paragraph" w:customStyle="1" w:styleId="186">
    <w:name w:val="注示文本"/>
    <w:basedOn w:val="1"/>
    <w:qFormat/>
    <w:uiPriority w:val="0"/>
    <w:pPr>
      <w:pBdr>
        <w:bottom w:val="single" w:color="000000" w:sz="4" w:space="1"/>
      </w:pBdr>
      <w:autoSpaceDE w:val="0"/>
      <w:autoSpaceDN w:val="0"/>
      <w:adjustRightInd w:val="0"/>
      <w:spacing w:line="360" w:lineRule="auto"/>
      <w:ind w:firstLine="360"/>
    </w:pPr>
    <w:rPr>
      <w:rFonts w:ascii="Arial" w:hAnsi="Arial" w:eastAsia="楷体_GB2312"/>
      <w:snapToGrid w:val="0"/>
      <w:kern w:val="0"/>
      <w:sz w:val="18"/>
      <w:szCs w:val="18"/>
    </w:rPr>
  </w:style>
  <w:style w:type="paragraph" w:customStyle="1" w:styleId="187">
    <w:name w:val="插图题注"/>
    <w:next w:val="1"/>
    <w:qFormat/>
    <w:uiPriority w:val="0"/>
    <w:pPr>
      <w:spacing w:afterLines="100"/>
      <w:ind w:left="1089" w:hanging="369"/>
      <w:jc w:val="center"/>
    </w:pPr>
    <w:rPr>
      <w:rFonts w:ascii="Arial" w:hAnsi="Arial" w:eastAsia="宋体" w:cs="Times New Roman"/>
      <w:sz w:val="18"/>
      <w:szCs w:val="18"/>
      <w:lang w:val="en-US" w:eastAsia="zh-CN" w:bidi="ar-SA"/>
    </w:rPr>
  </w:style>
  <w:style w:type="paragraph" w:customStyle="1" w:styleId="188">
    <w:name w:val="TOC 标题11"/>
    <w:basedOn w:val="2"/>
    <w:next w:val="1"/>
    <w:unhideWhenUsed/>
    <w:qFormat/>
    <w:uiPriority w:val="39"/>
    <w:pPr>
      <w:widowControl/>
      <w:spacing w:beforeLines="100" w:afterLines="100" w:line="259" w:lineRule="auto"/>
      <w:jc w:val="left"/>
      <w:outlineLvl w:val="9"/>
    </w:pPr>
    <w:rPr>
      <w:rFonts w:ascii="Cambria" w:hAnsi="Cambria"/>
      <w:b w:val="0"/>
      <w:bCs w:val="0"/>
      <w:color w:val="365F91"/>
      <w:kern w:val="0"/>
      <w:sz w:val="32"/>
      <w:szCs w:val="32"/>
    </w:rPr>
  </w:style>
  <w:style w:type="paragraph" w:customStyle="1" w:styleId="189">
    <w:name w:val="表格题注"/>
    <w:next w:val="1"/>
    <w:qFormat/>
    <w:uiPriority w:val="0"/>
    <w:pPr>
      <w:keepLines/>
      <w:spacing w:beforeLines="100"/>
      <w:ind w:left="1089" w:hanging="369"/>
      <w:jc w:val="center"/>
    </w:pPr>
    <w:rPr>
      <w:rFonts w:ascii="Arial" w:hAnsi="Arial" w:eastAsia="宋体" w:cs="Times New Roman"/>
      <w:sz w:val="18"/>
      <w:szCs w:val="18"/>
      <w:lang w:val="en-US" w:eastAsia="zh-CN" w:bidi="ar-SA"/>
    </w:rPr>
  </w:style>
  <w:style w:type="table" w:customStyle="1" w:styleId="190">
    <w:name w:val="表样式"/>
    <w:basedOn w:val="52"/>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style>
  <w:style w:type="table" w:customStyle="1" w:styleId="191">
    <w:name w:val="浅色列表1"/>
    <w:basedOn w:val="5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table" w:customStyle="1" w:styleId="192">
    <w:name w:val="Table Normal"/>
    <w:qFormat/>
    <w:uiPriority w:val="0"/>
    <w:tblPr>
      <w:tblCellMar>
        <w:top w:w="0" w:type="dxa"/>
        <w:left w:w="0" w:type="dxa"/>
        <w:bottom w:w="0" w:type="dxa"/>
        <w:right w:w="0" w:type="dxa"/>
      </w:tblCellMar>
    </w:tblPr>
  </w:style>
  <w:style w:type="paragraph" w:customStyle="1" w:styleId="193">
    <w:name w:val="122222222"/>
    <w:basedOn w:val="14"/>
    <w:qFormat/>
    <w:uiPriority w:val="0"/>
    <w:pPr>
      <w:autoSpaceDE w:val="0"/>
      <w:autoSpaceDN w:val="0"/>
      <w:adjustRightInd w:val="0"/>
      <w:spacing w:line="360" w:lineRule="auto"/>
      <w:ind w:firstLine="552" w:firstLineChars="197"/>
      <w:textAlignment w:val="baseline"/>
    </w:pPr>
    <w:rPr>
      <w:rFonts w:ascii="Calibri" w:hAnsi="Calibri"/>
      <w:color w:val="000000"/>
    </w:rPr>
  </w:style>
  <w:style w:type="character" w:customStyle="1" w:styleId="194">
    <w:name w:val="无间隔 字符"/>
    <w:link w:val="195"/>
    <w:qFormat/>
    <w:uiPriority w:val="1"/>
    <w:rPr>
      <w:kern w:val="2"/>
      <w:sz w:val="21"/>
      <w:szCs w:val="22"/>
    </w:rPr>
  </w:style>
  <w:style w:type="paragraph" w:styleId="195">
    <w:name w:val="No Spacing"/>
    <w:link w:val="194"/>
    <w:qFormat/>
    <w:uiPriority w:val="1"/>
    <w:pPr>
      <w:widowControl w:val="0"/>
    </w:pPr>
    <w:rPr>
      <w:rFonts w:ascii="Times New Roman" w:hAnsi="Times New Roman" w:eastAsia="宋体" w:cs="Times New Roman"/>
      <w:kern w:val="2"/>
      <w:sz w:val="21"/>
      <w:szCs w:val="22"/>
      <w:lang w:val="en-US" w:eastAsia="zh-CN" w:bidi="ar-SA"/>
    </w:rPr>
  </w:style>
  <w:style w:type="character" w:customStyle="1" w:styleId="196">
    <w:name w:val="表格文字 Char"/>
    <w:link w:val="67"/>
    <w:qFormat/>
    <w:uiPriority w:val="0"/>
    <w:rPr>
      <w:kern w:val="2"/>
      <w:sz w:val="18"/>
      <w:szCs w:val="24"/>
    </w:rPr>
  </w:style>
  <w:style w:type="paragraph" w:customStyle="1" w:styleId="197">
    <w:name w:val="样式1"/>
    <w:basedOn w:val="2"/>
    <w:link w:val="198"/>
    <w:qFormat/>
    <w:uiPriority w:val="0"/>
    <w:pPr>
      <w:spacing w:line="240" w:lineRule="auto"/>
    </w:pPr>
    <w:rPr>
      <w:rFonts w:ascii="宋体" w:hAnsi="宋体" w:cstheme="minorBidi"/>
      <w:sz w:val="24"/>
    </w:rPr>
  </w:style>
  <w:style w:type="character" w:customStyle="1" w:styleId="198">
    <w:name w:val="样式1 字符"/>
    <w:basedOn w:val="71"/>
    <w:link w:val="197"/>
    <w:qFormat/>
    <w:uiPriority w:val="0"/>
    <w:rPr>
      <w:rFonts w:ascii="宋体" w:hAnsi="宋体" w:cstheme="minorBidi"/>
      <w:kern w:val="44"/>
      <w:sz w:val="24"/>
      <w:szCs w:val="44"/>
    </w:rPr>
  </w:style>
  <w:style w:type="paragraph" w:customStyle="1" w:styleId="199">
    <w:name w:val="样式2"/>
    <w:basedOn w:val="3"/>
    <w:next w:val="1"/>
    <w:link w:val="200"/>
    <w:qFormat/>
    <w:uiPriority w:val="0"/>
    <w:pPr>
      <w:keepLines/>
      <w:adjustRightInd/>
      <w:snapToGrid/>
      <w:spacing w:before="260" w:after="260" w:line="240" w:lineRule="auto"/>
      <w:jc w:val="both"/>
      <w:textAlignment w:val="auto"/>
    </w:pPr>
    <w:rPr>
      <w:rFonts w:eastAsia="宋体" w:asciiTheme="majorHAnsi" w:hAnsiTheme="majorHAnsi" w:cstheme="majorBidi"/>
      <w:kern w:val="2"/>
      <w:sz w:val="24"/>
      <w:szCs w:val="32"/>
    </w:rPr>
  </w:style>
  <w:style w:type="character" w:customStyle="1" w:styleId="200">
    <w:name w:val="样式2 字符"/>
    <w:basedOn w:val="70"/>
    <w:link w:val="199"/>
    <w:qFormat/>
    <w:uiPriority w:val="0"/>
    <w:rPr>
      <w:rFonts w:eastAsia="仿宋_GB2312" w:asciiTheme="majorHAnsi" w:hAnsiTheme="majorHAnsi" w:cstheme="majorBidi"/>
      <w:bCs/>
      <w:kern w:val="2"/>
      <w:sz w:val="24"/>
      <w:szCs w:val="32"/>
    </w:rPr>
  </w:style>
  <w:style w:type="paragraph" w:customStyle="1" w:styleId="201">
    <w:name w:val="样式3"/>
    <w:basedOn w:val="29"/>
    <w:next w:val="1"/>
    <w:link w:val="202"/>
    <w:qFormat/>
    <w:uiPriority w:val="0"/>
    <w:pPr>
      <w:spacing w:line="240" w:lineRule="auto"/>
      <w:ind w:firstLine="0" w:firstLineChars="0"/>
    </w:pPr>
    <w:rPr>
      <w:rFonts w:ascii="宋体" w:hAnsi="宋体" w:eastAsia="宋体" w:cstheme="minorBidi"/>
      <w:sz w:val="24"/>
      <w:szCs w:val="32"/>
    </w:rPr>
  </w:style>
  <w:style w:type="character" w:customStyle="1" w:styleId="202">
    <w:name w:val="样式3 字符"/>
    <w:basedOn w:val="73"/>
    <w:link w:val="201"/>
    <w:qFormat/>
    <w:uiPriority w:val="0"/>
    <w:rPr>
      <w:rFonts w:ascii="宋体" w:hAnsi="宋体" w:eastAsia="仿宋_GB2312" w:cstheme="minorBidi"/>
      <w:kern w:val="2"/>
      <w:sz w:val="24"/>
      <w:szCs w:val="32"/>
    </w:rPr>
  </w:style>
  <w:style w:type="paragraph" w:customStyle="1" w:styleId="203">
    <w:name w:val="正文_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4">
    <w:name w:val="正文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5">
    <w:name w:val="正文缩进2格"/>
    <w:basedOn w:val="1"/>
    <w:qFormat/>
    <w:uiPriority w:val="0"/>
    <w:pPr>
      <w:widowControl/>
      <w:spacing w:line="600" w:lineRule="exact"/>
      <w:ind w:firstLine="639" w:firstLineChars="206"/>
      <w:jc w:val="left"/>
    </w:pPr>
    <w:rPr>
      <w:rFonts w:ascii="仿宋_GB2312" w:hAnsi="宋体" w:eastAsia="仿宋_GB2312"/>
      <w:kern w:val="0"/>
      <w:sz w:val="31"/>
      <w:szCs w:val="28"/>
    </w:rPr>
  </w:style>
  <w:style w:type="character" w:customStyle="1" w:styleId="206">
    <w:name w:val="日期 Char3"/>
    <w:qFormat/>
    <w:uiPriority w:val="0"/>
    <w:rPr>
      <w:rFonts w:eastAsia="仿宋_GB2312" w:cs="Times New Roman"/>
      <w:kern w:val="2"/>
      <w:sz w:val="28"/>
      <w:lang w:val="en-US" w:eastAsia="zh-CN" w:bidi="ar-SA"/>
    </w:rPr>
  </w:style>
  <w:style w:type="character" w:customStyle="1" w:styleId="207">
    <w:name w:val="纯文本 Char2"/>
    <w:qFormat/>
    <w:locked/>
    <w:uiPriority w:val="0"/>
    <w:rPr>
      <w:rFonts w:ascii="宋体" w:hAnsi="Courier New" w:cs="Courier New"/>
      <w:szCs w:val="21"/>
    </w:rPr>
  </w:style>
  <w:style w:type="paragraph" w:customStyle="1" w:styleId="208">
    <w:name w:val="Char Char Char Char"/>
    <w:basedOn w:val="1"/>
    <w:qFormat/>
    <w:uiPriority w:val="99"/>
    <w:pPr>
      <w:widowControl/>
      <w:jc w:val="left"/>
    </w:pPr>
    <w:rPr>
      <w:rFonts w:ascii="Calibri" w:hAnsi="Calibri" w:cs="宋体"/>
      <w:kern w:val="0"/>
      <w:sz w:val="24"/>
    </w:rPr>
  </w:style>
  <w:style w:type="character" w:customStyle="1" w:styleId="209">
    <w:name w:val="NormalCharacter"/>
    <w:qFormat/>
    <w:uiPriority w:val="0"/>
    <w:rPr>
      <w:rFonts w:ascii="Calibri" w:hAnsi="Calibri" w:eastAsia="宋体"/>
    </w:rPr>
  </w:style>
  <w:style w:type="paragraph" w:customStyle="1" w:styleId="210">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211">
    <w:name w:val="Table Paragraph"/>
    <w:basedOn w:val="1"/>
    <w:qFormat/>
    <w:uiPriority w:val="1"/>
    <w:rPr>
      <w:rFonts w:ascii="宋体" w:hAnsi="宋体" w:cs="宋体"/>
      <w:sz w:val="24"/>
      <w:lang w:val="zh-CN" w:bidi="zh-CN"/>
    </w:rPr>
  </w:style>
  <w:style w:type="paragraph" w:customStyle="1" w:styleId="212">
    <w:name w:val="CM13"/>
    <w:basedOn w:val="65"/>
    <w:next w:val="65"/>
    <w:unhideWhenUsed/>
    <w:qFormat/>
    <w:uiPriority w:val="99"/>
    <w:pPr>
      <w:spacing w:line="520" w:lineRule="atLeast"/>
    </w:pPr>
  </w:style>
  <w:style w:type="paragraph" w:customStyle="1" w:styleId="213">
    <w:name w:val="msolistparagraph"/>
    <w:basedOn w:val="1"/>
    <w:qFormat/>
    <w:uiPriority w:val="0"/>
    <w:pPr>
      <w:ind w:firstLine="420" w:firstLineChars="200"/>
    </w:pPr>
  </w:style>
  <w:style w:type="character" w:customStyle="1" w:styleId="214">
    <w:name w:val="font71"/>
    <w:basedOn w:val="55"/>
    <w:qFormat/>
    <w:uiPriority w:val="0"/>
    <w:rPr>
      <w:rFonts w:hint="eastAsia" w:ascii="宋体" w:hAnsi="宋体" w:eastAsia="宋体" w:cs="宋体"/>
      <w:color w:val="000000"/>
      <w:sz w:val="18"/>
      <w:szCs w:val="18"/>
      <w:u w:val="none"/>
    </w:rPr>
  </w:style>
  <w:style w:type="character" w:customStyle="1" w:styleId="215">
    <w:name w:val="font31"/>
    <w:basedOn w:val="55"/>
    <w:qFormat/>
    <w:uiPriority w:val="0"/>
    <w:rPr>
      <w:rFonts w:hint="default" w:ascii="Helvetica" w:hAnsi="Helvetica" w:eastAsia="Helvetica" w:cs="Helvetica"/>
      <w:b/>
      <w:bCs/>
      <w:color w:val="000000"/>
      <w:sz w:val="18"/>
      <w:szCs w:val="18"/>
      <w:u w:val="none"/>
    </w:rPr>
  </w:style>
  <w:style w:type="character" w:customStyle="1" w:styleId="216">
    <w:name w:val="font41"/>
    <w:basedOn w:val="55"/>
    <w:qFormat/>
    <w:uiPriority w:val="0"/>
    <w:rPr>
      <w:rFonts w:hint="eastAsia" w:ascii="宋体" w:hAnsi="宋体" w:eastAsia="宋体" w:cs="宋体"/>
      <w:b/>
      <w:bCs/>
      <w:color w:val="000000"/>
      <w:sz w:val="18"/>
      <w:szCs w:val="18"/>
      <w:u w:val="none"/>
    </w:rPr>
  </w:style>
  <w:style w:type="paragraph" w:customStyle="1" w:styleId="217">
    <w:name w:val="纯文本_0"/>
    <w:basedOn w:val="1"/>
    <w:qFormat/>
    <w:uiPriority w:val="0"/>
    <w:pPr>
      <w:spacing w:before="50" w:after="50"/>
    </w:pPr>
    <w:rPr>
      <w:rFonts w:ascii="宋体" w:hAnsi="Courier New"/>
      <w:kern w:val="0"/>
      <w:sz w:val="20"/>
      <w:szCs w:val="20"/>
    </w:rPr>
  </w:style>
  <w:style w:type="paragraph" w:customStyle="1" w:styleId="218">
    <w:name w:val="BodyText1I2"/>
    <w:basedOn w:val="219"/>
    <w:qFormat/>
    <w:uiPriority w:val="0"/>
    <w:pPr>
      <w:ind w:firstLine="420" w:firstLineChars="200"/>
    </w:pPr>
    <w:rPr>
      <w:rFonts w:ascii="仿宋_GB2312"/>
    </w:rPr>
  </w:style>
  <w:style w:type="paragraph" w:customStyle="1" w:styleId="219">
    <w:name w:val="BodyTextIndent"/>
    <w:basedOn w:val="1"/>
    <w:qFormat/>
    <w:uiPriority w:val="0"/>
    <w:pPr>
      <w:ind w:firstLine="645"/>
      <w:textAlignment w:val="baseline"/>
    </w:pPr>
  </w:style>
  <w:style w:type="paragraph" w:customStyle="1" w:styleId="220">
    <w:name w:val="样式 仿宋_GB2312 四号 居中"/>
    <w:basedOn w:val="1"/>
    <w:qFormat/>
    <w:uiPriority w:val="0"/>
    <w:pPr>
      <w:jc w:val="center"/>
    </w:pPr>
    <w:rPr>
      <w:rFonts w:ascii="仿宋_GB2312" w:hAnsi="仿宋_GB2312" w:eastAsia="Times New Roman" w:cs="宋体"/>
      <w:sz w:val="24"/>
      <w:szCs w:val="20"/>
    </w:rPr>
  </w:style>
  <w:style w:type="paragraph" w:customStyle="1" w:styleId="221">
    <w:name w:val="1正文"/>
    <w:basedOn w:val="1"/>
    <w:qFormat/>
    <w:uiPriority w:val="0"/>
    <w:rPr>
      <w:rFonts w:ascii="宋体" w:hAnsi="宋体"/>
      <w:color w:val="000000"/>
      <w:sz w:val="15"/>
      <w:szCs w:val="14"/>
    </w:rPr>
  </w:style>
  <w:style w:type="paragraph" w:customStyle="1" w:styleId="222">
    <w:name w:val="样式 标题 1 + 四号 加粗"/>
    <w:basedOn w:val="2"/>
    <w:qFormat/>
    <w:uiPriority w:val="0"/>
    <w:pPr>
      <w:jc w:val="left"/>
    </w:pPr>
    <w:rPr>
      <w:rFonts w:ascii="宋体" w:hAnsi="宋体" w:eastAsia="宋体"/>
      <w:kern w:val="2"/>
      <w:sz w:val="28"/>
      <w:szCs w:val="28"/>
    </w:rPr>
  </w:style>
  <w:style w:type="paragraph" w:customStyle="1" w:styleId="223">
    <w:name w:val="正文文本 (3)1"/>
    <w:basedOn w:val="1"/>
    <w:qFormat/>
    <w:uiPriority w:val="0"/>
    <w:pPr>
      <w:shd w:val="clear" w:color="auto" w:fill="FFFFFF"/>
      <w:spacing w:line="608" w:lineRule="exact"/>
      <w:jc w:val="right"/>
    </w:pPr>
    <w:rPr>
      <w:rFonts w:ascii="MingLiU" w:hAnsi="MingLiU" w:eastAsia="MingLiU" w:cs="MingLiU"/>
      <w:sz w:val="34"/>
      <w:szCs w:val="34"/>
    </w:rPr>
  </w:style>
  <w:style w:type="paragraph" w:customStyle="1" w:styleId="224">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56</Pages>
  <Words>18753</Words>
  <Characters>19667</Characters>
  <Lines>240</Lines>
  <Paragraphs>67</Paragraphs>
  <TotalTime>33</TotalTime>
  <ScaleCrop>false</ScaleCrop>
  <LinksUpToDate>false</LinksUpToDate>
  <CharactersWithSpaces>20001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2022-06-23T11:02:00Z</dcterms:created>
  <dc:creator>微软用户</dc:creator>
  <cp:lastModifiedBy>夕</cp:lastModifiedBy>
  <cp:lastPrinted>2022-10-06T16:29:00Z</cp:lastPrinted>
  <dcterms:modified xsi:type="dcterms:W3CDTF">2026-04-09T06:27:22Z</dcterms:modified>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0FEF2729CC6B42E29DC437C5B0F7E058_13</vt:lpwstr>
  </property>
  <property fmtid="{D5CDD505-2E9C-101B-9397-08002B2CF9AE}" pid="4" name="KSOTemplateDocerSaveRecord">
    <vt:lpwstr>eyJoZGlkIjoiYzI2NjZlYzliOTZlMzhmN2QyODMxMjQ1OWRkMjExZDIiLCJ1c2VySWQiOiI4MDU0OTMyMTIifQ==</vt:lpwstr>
  </property>
</Properties>
</file>