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E29B7">
      <w:pPr>
        <w:spacing w:line="360" w:lineRule="auto"/>
        <w:jc w:val="center"/>
        <w:rPr>
          <w:b/>
          <w:color w:val="auto"/>
          <w:sz w:val="52"/>
          <w:szCs w:val="52"/>
          <w:highlight w:val="none"/>
        </w:rPr>
      </w:pPr>
    </w:p>
    <w:p w14:paraId="4C7EEBD8">
      <w:pPr>
        <w:spacing w:line="360" w:lineRule="auto"/>
        <w:jc w:val="center"/>
        <w:rPr>
          <w:rFonts w:hint="eastAsia" w:eastAsia="宋体"/>
          <w:color w:val="auto"/>
          <w:sz w:val="52"/>
          <w:szCs w:val="52"/>
          <w:highlight w:val="none"/>
          <w:lang w:eastAsia="zh-CN"/>
        </w:rPr>
      </w:pPr>
      <w:r>
        <w:rPr>
          <w:rFonts w:hint="eastAsia"/>
          <w:b/>
          <w:color w:val="auto"/>
          <w:sz w:val="48"/>
          <w:szCs w:val="48"/>
          <w:highlight w:val="none"/>
          <w:lang w:eastAsia="zh-CN"/>
        </w:rPr>
        <w:t>昆明市盘龙区滇源中心学校采购2026年保安服务</w:t>
      </w:r>
    </w:p>
    <w:p w14:paraId="485FB767">
      <w:pPr>
        <w:pStyle w:val="19"/>
        <w:rPr>
          <w:color w:val="auto"/>
          <w:highlight w:val="none"/>
        </w:rPr>
      </w:pPr>
    </w:p>
    <w:p w14:paraId="3E6D2473">
      <w:pPr>
        <w:spacing w:line="360" w:lineRule="auto"/>
        <w:rPr>
          <w:color w:val="auto"/>
          <w:highlight w:val="none"/>
        </w:rPr>
      </w:pPr>
    </w:p>
    <w:p w14:paraId="7147FD4A">
      <w:pPr>
        <w:spacing w:line="360" w:lineRule="auto"/>
        <w:rPr>
          <w:color w:val="auto"/>
          <w:highlight w:val="none"/>
        </w:rPr>
      </w:pPr>
    </w:p>
    <w:p w14:paraId="59C3B3BF">
      <w:pPr>
        <w:spacing w:line="360" w:lineRule="auto"/>
        <w:rPr>
          <w:color w:val="auto"/>
          <w:highlight w:val="none"/>
        </w:rPr>
      </w:pPr>
    </w:p>
    <w:p w14:paraId="2E970F7C">
      <w:pPr>
        <w:pStyle w:val="7"/>
        <w:rPr>
          <w:color w:val="auto"/>
          <w:highlight w:val="none"/>
        </w:rPr>
      </w:pPr>
    </w:p>
    <w:p w14:paraId="3E2D277B">
      <w:pPr>
        <w:spacing w:line="360" w:lineRule="auto"/>
        <w:rPr>
          <w:color w:val="auto"/>
          <w:highlight w:val="none"/>
        </w:rPr>
      </w:pPr>
    </w:p>
    <w:p w14:paraId="3C4032F3">
      <w:pPr>
        <w:spacing w:line="360" w:lineRule="auto"/>
        <w:jc w:val="center"/>
        <w:rPr>
          <w:rFonts w:ascii="方正小标宋简体" w:eastAsia="方正小标宋简体"/>
          <w:color w:val="auto"/>
          <w:sz w:val="52"/>
          <w:szCs w:val="52"/>
          <w:highlight w:val="none"/>
        </w:rPr>
      </w:pPr>
      <w:r>
        <w:rPr>
          <w:rFonts w:hint="eastAsia"/>
          <w:b/>
          <w:color w:val="auto"/>
          <w:sz w:val="52"/>
          <w:szCs w:val="52"/>
          <w:highlight w:val="none"/>
        </w:rPr>
        <w:t>竞争性磋商文件</w:t>
      </w:r>
    </w:p>
    <w:p w14:paraId="5979C3D4">
      <w:pPr>
        <w:spacing w:line="360" w:lineRule="auto"/>
        <w:jc w:val="center"/>
        <w:rPr>
          <w:b/>
          <w:color w:val="auto"/>
          <w:sz w:val="28"/>
          <w:highlight w:val="none"/>
        </w:rPr>
      </w:pPr>
      <w:r>
        <w:rPr>
          <w:rFonts w:hint="eastAsia"/>
          <w:b/>
          <w:color w:val="auto"/>
          <w:sz w:val="28"/>
          <w:highlight w:val="none"/>
        </w:rPr>
        <w:t>项目编号：</w:t>
      </w:r>
      <w:r>
        <w:rPr>
          <w:rFonts w:hint="eastAsia" w:asciiTheme="minorEastAsia" w:hAnsiTheme="minorEastAsia" w:eastAsiaTheme="minorEastAsia"/>
          <w:b/>
          <w:color w:val="auto"/>
          <w:sz w:val="28"/>
          <w:highlight w:val="none"/>
          <w:lang w:eastAsia="zh-CN"/>
        </w:rPr>
        <w:t>YNYX-2026-0293</w:t>
      </w:r>
      <w:r>
        <w:rPr>
          <w:rFonts w:hint="eastAsia"/>
          <w:b/>
          <w:color w:val="auto"/>
          <w:sz w:val="28"/>
          <w:highlight w:val="none"/>
        </w:rPr>
        <w:t xml:space="preserve"> </w:t>
      </w:r>
    </w:p>
    <w:p w14:paraId="1CB19BF3">
      <w:pPr>
        <w:spacing w:line="360" w:lineRule="auto"/>
        <w:rPr>
          <w:color w:val="auto"/>
          <w:highlight w:val="none"/>
        </w:rPr>
      </w:pPr>
    </w:p>
    <w:p w14:paraId="29144E0E">
      <w:pPr>
        <w:spacing w:line="360" w:lineRule="auto"/>
        <w:rPr>
          <w:color w:val="auto"/>
          <w:highlight w:val="none"/>
        </w:rPr>
      </w:pPr>
    </w:p>
    <w:p w14:paraId="7C1682FC">
      <w:pPr>
        <w:spacing w:line="360" w:lineRule="auto"/>
        <w:rPr>
          <w:color w:val="auto"/>
          <w:highlight w:val="none"/>
        </w:rPr>
      </w:pPr>
    </w:p>
    <w:p w14:paraId="56D60B08">
      <w:pPr>
        <w:spacing w:line="360" w:lineRule="auto"/>
        <w:rPr>
          <w:color w:val="auto"/>
          <w:highlight w:val="none"/>
        </w:rPr>
      </w:pPr>
    </w:p>
    <w:p w14:paraId="24E5255A">
      <w:pPr>
        <w:spacing w:line="360" w:lineRule="auto"/>
        <w:rPr>
          <w:color w:val="auto"/>
          <w:highlight w:val="none"/>
        </w:rPr>
      </w:pPr>
    </w:p>
    <w:p w14:paraId="60743373">
      <w:pPr>
        <w:pStyle w:val="7"/>
        <w:rPr>
          <w:color w:val="auto"/>
          <w:highlight w:val="none"/>
        </w:rPr>
      </w:pPr>
    </w:p>
    <w:p w14:paraId="5DB9B6CB">
      <w:pPr>
        <w:pStyle w:val="7"/>
        <w:rPr>
          <w:color w:val="auto"/>
          <w:highlight w:val="none"/>
        </w:rPr>
      </w:pPr>
    </w:p>
    <w:p w14:paraId="4E469AD3">
      <w:pPr>
        <w:pStyle w:val="7"/>
        <w:rPr>
          <w:color w:val="auto"/>
          <w:highlight w:val="none"/>
        </w:rPr>
      </w:pPr>
    </w:p>
    <w:p w14:paraId="64033394">
      <w:pPr>
        <w:spacing w:line="360" w:lineRule="auto"/>
        <w:rPr>
          <w:color w:val="auto"/>
          <w:highlight w:val="none"/>
        </w:rPr>
      </w:pPr>
    </w:p>
    <w:p w14:paraId="42690B3F">
      <w:pPr>
        <w:spacing w:line="360" w:lineRule="auto"/>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采购人：</w:t>
      </w:r>
      <w:r>
        <w:rPr>
          <w:rFonts w:hint="eastAsia" w:ascii="宋体" w:hAnsi="宋体"/>
          <w:b/>
          <w:color w:val="auto"/>
          <w:sz w:val="32"/>
          <w:szCs w:val="32"/>
          <w:highlight w:val="none"/>
          <w:lang w:eastAsia="zh-CN"/>
        </w:rPr>
        <w:t>昆明市盘龙区滇源中心学校</w:t>
      </w:r>
    </w:p>
    <w:p w14:paraId="43629F40">
      <w:pPr>
        <w:spacing w:line="360" w:lineRule="auto"/>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云南禹信招标代理有限公司</w:t>
      </w:r>
    </w:p>
    <w:p w14:paraId="4621D8E5">
      <w:pPr>
        <w:spacing w:line="360" w:lineRule="auto"/>
        <w:rPr>
          <w:rFonts w:ascii="宋体" w:hAnsi="宋体"/>
          <w:b/>
          <w:color w:val="auto"/>
          <w:sz w:val="32"/>
          <w:szCs w:val="32"/>
          <w:highlight w:val="none"/>
        </w:rPr>
      </w:pPr>
      <w:r>
        <w:rPr>
          <w:rFonts w:hint="eastAsia" w:ascii="宋体" w:hAnsi="宋体"/>
          <w:b/>
          <w:color w:val="auto"/>
          <w:sz w:val="32"/>
          <w:szCs w:val="32"/>
          <w:highlight w:val="none"/>
        </w:rPr>
        <w:t>日   期：202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p>
    <w:p w14:paraId="1D74348F">
      <w:pPr>
        <w:pStyle w:val="7"/>
        <w:rPr>
          <w:rFonts w:hAnsi="宋体"/>
          <w:b/>
          <w:color w:val="auto"/>
          <w:sz w:val="32"/>
          <w:szCs w:val="32"/>
          <w:highlight w:val="none"/>
        </w:rPr>
        <w:sectPr>
          <w:pgSz w:w="11906" w:h="16838"/>
          <w:pgMar w:top="1440" w:right="1800" w:bottom="1440" w:left="1800" w:header="851" w:footer="992" w:gutter="0"/>
          <w:cols w:space="425" w:num="1"/>
          <w:titlePg/>
          <w:docGrid w:type="lines" w:linePitch="312" w:charSpace="0"/>
        </w:sectPr>
      </w:pPr>
    </w:p>
    <w:p w14:paraId="28F715FB">
      <w:pPr>
        <w:pStyle w:val="7"/>
        <w:rPr>
          <w:rFonts w:hAnsi="宋体"/>
          <w:b/>
          <w:color w:val="auto"/>
          <w:sz w:val="32"/>
          <w:szCs w:val="32"/>
          <w:highlight w:val="none"/>
        </w:rPr>
      </w:pPr>
    </w:p>
    <w:sdt>
      <w:sdtPr>
        <w:rPr>
          <w:rFonts w:ascii="宋体" w:hAnsi="宋体" w:eastAsia="宋体" w:cs="Times New Roman"/>
          <w:color w:val="auto"/>
          <w:kern w:val="2"/>
          <w:sz w:val="21"/>
          <w:szCs w:val="21"/>
          <w:highlight w:val="none"/>
          <w:lang w:val="en-US" w:eastAsia="zh-CN" w:bidi="ar-SA"/>
        </w:rPr>
        <w:id w:val="147463834"/>
        <w15:color w:val="DBDBDB"/>
        <w:docPartObj>
          <w:docPartGallery w:val="Table of Contents"/>
          <w:docPartUnique/>
        </w:docPartObj>
      </w:sdtPr>
      <w:sdtEndPr>
        <w:rPr>
          <w:rFonts w:ascii="宋体" w:hAnsi="宋体" w:eastAsia="宋体" w:cs="Times New Roman"/>
          <w:color w:val="auto"/>
          <w:kern w:val="2"/>
          <w:sz w:val="21"/>
          <w:szCs w:val="21"/>
          <w:highlight w:val="none"/>
          <w:lang w:val="en-US" w:eastAsia="zh-CN" w:bidi="ar-SA"/>
        </w:rPr>
      </w:sdtEndPr>
      <w:sdtContent>
        <w:p w14:paraId="5F9E6530">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44"/>
              <w:szCs w:val="44"/>
              <w:highlight w:val="none"/>
            </w:rPr>
            <w:t>目录</w:t>
          </w:r>
        </w:p>
        <w:p w14:paraId="2FA21520">
          <w:pPr>
            <w:pStyle w:val="16"/>
            <w:tabs>
              <w:tab w:val="right" w:leader="dot" w:pos="8300"/>
            </w:tabs>
            <w:spacing w:line="720" w:lineRule="auto"/>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916AC9">
          <w:pPr>
            <w:pStyle w:val="16"/>
            <w:tabs>
              <w:tab w:val="right" w:leader="dot" w:pos="8300"/>
            </w:tabs>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_Toc25077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第二章 供应商须知及其前附表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FF1B1D">
          <w:pPr>
            <w:pStyle w:val="16"/>
            <w:tabs>
              <w:tab w:val="right" w:leader="dot" w:pos="8300"/>
            </w:tabs>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_Toc9254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6"/>
              <w:highlight w:val="none"/>
            </w:rPr>
            <w:t>第四章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E0FDA4">
          <w:pPr>
            <w:pStyle w:val="16"/>
            <w:tabs>
              <w:tab w:val="right" w:leader="dot" w:pos="8300"/>
            </w:tabs>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第五章 合同条款及格式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BA6124">
          <w:pPr>
            <w:pStyle w:val="16"/>
            <w:tabs>
              <w:tab w:val="right" w:leader="dot" w:pos="8300"/>
            </w:tabs>
            <w:spacing w:line="72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0C5B6F">
          <w:pPr>
            <w:rPr>
              <w:color w:val="auto"/>
              <w:highlight w:val="none"/>
            </w:rPr>
          </w:pPr>
          <w:r>
            <w:rPr>
              <w:color w:val="auto"/>
              <w:highlight w:val="none"/>
            </w:rPr>
            <w:fldChar w:fldCharType="end"/>
          </w:r>
        </w:p>
      </w:sdtContent>
    </w:sdt>
    <w:p w14:paraId="01C10E2B">
      <w:pPr>
        <w:rPr>
          <w:color w:val="auto"/>
          <w:highlight w:val="none"/>
        </w:rPr>
      </w:pPr>
      <w:r>
        <w:rPr>
          <w:color w:val="auto"/>
          <w:highlight w:val="none"/>
        </w:rPr>
        <w:br w:type="page"/>
      </w:r>
    </w:p>
    <w:p w14:paraId="3F558944">
      <w:pPr>
        <w:rPr>
          <w:color w:val="auto"/>
          <w:highlight w:val="none"/>
        </w:rPr>
      </w:pPr>
    </w:p>
    <w:p w14:paraId="76352F20">
      <w:pPr>
        <w:pStyle w:val="3"/>
        <w:jc w:val="center"/>
        <w:rPr>
          <w:color w:val="auto"/>
          <w:highlight w:val="none"/>
        </w:rPr>
      </w:pPr>
      <w:bookmarkStart w:id="0" w:name="_Toc24516"/>
      <w:r>
        <w:rPr>
          <w:rFonts w:hint="eastAsia" w:ascii="黑体" w:hAnsi="黑体" w:eastAsia="黑体" w:cs="黑体"/>
          <w:color w:val="auto"/>
          <w:sz w:val="36"/>
          <w:szCs w:val="36"/>
          <w:highlight w:val="none"/>
        </w:rPr>
        <w:t>第一章 竞争性磋商公告</w:t>
      </w:r>
      <w:bookmarkEnd w:id="0"/>
    </w:p>
    <w:p w14:paraId="1A3B9330">
      <w:pPr>
        <w:spacing w:line="360" w:lineRule="auto"/>
        <w:jc w:val="center"/>
        <w:rPr>
          <w:rFonts w:hint="eastAsia" w:eastAsia="宋体"/>
          <w:b/>
          <w:color w:val="auto"/>
          <w:sz w:val="30"/>
          <w:szCs w:val="30"/>
          <w:highlight w:val="none"/>
          <w:lang w:eastAsia="zh-CN"/>
        </w:rPr>
      </w:pPr>
      <w:bookmarkStart w:id="463" w:name="_GoBack"/>
      <w:r>
        <w:rPr>
          <w:rFonts w:hint="eastAsia"/>
          <w:b/>
          <w:color w:val="auto"/>
          <w:sz w:val="30"/>
          <w:szCs w:val="30"/>
          <w:highlight w:val="none"/>
          <w:lang w:eastAsia="zh-CN"/>
        </w:rPr>
        <w:t>昆明市盘龙区滇源中心学校采购2026年保安服务</w:t>
      </w:r>
    </w:p>
    <w:p w14:paraId="16C07D3E">
      <w:pPr>
        <w:spacing w:line="360" w:lineRule="auto"/>
        <w:jc w:val="center"/>
        <w:rPr>
          <w:b/>
          <w:color w:val="auto"/>
          <w:sz w:val="30"/>
          <w:szCs w:val="30"/>
          <w:highlight w:val="none"/>
        </w:rPr>
      </w:pPr>
      <w:bookmarkStart w:id="1" w:name="_Toc22153"/>
      <w:bookmarkStart w:id="2" w:name="_Toc11125"/>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372745</wp:posOffset>
                </wp:positionV>
                <wp:extent cx="5437505" cy="1223010"/>
                <wp:effectExtent l="4445" t="4445" r="6350" b="17145"/>
                <wp:wrapNone/>
                <wp:docPr id="2" name="文本框 2"/>
                <wp:cNvGraphicFramePr/>
                <a:graphic xmlns:a="http://schemas.openxmlformats.org/drawingml/2006/main">
                  <a:graphicData uri="http://schemas.microsoft.com/office/word/2010/wordprocessingShape">
                    <wps:wsp>
                      <wps:cNvSpPr txBox="1"/>
                      <wps:spPr>
                        <a:xfrm>
                          <a:off x="0" y="0"/>
                          <a:ext cx="5437505" cy="122301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A2E79">
                            <w:pPr>
                              <w:spacing w:line="360" w:lineRule="auto"/>
                            </w:pPr>
                            <w:r>
                              <w:rPr>
                                <w:rFonts w:hint="eastAsia"/>
                              </w:rPr>
                              <w:t>项目概况</w:t>
                            </w:r>
                          </w:p>
                          <w:p w14:paraId="0A396B3A">
                            <w:pPr>
                              <w:spacing w:line="360" w:lineRule="auto"/>
                              <w:ind w:firstLine="420" w:firstLineChars="200"/>
                              <w:rPr>
                                <w:rFonts w:hint="default" w:eastAsia="宋体"/>
                                <w:lang w:val="en-US" w:eastAsia="zh-CN"/>
                              </w:rPr>
                            </w:pPr>
                            <w:r>
                              <w:rPr>
                                <w:rFonts w:hint="eastAsia"/>
                                <w:u w:val="single"/>
                                <w:lang w:eastAsia="zh-CN"/>
                              </w:rPr>
                              <w:t>昆明市盘龙区滇源中心学校采购2026年保安服务</w:t>
                            </w:r>
                            <w:r>
                              <w:rPr>
                                <w:rFonts w:hint="eastAsia"/>
                              </w:rPr>
                              <w:t>的潜在供应商应在</w:t>
                            </w:r>
                            <w:r>
                              <w:rPr>
                                <w:rFonts w:hint="eastAsia"/>
                                <w:u w:val="single"/>
                              </w:rPr>
                              <w:t>政采云平台（https://www.zcygov.cn/）获取（下载）</w:t>
                            </w:r>
                            <w:r>
                              <w:rPr>
                                <w:rFonts w:hint="eastAsia"/>
                              </w:rPr>
                              <w:t>采购文件，并于</w:t>
                            </w:r>
                            <w:r>
                              <w:rPr>
                                <w:rFonts w:hint="eastAsia"/>
                                <w:highlight w:val="none"/>
                                <w:u w:val="single"/>
                              </w:rPr>
                              <w:t>202</w:t>
                            </w:r>
                            <w:r>
                              <w:rPr>
                                <w:rFonts w:hint="eastAsia"/>
                                <w:highlight w:val="none"/>
                                <w:u w:val="single"/>
                                <w:lang w:val="en-US" w:eastAsia="zh-CN"/>
                              </w:rPr>
                              <w:t>6</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14</w:t>
                            </w:r>
                            <w:r>
                              <w:rPr>
                                <w:rFonts w:hint="eastAsia"/>
                                <w:highlight w:val="none"/>
                              </w:rPr>
                              <w:t>点</w:t>
                            </w:r>
                            <w:r>
                              <w:rPr>
                                <w:rFonts w:hint="eastAsia"/>
                                <w:highlight w:val="none"/>
                                <w:u w:val="single"/>
                                <w:lang w:val="en-US" w:eastAsia="zh-CN"/>
                              </w:rPr>
                              <w:t>0</w:t>
                            </w:r>
                            <w:r>
                              <w:rPr>
                                <w:rFonts w:hint="eastAsia"/>
                                <w:highlight w:val="none"/>
                                <w:u w:val="single"/>
                              </w:rPr>
                              <w:t>0</w:t>
                            </w:r>
                            <w:r>
                              <w:rPr>
                                <w:rFonts w:hint="eastAsia"/>
                                <w:highlight w:val="none"/>
                              </w:rPr>
                              <w:t>分</w:t>
                            </w:r>
                            <w:r>
                              <w:rPr>
                                <w:rFonts w:hint="eastAsia"/>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29.35pt;height:96.3pt;width:428.15pt;z-index:251659264;mso-width-relative:page;mso-height-relative:page;" filled="f" stroked="t" coordsize="21600,21600" o:gfxdata="UEsDBAoAAAAAAIdO4kAAAAAAAAAAAAAAAAAEAAAAZHJzL1BLAwQUAAAACACHTuJArG0jYtoAAAAJ&#10;AQAADwAAAGRycy9kb3ducmV2LnhtbE2PMU/DMBSEdyT+g/WQ2Fo7gdAoxOmA6ICEkCiIMjrxI46w&#10;n0PspoVfjzvBeLrT3Xf1+ugsm3EKgycJ2VIAQ+q8HqiX8PqyWZTAQlSklfWEEr4xwLo5P6tVpf2B&#10;nnHexp6lEgqVkmBiHCvOQ2fQqbD0I1LyPvzkVExy6rme1CGVO8tzIW64UwOlBaNGvDPYfW73TsLj&#10;2+7rfvP0LnbY2qGY7co8/LRSXl5k4hZYxGP8C8MJP6FDk5havycdmJWwuM5TUkJRroAlvyzyDFgr&#10;IS+yK+BNzf8/aH4BUEsDBBQAAAAIAIdO4kBrqRAnVwIAAJ0EAAAOAAAAZHJzL2Uyb0RvYy54bWyt&#10;VMFuEzEQvSPxD5bvZJNt0kKUTRUaBSFVtFJAnB2vN2the4ztZDd8AP0DTly48139DsbeTRsVDj1w&#10;8Y49zzN+b2Z2dtlqRfbCeQmmoKPBkBJhOJTSbAv66ePq1WtKfGCmZAqMKOhBeHo5f/li1tipyKEG&#10;VQpHMIjx08YWtA7BTrPM81po5gdghUFnBU6zgFu3zUrHGoyuVZYPh+dZA660DrjwHk+XnZP2Ed1z&#10;AkJVSS6WwHdamNBFdUKxgJR8La2n8/TaqhI83FSVF4GogiLTkFZMgvYmrtl8xqZbx2wtef8E9pwn&#10;POGkmTSY9CHUkgVGdk7+FUpL7sBDFQYcdNYRSYogi9HwiTbrmlmRuKDU3j6I7v9fWP5hf+uILAua&#10;U2KYxoLf/7i7//n7/td3kkd5GuuniFpbxIX2LbTYNMdzj4eRdVs5Hb/Ih6AfxT08iCvaQDgeTsZn&#10;F5PhhBKOvlGenyHfGCd7vG6dD+8EaBKNgjqsXhKV7a996KBHSMxmYCWVShVUhjQFPT+bDNMFD0qW&#10;0Rlh8cqVcmTPsAc2ivEvfdoTFD5CmQgWqWf6dJF6RzFaod20vR4bKA8oh4Oun7zlK4lZrpkPt8xh&#10;A6ECOGLhBpdKAT4NeouSGty3f51HPNYVvZQ02JAF9V93zAlK1HuDFX8zGo9jB6fNeHKR48adejan&#10;HrPTV4B8RzjMlicz4oM6mpUD/RkncRGzoosZjrkLGo7mVejGBCeZi8UigbBnLQvXZm15DN0VYbEL&#10;UMlUnyhTpw3WNW6wa1OF+wmLY3G6T6jHv8r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xtI2La&#10;AAAACQEAAA8AAAAAAAAAAQAgAAAAIgAAAGRycy9kb3ducmV2LnhtbFBLAQIUABQAAAAIAIdO4kBr&#10;qRAnVwIAAJ0EAAAOAAAAAAAAAAEAIAAAACkBAABkcnMvZTJvRG9jLnhtbFBLBQYAAAAABgAGAFkB&#10;AADyBQAAAAA=&#10;">
                <v:fill on="f" focussize="0,0"/>
                <v:stroke weight="0.5pt" color="#000000 [3204]" joinstyle="round"/>
                <v:imagedata o:title=""/>
                <o:lock v:ext="edit" aspectratio="f"/>
                <v:textbox>
                  <w:txbxContent>
                    <w:p w14:paraId="60CA2E79">
                      <w:pPr>
                        <w:spacing w:line="360" w:lineRule="auto"/>
                      </w:pPr>
                      <w:r>
                        <w:rPr>
                          <w:rFonts w:hint="eastAsia"/>
                        </w:rPr>
                        <w:t>项目概况</w:t>
                      </w:r>
                    </w:p>
                    <w:p w14:paraId="0A396B3A">
                      <w:pPr>
                        <w:spacing w:line="360" w:lineRule="auto"/>
                        <w:ind w:firstLine="420" w:firstLineChars="200"/>
                        <w:rPr>
                          <w:rFonts w:hint="default" w:eastAsia="宋体"/>
                          <w:lang w:val="en-US" w:eastAsia="zh-CN"/>
                        </w:rPr>
                      </w:pPr>
                      <w:r>
                        <w:rPr>
                          <w:rFonts w:hint="eastAsia"/>
                          <w:u w:val="single"/>
                          <w:lang w:eastAsia="zh-CN"/>
                        </w:rPr>
                        <w:t>昆明市盘龙区滇源中心学校采购2026年保安服务</w:t>
                      </w:r>
                      <w:r>
                        <w:rPr>
                          <w:rFonts w:hint="eastAsia"/>
                        </w:rPr>
                        <w:t>的潜在供应商应在</w:t>
                      </w:r>
                      <w:r>
                        <w:rPr>
                          <w:rFonts w:hint="eastAsia"/>
                          <w:u w:val="single"/>
                        </w:rPr>
                        <w:t>政采云平台（https://www.zcygov.cn/）获取（下载）</w:t>
                      </w:r>
                      <w:r>
                        <w:rPr>
                          <w:rFonts w:hint="eastAsia"/>
                        </w:rPr>
                        <w:t>采购文件，并于</w:t>
                      </w:r>
                      <w:r>
                        <w:rPr>
                          <w:rFonts w:hint="eastAsia"/>
                          <w:highlight w:val="none"/>
                          <w:u w:val="single"/>
                        </w:rPr>
                        <w:t>202</w:t>
                      </w:r>
                      <w:r>
                        <w:rPr>
                          <w:rFonts w:hint="eastAsia"/>
                          <w:highlight w:val="none"/>
                          <w:u w:val="single"/>
                          <w:lang w:val="en-US" w:eastAsia="zh-CN"/>
                        </w:rPr>
                        <w:t>6</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25</w:t>
                      </w:r>
                      <w:r>
                        <w:rPr>
                          <w:rFonts w:hint="eastAsia"/>
                          <w:highlight w:val="none"/>
                        </w:rPr>
                        <w:t>日</w:t>
                      </w:r>
                      <w:r>
                        <w:rPr>
                          <w:rFonts w:hint="eastAsia"/>
                          <w:highlight w:val="none"/>
                          <w:u w:val="single"/>
                          <w:lang w:val="en-US" w:eastAsia="zh-CN"/>
                        </w:rPr>
                        <w:t>14</w:t>
                      </w:r>
                      <w:r>
                        <w:rPr>
                          <w:rFonts w:hint="eastAsia"/>
                          <w:highlight w:val="none"/>
                        </w:rPr>
                        <w:t>点</w:t>
                      </w:r>
                      <w:r>
                        <w:rPr>
                          <w:rFonts w:hint="eastAsia"/>
                          <w:highlight w:val="none"/>
                          <w:u w:val="single"/>
                          <w:lang w:val="en-US" w:eastAsia="zh-CN"/>
                        </w:rPr>
                        <w:t>0</w:t>
                      </w:r>
                      <w:r>
                        <w:rPr>
                          <w:rFonts w:hint="eastAsia"/>
                          <w:highlight w:val="none"/>
                          <w:u w:val="single"/>
                        </w:rPr>
                        <w:t>0</w:t>
                      </w:r>
                      <w:r>
                        <w:rPr>
                          <w:rFonts w:hint="eastAsia"/>
                          <w:highlight w:val="none"/>
                        </w:rPr>
                        <w:t>分</w:t>
                      </w:r>
                      <w:r>
                        <w:rPr>
                          <w:rFonts w:hint="eastAsia"/>
                        </w:rPr>
                        <w:t>（北京时间）前提交响应文件。</w:t>
                      </w:r>
                    </w:p>
                  </w:txbxContent>
                </v:textbox>
              </v:shape>
            </w:pict>
          </mc:Fallback>
        </mc:AlternateContent>
      </w:r>
      <w:r>
        <w:rPr>
          <w:rFonts w:hint="eastAsia"/>
          <w:b/>
          <w:color w:val="auto"/>
          <w:sz w:val="30"/>
          <w:szCs w:val="30"/>
          <w:highlight w:val="none"/>
        </w:rPr>
        <w:t>竞争性磋商公告</w:t>
      </w:r>
      <w:bookmarkEnd w:id="1"/>
      <w:bookmarkEnd w:id="2"/>
    </w:p>
    <w:p w14:paraId="505F6AEA">
      <w:pPr>
        <w:rPr>
          <w:rFonts w:ascii="仿宋" w:hAnsi="仿宋" w:eastAsia="仿宋"/>
          <w:color w:val="auto"/>
          <w:sz w:val="28"/>
          <w:szCs w:val="28"/>
          <w:highlight w:val="none"/>
          <w:u w:val="single"/>
        </w:rPr>
      </w:pPr>
    </w:p>
    <w:p w14:paraId="59E9E29E">
      <w:pPr>
        <w:pStyle w:val="19"/>
        <w:ind w:firstLine="560"/>
        <w:rPr>
          <w:rFonts w:ascii="仿宋" w:hAnsi="仿宋" w:eastAsia="仿宋"/>
          <w:color w:val="auto"/>
          <w:sz w:val="28"/>
          <w:szCs w:val="28"/>
          <w:highlight w:val="none"/>
          <w:u w:val="single"/>
        </w:rPr>
      </w:pPr>
    </w:p>
    <w:p w14:paraId="2F81100B">
      <w:pPr>
        <w:pStyle w:val="19"/>
        <w:ind w:left="0" w:leftChars="0" w:firstLine="0" w:firstLineChars="0"/>
        <w:rPr>
          <w:rFonts w:ascii="仿宋" w:hAnsi="仿宋" w:eastAsia="仿宋"/>
          <w:color w:val="auto"/>
          <w:sz w:val="28"/>
          <w:szCs w:val="28"/>
          <w:highlight w:val="none"/>
          <w:u w:val="single"/>
        </w:rPr>
      </w:pPr>
    </w:p>
    <w:p w14:paraId="056D4FC0">
      <w:pPr>
        <w:spacing w:line="360" w:lineRule="auto"/>
        <w:rPr>
          <w:color w:val="auto"/>
          <w:highlight w:val="none"/>
        </w:rPr>
      </w:pPr>
      <w:bookmarkStart w:id="3" w:name="_Toc28359012"/>
      <w:bookmarkStart w:id="4" w:name="_Toc35393798"/>
      <w:bookmarkStart w:id="5" w:name="_Toc28359089"/>
      <w:bookmarkStart w:id="6" w:name="_Toc35393629"/>
      <w:r>
        <w:rPr>
          <w:rFonts w:hint="eastAsia"/>
          <w:b/>
          <w:bCs/>
          <w:color w:val="auto"/>
          <w:highlight w:val="none"/>
        </w:rPr>
        <w:t>一、项目基本情况</w:t>
      </w:r>
      <w:bookmarkEnd w:id="3"/>
      <w:bookmarkEnd w:id="4"/>
      <w:bookmarkEnd w:id="5"/>
      <w:bookmarkEnd w:id="6"/>
    </w:p>
    <w:p w14:paraId="1D8908AD">
      <w:pPr>
        <w:spacing w:line="360" w:lineRule="auto"/>
        <w:ind w:firstLine="420" w:firstLineChars="200"/>
        <w:rPr>
          <w:color w:val="auto"/>
          <w:highlight w:val="none"/>
        </w:rPr>
      </w:pPr>
      <w:r>
        <w:rPr>
          <w:rFonts w:hint="eastAsia"/>
          <w:color w:val="auto"/>
          <w:highlight w:val="none"/>
        </w:rPr>
        <w:t>项目编号：</w:t>
      </w:r>
      <w:r>
        <w:rPr>
          <w:rFonts w:hint="eastAsia" w:asciiTheme="minorEastAsia" w:hAnsiTheme="minorEastAsia" w:eastAsiaTheme="minorEastAsia"/>
          <w:color w:val="auto"/>
          <w:highlight w:val="none"/>
          <w:lang w:eastAsia="zh-CN"/>
        </w:rPr>
        <w:t>YNYX-2026-0293</w:t>
      </w:r>
      <w:r>
        <w:rPr>
          <w:rFonts w:hint="eastAsia"/>
          <w:color w:val="auto"/>
          <w:highlight w:val="none"/>
        </w:rPr>
        <w:t>。</w:t>
      </w:r>
    </w:p>
    <w:p w14:paraId="019D7A44">
      <w:pPr>
        <w:spacing w:line="360" w:lineRule="auto"/>
        <w:ind w:firstLine="420" w:firstLineChars="200"/>
        <w:rPr>
          <w:color w:val="auto"/>
          <w:highlight w:val="none"/>
        </w:rPr>
      </w:pPr>
      <w:r>
        <w:rPr>
          <w:rFonts w:hint="eastAsia"/>
          <w:color w:val="auto"/>
          <w:highlight w:val="none"/>
        </w:rPr>
        <w:t>项目名称：</w:t>
      </w:r>
      <w:r>
        <w:rPr>
          <w:rFonts w:hint="eastAsia"/>
          <w:color w:val="auto"/>
          <w:highlight w:val="none"/>
          <w:lang w:eastAsia="zh-CN"/>
        </w:rPr>
        <w:t>昆明市盘龙区滇源中心学校采购2026年保安服务</w:t>
      </w:r>
      <w:r>
        <w:rPr>
          <w:rFonts w:hint="eastAsia"/>
          <w:color w:val="auto"/>
          <w:highlight w:val="none"/>
        </w:rPr>
        <w:t>。</w:t>
      </w:r>
    </w:p>
    <w:p w14:paraId="6297A8E0">
      <w:pPr>
        <w:spacing w:line="360" w:lineRule="auto"/>
        <w:ind w:firstLine="420" w:firstLineChars="200"/>
        <w:rPr>
          <w:color w:val="auto"/>
          <w:highlight w:val="none"/>
        </w:rPr>
      </w:pPr>
      <w:r>
        <w:rPr>
          <w:rFonts w:hint="eastAsia"/>
          <w:color w:val="auto"/>
          <w:highlight w:val="none"/>
        </w:rPr>
        <w:t>采购方式：竞争性磋商。</w:t>
      </w:r>
    </w:p>
    <w:p w14:paraId="2D5667B1">
      <w:pPr>
        <w:spacing w:line="360" w:lineRule="auto"/>
        <w:ind w:firstLine="420" w:firstLineChars="200"/>
        <w:rPr>
          <w:color w:val="auto"/>
          <w:highlight w:val="none"/>
        </w:rPr>
      </w:pPr>
      <w:r>
        <w:rPr>
          <w:rFonts w:hint="eastAsia"/>
          <w:color w:val="auto"/>
          <w:highlight w:val="none"/>
        </w:rPr>
        <w:t>预算金额（</w:t>
      </w:r>
      <w:r>
        <w:rPr>
          <w:rFonts w:hint="eastAsia"/>
          <w:color w:val="auto"/>
          <w:highlight w:val="none"/>
          <w:u w:val="none"/>
          <w:lang w:val="en-US" w:eastAsia="zh-CN"/>
        </w:rPr>
        <w:t>万元/年</w:t>
      </w:r>
      <w:r>
        <w:rPr>
          <w:rFonts w:hint="eastAsia"/>
          <w:color w:val="auto"/>
          <w:highlight w:val="none"/>
        </w:rPr>
        <w:t>）：106</w:t>
      </w:r>
      <w:r>
        <w:rPr>
          <w:rFonts w:hint="eastAsia"/>
          <w:color w:val="auto"/>
          <w:highlight w:val="none"/>
          <w:lang w:val="en-US" w:eastAsia="zh-CN"/>
        </w:rPr>
        <w:t>.</w:t>
      </w:r>
      <w:r>
        <w:rPr>
          <w:rFonts w:hint="eastAsia"/>
          <w:color w:val="auto"/>
          <w:highlight w:val="none"/>
        </w:rPr>
        <w:t>25。</w:t>
      </w:r>
    </w:p>
    <w:p w14:paraId="5AA5BE17">
      <w:pPr>
        <w:spacing w:line="360" w:lineRule="auto"/>
        <w:ind w:firstLine="420" w:firstLineChars="200"/>
        <w:rPr>
          <w:color w:val="auto"/>
          <w:highlight w:val="none"/>
        </w:rPr>
      </w:pPr>
      <w:r>
        <w:rPr>
          <w:rFonts w:hint="eastAsia"/>
          <w:color w:val="auto"/>
          <w:highlight w:val="none"/>
        </w:rPr>
        <w:t>最高限价（</w:t>
      </w:r>
      <w:r>
        <w:rPr>
          <w:rFonts w:hint="eastAsia"/>
          <w:color w:val="auto"/>
          <w:highlight w:val="none"/>
          <w:lang w:val="en-US" w:eastAsia="zh-CN"/>
        </w:rPr>
        <w:t>万元/年</w:t>
      </w:r>
      <w:r>
        <w:rPr>
          <w:rFonts w:hint="eastAsia"/>
          <w:color w:val="auto"/>
          <w:highlight w:val="none"/>
        </w:rPr>
        <w:t>）：106</w:t>
      </w:r>
      <w:r>
        <w:rPr>
          <w:rFonts w:hint="eastAsia"/>
          <w:color w:val="auto"/>
          <w:highlight w:val="none"/>
          <w:lang w:val="en-US" w:eastAsia="zh-CN"/>
        </w:rPr>
        <w:t>.</w:t>
      </w:r>
      <w:r>
        <w:rPr>
          <w:rFonts w:hint="eastAsia"/>
          <w:color w:val="auto"/>
          <w:highlight w:val="none"/>
        </w:rPr>
        <w:t>25。</w:t>
      </w:r>
    </w:p>
    <w:p w14:paraId="7E622947">
      <w:pPr>
        <w:spacing w:line="360" w:lineRule="auto"/>
        <w:ind w:firstLine="420" w:firstLineChars="200"/>
        <w:rPr>
          <w:rFonts w:hint="default"/>
          <w:color w:val="auto"/>
          <w:highlight w:val="none"/>
          <w:lang w:val="en-US"/>
        </w:rPr>
      </w:pPr>
      <w:r>
        <w:rPr>
          <w:rFonts w:hint="eastAsia"/>
          <w:color w:val="auto"/>
          <w:highlight w:val="none"/>
        </w:rPr>
        <w:t>采购需求：</w:t>
      </w:r>
      <w:r>
        <w:rPr>
          <w:rFonts w:hint="eastAsia"/>
          <w:color w:val="auto"/>
          <w:highlight w:val="none"/>
          <w:lang w:val="en-US" w:eastAsia="zh-CN"/>
        </w:rPr>
        <w:t>昆明市盘龙区滇源中心学校下辖4所分校及2所幼儿园，加上滇源中心学校共有9个校点，按照分校办学规模配备一定数量的保安，分别为，白邑小学5名，苏海小学2名，团结幼儿园2名，滇源二小5名，南营小学2名，清远小学3名，三转弯小学1名，大哨小学3名，大哨幼儿园2名，一共25名保安。具体详见磋商文件第四章“采购需求”。</w:t>
      </w:r>
    </w:p>
    <w:p w14:paraId="5C651381">
      <w:pPr>
        <w:spacing w:line="360" w:lineRule="auto"/>
        <w:ind w:firstLine="420" w:firstLineChars="200"/>
        <w:rPr>
          <w:color w:val="auto"/>
          <w:highlight w:val="none"/>
        </w:rPr>
      </w:pPr>
      <w:r>
        <w:rPr>
          <w:rFonts w:hint="eastAsia"/>
          <w:color w:val="auto"/>
          <w:highlight w:val="none"/>
        </w:rPr>
        <w:t>合同履行期限：</w:t>
      </w:r>
      <w:r>
        <w:rPr>
          <w:rFonts w:hint="eastAsia"/>
          <w:color w:val="auto"/>
          <w:highlight w:val="none"/>
          <w:lang w:val="en-US" w:eastAsia="zh-CN"/>
        </w:rPr>
        <w:t>自合同签订之日起一年</w:t>
      </w:r>
      <w:r>
        <w:rPr>
          <w:rFonts w:hint="eastAsia"/>
          <w:color w:val="auto"/>
          <w:highlight w:val="none"/>
        </w:rPr>
        <w:t>。</w:t>
      </w:r>
    </w:p>
    <w:p w14:paraId="1BAFCA34">
      <w:pPr>
        <w:pStyle w:val="7"/>
        <w:spacing w:line="360" w:lineRule="auto"/>
        <w:rPr>
          <w:rFonts w:ascii="Times New Roman"/>
          <w:color w:val="auto"/>
          <w:sz w:val="21"/>
          <w:szCs w:val="21"/>
          <w:highlight w:val="none"/>
        </w:rPr>
      </w:pPr>
      <w:r>
        <w:rPr>
          <w:rFonts w:hint="eastAsia" w:ascii="Times New Roman"/>
          <w:color w:val="auto"/>
          <w:sz w:val="21"/>
          <w:szCs w:val="21"/>
          <w:highlight w:val="none"/>
        </w:rPr>
        <w:t xml:space="preserve">    本项目不接受联合体。</w:t>
      </w:r>
    </w:p>
    <w:p w14:paraId="6AFFBD0D">
      <w:pPr>
        <w:spacing w:line="360" w:lineRule="auto"/>
        <w:rPr>
          <w:color w:val="auto"/>
          <w:highlight w:val="none"/>
        </w:rPr>
      </w:pPr>
      <w:bookmarkStart w:id="7" w:name="_Toc28359090"/>
      <w:bookmarkStart w:id="8" w:name="_Toc35393630"/>
      <w:bookmarkStart w:id="9" w:name="_Toc28359013"/>
      <w:bookmarkStart w:id="10" w:name="_Toc35393799"/>
      <w:r>
        <w:rPr>
          <w:rFonts w:hint="eastAsia"/>
          <w:b/>
          <w:bCs/>
          <w:color w:val="auto"/>
          <w:highlight w:val="none"/>
        </w:rPr>
        <w:t>二、申请人的资格要求</w:t>
      </w:r>
      <w:bookmarkEnd w:id="7"/>
      <w:bookmarkEnd w:id="8"/>
      <w:bookmarkEnd w:id="9"/>
      <w:bookmarkEnd w:id="10"/>
    </w:p>
    <w:p w14:paraId="43AB79B2">
      <w:pPr>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1.满足《中华人民共和国政府采购法》第二十二条规定；</w:t>
      </w:r>
    </w:p>
    <w:p w14:paraId="4E4A0105">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lang w:eastAsia="zh-CN"/>
        </w:rPr>
        <w:t>供应商具有独立承担民事责任能力的法人或其他组织或自然人，提供有效的营业执照或其他类似法定凭证</w:t>
      </w:r>
      <w:r>
        <w:rPr>
          <w:rFonts w:hint="eastAsia" w:asciiTheme="majorEastAsia" w:hAnsiTheme="majorEastAsia" w:eastAsiaTheme="majorEastAsia" w:cstheme="majorEastAsia"/>
          <w:color w:val="auto"/>
          <w:highlight w:val="none"/>
        </w:rPr>
        <w:t>；</w:t>
      </w:r>
    </w:p>
    <w:p w14:paraId="63A41C45">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r>
        <w:rPr>
          <w:color w:val="auto"/>
          <w:highlight w:val="none"/>
        </w:rPr>
        <w:t>具有良好的商业信誉和健全的财务会计制度（</w:t>
      </w:r>
      <w:r>
        <w:rPr>
          <w:rFonts w:hint="eastAsia"/>
          <w:color w:val="auto"/>
          <w:highlight w:val="none"/>
        </w:rPr>
        <w:t>提供证明材料或书面声明</w:t>
      </w:r>
      <w:r>
        <w:rPr>
          <w:color w:val="auto"/>
          <w:highlight w:val="none"/>
        </w:rPr>
        <w:t>）；</w:t>
      </w:r>
    </w:p>
    <w:p w14:paraId="4115F0BB">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（3）具有履行合同所必需的设备和专业技术能力（提供证明材料或书面声明）；</w:t>
      </w:r>
    </w:p>
    <w:p w14:paraId="159C1736">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rPr>
        <w:t>（4）有依法缴纳税收和社会保障资金的良好记录（提供证明材料或书面声明），依法免税或不需要缴纳社会保障资金的投标人应提供相应文件证明其依法免税或不需要缴纳社会保障资金</w:t>
      </w:r>
      <w:r>
        <w:rPr>
          <w:rFonts w:hint="eastAsia" w:asciiTheme="majorEastAsia" w:hAnsiTheme="majorEastAsia" w:eastAsiaTheme="majorEastAsia" w:cstheme="majorEastAsia"/>
          <w:color w:val="auto"/>
          <w:highlight w:val="none"/>
          <w:lang w:eastAsia="zh-CN"/>
        </w:rPr>
        <w:t>；</w:t>
      </w:r>
    </w:p>
    <w:p w14:paraId="77BD78AF">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lang w:eastAsia="zh-CN"/>
        </w:rPr>
        <w:t>参加政府采购活动前三年内，在经营活动中没有重大违法记录（重大违法记录，是指投标人因违法经营受到刑事处罚或者责令停产停业、吊销许可证或者执照、较大数额罚款等行政处罚），并提供书面声明</w:t>
      </w:r>
      <w:r>
        <w:rPr>
          <w:rFonts w:hint="eastAsia" w:asciiTheme="majorEastAsia" w:hAnsiTheme="majorEastAsia" w:eastAsiaTheme="majorEastAsia" w:cstheme="majorEastAsia"/>
          <w:color w:val="auto"/>
          <w:highlight w:val="none"/>
        </w:rPr>
        <w:t>；</w:t>
      </w:r>
    </w:p>
    <w:p w14:paraId="0F6EB862">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（6）法律、行政法规规定的其他条件（提供书面声明）；</w:t>
      </w:r>
    </w:p>
    <w:p w14:paraId="030A0B01">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w:t>
      </w:r>
      <w:r>
        <w:rPr>
          <w:rFonts w:hint="eastAsia" w:ascii="宋体" w:hAnsi="宋体" w:cs="宋体"/>
          <w:color w:val="auto"/>
          <w:sz w:val="21"/>
          <w:szCs w:val="21"/>
          <w:highlight w:val="none"/>
          <w:lang w:eastAsia="zh-CN"/>
        </w:rPr>
        <w:t>依据《政府采购货物和服务招标投标管理办法》(财政部令第87号)、《财政部关于在政府采购活动中查询及使用信用记录有关问题的通知》(财库[2016]125号)相关规定，投标人在“信用中国(www.creditchina.gov.cn)”网站中未被列入失信被执行人记录、重大税收违法案件当事人名单、政府采购严重违法失信行为记录名单及“中国政府采购网（www.ccgp.gov.cn）”政府采购严重违法失信行为信息记录（采购人或采购代理机构在评审当日将通过“信用中国”网站（www.creditchina.gov.cn)及中国政府采购网（www.ccgp.gov.cn）查询投标人信用记录，若查询结果显示供应商存在上述失信情形的，视为资格审查不通过）</w:t>
      </w:r>
      <w:r>
        <w:rPr>
          <w:rFonts w:hint="eastAsia" w:ascii="宋体" w:hAnsi="宋体" w:eastAsia="宋体" w:cs="宋体"/>
          <w:color w:val="auto"/>
          <w:sz w:val="21"/>
          <w:szCs w:val="21"/>
          <w:highlight w:val="none"/>
        </w:rPr>
        <w:t>府采购网（www.ccgp.gov.cn）查询投标人信用记录）</w:t>
      </w:r>
      <w:r>
        <w:rPr>
          <w:rFonts w:hint="eastAsia" w:asciiTheme="majorEastAsia" w:hAnsiTheme="majorEastAsia" w:eastAsiaTheme="majorEastAsia" w:cstheme="majorEastAsia"/>
          <w:color w:val="auto"/>
          <w:highlight w:val="none"/>
        </w:rPr>
        <w:t>；</w:t>
      </w:r>
    </w:p>
    <w:p w14:paraId="4D6AEE64">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（8）法定代表人</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lang w:val="en-US" w:eastAsia="zh-CN"/>
        </w:rPr>
        <w:t>或负责人</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为同一人或者存在控股、管理关系的不同单位，不得同时参加本项目投标，否则相关投标均无效（提供承诺书）；</w:t>
      </w:r>
    </w:p>
    <w:p w14:paraId="00704365">
      <w:pPr>
        <w:adjustRightInd w:val="0"/>
        <w:snapToGrid w:val="0"/>
        <w:spacing w:line="36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（9）供应商不得为采购项目提供整体设计、规范编制或者项目管理、监理、检测等服务的供应商（提供承诺书）。</w:t>
      </w:r>
    </w:p>
    <w:p w14:paraId="40E3B934">
      <w:pPr>
        <w:spacing w:line="360" w:lineRule="auto"/>
        <w:ind w:firstLine="420" w:firstLineChars="200"/>
        <w:rPr>
          <w:rFonts w:asciiTheme="majorEastAsia" w:hAnsiTheme="majorEastAsia" w:eastAsiaTheme="majorEastAsia" w:cstheme="majorEastAsia"/>
          <w:color w:val="auto"/>
          <w:highlight w:val="none"/>
          <w:u w:val="single"/>
        </w:rPr>
      </w:pPr>
      <w:bookmarkStart w:id="11" w:name="_Toc28359091"/>
      <w:bookmarkStart w:id="12" w:name="_Toc28359014"/>
      <w:r>
        <w:rPr>
          <w:rFonts w:hint="eastAsia" w:asciiTheme="majorEastAsia" w:hAnsiTheme="majorEastAsia" w:eastAsiaTheme="majorEastAsia" w:cstheme="majorEastAsia"/>
          <w:color w:val="auto"/>
          <w:highlight w:val="none"/>
        </w:rPr>
        <w:t>2.落实政府采购政策需满足的资格要求：本项目专门面向中小企业采购（监狱企业、残疾人企业视同</w:t>
      </w:r>
      <w:r>
        <w:rPr>
          <w:rFonts w:hint="eastAsia" w:asciiTheme="majorEastAsia" w:hAnsiTheme="majorEastAsia" w:eastAsiaTheme="majorEastAsia" w:cstheme="majorEastAsia"/>
          <w:color w:val="auto"/>
          <w:highlight w:val="none"/>
          <w:lang w:eastAsia="zh-CN"/>
        </w:rPr>
        <w:t>中小</w:t>
      </w:r>
      <w:r>
        <w:rPr>
          <w:rFonts w:hint="eastAsia" w:asciiTheme="majorEastAsia" w:hAnsiTheme="majorEastAsia" w:eastAsiaTheme="majorEastAsia" w:cstheme="majorEastAsia"/>
          <w:color w:val="auto"/>
          <w:highlight w:val="none"/>
        </w:rPr>
        <w:t>企业），参加本项目的</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应当按照《政府采购促进中小企业发展管理办法》（财库〔2020〕46号）的规定出具《中小企业声明函》。</w:t>
      </w:r>
    </w:p>
    <w:p w14:paraId="4B59B87F">
      <w:pPr>
        <w:spacing w:line="360" w:lineRule="auto"/>
        <w:ind w:firstLine="42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3.本项目的特定资格要求：</w:t>
      </w:r>
      <w:bookmarkStart w:id="13" w:name="_Toc35393800"/>
      <w:bookmarkStart w:id="14" w:name="_Toc35393631"/>
      <w:r>
        <w:rPr>
          <w:rFonts w:hint="eastAsia" w:asciiTheme="majorEastAsia" w:hAnsiTheme="majorEastAsia" w:eastAsiaTheme="majorEastAsia" w:cstheme="majorEastAsia"/>
          <w:color w:val="auto"/>
          <w:highlight w:val="none"/>
          <w:lang w:val="en-US" w:eastAsia="zh-CN"/>
        </w:rPr>
        <w:t>磋商</w:t>
      </w:r>
      <w:r>
        <w:rPr>
          <w:rFonts w:hint="eastAsia"/>
          <w:color w:val="auto"/>
          <w:sz w:val="21"/>
          <w:szCs w:val="21"/>
          <w:highlight w:val="none"/>
          <w:lang w:val="en-US" w:eastAsia="zh-CN"/>
        </w:rPr>
        <w:t>申请</w:t>
      </w:r>
      <w:r>
        <w:rPr>
          <w:rFonts w:hint="eastAsia"/>
          <w:color w:val="auto"/>
          <w:sz w:val="21"/>
          <w:szCs w:val="21"/>
          <w:highlight w:val="none"/>
          <w:lang w:eastAsia="zh-CN"/>
        </w:rPr>
        <w:t>人须具备行政主管部门核发有效的《保安服务许可证》</w:t>
      </w:r>
      <w:r>
        <w:rPr>
          <w:rFonts w:hint="eastAsia" w:asciiTheme="majorEastAsia" w:hAnsiTheme="majorEastAsia" w:eastAsiaTheme="majorEastAsia" w:cstheme="majorEastAsia"/>
          <w:color w:val="auto"/>
          <w:highlight w:val="none"/>
        </w:rPr>
        <w:t>。</w:t>
      </w:r>
    </w:p>
    <w:p w14:paraId="6E7466B6">
      <w:pPr>
        <w:spacing w:line="360" w:lineRule="auto"/>
        <w:ind w:firstLine="420"/>
        <w:rPr>
          <w:color w:val="auto"/>
          <w:highlight w:val="none"/>
        </w:rPr>
      </w:pPr>
      <w:r>
        <w:rPr>
          <w:rFonts w:hint="eastAsia"/>
          <w:b/>
          <w:bCs/>
          <w:color w:val="auto"/>
          <w:highlight w:val="none"/>
        </w:rPr>
        <w:t>三、获取采购文件</w:t>
      </w:r>
      <w:bookmarkEnd w:id="11"/>
      <w:bookmarkEnd w:id="12"/>
      <w:bookmarkEnd w:id="13"/>
      <w:bookmarkEnd w:id="14"/>
    </w:p>
    <w:p w14:paraId="2B627646">
      <w:pPr>
        <w:spacing w:line="360" w:lineRule="auto"/>
        <w:ind w:firstLine="420" w:firstLineChars="200"/>
        <w:rPr>
          <w:color w:val="auto"/>
          <w:highlight w:val="none"/>
        </w:rPr>
      </w:pPr>
      <w:r>
        <w:rPr>
          <w:rFonts w:hint="eastAsia"/>
          <w:color w:val="auto"/>
          <w:highlight w:val="none"/>
        </w:rPr>
        <w:t>1.时间：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rPr>
        <w:t>年</w:t>
      </w:r>
      <w:r>
        <w:rPr>
          <w:rFonts w:hint="eastAsia" w:ascii="宋体" w:hAnsi="宋体" w:cs="宋体"/>
          <w:color w:val="auto"/>
          <w:highlight w:val="none"/>
          <w:u w:val="single"/>
          <w:lang w:val="en-US" w:eastAsia="zh-CN"/>
        </w:rPr>
        <w:t>5</w:t>
      </w:r>
      <w:r>
        <w:rPr>
          <w:rFonts w:hint="eastAsia" w:ascii="宋体" w:hAnsi="宋体" w:cs="宋体"/>
          <w:color w:val="auto"/>
          <w:highlight w:val="none"/>
        </w:rPr>
        <w:t>月</w:t>
      </w:r>
      <w:r>
        <w:rPr>
          <w:rFonts w:hint="eastAsia" w:ascii="宋体" w:hAnsi="宋体" w:cs="宋体"/>
          <w:color w:val="auto"/>
          <w:highlight w:val="none"/>
          <w:u w:val="single"/>
          <w:lang w:val="en-US" w:eastAsia="zh-CN"/>
        </w:rPr>
        <w:t>12</w:t>
      </w:r>
      <w:r>
        <w:rPr>
          <w:rFonts w:hint="eastAsia" w:ascii="宋体" w:hAnsi="宋体" w:cs="宋体"/>
          <w:color w:val="auto"/>
          <w:highlight w:val="none"/>
        </w:rPr>
        <w:t>日</w:t>
      </w:r>
      <w:r>
        <w:rPr>
          <w:rFonts w:hint="eastAsia" w:ascii="宋体" w:hAnsi="宋体" w:cs="宋体"/>
          <w:color w:val="auto"/>
          <w:highlight w:val="none"/>
          <w:u w:val="single"/>
          <w:lang w:val="en-US" w:eastAsia="zh-CN"/>
        </w:rPr>
        <w:t>17</w:t>
      </w:r>
      <w:r>
        <w:rPr>
          <w:rFonts w:hint="eastAsia" w:ascii="宋体" w:hAnsi="宋体" w:cs="宋体"/>
          <w:color w:val="auto"/>
          <w:highlight w:val="none"/>
          <w:u w:val="single"/>
        </w:rPr>
        <w:t>：00</w:t>
      </w:r>
      <w:r>
        <w:rPr>
          <w:rFonts w:hint="eastAsia" w:ascii="宋体" w:hAnsi="宋体" w:cs="宋体"/>
          <w:color w:val="auto"/>
          <w:highlight w:val="none"/>
        </w:rPr>
        <w:t>至</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rPr>
        <w:t>年</w:t>
      </w:r>
      <w:r>
        <w:rPr>
          <w:rFonts w:hint="eastAsia" w:ascii="宋体" w:hAnsi="宋体" w:cs="宋体"/>
          <w:color w:val="auto"/>
          <w:highlight w:val="none"/>
          <w:u w:val="single"/>
          <w:lang w:val="en-US" w:eastAsia="zh-CN"/>
        </w:rPr>
        <w:t>5</w:t>
      </w:r>
      <w:r>
        <w:rPr>
          <w:rFonts w:hint="eastAsia" w:ascii="宋体" w:hAnsi="宋体" w:cs="宋体"/>
          <w:color w:val="auto"/>
          <w:highlight w:val="none"/>
        </w:rPr>
        <w:t>月</w:t>
      </w:r>
      <w:r>
        <w:rPr>
          <w:rFonts w:hint="eastAsia" w:ascii="宋体" w:hAnsi="宋体" w:cs="宋体"/>
          <w:color w:val="auto"/>
          <w:highlight w:val="none"/>
          <w:u w:val="single"/>
          <w:lang w:val="en-US" w:eastAsia="zh-CN"/>
        </w:rPr>
        <w:t>19</w:t>
      </w:r>
      <w:r>
        <w:rPr>
          <w:rFonts w:hint="eastAsia" w:ascii="宋体" w:hAnsi="宋体" w:cs="宋体"/>
          <w:color w:val="auto"/>
          <w:highlight w:val="none"/>
        </w:rPr>
        <w:t>日</w:t>
      </w:r>
      <w:r>
        <w:rPr>
          <w:rFonts w:hint="eastAsia" w:ascii="宋体" w:hAnsi="宋体" w:cs="宋体"/>
          <w:color w:val="auto"/>
          <w:highlight w:val="none"/>
          <w:u w:val="single"/>
          <w:lang w:val="en-US" w:eastAsia="zh-CN"/>
        </w:rPr>
        <w:t>23</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59</w:t>
      </w:r>
      <w:r>
        <w:rPr>
          <w:rFonts w:hint="eastAsia" w:ascii="宋体" w:hAnsi="宋体" w:cs="宋体"/>
          <w:color w:val="auto"/>
          <w:highlight w:val="none"/>
        </w:rPr>
        <w:t>。</w:t>
      </w:r>
      <w:r>
        <w:rPr>
          <w:rFonts w:hint="eastAsia"/>
          <w:color w:val="auto"/>
          <w:highlight w:val="none"/>
        </w:rPr>
        <w:t>（北京时间，</w:t>
      </w:r>
      <w:r>
        <w:rPr>
          <w:color w:val="auto"/>
          <w:highlight w:val="none"/>
        </w:rPr>
        <w:t>法定节假日</w:t>
      </w:r>
      <w:r>
        <w:rPr>
          <w:rFonts w:hint="eastAsia"/>
          <w:color w:val="auto"/>
          <w:highlight w:val="none"/>
        </w:rPr>
        <w:t>除外 ）</w:t>
      </w:r>
    </w:p>
    <w:p w14:paraId="59C57108">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2.地点：本项目不发放纸质采购文件，供应商可自行在“政采云”平台 （http：//www.zcygov.cn）下载采购文件（操作路径：登录“政采云”平台-项目采购-获取采购文件 -找到本项目-点击“申请获取采购文件”），电子响应文件制作需要基于“政采云”平台 （http：//www.zcygov.cn）获取的采购文件编制。</w:t>
      </w:r>
    </w:p>
    <w:p w14:paraId="5141AAA1">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方式：（1）如有问题可拨打政采云客户服务热线95763进行咨询，数字证书问题可咨询云南壹证通CA：0871-67276028（紧急可拨19988166369）。</w:t>
      </w:r>
    </w:p>
    <w:p w14:paraId="3519E6EE">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如因投标人自身原因导致在规定时间内无法正常解密的（如：浏览器故障、未安装相关驱动、网络故障、加密CA与解密CA不一致等），视为投标人自动弃标，代理机构不予处理。</w:t>
      </w:r>
    </w:p>
    <w:p w14:paraId="5770DF31">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（2）云南本地投标人如之前已在云南CA在线数字证书办理网进行过注册并办理过企业数字证书（CA），直接绑定即可，无需重复办理（2022年1月1日前办理的云南CA需到云南CA办理处进行升级）。</w:t>
      </w:r>
    </w:p>
    <w:p w14:paraId="76AF38AD">
      <w:pPr>
        <w:adjustRightInd w:val="0"/>
        <w:snapToGrid w:val="0"/>
        <w:spacing w:line="360" w:lineRule="auto"/>
        <w:ind w:firstLine="42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售价（元）：0。</w:t>
      </w:r>
    </w:p>
    <w:p w14:paraId="253BC4FA">
      <w:pPr>
        <w:spacing w:line="360" w:lineRule="auto"/>
        <w:ind w:firstLine="422" w:firstLineChars="200"/>
        <w:rPr>
          <w:b/>
          <w:bCs/>
          <w:color w:val="auto"/>
          <w:highlight w:val="none"/>
        </w:rPr>
      </w:pPr>
      <w:bookmarkStart w:id="15" w:name="_Toc35393632"/>
      <w:bookmarkStart w:id="16" w:name="_Toc28359092"/>
      <w:bookmarkStart w:id="17" w:name="_Toc28359015"/>
      <w:bookmarkStart w:id="18" w:name="_Toc35393801"/>
      <w:r>
        <w:rPr>
          <w:rFonts w:hint="eastAsia"/>
          <w:b/>
          <w:bCs/>
          <w:color w:val="auto"/>
          <w:highlight w:val="none"/>
        </w:rPr>
        <w:t>四、响应文件提交</w:t>
      </w:r>
      <w:bookmarkEnd w:id="15"/>
      <w:bookmarkEnd w:id="16"/>
      <w:bookmarkEnd w:id="17"/>
      <w:bookmarkEnd w:id="18"/>
    </w:p>
    <w:p w14:paraId="66CABB50">
      <w:pPr>
        <w:spacing w:line="360" w:lineRule="auto"/>
        <w:ind w:firstLine="420" w:firstLineChars="200"/>
        <w:rPr>
          <w:rFonts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highlight w:val="none"/>
        </w:rPr>
        <w:t>1.截止时间：</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eastAsiaTheme="minorEastAsia" w:cstheme="minorEastAsia"/>
          <w:color w:val="auto"/>
          <w:highlight w:val="none"/>
          <w:u w:val="single"/>
          <w:lang w:val="en-US" w:eastAsia="zh-CN"/>
        </w:rPr>
        <w:t>6</w:t>
      </w:r>
      <w:r>
        <w:rPr>
          <w:rFonts w:hint="eastAsia" w:asciiTheme="minorEastAsia" w:hAnsiTheme="minorEastAsia" w:eastAsiaTheme="minorEastAsia" w:cstheme="minorEastAsia"/>
          <w:bCs/>
          <w:color w:val="auto"/>
          <w:highlight w:val="none"/>
          <w:u w:val="single"/>
        </w:rPr>
        <w:t>年</w:t>
      </w:r>
      <w:r>
        <w:rPr>
          <w:rFonts w:hint="eastAsia" w:asciiTheme="minorEastAsia" w:hAnsiTheme="minorEastAsia" w:eastAsiaTheme="minorEastAsia" w:cstheme="minorEastAsia"/>
          <w:bCs/>
          <w:color w:val="auto"/>
          <w:highlight w:val="none"/>
          <w:u w:val="single"/>
          <w:lang w:val="en-US" w:eastAsia="zh-CN"/>
        </w:rPr>
        <w:t>5</w:t>
      </w:r>
      <w:r>
        <w:rPr>
          <w:rFonts w:hint="eastAsia" w:asciiTheme="minorEastAsia" w:hAnsiTheme="minorEastAsia" w:eastAsiaTheme="minorEastAsia" w:cstheme="minorEastAsia"/>
          <w:bCs/>
          <w:color w:val="auto"/>
          <w:highlight w:val="none"/>
          <w:u w:val="single"/>
        </w:rPr>
        <w:t>月</w:t>
      </w:r>
      <w:r>
        <w:rPr>
          <w:rFonts w:hint="eastAsia" w:asciiTheme="minorEastAsia" w:hAnsiTheme="minorEastAsia" w:eastAsiaTheme="minorEastAsia" w:cstheme="minorEastAsia"/>
          <w:bCs/>
          <w:color w:val="auto"/>
          <w:highlight w:val="none"/>
          <w:u w:val="single"/>
          <w:lang w:val="en-US" w:eastAsia="zh-CN"/>
        </w:rPr>
        <w:t>25</w:t>
      </w:r>
      <w:r>
        <w:rPr>
          <w:rFonts w:hint="eastAsia" w:asciiTheme="minorEastAsia" w:hAnsiTheme="minorEastAsia" w:eastAsiaTheme="minorEastAsia" w:cstheme="minorEastAsia"/>
          <w:bCs/>
          <w:color w:val="auto"/>
          <w:highlight w:val="none"/>
          <w:u w:val="single"/>
        </w:rPr>
        <w:t>日</w:t>
      </w:r>
      <w:r>
        <w:rPr>
          <w:rFonts w:hint="eastAsia" w:asciiTheme="minorEastAsia" w:hAnsiTheme="minorEastAsia" w:eastAsiaTheme="minorEastAsia" w:cstheme="minorEastAsia"/>
          <w:bCs/>
          <w:color w:val="auto"/>
          <w:highlight w:val="none"/>
          <w:u w:val="single"/>
          <w:lang w:val="en-US" w:eastAsia="zh-CN"/>
        </w:rPr>
        <w:t>14</w:t>
      </w:r>
      <w:r>
        <w:rPr>
          <w:rFonts w:hint="eastAsia" w:asciiTheme="minorEastAsia" w:hAnsiTheme="minorEastAsia" w:eastAsiaTheme="minorEastAsia" w:cstheme="minorEastAsia"/>
          <w:bCs/>
          <w:color w:val="auto"/>
          <w:highlight w:val="none"/>
          <w:u w:val="single"/>
        </w:rPr>
        <w:t>点</w:t>
      </w:r>
      <w:r>
        <w:rPr>
          <w:rFonts w:hint="eastAsia" w:asciiTheme="minorEastAsia" w:hAnsiTheme="minorEastAsia" w:eastAsiaTheme="minorEastAsia" w:cstheme="minorEastAsia"/>
          <w:bCs/>
          <w:color w:val="auto"/>
          <w:highlight w:val="none"/>
          <w:u w:val="single"/>
          <w:lang w:val="en-US" w:eastAsia="zh-CN"/>
        </w:rPr>
        <w:t>0</w:t>
      </w:r>
      <w:r>
        <w:rPr>
          <w:rFonts w:hint="eastAsia" w:asciiTheme="minorEastAsia" w:hAnsiTheme="minorEastAsia" w:eastAsiaTheme="minorEastAsia" w:cstheme="minorEastAsia"/>
          <w:bCs/>
          <w:color w:val="auto"/>
          <w:highlight w:val="none"/>
          <w:u w:val="single"/>
        </w:rPr>
        <w:t>0分</w:t>
      </w:r>
      <w:r>
        <w:rPr>
          <w:rFonts w:hint="eastAsia" w:asciiTheme="minorEastAsia" w:hAnsiTheme="minorEastAsia" w:eastAsiaTheme="minorEastAsia" w:cstheme="minorEastAsia"/>
          <w:bCs/>
          <w:color w:val="auto"/>
          <w:highlight w:val="none"/>
        </w:rPr>
        <w:t>（北京时间）</w:t>
      </w:r>
      <w:r>
        <w:rPr>
          <w:rFonts w:hint="eastAsia" w:asciiTheme="minorEastAsia" w:hAnsiTheme="minorEastAsia" w:eastAsiaTheme="minorEastAsia" w:cstheme="minorEastAsia"/>
          <w:bCs/>
          <w:color w:val="auto"/>
          <w:highlight w:val="none"/>
        </w:rPr>
        <w:t>；</w:t>
      </w:r>
    </w:p>
    <w:p w14:paraId="4732ECE8">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18135C99">
      <w:pPr>
        <w:spacing w:line="360" w:lineRule="auto"/>
        <w:ind w:firstLine="422" w:firstLineChars="200"/>
        <w:rPr>
          <w:color w:val="auto"/>
          <w:highlight w:val="none"/>
        </w:rPr>
      </w:pPr>
      <w:bookmarkStart w:id="19" w:name="_Toc35393633"/>
      <w:bookmarkStart w:id="20" w:name="_Toc28359016"/>
      <w:bookmarkStart w:id="21" w:name="_Toc28359093"/>
      <w:bookmarkStart w:id="22" w:name="_Toc35393802"/>
      <w:r>
        <w:rPr>
          <w:rFonts w:hint="eastAsia"/>
          <w:b/>
          <w:bCs/>
          <w:color w:val="auto"/>
          <w:highlight w:val="none"/>
        </w:rPr>
        <w:t>五、开启</w:t>
      </w:r>
      <w:bookmarkEnd w:id="19"/>
      <w:bookmarkEnd w:id="20"/>
      <w:bookmarkEnd w:id="21"/>
      <w:bookmarkEnd w:id="22"/>
    </w:p>
    <w:p w14:paraId="78A771E0">
      <w:pPr>
        <w:spacing w:line="360" w:lineRule="auto"/>
        <w:ind w:firstLine="420" w:firstLineChars="200"/>
        <w:rPr>
          <w:color w:val="auto"/>
          <w:highlight w:val="none"/>
        </w:rPr>
      </w:pPr>
      <w:r>
        <w:rPr>
          <w:rFonts w:hint="eastAsia"/>
          <w:color w:val="auto"/>
          <w:highlight w:val="none"/>
        </w:rPr>
        <w:t>时间：</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eastAsiaTheme="minorEastAsia" w:cstheme="minorEastAsia"/>
          <w:color w:val="auto"/>
          <w:highlight w:val="none"/>
          <w:u w:val="single"/>
          <w:lang w:val="en-US" w:eastAsia="zh-CN"/>
        </w:rPr>
        <w:t>6</w:t>
      </w:r>
      <w:r>
        <w:rPr>
          <w:rFonts w:hint="eastAsia" w:asciiTheme="minorEastAsia" w:hAnsiTheme="minorEastAsia" w:eastAsiaTheme="minorEastAsia" w:cstheme="minorEastAsia"/>
          <w:bCs/>
          <w:color w:val="auto"/>
          <w:highlight w:val="none"/>
          <w:u w:val="single"/>
        </w:rPr>
        <w:t>年</w:t>
      </w:r>
      <w:r>
        <w:rPr>
          <w:rFonts w:hint="eastAsia" w:asciiTheme="minorEastAsia" w:hAnsiTheme="minorEastAsia" w:eastAsiaTheme="minorEastAsia" w:cstheme="minorEastAsia"/>
          <w:bCs/>
          <w:color w:val="auto"/>
          <w:highlight w:val="none"/>
          <w:u w:val="single"/>
          <w:lang w:val="en-US" w:eastAsia="zh-CN"/>
        </w:rPr>
        <w:t>5</w:t>
      </w:r>
      <w:r>
        <w:rPr>
          <w:rFonts w:hint="eastAsia" w:asciiTheme="minorEastAsia" w:hAnsiTheme="minorEastAsia" w:eastAsiaTheme="minorEastAsia" w:cstheme="minorEastAsia"/>
          <w:bCs/>
          <w:color w:val="auto"/>
          <w:highlight w:val="none"/>
          <w:u w:val="single"/>
        </w:rPr>
        <w:t>月</w:t>
      </w:r>
      <w:r>
        <w:rPr>
          <w:rFonts w:hint="eastAsia" w:asciiTheme="minorEastAsia" w:hAnsiTheme="minorEastAsia" w:eastAsiaTheme="minorEastAsia" w:cstheme="minorEastAsia"/>
          <w:bCs/>
          <w:color w:val="auto"/>
          <w:highlight w:val="none"/>
          <w:u w:val="single"/>
          <w:lang w:val="en-US" w:eastAsia="zh-CN"/>
        </w:rPr>
        <w:t>25</w:t>
      </w:r>
      <w:r>
        <w:rPr>
          <w:rFonts w:hint="eastAsia" w:asciiTheme="minorEastAsia" w:hAnsiTheme="minorEastAsia" w:eastAsiaTheme="minorEastAsia" w:cstheme="minorEastAsia"/>
          <w:bCs/>
          <w:color w:val="auto"/>
          <w:highlight w:val="none"/>
          <w:u w:val="single"/>
        </w:rPr>
        <w:t>日</w:t>
      </w:r>
      <w:r>
        <w:rPr>
          <w:rFonts w:hint="eastAsia" w:asciiTheme="minorEastAsia" w:hAnsiTheme="minorEastAsia" w:eastAsiaTheme="minorEastAsia" w:cstheme="minorEastAsia"/>
          <w:bCs/>
          <w:color w:val="auto"/>
          <w:highlight w:val="none"/>
          <w:u w:val="single"/>
          <w:lang w:val="en-US" w:eastAsia="zh-CN"/>
        </w:rPr>
        <w:t>14</w:t>
      </w:r>
      <w:r>
        <w:rPr>
          <w:rFonts w:hint="eastAsia" w:asciiTheme="minorEastAsia" w:hAnsiTheme="minorEastAsia" w:eastAsiaTheme="minorEastAsia" w:cstheme="minorEastAsia"/>
          <w:bCs/>
          <w:color w:val="auto"/>
          <w:highlight w:val="none"/>
          <w:u w:val="single"/>
        </w:rPr>
        <w:t>点</w:t>
      </w:r>
      <w:r>
        <w:rPr>
          <w:rFonts w:hint="eastAsia" w:asciiTheme="minorEastAsia" w:hAnsiTheme="minorEastAsia" w:eastAsiaTheme="minorEastAsia" w:cstheme="minorEastAsia"/>
          <w:bCs/>
          <w:color w:val="auto"/>
          <w:highlight w:val="none"/>
          <w:u w:val="single"/>
          <w:lang w:val="en-US" w:eastAsia="zh-CN"/>
        </w:rPr>
        <w:t>0</w:t>
      </w:r>
      <w:r>
        <w:rPr>
          <w:rFonts w:hint="eastAsia" w:asciiTheme="minorEastAsia" w:hAnsiTheme="minorEastAsia" w:eastAsiaTheme="minorEastAsia" w:cstheme="minorEastAsia"/>
          <w:bCs/>
          <w:color w:val="auto"/>
          <w:highlight w:val="none"/>
          <w:u w:val="single"/>
        </w:rPr>
        <w:t>0分</w:t>
      </w:r>
      <w:r>
        <w:rPr>
          <w:rFonts w:hint="eastAsia"/>
          <w:color w:val="auto"/>
          <w:highlight w:val="none"/>
        </w:rPr>
        <w:t>（北京时间）；</w:t>
      </w:r>
    </w:p>
    <w:p w14:paraId="447324A9">
      <w:pPr>
        <w:spacing w:line="360" w:lineRule="auto"/>
        <w:ind w:firstLine="420" w:firstLineChars="200"/>
        <w:rPr>
          <w:color w:val="auto"/>
          <w:highlight w:val="none"/>
        </w:rPr>
      </w:pPr>
      <w:r>
        <w:rPr>
          <w:rFonts w:hint="eastAsia"/>
          <w:color w:val="auto"/>
          <w:highlight w:val="none"/>
        </w:rPr>
        <w:t>地点：“政采云”平台开标大厅。</w:t>
      </w:r>
    </w:p>
    <w:p w14:paraId="7CEB4ABF">
      <w:pPr>
        <w:spacing w:line="360" w:lineRule="auto"/>
        <w:ind w:firstLine="422" w:firstLineChars="200"/>
        <w:rPr>
          <w:b/>
          <w:bCs/>
          <w:color w:val="auto"/>
          <w:highlight w:val="none"/>
        </w:rPr>
      </w:pPr>
      <w:bookmarkStart w:id="23" w:name="_Toc35393803"/>
      <w:bookmarkStart w:id="24" w:name="_Toc28359094"/>
      <w:bookmarkStart w:id="25" w:name="_Toc28359017"/>
      <w:bookmarkStart w:id="26" w:name="_Toc35393634"/>
      <w:r>
        <w:rPr>
          <w:rFonts w:hint="eastAsia"/>
          <w:b/>
          <w:bCs/>
          <w:color w:val="auto"/>
          <w:highlight w:val="none"/>
        </w:rPr>
        <w:t>六、公告期限</w:t>
      </w:r>
      <w:bookmarkEnd w:id="23"/>
      <w:bookmarkEnd w:id="24"/>
      <w:bookmarkEnd w:id="25"/>
      <w:bookmarkEnd w:id="26"/>
    </w:p>
    <w:p w14:paraId="3CAEE406">
      <w:pPr>
        <w:spacing w:line="360" w:lineRule="auto"/>
        <w:ind w:firstLine="420" w:firstLineChars="200"/>
        <w:rPr>
          <w:color w:val="auto"/>
          <w:highlight w:val="none"/>
        </w:rPr>
      </w:pPr>
      <w:r>
        <w:rPr>
          <w:rFonts w:hint="eastAsia"/>
          <w:color w:val="auto"/>
          <w:highlight w:val="none"/>
        </w:rPr>
        <w:t>自本公告发布之日起3个工作日。</w:t>
      </w:r>
    </w:p>
    <w:p w14:paraId="15D3DF6E">
      <w:pPr>
        <w:spacing w:line="360" w:lineRule="auto"/>
        <w:ind w:firstLine="422" w:firstLineChars="200"/>
        <w:rPr>
          <w:b/>
          <w:bCs/>
          <w:color w:val="auto"/>
          <w:highlight w:val="none"/>
        </w:rPr>
      </w:pPr>
      <w:bookmarkStart w:id="27" w:name="_Toc35393804"/>
      <w:bookmarkStart w:id="28" w:name="_Toc35393635"/>
      <w:r>
        <w:rPr>
          <w:rFonts w:hint="eastAsia"/>
          <w:b/>
          <w:bCs/>
          <w:color w:val="auto"/>
          <w:highlight w:val="none"/>
        </w:rPr>
        <w:t>七、其他补充事宜</w:t>
      </w:r>
      <w:bookmarkEnd w:id="27"/>
      <w:bookmarkEnd w:id="28"/>
    </w:p>
    <w:p w14:paraId="5928A03D">
      <w:pPr>
        <w:spacing w:line="360" w:lineRule="auto"/>
        <w:ind w:firstLine="420" w:firstLineChars="200"/>
        <w:rPr>
          <w:color w:val="auto"/>
          <w:highlight w:val="none"/>
        </w:rPr>
      </w:pPr>
      <w:r>
        <w:rPr>
          <w:rFonts w:hint="eastAsia"/>
          <w:color w:val="auto"/>
          <w:highlight w:val="none"/>
        </w:rPr>
        <w:t>开标方式：网上开标</w:t>
      </w:r>
    </w:p>
    <w:p w14:paraId="64ADB573">
      <w:pPr>
        <w:spacing w:line="360" w:lineRule="auto"/>
        <w:ind w:firstLine="420" w:firstLineChars="200"/>
        <w:rPr>
          <w:rFonts w:hint="eastAsia"/>
          <w:color w:val="auto"/>
          <w:highlight w:val="none"/>
          <w:lang w:val="en-US" w:eastAsia="zh-CN"/>
        </w:rPr>
      </w:pPr>
      <w:r>
        <w:rPr>
          <w:rFonts w:hint="eastAsia"/>
          <w:color w:val="auto"/>
          <w:highlight w:val="none"/>
        </w:rPr>
        <w:t>是否需要缴纳投标保证金：</w:t>
      </w:r>
      <w:r>
        <w:rPr>
          <w:rFonts w:hint="eastAsia"/>
          <w:color w:val="auto"/>
          <w:highlight w:val="none"/>
          <w:lang w:val="en-US" w:eastAsia="zh-CN"/>
        </w:rPr>
        <w:t>否</w:t>
      </w:r>
    </w:p>
    <w:p w14:paraId="5B65A372">
      <w:pPr>
        <w:spacing w:line="360" w:lineRule="auto"/>
        <w:ind w:firstLine="420" w:firstLineChars="200"/>
        <w:rPr>
          <w:rFonts w:hint="default"/>
          <w:color w:val="auto"/>
          <w:highlight w:val="none"/>
          <w:lang w:val="en-US" w:eastAsia="zh-CN"/>
        </w:rPr>
      </w:pPr>
      <w:r>
        <w:rPr>
          <w:rFonts w:hint="eastAsia"/>
          <w:color w:val="auto"/>
          <w:highlight w:val="none"/>
          <w:lang w:val="en-US" w:eastAsia="zh-CN"/>
        </w:rPr>
        <w:t>保证金缴纳截止时间：同递交响应文件截止时间（本项目无需缴纳磋商保证金）。</w:t>
      </w:r>
    </w:p>
    <w:p w14:paraId="049863B4">
      <w:pPr>
        <w:spacing w:line="360" w:lineRule="auto"/>
        <w:ind w:firstLine="420" w:firstLineChars="200"/>
        <w:rPr>
          <w:color w:val="auto"/>
          <w:highlight w:val="none"/>
        </w:rPr>
      </w:pPr>
      <w:r>
        <w:rPr>
          <w:rFonts w:hint="eastAsia"/>
          <w:color w:val="auto"/>
          <w:highlight w:val="none"/>
        </w:rPr>
        <w:t>其他：</w:t>
      </w:r>
    </w:p>
    <w:p w14:paraId="0BCB7BC4">
      <w:pPr>
        <w:spacing w:line="360" w:lineRule="auto"/>
        <w:ind w:firstLine="420" w:firstLineChars="200"/>
        <w:rPr>
          <w:color w:val="auto"/>
          <w:highlight w:val="none"/>
        </w:rPr>
      </w:pPr>
      <w:r>
        <w:rPr>
          <w:rFonts w:hint="eastAsia"/>
          <w:color w:val="auto"/>
          <w:highlight w:val="none"/>
        </w:rPr>
        <w:t>1、公告发布媒介：《云南省政府采购网》（http：//www.yngp.com/）；</w:t>
      </w:r>
    </w:p>
    <w:p w14:paraId="2DFB8EC2">
      <w:pPr>
        <w:spacing w:line="360" w:lineRule="auto"/>
        <w:ind w:firstLine="420" w:firstLineChars="200"/>
        <w:rPr>
          <w:color w:val="auto"/>
          <w:highlight w:val="none"/>
        </w:rPr>
      </w:pPr>
      <w:r>
        <w:rPr>
          <w:rFonts w:hint="eastAsia"/>
          <w:color w:val="auto"/>
          <w:highlight w:val="none"/>
        </w:rPr>
        <w:t>2、质量要求：</w:t>
      </w:r>
      <w:r>
        <w:rPr>
          <w:rFonts w:hint="eastAsia"/>
          <w:color w:val="auto"/>
          <w:highlight w:val="none"/>
          <w:lang w:eastAsia="zh-CN"/>
        </w:rPr>
        <w:t>符合国家、行业相关标准及采购人的采购要求</w:t>
      </w:r>
      <w:r>
        <w:rPr>
          <w:rFonts w:hint="eastAsia"/>
          <w:color w:val="auto"/>
          <w:highlight w:val="none"/>
        </w:rPr>
        <w:t>；</w:t>
      </w:r>
    </w:p>
    <w:p w14:paraId="74830876">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val="en-US" w:eastAsia="zh-CN"/>
        </w:rPr>
        <w:t>服务期限</w:t>
      </w:r>
      <w:r>
        <w:rPr>
          <w:rFonts w:hint="eastAsia"/>
          <w:color w:val="auto"/>
          <w:highlight w:val="none"/>
        </w:rPr>
        <w:t>：</w:t>
      </w:r>
      <w:r>
        <w:rPr>
          <w:rFonts w:hint="eastAsia"/>
          <w:color w:val="auto"/>
          <w:highlight w:val="none"/>
          <w:lang w:val="en-US" w:eastAsia="zh-CN"/>
        </w:rPr>
        <w:t>自合同签订之日起一年</w:t>
      </w:r>
      <w:r>
        <w:rPr>
          <w:rFonts w:hint="eastAsia"/>
          <w:color w:val="auto"/>
          <w:highlight w:val="none"/>
        </w:rPr>
        <w:t>。</w:t>
      </w:r>
    </w:p>
    <w:p w14:paraId="317901A4">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val="en-US" w:eastAsia="zh-CN"/>
        </w:rPr>
        <w:t>服务地点</w:t>
      </w:r>
      <w:r>
        <w:rPr>
          <w:rFonts w:hint="eastAsia"/>
          <w:color w:val="auto"/>
          <w:highlight w:val="none"/>
        </w:rPr>
        <w:t>：</w:t>
      </w:r>
      <w:r>
        <w:rPr>
          <w:rFonts w:hint="eastAsia"/>
          <w:color w:val="auto"/>
          <w:highlight w:val="none"/>
          <w:lang w:val="en-US" w:eastAsia="zh-CN"/>
        </w:rPr>
        <w:t>昆明市盘龙区滇源中心学校下辖4所分校及2所幼儿园，加上滇源中心学校共有9个校点</w:t>
      </w:r>
      <w:r>
        <w:rPr>
          <w:rFonts w:hint="eastAsia"/>
          <w:color w:val="auto"/>
          <w:highlight w:val="none"/>
        </w:rPr>
        <w:t>。</w:t>
      </w:r>
    </w:p>
    <w:p w14:paraId="21B77500">
      <w:pPr>
        <w:spacing w:line="360" w:lineRule="auto"/>
        <w:ind w:firstLine="420" w:firstLineChars="200"/>
        <w:rPr>
          <w:color w:val="auto"/>
          <w:highlight w:val="none"/>
        </w:rPr>
      </w:pPr>
      <w:r>
        <w:rPr>
          <w:rFonts w:hint="eastAsia"/>
          <w:color w:val="auto"/>
          <w:highlight w:val="none"/>
        </w:rPr>
        <w:t>5、标包划分：本项目不划分标包。</w:t>
      </w:r>
    </w:p>
    <w:p w14:paraId="11ACA497">
      <w:pPr>
        <w:spacing w:line="360" w:lineRule="auto"/>
        <w:ind w:firstLine="422" w:firstLineChars="200"/>
        <w:rPr>
          <w:color w:val="auto"/>
          <w:highlight w:val="none"/>
        </w:rPr>
      </w:pPr>
      <w:bookmarkStart w:id="29" w:name="_Toc35393805"/>
      <w:bookmarkStart w:id="30" w:name="_Toc28359095"/>
      <w:bookmarkStart w:id="31" w:name="_Toc35393636"/>
      <w:bookmarkStart w:id="32" w:name="_Toc28359018"/>
      <w:r>
        <w:rPr>
          <w:rFonts w:hint="eastAsia"/>
          <w:b/>
          <w:bCs/>
          <w:color w:val="auto"/>
          <w:highlight w:val="none"/>
        </w:rPr>
        <w:t>八、凡对本次采购提出询问，请按</w:t>
      </w:r>
      <w:r>
        <w:rPr>
          <w:b/>
          <w:bCs/>
          <w:color w:val="auto"/>
          <w:highlight w:val="none"/>
        </w:rPr>
        <w:t>以下方式</w:t>
      </w:r>
      <w:r>
        <w:rPr>
          <w:rFonts w:hint="eastAsia"/>
          <w:b/>
          <w:bCs/>
          <w:color w:val="auto"/>
          <w:highlight w:val="none"/>
        </w:rPr>
        <w:t>联系</w:t>
      </w:r>
      <w:bookmarkEnd w:id="29"/>
      <w:bookmarkEnd w:id="30"/>
      <w:bookmarkEnd w:id="31"/>
      <w:bookmarkEnd w:id="32"/>
    </w:p>
    <w:p w14:paraId="3C27E18F">
      <w:pPr>
        <w:spacing w:line="360" w:lineRule="auto"/>
        <w:ind w:firstLine="420" w:firstLineChars="200"/>
        <w:rPr>
          <w:color w:val="auto"/>
          <w:highlight w:val="none"/>
        </w:rPr>
      </w:pPr>
      <w:bookmarkStart w:id="33" w:name="_Toc35393806"/>
      <w:bookmarkStart w:id="34" w:name="_Toc28359019"/>
      <w:bookmarkStart w:id="35" w:name="_Toc28359096"/>
      <w:bookmarkStart w:id="36" w:name="_Toc35393637"/>
      <w:r>
        <w:rPr>
          <w:rFonts w:hint="eastAsia"/>
          <w:color w:val="auto"/>
          <w:highlight w:val="none"/>
        </w:rPr>
        <w:t>1.采购人信息</w:t>
      </w:r>
      <w:bookmarkEnd w:id="33"/>
      <w:bookmarkEnd w:id="34"/>
      <w:bookmarkEnd w:id="35"/>
      <w:bookmarkEnd w:id="36"/>
    </w:p>
    <w:p w14:paraId="1CC1B24C">
      <w:pPr>
        <w:spacing w:line="360" w:lineRule="auto"/>
        <w:ind w:firstLine="420" w:firstLineChars="200"/>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昆明市盘龙区滇源中心学校</w:t>
      </w:r>
    </w:p>
    <w:p w14:paraId="291BBA8D">
      <w:pPr>
        <w:spacing w:line="360" w:lineRule="auto"/>
        <w:ind w:firstLine="420" w:firstLineChars="200"/>
        <w:rPr>
          <w:rFonts w:hint="eastAsia"/>
          <w:color w:val="auto"/>
          <w:highlight w:val="none"/>
          <w:lang w:val="en-US" w:eastAsia="zh-CN"/>
        </w:rPr>
      </w:pPr>
      <w:r>
        <w:rPr>
          <w:rFonts w:hint="eastAsia"/>
          <w:color w:val="auto"/>
          <w:highlight w:val="none"/>
        </w:rPr>
        <w:t>地    址：</w:t>
      </w:r>
      <w:r>
        <w:rPr>
          <w:rFonts w:hint="eastAsia"/>
          <w:color w:val="auto"/>
          <w:highlight w:val="none"/>
          <w:lang w:eastAsia="zh-CN"/>
        </w:rPr>
        <w:t>昆明市盘龙区滇源中心学校</w:t>
      </w:r>
    </w:p>
    <w:p w14:paraId="4802D5B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高老师13518768176</w:t>
      </w:r>
    </w:p>
    <w:p w14:paraId="4D344FD1">
      <w:pPr>
        <w:spacing w:line="360" w:lineRule="auto"/>
        <w:ind w:firstLine="420" w:firstLineChars="200"/>
        <w:rPr>
          <w:rFonts w:hint="eastAsia" w:ascii="宋体" w:hAnsi="宋体" w:eastAsia="宋体" w:cs="宋体"/>
          <w:color w:val="auto"/>
          <w:highlight w:val="none"/>
        </w:rPr>
      </w:pPr>
      <w:bookmarkStart w:id="37" w:name="_Toc35393807"/>
      <w:bookmarkStart w:id="38" w:name="_Toc35393638"/>
      <w:bookmarkStart w:id="39" w:name="_Toc28359020"/>
      <w:bookmarkStart w:id="40" w:name="_Toc28359097"/>
      <w:r>
        <w:rPr>
          <w:rFonts w:hint="eastAsia" w:ascii="宋体" w:hAnsi="宋体" w:eastAsia="宋体" w:cs="宋体"/>
          <w:color w:val="auto"/>
          <w:highlight w:val="none"/>
        </w:rPr>
        <w:t>2.采购代理机构信息</w:t>
      </w:r>
      <w:bookmarkEnd w:id="37"/>
      <w:bookmarkEnd w:id="38"/>
      <w:bookmarkEnd w:id="39"/>
      <w:bookmarkEnd w:id="40"/>
    </w:p>
    <w:p w14:paraId="6E7BD61C">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云南禹信招标代理有限公司</w:t>
      </w:r>
    </w:p>
    <w:p w14:paraId="43664C68">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昆明市五华区科普路固地尚诚商务中心B座21楼</w:t>
      </w:r>
    </w:p>
    <w:p w14:paraId="65BF1E04">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15398519110</w:t>
      </w:r>
    </w:p>
    <w:p w14:paraId="1274F286">
      <w:pPr>
        <w:spacing w:line="360" w:lineRule="auto"/>
        <w:ind w:firstLine="420" w:firstLineChars="200"/>
        <w:rPr>
          <w:rFonts w:hint="eastAsia" w:ascii="宋体" w:hAnsi="宋体" w:eastAsia="宋体" w:cs="宋体"/>
          <w:color w:val="auto"/>
          <w:highlight w:val="none"/>
        </w:rPr>
      </w:pPr>
      <w:bookmarkStart w:id="41" w:name="_Toc28359021"/>
      <w:bookmarkStart w:id="42" w:name="_Toc28359098"/>
      <w:bookmarkStart w:id="43" w:name="_Toc35393808"/>
      <w:bookmarkStart w:id="44" w:name="_Toc35393639"/>
      <w:r>
        <w:rPr>
          <w:rFonts w:hint="eastAsia" w:ascii="宋体" w:hAnsi="宋体" w:eastAsia="宋体" w:cs="宋体"/>
          <w:color w:val="auto"/>
          <w:highlight w:val="none"/>
        </w:rPr>
        <w:t>3.项目联系方式</w:t>
      </w:r>
      <w:bookmarkEnd w:id="41"/>
      <w:bookmarkEnd w:id="42"/>
      <w:bookmarkEnd w:id="43"/>
      <w:bookmarkEnd w:id="44"/>
    </w:p>
    <w:p w14:paraId="54DFB161">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周伟</w:t>
      </w:r>
    </w:p>
    <w:p w14:paraId="0224609F">
      <w:pPr>
        <w:spacing w:line="360" w:lineRule="auto"/>
        <w:ind w:firstLine="420" w:firstLineChars="200"/>
        <w:rPr>
          <w:rFonts w:ascii="黑体" w:hAnsi="黑体" w:eastAsia="黑体" w:cs="黑体"/>
          <w:b/>
          <w:bCs/>
          <w:color w:val="auto"/>
          <w:kern w:val="44"/>
          <w:sz w:val="36"/>
          <w:szCs w:val="36"/>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lang w:eastAsia="zh-CN"/>
        </w:rPr>
        <w:t>：15398519110</w:t>
      </w:r>
      <w:bookmarkStart w:id="45" w:name="_Toc24185"/>
      <w:bookmarkStart w:id="46" w:name="_Toc21485"/>
      <w:r>
        <w:rPr>
          <w:rFonts w:ascii="黑体" w:hAnsi="黑体" w:eastAsia="黑体" w:cs="黑体"/>
          <w:color w:val="auto"/>
          <w:sz w:val="36"/>
          <w:szCs w:val="36"/>
          <w:highlight w:val="none"/>
        </w:rPr>
        <w:br w:type="page"/>
      </w:r>
    </w:p>
    <w:bookmarkEnd w:id="463"/>
    <w:p w14:paraId="2AD1F92F">
      <w:pPr>
        <w:pStyle w:val="3"/>
        <w:jc w:val="center"/>
        <w:rPr>
          <w:color w:val="auto"/>
          <w:highlight w:val="none"/>
        </w:rPr>
      </w:pPr>
      <w:bookmarkStart w:id="47" w:name="_Toc2167"/>
      <w:bookmarkStart w:id="48" w:name="_Toc25077"/>
      <w:r>
        <w:rPr>
          <w:rFonts w:hint="eastAsia" w:ascii="黑体" w:hAnsi="黑体" w:eastAsia="黑体" w:cs="黑体"/>
          <w:color w:val="auto"/>
          <w:sz w:val="36"/>
          <w:szCs w:val="36"/>
          <w:highlight w:val="none"/>
        </w:rPr>
        <w:t>第二章 供应商须知及其前附表</w:t>
      </w:r>
      <w:bookmarkEnd w:id="45"/>
      <w:bookmarkEnd w:id="46"/>
      <w:bookmarkEnd w:id="47"/>
      <w:bookmarkEnd w:id="48"/>
    </w:p>
    <w:p w14:paraId="73B9E03A">
      <w:pPr>
        <w:spacing w:line="360" w:lineRule="auto"/>
        <w:jc w:val="center"/>
        <w:outlineLvl w:val="1"/>
        <w:rPr>
          <w:rFonts w:ascii="新宋体" w:hAnsi="新宋体" w:eastAsia="新宋体"/>
          <w:b/>
          <w:color w:val="auto"/>
          <w:kern w:val="0"/>
          <w:sz w:val="32"/>
          <w:highlight w:val="none"/>
        </w:rPr>
      </w:pPr>
      <w:bookmarkStart w:id="49" w:name="_Toc411522045"/>
      <w:bookmarkStart w:id="50" w:name="_Toc12094"/>
      <w:bookmarkStart w:id="51" w:name="_Toc8195"/>
      <w:bookmarkStart w:id="52" w:name="_Toc20075"/>
      <w:bookmarkStart w:id="53" w:name="_Toc500402878"/>
      <w:bookmarkStart w:id="54" w:name="_Toc1489"/>
      <w:bookmarkStart w:id="55" w:name="_Toc411522331"/>
      <w:bookmarkStart w:id="56" w:name="_Toc11690"/>
      <w:bookmarkStart w:id="57" w:name="_Toc3403"/>
      <w:bookmarkStart w:id="58" w:name="_Toc414014527"/>
      <w:bookmarkStart w:id="59" w:name="_Toc18978"/>
      <w:r>
        <w:rPr>
          <w:rFonts w:ascii="新宋体" w:hAnsi="新宋体" w:eastAsia="新宋体"/>
          <w:b/>
          <w:color w:val="auto"/>
          <w:kern w:val="0"/>
          <w:sz w:val="32"/>
          <w:highlight w:val="none"/>
        </w:rPr>
        <w:t>一、</w:t>
      </w:r>
      <w:r>
        <w:rPr>
          <w:rFonts w:hint="eastAsia" w:ascii="新宋体" w:hAnsi="新宋体" w:eastAsia="新宋体"/>
          <w:b/>
          <w:color w:val="auto"/>
          <w:kern w:val="0"/>
          <w:sz w:val="32"/>
          <w:highlight w:val="none"/>
        </w:rPr>
        <w:t>供应商须知前附表</w:t>
      </w:r>
      <w:bookmarkEnd w:id="49"/>
      <w:bookmarkEnd w:id="50"/>
      <w:bookmarkEnd w:id="51"/>
      <w:bookmarkEnd w:id="52"/>
      <w:bookmarkEnd w:id="53"/>
      <w:bookmarkEnd w:id="54"/>
      <w:bookmarkEnd w:id="55"/>
      <w:bookmarkEnd w:id="56"/>
      <w:bookmarkEnd w:id="57"/>
      <w:bookmarkEnd w:id="58"/>
      <w:bookmarkEnd w:id="59"/>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6425"/>
      </w:tblGrid>
      <w:tr w14:paraId="6372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93" w:type="dxa"/>
            <w:shd w:val="clear" w:color="auto" w:fill="D6E3BC"/>
            <w:vAlign w:val="center"/>
          </w:tcPr>
          <w:p w14:paraId="74615551">
            <w:pPr>
              <w:spacing w:line="440" w:lineRule="exact"/>
              <w:jc w:val="center"/>
              <w:rPr>
                <w:rFonts w:ascii="新宋体" w:hAnsi="新宋体" w:eastAsia="新宋体"/>
                <w:b/>
                <w:color w:val="auto"/>
                <w:highlight w:val="none"/>
              </w:rPr>
            </w:pPr>
            <w:r>
              <w:rPr>
                <w:rFonts w:hint="eastAsia" w:ascii="新宋体" w:hAnsi="新宋体" w:eastAsia="新宋体"/>
                <w:b/>
                <w:color w:val="auto"/>
                <w:highlight w:val="none"/>
              </w:rPr>
              <w:t>条款号</w:t>
            </w:r>
          </w:p>
        </w:tc>
        <w:tc>
          <w:tcPr>
            <w:tcW w:w="2410" w:type="dxa"/>
            <w:shd w:val="clear" w:color="auto" w:fill="D6E3BC"/>
            <w:vAlign w:val="center"/>
          </w:tcPr>
          <w:p w14:paraId="30E199D1">
            <w:pPr>
              <w:spacing w:line="440" w:lineRule="exact"/>
              <w:jc w:val="center"/>
              <w:rPr>
                <w:rFonts w:ascii="新宋体" w:hAnsi="新宋体" w:eastAsia="新宋体"/>
                <w:b/>
                <w:color w:val="auto"/>
                <w:highlight w:val="none"/>
              </w:rPr>
            </w:pPr>
            <w:r>
              <w:rPr>
                <w:rFonts w:hint="eastAsia" w:ascii="新宋体" w:hAnsi="新宋体" w:eastAsia="新宋体"/>
                <w:b/>
                <w:color w:val="auto"/>
                <w:highlight w:val="none"/>
              </w:rPr>
              <w:t>条款名称</w:t>
            </w:r>
          </w:p>
        </w:tc>
        <w:tc>
          <w:tcPr>
            <w:tcW w:w="6425" w:type="dxa"/>
            <w:shd w:val="clear" w:color="auto" w:fill="D6E3BC"/>
            <w:vAlign w:val="center"/>
          </w:tcPr>
          <w:p w14:paraId="31D7EE4B">
            <w:pPr>
              <w:spacing w:line="440" w:lineRule="exact"/>
              <w:jc w:val="center"/>
              <w:rPr>
                <w:rFonts w:ascii="新宋体" w:hAnsi="新宋体" w:eastAsia="新宋体"/>
                <w:b/>
                <w:color w:val="auto"/>
                <w:highlight w:val="none"/>
              </w:rPr>
            </w:pPr>
            <w:r>
              <w:rPr>
                <w:rFonts w:hint="eastAsia" w:ascii="新宋体" w:hAnsi="新宋体" w:eastAsia="新宋体"/>
                <w:b/>
                <w:color w:val="auto"/>
                <w:highlight w:val="none"/>
              </w:rPr>
              <w:t>编列内容</w:t>
            </w:r>
          </w:p>
        </w:tc>
      </w:tr>
      <w:tr w14:paraId="15F6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334261BB">
            <w:pPr>
              <w:spacing w:line="400" w:lineRule="exact"/>
              <w:jc w:val="center"/>
              <w:rPr>
                <w:rFonts w:ascii="新宋体" w:hAnsi="新宋体" w:eastAsia="新宋体"/>
                <w:color w:val="auto"/>
                <w:highlight w:val="none"/>
              </w:rPr>
            </w:pPr>
            <w:r>
              <w:rPr>
                <w:rFonts w:ascii="新宋体" w:hAnsi="新宋体" w:eastAsia="新宋体"/>
                <w:color w:val="auto"/>
                <w:highlight w:val="none"/>
              </w:rPr>
              <w:t>1.1.2</w:t>
            </w:r>
          </w:p>
        </w:tc>
        <w:tc>
          <w:tcPr>
            <w:tcW w:w="2410" w:type="dxa"/>
            <w:vAlign w:val="center"/>
          </w:tcPr>
          <w:p w14:paraId="5A36F52D">
            <w:pPr>
              <w:jc w:val="center"/>
              <w:rPr>
                <w:rFonts w:ascii="新宋体" w:hAnsi="新宋体" w:eastAsia="新宋体"/>
                <w:color w:val="auto"/>
                <w:highlight w:val="none"/>
              </w:rPr>
            </w:pPr>
            <w:r>
              <w:rPr>
                <w:rFonts w:hint="eastAsia" w:ascii="新宋体" w:hAnsi="新宋体" w:eastAsia="新宋体"/>
                <w:color w:val="auto"/>
                <w:highlight w:val="none"/>
              </w:rPr>
              <w:t>采购人</w:t>
            </w:r>
          </w:p>
        </w:tc>
        <w:tc>
          <w:tcPr>
            <w:tcW w:w="6425" w:type="dxa"/>
            <w:vAlign w:val="center"/>
          </w:tcPr>
          <w:p w14:paraId="151FE36E">
            <w:pPr>
              <w:spacing w:line="360" w:lineRule="auto"/>
              <w:jc w:val="left"/>
              <w:rPr>
                <w:rFonts w:hint="eastAsia" w:ascii="新宋体" w:hAnsi="新宋体" w:eastAsia="新宋体"/>
                <w:color w:val="auto"/>
                <w:highlight w:val="none"/>
                <w:lang w:eastAsia="zh-CN"/>
              </w:rPr>
            </w:pPr>
            <w:r>
              <w:rPr>
                <w:rFonts w:hint="eastAsia" w:ascii="新宋体" w:hAnsi="新宋体" w:eastAsia="新宋体"/>
                <w:color w:val="auto"/>
                <w:highlight w:val="none"/>
              </w:rPr>
              <w:t>采购人：</w:t>
            </w:r>
            <w:r>
              <w:rPr>
                <w:rFonts w:hint="eastAsia" w:eastAsia="新宋体"/>
                <w:color w:val="auto"/>
                <w:highlight w:val="none"/>
                <w:lang w:eastAsia="zh-CN"/>
              </w:rPr>
              <w:t>昆明市盘龙区滇源中心学校</w:t>
            </w:r>
          </w:p>
          <w:p w14:paraId="2730433D">
            <w:pPr>
              <w:spacing w:line="360" w:lineRule="auto"/>
              <w:jc w:val="left"/>
              <w:rPr>
                <w:rFonts w:hint="default" w:ascii="新宋体" w:hAnsi="新宋体" w:eastAsia="宋体"/>
                <w:color w:val="auto"/>
                <w:highlight w:val="none"/>
                <w:lang w:val="en-US" w:eastAsia="zh-CN"/>
              </w:rPr>
            </w:pPr>
            <w:r>
              <w:rPr>
                <w:rFonts w:hint="eastAsia" w:ascii="新宋体" w:hAnsi="新宋体"/>
                <w:color w:val="auto"/>
                <w:highlight w:val="none"/>
              </w:rPr>
              <w:t>地    址：</w:t>
            </w:r>
            <w:r>
              <w:rPr>
                <w:rFonts w:hint="eastAsia" w:eastAsia="新宋体"/>
                <w:color w:val="auto"/>
                <w:highlight w:val="none"/>
                <w:lang w:eastAsia="zh-CN"/>
              </w:rPr>
              <w:t>昆明市盘龙区滇源中心学校</w:t>
            </w:r>
          </w:p>
          <w:p w14:paraId="7C253D66">
            <w:pPr>
              <w:spacing w:line="360" w:lineRule="auto"/>
              <w:jc w:val="left"/>
              <w:rPr>
                <w:rFonts w:ascii="新宋体" w:hAnsi="新宋体"/>
                <w:color w:val="auto"/>
                <w:highlight w:val="none"/>
              </w:rPr>
            </w:pPr>
            <w:r>
              <w:rPr>
                <w:rFonts w:hint="eastAsia" w:ascii="新宋体" w:hAnsi="新宋体"/>
                <w:color w:val="auto"/>
                <w:highlight w:val="none"/>
              </w:rPr>
              <w:t>联系方式：</w:t>
            </w:r>
            <w:r>
              <w:rPr>
                <w:rFonts w:hint="eastAsia" w:ascii="新宋体" w:hAnsi="新宋体"/>
                <w:color w:val="auto"/>
                <w:highlight w:val="none"/>
                <w:lang w:val="en-US" w:eastAsia="zh-CN"/>
              </w:rPr>
              <w:t>高老师13518768176</w:t>
            </w:r>
          </w:p>
        </w:tc>
      </w:tr>
      <w:tr w14:paraId="7B5D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Align w:val="center"/>
          </w:tcPr>
          <w:p w14:paraId="2F353537">
            <w:pPr>
              <w:spacing w:line="400" w:lineRule="exact"/>
              <w:jc w:val="center"/>
              <w:rPr>
                <w:rFonts w:ascii="新宋体" w:hAnsi="新宋体" w:eastAsia="新宋体"/>
                <w:color w:val="auto"/>
                <w:highlight w:val="none"/>
              </w:rPr>
            </w:pPr>
            <w:r>
              <w:rPr>
                <w:rFonts w:ascii="新宋体" w:hAnsi="新宋体" w:eastAsia="新宋体"/>
                <w:color w:val="auto"/>
                <w:highlight w:val="none"/>
              </w:rPr>
              <w:t>1.1.3</w:t>
            </w:r>
          </w:p>
        </w:tc>
        <w:tc>
          <w:tcPr>
            <w:tcW w:w="2410" w:type="dxa"/>
            <w:vAlign w:val="center"/>
          </w:tcPr>
          <w:p w14:paraId="0A2AA918">
            <w:pPr>
              <w:jc w:val="center"/>
              <w:rPr>
                <w:rFonts w:ascii="新宋体" w:hAnsi="新宋体" w:eastAsia="新宋体"/>
                <w:color w:val="auto"/>
                <w:highlight w:val="none"/>
              </w:rPr>
            </w:pPr>
            <w:r>
              <w:rPr>
                <w:rFonts w:hint="eastAsia" w:ascii="新宋体" w:hAnsi="新宋体" w:eastAsia="新宋体"/>
                <w:color w:val="auto"/>
                <w:highlight w:val="none"/>
              </w:rPr>
              <w:t>采购代理机构</w:t>
            </w:r>
          </w:p>
        </w:tc>
        <w:tc>
          <w:tcPr>
            <w:tcW w:w="6425" w:type="dxa"/>
            <w:vAlign w:val="center"/>
          </w:tcPr>
          <w:p w14:paraId="3A47B22E">
            <w:pPr>
              <w:spacing w:line="360" w:lineRule="auto"/>
              <w:jc w:val="left"/>
              <w:rPr>
                <w:rFonts w:hint="eastAsia" w:ascii="新宋体" w:hAnsi="新宋体" w:eastAsia="新宋体"/>
                <w:color w:val="auto"/>
                <w:highlight w:val="none"/>
                <w:lang w:eastAsia="zh-CN"/>
              </w:rPr>
            </w:pPr>
            <w:r>
              <w:rPr>
                <w:rFonts w:hint="eastAsia" w:ascii="新宋体" w:hAnsi="新宋体" w:eastAsia="新宋体"/>
                <w:color w:val="auto"/>
                <w:highlight w:val="none"/>
              </w:rPr>
              <w:t>代理机构：</w:t>
            </w:r>
            <w:r>
              <w:rPr>
                <w:rFonts w:hint="eastAsia" w:ascii="新宋体" w:hAnsi="新宋体" w:eastAsia="新宋体"/>
                <w:color w:val="auto"/>
                <w:highlight w:val="none"/>
                <w:lang w:eastAsia="zh-CN"/>
              </w:rPr>
              <w:t>云南禹信招标代理有限公司</w:t>
            </w:r>
          </w:p>
          <w:p w14:paraId="72AA6644">
            <w:pPr>
              <w:spacing w:line="360" w:lineRule="auto"/>
              <w:jc w:val="left"/>
              <w:rPr>
                <w:rFonts w:hint="eastAsia" w:ascii="宋体" w:hAnsi="宋体" w:eastAsia="宋体"/>
                <w:color w:val="auto"/>
                <w:highlight w:val="none"/>
                <w:lang w:val="en-US" w:eastAsia="zh-CN"/>
              </w:rPr>
            </w:pPr>
            <w:r>
              <w:rPr>
                <w:rFonts w:ascii="宋体" w:hAnsi="宋体"/>
                <w:color w:val="auto"/>
                <w:highlight w:val="none"/>
              </w:rPr>
              <w:t>联系人：</w:t>
            </w:r>
            <w:r>
              <w:rPr>
                <w:rFonts w:hint="eastAsia"/>
                <w:color w:val="auto"/>
                <w:highlight w:val="none"/>
                <w:lang w:eastAsia="zh-CN"/>
              </w:rPr>
              <w:t>周伟</w:t>
            </w:r>
          </w:p>
          <w:p w14:paraId="6E7734B6">
            <w:pPr>
              <w:spacing w:line="360" w:lineRule="auto"/>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s="宋体"/>
                <w:color w:val="auto"/>
                <w:kern w:val="0"/>
                <w:highlight w:val="none"/>
                <w:lang w:eastAsia="zh-CN"/>
              </w:rPr>
              <w:t>昆明市五华区科普路固地尚诚商务中心B座21楼</w:t>
            </w:r>
          </w:p>
          <w:p w14:paraId="4A62ED98">
            <w:pPr>
              <w:spacing w:line="360" w:lineRule="auto"/>
              <w:jc w:val="left"/>
              <w:rPr>
                <w:rFonts w:hint="eastAsia" w:ascii="新宋体" w:hAnsi="新宋体" w:eastAsia="宋体"/>
                <w:color w:val="auto"/>
                <w:highlight w:val="none"/>
                <w:lang w:eastAsia="zh-CN"/>
              </w:rPr>
            </w:pPr>
            <w:r>
              <w:rPr>
                <w:rFonts w:hint="eastAsia" w:ascii="宋体" w:hAnsi="宋体"/>
                <w:color w:val="auto"/>
                <w:highlight w:val="none"/>
              </w:rPr>
              <w:t>联系电话</w:t>
            </w:r>
            <w:r>
              <w:rPr>
                <w:rFonts w:ascii="宋体" w:hAnsi="宋体"/>
                <w:color w:val="auto"/>
                <w:highlight w:val="none"/>
              </w:rPr>
              <w:t>：</w:t>
            </w:r>
            <w:r>
              <w:rPr>
                <w:rFonts w:hint="eastAsia" w:ascii="宋体" w:hAnsi="宋体"/>
                <w:color w:val="auto"/>
                <w:highlight w:val="none"/>
                <w:lang w:eastAsia="zh-CN"/>
              </w:rPr>
              <w:t>15398519110</w:t>
            </w:r>
          </w:p>
        </w:tc>
      </w:tr>
      <w:tr w14:paraId="3962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93" w:type="dxa"/>
            <w:vAlign w:val="center"/>
          </w:tcPr>
          <w:p w14:paraId="0BF987EF">
            <w:pPr>
              <w:spacing w:line="400" w:lineRule="exact"/>
              <w:jc w:val="center"/>
              <w:rPr>
                <w:rFonts w:ascii="新宋体" w:hAnsi="新宋体" w:eastAsia="新宋体"/>
                <w:color w:val="auto"/>
                <w:highlight w:val="none"/>
              </w:rPr>
            </w:pPr>
            <w:r>
              <w:rPr>
                <w:rFonts w:ascii="新宋体" w:hAnsi="新宋体" w:eastAsia="新宋体"/>
                <w:color w:val="auto"/>
                <w:highlight w:val="none"/>
              </w:rPr>
              <w:t>1.1.4</w:t>
            </w:r>
          </w:p>
        </w:tc>
        <w:tc>
          <w:tcPr>
            <w:tcW w:w="2410" w:type="dxa"/>
            <w:vAlign w:val="center"/>
          </w:tcPr>
          <w:p w14:paraId="3963157B">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项目名称</w:t>
            </w:r>
          </w:p>
        </w:tc>
        <w:tc>
          <w:tcPr>
            <w:tcW w:w="6425" w:type="dxa"/>
            <w:vAlign w:val="center"/>
          </w:tcPr>
          <w:p w14:paraId="0AA9B251">
            <w:pPr>
              <w:spacing w:line="400" w:lineRule="exact"/>
              <w:jc w:val="left"/>
              <w:rPr>
                <w:rFonts w:hint="eastAsia" w:ascii="新宋体" w:hAnsi="新宋体" w:eastAsia="新宋体"/>
                <w:color w:val="auto"/>
                <w:highlight w:val="none"/>
                <w:lang w:eastAsia="zh-CN"/>
              </w:rPr>
            </w:pPr>
            <w:r>
              <w:rPr>
                <w:rFonts w:hint="eastAsia" w:ascii="新宋体" w:hAnsi="新宋体" w:eastAsia="新宋体"/>
                <w:color w:val="auto"/>
                <w:highlight w:val="none"/>
                <w:lang w:eastAsia="zh-CN"/>
              </w:rPr>
              <w:t>昆明市盘龙区滇源中心学校采购2026年保安服务</w:t>
            </w:r>
          </w:p>
        </w:tc>
      </w:tr>
      <w:tr w14:paraId="136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2539A8DB">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1.1.5</w:t>
            </w:r>
          </w:p>
        </w:tc>
        <w:tc>
          <w:tcPr>
            <w:tcW w:w="2410" w:type="dxa"/>
            <w:vAlign w:val="center"/>
          </w:tcPr>
          <w:p w14:paraId="7C052CF2">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项目编号</w:t>
            </w:r>
          </w:p>
        </w:tc>
        <w:tc>
          <w:tcPr>
            <w:tcW w:w="6425" w:type="dxa"/>
            <w:vAlign w:val="center"/>
          </w:tcPr>
          <w:p w14:paraId="247D03E8">
            <w:pPr>
              <w:spacing w:line="400" w:lineRule="exact"/>
              <w:jc w:val="left"/>
              <w:rPr>
                <w:rFonts w:hint="eastAsia" w:ascii="宋体" w:hAnsi="宋体" w:eastAsia="宋体"/>
                <w:color w:val="auto"/>
                <w:highlight w:val="none"/>
                <w:lang w:eastAsia="zh-CN"/>
              </w:rPr>
            </w:pPr>
            <w:r>
              <w:rPr>
                <w:rFonts w:hint="eastAsia" w:ascii="宋体" w:hAnsi="宋体"/>
                <w:color w:val="auto"/>
                <w:highlight w:val="none"/>
                <w:lang w:eastAsia="zh-CN"/>
              </w:rPr>
              <w:t>YNYX-2026-0293</w:t>
            </w:r>
          </w:p>
        </w:tc>
      </w:tr>
      <w:tr w14:paraId="2E13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7FD3EA8A">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1.1.6</w:t>
            </w:r>
          </w:p>
        </w:tc>
        <w:tc>
          <w:tcPr>
            <w:tcW w:w="2410" w:type="dxa"/>
            <w:vAlign w:val="center"/>
          </w:tcPr>
          <w:p w14:paraId="37782316">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项目基本情况</w:t>
            </w:r>
          </w:p>
        </w:tc>
        <w:tc>
          <w:tcPr>
            <w:tcW w:w="6425" w:type="dxa"/>
            <w:vAlign w:val="center"/>
          </w:tcPr>
          <w:p w14:paraId="46D7C6DA">
            <w:pPr>
              <w:spacing w:line="400" w:lineRule="exact"/>
              <w:jc w:val="left"/>
              <w:rPr>
                <w:rFonts w:ascii="宋体" w:hAnsi="宋体"/>
                <w:bCs/>
                <w:color w:val="auto"/>
                <w:highlight w:val="none"/>
              </w:rPr>
            </w:pPr>
            <w:r>
              <w:rPr>
                <w:rFonts w:hint="eastAsia"/>
                <w:color w:val="auto"/>
                <w:highlight w:val="none"/>
              </w:rPr>
              <w:t>详见竞争性磋商公告。</w:t>
            </w:r>
          </w:p>
        </w:tc>
      </w:tr>
      <w:tr w14:paraId="55C2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A157C1B">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1.1.7</w:t>
            </w:r>
          </w:p>
        </w:tc>
        <w:tc>
          <w:tcPr>
            <w:tcW w:w="2410" w:type="dxa"/>
            <w:vAlign w:val="center"/>
          </w:tcPr>
          <w:p w14:paraId="18714605">
            <w:pPr>
              <w:spacing w:line="400" w:lineRule="exact"/>
              <w:jc w:val="center"/>
              <w:rPr>
                <w:rFonts w:ascii="新宋体" w:hAnsi="新宋体" w:eastAsia="新宋体"/>
                <w:color w:val="auto"/>
                <w:highlight w:val="none"/>
              </w:rPr>
            </w:pPr>
            <w:r>
              <w:rPr>
                <w:rFonts w:hint="eastAsia"/>
                <w:color w:val="auto"/>
                <w:highlight w:val="none"/>
              </w:rPr>
              <w:t>标包划分</w:t>
            </w:r>
          </w:p>
        </w:tc>
        <w:tc>
          <w:tcPr>
            <w:tcW w:w="6425" w:type="dxa"/>
            <w:vAlign w:val="center"/>
          </w:tcPr>
          <w:p w14:paraId="18F4677B">
            <w:pPr>
              <w:spacing w:line="400" w:lineRule="exact"/>
              <w:jc w:val="left"/>
              <w:rPr>
                <w:rFonts w:ascii="宋体" w:hAnsi="宋体"/>
                <w:bCs/>
                <w:color w:val="auto"/>
                <w:highlight w:val="none"/>
              </w:rPr>
            </w:pPr>
            <w:r>
              <w:rPr>
                <w:rFonts w:hint="eastAsia"/>
                <w:color w:val="auto"/>
                <w:highlight w:val="none"/>
              </w:rPr>
              <w:t>本项目不划分标包。</w:t>
            </w:r>
          </w:p>
        </w:tc>
      </w:tr>
      <w:tr w14:paraId="3684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3590A26C">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1.1.8</w:t>
            </w:r>
          </w:p>
        </w:tc>
        <w:tc>
          <w:tcPr>
            <w:tcW w:w="2410" w:type="dxa"/>
            <w:vAlign w:val="center"/>
          </w:tcPr>
          <w:p w14:paraId="4E25802A">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资格审查方式</w:t>
            </w:r>
          </w:p>
        </w:tc>
        <w:tc>
          <w:tcPr>
            <w:tcW w:w="6425" w:type="dxa"/>
            <w:vAlign w:val="center"/>
          </w:tcPr>
          <w:p w14:paraId="6A03E4A2">
            <w:pPr>
              <w:spacing w:line="400" w:lineRule="exact"/>
              <w:jc w:val="left"/>
              <w:rPr>
                <w:rFonts w:ascii="宋体" w:hAnsi="宋体"/>
                <w:bCs/>
                <w:color w:val="auto"/>
                <w:highlight w:val="none"/>
              </w:rPr>
            </w:pPr>
            <w:r>
              <w:rPr>
                <w:rFonts w:hint="eastAsia" w:ascii="宋体" w:hAnsi="宋体"/>
                <w:bCs/>
                <w:color w:val="auto"/>
                <w:highlight w:val="none"/>
              </w:rPr>
              <w:t>资格后审。</w:t>
            </w:r>
          </w:p>
        </w:tc>
      </w:tr>
      <w:tr w14:paraId="6827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7B45D991">
            <w:pPr>
              <w:spacing w:line="400" w:lineRule="exact"/>
              <w:jc w:val="center"/>
              <w:rPr>
                <w:rFonts w:ascii="新宋体" w:hAnsi="新宋体" w:eastAsia="新宋体"/>
                <w:color w:val="auto"/>
                <w:highlight w:val="none"/>
              </w:rPr>
            </w:pPr>
            <w:r>
              <w:rPr>
                <w:rFonts w:ascii="新宋体" w:hAnsi="新宋体" w:eastAsia="新宋体"/>
                <w:color w:val="auto"/>
                <w:highlight w:val="none"/>
              </w:rPr>
              <w:t>1.2.1</w:t>
            </w:r>
          </w:p>
        </w:tc>
        <w:tc>
          <w:tcPr>
            <w:tcW w:w="2410" w:type="dxa"/>
            <w:vAlign w:val="center"/>
          </w:tcPr>
          <w:p w14:paraId="7974BEF5">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资金来源</w:t>
            </w:r>
          </w:p>
        </w:tc>
        <w:tc>
          <w:tcPr>
            <w:tcW w:w="6425" w:type="dxa"/>
            <w:vAlign w:val="center"/>
          </w:tcPr>
          <w:p w14:paraId="07F481BE">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财政资金。</w:t>
            </w:r>
          </w:p>
        </w:tc>
      </w:tr>
      <w:tr w14:paraId="5D96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247783FA">
            <w:pPr>
              <w:spacing w:line="400" w:lineRule="exact"/>
              <w:jc w:val="center"/>
              <w:rPr>
                <w:rFonts w:ascii="新宋体" w:hAnsi="新宋体" w:eastAsia="新宋体"/>
                <w:color w:val="auto"/>
                <w:highlight w:val="none"/>
              </w:rPr>
            </w:pPr>
            <w:r>
              <w:rPr>
                <w:rFonts w:ascii="新宋体" w:hAnsi="新宋体" w:eastAsia="新宋体"/>
                <w:color w:val="auto"/>
                <w:highlight w:val="none"/>
              </w:rPr>
              <w:t>1.2.2</w:t>
            </w:r>
          </w:p>
        </w:tc>
        <w:tc>
          <w:tcPr>
            <w:tcW w:w="2410" w:type="dxa"/>
            <w:vAlign w:val="center"/>
          </w:tcPr>
          <w:p w14:paraId="0FCF9E1C">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资金落实情况</w:t>
            </w:r>
          </w:p>
        </w:tc>
        <w:tc>
          <w:tcPr>
            <w:tcW w:w="6425" w:type="dxa"/>
            <w:vAlign w:val="center"/>
          </w:tcPr>
          <w:p w14:paraId="26CD3134">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已落实。</w:t>
            </w:r>
          </w:p>
        </w:tc>
      </w:tr>
      <w:tr w14:paraId="38A4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0A9C26F9">
            <w:pPr>
              <w:spacing w:line="400" w:lineRule="exact"/>
              <w:jc w:val="center"/>
              <w:rPr>
                <w:rFonts w:ascii="新宋体" w:hAnsi="新宋体" w:eastAsia="新宋体"/>
                <w:color w:val="auto"/>
                <w:highlight w:val="none"/>
              </w:rPr>
            </w:pPr>
            <w:r>
              <w:rPr>
                <w:rFonts w:ascii="新宋体" w:hAnsi="新宋体" w:eastAsia="新宋体"/>
                <w:color w:val="auto"/>
                <w:highlight w:val="none"/>
              </w:rPr>
              <w:t>1.2.3</w:t>
            </w:r>
          </w:p>
        </w:tc>
        <w:tc>
          <w:tcPr>
            <w:tcW w:w="2410" w:type="dxa"/>
            <w:vAlign w:val="center"/>
          </w:tcPr>
          <w:p w14:paraId="7883195E">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预算金额</w:t>
            </w:r>
          </w:p>
        </w:tc>
        <w:tc>
          <w:tcPr>
            <w:tcW w:w="6425" w:type="dxa"/>
            <w:vAlign w:val="center"/>
          </w:tcPr>
          <w:p w14:paraId="324D3321">
            <w:pPr>
              <w:spacing w:line="400" w:lineRule="exact"/>
              <w:jc w:val="left"/>
              <w:rPr>
                <w:rFonts w:ascii="新宋体" w:hAnsi="新宋体" w:eastAsia="新宋体"/>
                <w:color w:val="auto"/>
                <w:highlight w:val="none"/>
              </w:rPr>
            </w:pPr>
            <w:r>
              <w:rPr>
                <w:rFonts w:hint="eastAsia" w:eastAsia="新宋体"/>
                <w:color w:val="auto"/>
                <w:szCs w:val="22"/>
                <w:highlight w:val="none"/>
              </w:rPr>
              <w:t>106</w:t>
            </w:r>
            <w:r>
              <w:rPr>
                <w:rFonts w:hint="eastAsia" w:eastAsia="新宋体"/>
                <w:color w:val="auto"/>
                <w:szCs w:val="22"/>
                <w:highlight w:val="none"/>
                <w:lang w:val="en-US" w:eastAsia="zh-CN"/>
              </w:rPr>
              <w:t>.</w:t>
            </w:r>
            <w:r>
              <w:rPr>
                <w:rFonts w:hint="eastAsia" w:eastAsia="新宋体"/>
                <w:color w:val="auto"/>
                <w:szCs w:val="22"/>
                <w:highlight w:val="none"/>
              </w:rPr>
              <w:t>25万元</w:t>
            </w:r>
            <w:r>
              <w:rPr>
                <w:rFonts w:hint="eastAsia" w:eastAsia="新宋体"/>
                <w:color w:val="auto"/>
                <w:szCs w:val="22"/>
                <w:highlight w:val="none"/>
                <w:lang w:val="en-US" w:eastAsia="zh-CN"/>
              </w:rPr>
              <w:t>/年</w:t>
            </w:r>
            <w:r>
              <w:rPr>
                <w:rFonts w:hint="eastAsia" w:eastAsia="新宋体"/>
                <w:color w:val="auto"/>
                <w:szCs w:val="22"/>
                <w:highlight w:val="none"/>
              </w:rPr>
              <w:t>。</w:t>
            </w:r>
          </w:p>
        </w:tc>
      </w:tr>
      <w:tr w14:paraId="7035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1DB123FD">
            <w:pPr>
              <w:spacing w:line="400" w:lineRule="exact"/>
              <w:jc w:val="center"/>
              <w:rPr>
                <w:rFonts w:ascii="新宋体" w:hAnsi="新宋体" w:eastAsia="新宋体"/>
                <w:color w:val="auto"/>
                <w:highlight w:val="none"/>
              </w:rPr>
            </w:pPr>
            <w:r>
              <w:rPr>
                <w:rFonts w:ascii="新宋体" w:hAnsi="新宋体" w:eastAsia="新宋体"/>
                <w:color w:val="auto"/>
                <w:highlight w:val="none"/>
              </w:rPr>
              <w:t>1.3.1</w:t>
            </w:r>
          </w:p>
        </w:tc>
        <w:tc>
          <w:tcPr>
            <w:tcW w:w="2410" w:type="dxa"/>
            <w:vAlign w:val="center"/>
          </w:tcPr>
          <w:p w14:paraId="48D3E210">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采购需求</w:t>
            </w:r>
          </w:p>
        </w:tc>
        <w:tc>
          <w:tcPr>
            <w:tcW w:w="6425" w:type="dxa"/>
            <w:vAlign w:val="center"/>
          </w:tcPr>
          <w:p w14:paraId="2682A56C">
            <w:pPr>
              <w:spacing w:line="400" w:lineRule="exact"/>
              <w:jc w:val="left"/>
              <w:rPr>
                <w:rFonts w:ascii="新宋体" w:hAnsi="新宋体" w:eastAsia="新宋体"/>
                <w:color w:val="auto"/>
                <w:highlight w:val="none"/>
              </w:rPr>
            </w:pPr>
            <w:r>
              <w:rPr>
                <w:rFonts w:hint="eastAsia" w:ascii="新宋体" w:hAnsi="新宋体" w:eastAsia="新宋体"/>
                <w:color w:val="auto"/>
                <w:kern w:val="0"/>
                <w:highlight w:val="none"/>
              </w:rPr>
              <w:t>详见竞争性磋商文件第四章采购需求</w:t>
            </w:r>
          </w:p>
        </w:tc>
      </w:tr>
      <w:tr w14:paraId="27D2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5C36110">
            <w:pPr>
              <w:spacing w:line="400" w:lineRule="exact"/>
              <w:jc w:val="center"/>
              <w:rPr>
                <w:rFonts w:ascii="新宋体" w:hAnsi="新宋体" w:eastAsia="新宋体"/>
                <w:color w:val="auto"/>
                <w:highlight w:val="none"/>
              </w:rPr>
            </w:pPr>
            <w:r>
              <w:rPr>
                <w:rFonts w:ascii="新宋体" w:hAnsi="新宋体" w:eastAsia="新宋体"/>
                <w:color w:val="auto"/>
                <w:highlight w:val="none"/>
              </w:rPr>
              <w:t>1.3.2</w:t>
            </w:r>
          </w:p>
        </w:tc>
        <w:tc>
          <w:tcPr>
            <w:tcW w:w="2410" w:type="dxa"/>
            <w:vAlign w:val="center"/>
          </w:tcPr>
          <w:p w14:paraId="017F132F">
            <w:pPr>
              <w:spacing w:line="400" w:lineRule="exact"/>
              <w:jc w:val="center"/>
              <w:rPr>
                <w:color w:val="auto"/>
                <w:highlight w:val="none"/>
              </w:rPr>
            </w:pPr>
            <w:r>
              <w:rPr>
                <w:rFonts w:hint="eastAsia"/>
                <w:color w:val="auto"/>
                <w:highlight w:val="none"/>
              </w:rPr>
              <w:t>合同履行期限</w:t>
            </w:r>
          </w:p>
        </w:tc>
        <w:tc>
          <w:tcPr>
            <w:tcW w:w="6425" w:type="dxa"/>
            <w:vAlign w:val="center"/>
          </w:tcPr>
          <w:p w14:paraId="63DFF7A2">
            <w:pPr>
              <w:spacing w:line="400" w:lineRule="exact"/>
              <w:jc w:val="left"/>
              <w:rPr>
                <w:color w:val="auto"/>
                <w:highlight w:val="none"/>
              </w:rPr>
            </w:pPr>
            <w:r>
              <w:rPr>
                <w:rFonts w:hint="eastAsia"/>
                <w:color w:val="auto"/>
                <w:highlight w:val="none"/>
                <w:lang w:val="en-US" w:eastAsia="zh-CN"/>
              </w:rPr>
              <w:t>自合同签订之日起一年</w:t>
            </w:r>
            <w:r>
              <w:rPr>
                <w:rFonts w:hint="eastAsia"/>
                <w:color w:val="auto"/>
                <w:highlight w:val="none"/>
              </w:rPr>
              <w:t>。</w:t>
            </w:r>
          </w:p>
        </w:tc>
      </w:tr>
      <w:tr w14:paraId="1599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28D80D2C">
            <w:pPr>
              <w:spacing w:line="400" w:lineRule="exact"/>
              <w:jc w:val="center"/>
              <w:rPr>
                <w:rFonts w:ascii="新宋体" w:hAnsi="新宋体" w:eastAsia="新宋体"/>
                <w:color w:val="auto"/>
                <w:highlight w:val="none"/>
              </w:rPr>
            </w:pPr>
            <w:r>
              <w:rPr>
                <w:rFonts w:ascii="新宋体" w:hAnsi="新宋体" w:eastAsia="新宋体"/>
                <w:color w:val="auto"/>
                <w:highlight w:val="none"/>
              </w:rPr>
              <w:t>1.3.3</w:t>
            </w:r>
          </w:p>
        </w:tc>
        <w:tc>
          <w:tcPr>
            <w:tcW w:w="2410" w:type="dxa"/>
            <w:vAlign w:val="center"/>
          </w:tcPr>
          <w:p w14:paraId="4B7059F0">
            <w:pPr>
              <w:spacing w:line="400" w:lineRule="exact"/>
              <w:jc w:val="center"/>
              <w:rPr>
                <w:rFonts w:hint="default" w:ascii="新宋体" w:hAnsi="新宋体" w:eastAsia="新宋体"/>
                <w:color w:val="auto"/>
                <w:highlight w:val="none"/>
                <w:lang w:val="en-US" w:eastAsia="zh-CN"/>
              </w:rPr>
            </w:pPr>
            <w:r>
              <w:rPr>
                <w:rFonts w:hint="eastAsia" w:ascii="新宋体" w:hAnsi="新宋体" w:eastAsia="新宋体"/>
                <w:color w:val="auto"/>
                <w:kern w:val="0"/>
                <w:highlight w:val="none"/>
                <w:lang w:val="en-US" w:eastAsia="zh-CN"/>
              </w:rPr>
              <w:t>服务地点</w:t>
            </w:r>
          </w:p>
        </w:tc>
        <w:tc>
          <w:tcPr>
            <w:tcW w:w="6425" w:type="dxa"/>
            <w:vAlign w:val="center"/>
          </w:tcPr>
          <w:p w14:paraId="693E2255">
            <w:pPr>
              <w:spacing w:line="400" w:lineRule="exact"/>
              <w:jc w:val="left"/>
              <w:rPr>
                <w:rFonts w:ascii="新宋体" w:hAnsi="新宋体" w:eastAsia="新宋体"/>
                <w:color w:val="auto"/>
                <w:highlight w:val="none"/>
              </w:rPr>
            </w:pPr>
            <w:r>
              <w:rPr>
                <w:rFonts w:hint="eastAsia"/>
                <w:color w:val="auto"/>
                <w:highlight w:val="none"/>
                <w:lang w:val="en-US" w:eastAsia="zh-CN"/>
              </w:rPr>
              <w:t>昆明市盘龙区滇源中心学校下辖4所分校及2所幼儿园，加上滇源中心学校共有9个校点</w:t>
            </w:r>
            <w:r>
              <w:rPr>
                <w:rFonts w:hint="eastAsia" w:ascii="新宋体" w:hAnsi="新宋体" w:eastAsia="新宋体"/>
                <w:color w:val="auto"/>
                <w:highlight w:val="none"/>
              </w:rPr>
              <w:t>。</w:t>
            </w:r>
          </w:p>
        </w:tc>
      </w:tr>
      <w:tr w14:paraId="4BD8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1338D965">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1.3.4</w:t>
            </w:r>
          </w:p>
        </w:tc>
        <w:tc>
          <w:tcPr>
            <w:tcW w:w="2410" w:type="dxa"/>
            <w:vAlign w:val="center"/>
          </w:tcPr>
          <w:p w14:paraId="463D8EF2">
            <w:pPr>
              <w:spacing w:line="400" w:lineRule="exact"/>
              <w:jc w:val="center"/>
              <w:rPr>
                <w:rFonts w:ascii="新宋体" w:hAnsi="新宋体" w:eastAsia="新宋体"/>
                <w:color w:val="auto"/>
                <w:kern w:val="0"/>
                <w:highlight w:val="none"/>
              </w:rPr>
            </w:pPr>
            <w:r>
              <w:rPr>
                <w:rFonts w:hint="eastAsia" w:ascii="宋体" w:hAnsi="宋体"/>
                <w:bCs/>
                <w:color w:val="auto"/>
                <w:highlight w:val="none"/>
              </w:rPr>
              <w:t>质量要求</w:t>
            </w:r>
          </w:p>
        </w:tc>
        <w:tc>
          <w:tcPr>
            <w:tcW w:w="6425" w:type="dxa"/>
            <w:vAlign w:val="center"/>
          </w:tcPr>
          <w:p w14:paraId="710C6682">
            <w:pPr>
              <w:spacing w:line="320" w:lineRule="exact"/>
              <w:rPr>
                <w:rFonts w:ascii="宋体" w:hAnsi="宋体"/>
                <w:color w:val="auto"/>
                <w:highlight w:val="none"/>
              </w:rPr>
            </w:pPr>
            <w:r>
              <w:rPr>
                <w:rFonts w:hint="eastAsia" w:ascii="宋体" w:hAnsi="宋体"/>
                <w:color w:val="auto"/>
                <w:highlight w:val="none"/>
                <w:lang w:eastAsia="zh-CN"/>
              </w:rPr>
              <w:t>符合国家、行业相关标准及采购人的采购要求</w:t>
            </w:r>
            <w:r>
              <w:rPr>
                <w:rFonts w:hint="eastAsia" w:ascii="宋体" w:hAnsi="宋体"/>
                <w:color w:val="auto"/>
                <w:highlight w:val="none"/>
              </w:rPr>
              <w:t>。</w:t>
            </w:r>
          </w:p>
        </w:tc>
      </w:tr>
      <w:tr w14:paraId="5602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Align w:val="center"/>
          </w:tcPr>
          <w:p w14:paraId="72BB1B0C">
            <w:pPr>
              <w:spacing w:line="400" w:lineRule="exact"/>
              <w:jc w:val="center"/>
              <w:rPr>
                <w:rFonts w:ascii="新宋体" w:hAnsi="新宋体" w:eastAsia="新宋体"/>
                <w:color w:val="auto"/>
                <w:highlight w:val="none"/>
              </w:rPr>
            </w:pPr>
            <w:r>
              <w:rPr>
                <w:rFonts w:ascii="新宋体" w:hAnsi="新宋体" w:eastAsia="新宋体"/>
                <w:color w:val="auto"/>
                <w:highlight w:val="none"/>
              </w:rPr>
              <w:t>1.4.1</w:t>
            </w:r>
          </w:p>
        </w:tc>
        <w:tc>
          <w:tcPr>
            <w:tcW w:w="2410" w:type="dxa"/>
            <w:vAlign w:val="center"/>
          </w:tcPr>
          <w:p w14:paraId="2B2F07B3">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供应商资格要求</w:t>
            </w:r>
          </w:p>
        </w:tc>
        <w:tc>
          <w:tcPr>
            <w:tcW w:w="6425" w:type="dxa"/>
            <w:vAlign w:val="center"/>
          </w:tcPr>
          <w:p w14:paraId="6E528B87">
            <w:pPr>
              <w:spacing w:line="400" w:lineRule="exact"/>
              <w:rPr>
                <w:rFonts w:ascii="新宋体" w:hAnsi="新宋体" w:eastAsia="新宋体"/>
                <w:color w:val="auto"/>
                <w:highlight w:val="none"/>
              </w:rPr>
            </w:pPr>
            <w:r>
              <w:rPr>
                <w:rFonts w:hint="eastAsia" w:ascii="新宋体" w:hAnsi="新宋体" w:eastAsia="新宋体"/>
                <w:color w:val="auto"/>
                <w:kern w:val="0"/>
                <w:highlight w:val="none"/>
              </w:rPr>
              <w:t>详见第一章竞争性磋商公告“</w:t>
            </w:r>
            <w:r>
              <w:rPr>
                <w:rFonts w:hint="eastAsia" w:ascii="新宋体" w:hAnsi="新宋体" w:eastAsia="新宋体"/>
                <w:b/>
                <w:color w:val="auto"/>
                <w:highlight w:val="none"/>
              </w:rPr>
              <w:t>二、申请人</w:t>
            </w:r>
            <w:r>
              <w:rPr>
                <w:rFonts w:ascii="新宋体" w:hAnsi="新宋体" w:eastAsia="新宋体"/>
                <w:b/>
                <w:color w:val="auto"/>
                <w:highlight w:val="none"/>
              </w:rPr>
              <w:t>资格要求</w:t>
            </w:r>
            <w:r>
              <w:rPr>
                <w:rFonts w:hint="eastAsia" w:ascii="新宋体" w:hAnsi="新宋体" w:eastAsia="新宋体"/>
                <w:color w:val="auto"/>
                <w:kern w:val="0"/>
                <w:highlight w:val="none"/>
              </w:rPr>
              <w:t>”。</w:t>
            </w:r>
          </w:p>
        </w:tc>
      </w:tr>
      <w:tr w14:paraId="1E82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3" w:type="dxa"/>
            <w:vAlign w:val="center"/>
          </w:tcPr>
          <w:p w14:paraId="15C82EBA">
            <w:pPr>
              <w:spacing w:line="400" w:lineRule="exact"/>
              <w:jc w:val="center"/>
              <w:rPr>
                <w:rFonts w:ascii="新宋体" w:hAnsi="新宋体" w:eastAsia="新宋体"/>
                <w:color w:val="auto"/>
                <w:highlight w:val="none"/>
              </w:rPr>
            </w:pPr>
            <w:r>
              <w:rPr>
                <w:rFonts w:ascii="新宋体" w:hAnsi="新宋体" w:eastAsia="新宋体"/>
                <w:color w:val="auto"/>
                <w:highlight w:val="none"/>
              </w:rPr>
              <w:t>1.4.2</w:t>
            </w:r>
          </w:p>
        </w:tc>
        <w:tc>
          <w:tcPr>
            <w:tcW w:w="2410" w:type="dxa"/>
            <w:vAlign w:val="center"/>
          </w:tcPr>
          <w:p w14:paraId="3249B38F">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联合体</w:t>
            </w:r>
          </w:p>
        </w:tc>
        <w:tc>
          <w:tcPr>
            <w:tcW w:w="6425" w:type="dxa"/>
            <w:vAlign w:val="center"/>
          </w:tcPr>
          <w:p w14:paraId="2EA55DFB">
            <w:pPr>
              <w:pStyle w:val="19"/>
              <w:spacing w:line="360" w:lineRule="auto"/>
              <w:ind w:left="0" w:leftChars="0" w:firstLine="0" w:firstLineChars="0"/>
              <w:jc w:val="both"/>
              <w:rPr>
                <w:color w:val="auto"/>
                <w:highlight w:val="none"/>
              </w:rPr>
            </w:pPr>
            <w:r>
              <w:rPr>
                <w:rFonts w:hint="eastAsia"/>
                <w:color w:val="auto"/>
                <w:highlight w:val="none"/>
              </w:rPr>
              <w:t>本项目不接受联合体投标。</w:t>
            </w:r>
          </w:p>
        </w:tc>
      </w:tr>
      <w:tr w14:paraId="1646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3" w:type="dxa"/>
            <w:vAlign w:val="center"/>
          </w:tcPr>
          <w:p w14:paraId="1ACB0618">
            <w:pPr>
              <w:pStyle w:val="2"/>
              <w:autoSpaceDE w:val="0"/>
              <w:autoSpaceDN w:val="0"/>
              <w:adjustRightInd w:val="0"/>
              <w:spacing w:line="480" w:lineRule="exact"/>
              <w:jc w:val="center"/>
              <w:rPr>
                <w:rFonts w:hAnsi="宋体" w:eastAsia="宋体"/>
                <w:color w:val="auto"/>
                <w:kern w:val="0"/>
                <w:sz w:val="24"/>
                <w:szCs w:val="24"/>
                <w:highlight w:val="none"/>
              </w:rPr>
            </w:pPr>
            <w:r>
              <w:rPr>
                <w:rFonts w:hint="eastAsia" w:hAnsi="宋体" w:eastAsia="宋体"/>
                <w:color w:val="auto"/>
                <w:kern w:val="0"/>
                <w:sz w:val="24"/>
                <w:szCs w:val="24"/>
                <w:highlight w:val="none"/>
              </w:rPr>
              <w:t>1.5.1</w:t>
            </w:r>
          </w:p>
        </w:tc>
        <w:tc>
          <w:tcPr>
            <w:tcW w:w="2410" w:type="dxa"/>
            <w:vAlign w:val="center"/>
          </w:tcPr>
          <w:p w14:paraId="56CF4254">
            <w:pPr>
              <w:autoSpaceDE w:val="0"/>
              <w:autoSpaceDN w:val="0"/>
              <w:snapToGrid w:val="0"/>
              <w:spacing w:line="480" w:lineRule="exact"/>
              <w:jc w:val="center"/>
              <w:textAlignment w:val="bottom"/>
              <w:rPr>
                <w:rFonts w:ascii="宋体" w:hAnsi="宋体"/>
                <w:color w:val="auto"/>
                <w:highlight w:val="none"/>
              </w:rPr>
            </w:pPr>
            <w:r>
              <w:rPr>
                <w:rFonts w:hint="eastAsia" w:ascii="宋体" w:hAnsi="宋体"/>
                <w:color w:val="auto"/>
                <w:highlight w:val="none"/>
              </w:rPr>
              <w:t>现场踏勘</w:t>
            </w:r>
          </w:p>
        </w:tc>
        <w:tc>
          <w:tcPr>
            <w:tcW w:w="6425" w:type="dxa"/>
            <w:vAlign w:val="center"/>
          </w:tcPr>
          <w:p w14:paraId="5072D35B">
            <w:pPr>
              <w:autoSpaceDE w:val="0"/>
              <w:autoSpaceDN w:val="0"/>
              <w:snapToGrid w:val="0"/>
              <w:spacing w:line="480" w:lineRule="exact"/>
              <w:textAlignment w:val="bottom"/>
              <w:rPr>
                <w:rFonts w:ascii="宋体" w:hAnsi="宋体"/>
                <w:color w:val="auto"/>
                <w:highlight w:val="none"/>
              </w:rPr>
            </w:pPr>
            <w:r>
              <w:rPr>
                <w:rFonts w:hint="eastAsia" w:ascii="宋体" w:hAnsi="宋体"/>
                <w:color w:val="auto"/>
                <w:highlight w:val="none"/>
              </w:rPr>
              <w:t>不组织。</w:t>
            </w:r>
          </w:p>
        </w:tc>
      </w:tr>
      <w:tr w14:paraId="011C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3" w:type="dxa"/>
            <w:vAlign w:val="center"/>
          </w:tcPr>
          <w:p w14:paraId="550FD80D">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1.12</w:t>
            </w:r>
          </w:p>
        </w:tc>
        <w:tc>
          <w:tcPr>
            <w:tcW w:w="2410" w:type="dxa"/>
            <w:vAlign w:val="center"/>
          </w:tcPr>
          <w:p w14:paraId="102DFDB0">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类似业绩</w:t>
            </w:r>
          </w:p>
        </w:tc>
        <w:tc>
          <w:tcPr>
            <w:tcW w:w="6425" w:type="dxa"/>
            <w:vAlign w:val="center"/>
          </w:tcPr>
          <w:p w14:paraId="7550B189">
            <w:pPr>
              <w:pStyle w:val="2"/>
              <w:spacing w:line="0" w:lineRule="atLeast"/>
              <w:jc w:val="left"/>
              <w:rPr>
                <w:rFonts w:hint="eastAsia" w:ascii="新宋体" w:hAnsi="新宋体" w:eastAsia="新宋体"/>
                <w:color w:val="auto"/>
                <w:szCs w:val="21"/>
                <w:highlight w:val="none"/>
              </w:rPr>
            </w:pPr>
            <w:r>
              <w:rPr>
                <w:rFonts w:hint="eastAsia" w:ascii="新宋体" w:hAnsi="新宋体" w:eastAsia="新宋体"/>
                <w:color w:val="auto"/>
                <w:szCs w:val="21"/>
                <w:highlight w:val="none"/>
                <w:lang w:val="en-US" w:eastAsia="zh-CN"/>
              </w:rPr>
              <w:t>类似业绩指2023年1月至今完成或正在实施的同类型项目业绩</w:t>
            </w:r>
            <w:r>
              <w:rPr>
                <w:rFonts w:hint="eastAsia" w:ascii="新宋体" w:hAnsi="新宋体" w:eastAsia="新宋体"/>
                <w:color w:val="auto"/>
                <w:szCs w:val="21"/>
                <w:highlight w:val="none"/>
                <w:lang w:eastAsia="zh-CN"/>
              </w:rPr>
              <w:t>。</w:t>
            </w:r>
          </w:p>
        </w:tc>
      </w:tr>
      <w:tr w14:paraId="17B7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93" w:type="dxa"/>
            <w:vAlign w:val="center"/>
          </w:tcPr>
          <w:p w14:paraId="632AA9CA">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2.2</w:t>
            </w:r>
          </w:p>
        </w:tc>
        <w:tc>
          <w:tcPr>
            <w:tcW w:w="2410" w:type="dxa"/>
            <w:vAlign w:val="center"/>
          </w:tcPr>
          <w:p w14:paraId="0CB2D698">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竞争性磋商文件的澄清</w:t>
            </w:r>
          </w:p>
        </w:tc>
        <w:tc>
          <w:tcPr>
            <w:tcW w:w="6425" w:type="dxa"/>
            <w:vAlign w:val="center"/>
          </w:tcPr>
          <w:p w14:paraId="0099E021">
            <w:pPr>
              <w:pStyle w:val="2"/>
              <w:spacing w:line="0" w:lineRule="atLeast"/>
              <w:jc w:val="left"/>
              <w:rPr>
                <w:rFonts w:ascii="新宋体" w:hAnsi="新宋体" w:eastAsia="新宋体"/>
                <w:color w:val="auto"/>
                <w:szCs w:val="21"/>
                <w:highlight w:val="none"/>
              </w:rPr>
            </w:pPr>
            <w:r>
              <w:rPr>
                <w:rFonts w:hint="eastAsia" w:ascii="新宋体" w:hAnsi="新宋体" w:eastAsia="新宋体"/>
                <w:color w:val="auto"/>
                <w:szCs w:val="21"/>
                <w:highlight w:val="none"/>
              </w:rPr>
              <w:t>详见供应商须知2.2。</w:t>
            </w:r>
          </w:p>
        </w:tc>
      </w:tr>
      <w:tr w14:paraId="24EC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55EF06E3">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2.3</w:t>
            </w:r>
          </w:p>
        </w:tc>
        <w:tc>
          <w:tcPr>
            <w:tcW w:w="2410" w:type="dxa"/>
            <w:vAlign w:val="center"/>
          </w:tcPr>
          <w:p w14:paraId="252BD539">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竞争性磋商文件的修改</w:t>
            </w:r>
          </w:p>
        </w:tc>
        <w:tc>
          <w:tcPr>
            <w:tcW w:w="6425" w:type="dxa"/>
            <w:vAlign w:val="center"/>
          </w:tcPr>
          <w:p w14:paraId="3BE4E152">
            <w:pPr>
              <w:pStyle w:val="2"/>
              <w:spacing w:line="0" w:lineRule="atLeast"/>
              <w:jc w:val="left"/>
              <w:rPr>
                <w:rFonts w:ascii="新宋体" w:hAnsi="新宋体" w:eastAsia="新宋体"/>
                <w:color w:val="auto"/>
                <w:szCs w:val="21"/>
                <w:highlight w:val="none"/>
              </w:rPr>
            </w:pPr>
            <w:r>
              <w:rPr>
                <w:rFonts w:hint="eastAsia" w:ascii="新宋体" w:hAnsi="新宋体" w:eastAsia="新宋体"/>
                <w:color w:val="auto"/>
                <w:szCs w:val="21"/>
                <w:highlight w:val="none"/>
              </w:rPr>
              <w:t>详见供应商须知2.3。</w:t>
            </w:r>
          </w:p>
        </w:tc>
      </w:tr>
      <w:tr w14:paraId="6B48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21E3C11E">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3.2</w:t>
            </w:r>
          </w:p>
        </w:tc>
        <w:tc>
          <w:tcPr>
            <w:tcW w:w="2410" w:type="dxa"/>
            <w:vAlign w:val="center"/>
          </w:tcPr>
          <w:p w14:paraId="7C7AB8C8">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磋商报价</w:t>
            </w:r>
          </w:p>
        </w:tc>
        <w:tc>
          <w:tcPr>
            <w:tcW w:w="6425" w:type="dxa"/>
            <w:vAlign w:val="center"/>
          </w:tcPr>
          <w:p w14:paraId="56A85442">
            <w:pPr>
              <w:spacing w:line="360" w:lineRule="auto"/>
              <w:rPr>
                <w:rFonts w:ascii="宋体" w:hAnsi="宋体"/>
                <w:b/>
                <w:color w:val="auto"/>
                <w:sz w:val="21"/>
                <w:szCs w:val="21"/>
                <w:highlight w:val="none"/>
              </w:rPr>
            </w:pPr>
            <w:r>
              <w:rPr>
                <w:rFonts w:hint="eastAsia" w:ascii="宋体" w:hAnsi="宋体"/>
                <w:b/>
                <w:color w:val="auto"/>
                <w:sz w:val="21"/>
                <w:szCs w:val="21"/>
                <w:highlight w:val="none"/>
              </w:rPr>
              <w:t>1、采用人民币报价</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元</w:t>
            </w:r>
            <w:r>
              <w:rPr>
                <w:rFonts w:hint="eastAsia" w:ascii="宋体" w:hAnsi="宋体"/>
                <w:b/>
                <w:color w:val="auto"/>
                <w:sz w:val="21"/>
                <w:szCs w:val="21"/>
                <w:highlight w:val="none"/>
              </w:rPr>
              <w:t>；</w:t>
            </w:r>
          </w:p>
          <w:p w14:paraId="7CCDFE28">
            <w:pPr>
              <w:spacing w:line="360" w:lineRule="auto"/>
              <w:rPr>
                <w:rFonts w:hint="eastAsia"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2、按“    元/人/月”单价进行计算填报总报价及填报单价；</w:t>
            </w:r>
          </w:p>
          <w:p w14:paraId="3BB7CEFD">
            <w:pPr>
              <w:spacing w:line="360" w:lineRule="auto"/>
              <w:rPr>
                <w:rFonts w:ascii="宋体" w:hAnsi="宋体"/>
                <w:b/>
                <w:color w:val="auto"/>
                <w:sz w:val="21"/>
                <w:szCs w:val="21"/>
                <w:highlight w:val="none"/>
              </w:rPr>
            </w:pPr>
            <w:r>
              <w:rPr>
                <w:rFonts w:hint="eastAsia" w:ascii="宋体" w:hAnsi="宋体"/>
                <w:b/>
                <w:color w:val="auto"/>
                <w:sz w:val="21"/>
                <w:szCs w:val="21"/>
                <w:highlight w:val="none"/>
                <w:lang w:val="en-US" w:eastAsia="zh-CN"/>
              </w:rPr>
              <w:t>3</w:t>
            </w:r>
            <w:r>
              <w:rPr>
                <w:rFonts w:hint="eastAsia" w:ascii="宋体" w:hAnsi="宋体"/>
                <w:b/>
                <w:color w:val="auto"/>
                <w:sz w:val="21"/>
                <w:szCs w:val="21"/>
                <w:highlight w:val="none"/>
              </w:rPr>
              <w:t>、最高限价：106</w:t>
            </w:r>
            <w:r>
              <w:rPr>
                <w:rFonts w:hint="eastAsia" w:ascii="宋体" w:hAnsi="宋体"/>
                <w:b/>
                <w:color w:val="auto"/>
                <w:sz w:val="21"/>
                <w:szCs w:val="21"/>
                <w:highlight w:val="none"/>
                <w:lang w:val="en-US" w:eastAsia="zh-CN"/>
              </w:rPr>
              <w:t>.</w:t>
            </w:r>
            <w:r>
              <w:rPr>
                <w:rFonts w:hint="eastAsia" w:ascii="宋体" w:hAnsi="宋体"/>
                <w:b/>
                <w:color w:val="auto"/>
                <w:sz w:val="21"/>
                <w:szCs w:val="21"/>
                <w:highlight w:val="none"/>
              </w:rPr>
              <w:t>25</w:t>
            </w:r>
            <w:r>
              <w:rPr>
                <w:rFonts w:hint="eastAsia" w:ascii="宋体" w:hAnsi="宋体"/>
                <w:b/>
                <w:color w:val="auto"/>
                <w:sz w:val="21"/>
                <w:szCs w:val="21"/>
                <w:highlight w:val="none"/>
                <w:lang w:val="en-US" w:eastAsia="zh-CN"/>
              </w:rPr>
              <w:t>万</w:t>
            </w:r>
            <w:r>
              <w:rPr>
                <w:rFonts w:hint="eastAsia" w:ascii="宋体" w:hAnsi="宋体"/>
                <w:b/>
                <w:color w:val="auto"/>
                <w:sz w:val="21"/>
                <w:szCs w:val="21"/>
                <w:highlight w:val="none"/>
              </w:rPr>
              <w:t>元</w:t>
            </w:r>
            <w:r>
              <w:rPr>
                <w:rFonts w:hint="eastAsia" w:ascii="宋体" w:hAnsi="宋体"/>
                <w:b/>
                <w:color w:val="auto"/>
                <w:sz w:val="21"/>
                <w:szCs w:val="21"/>
                <w:highlight w:val="none"/>
                <w:lang w:val="en-US" w:eastAsia="zh-CN"/>
              </w:rPr>
              <w:t>/年、最高单价限价：3541元/人/月</w:t>
            </w:r>
            <w:r>
              <w:rPr>
                <w:rFonts w:hint="eastAsia" w:ascii="宋体" w:hAnsi="宋体"/>
                <w:b/>
                <w:color w:val="auto"/>
                <w:sz w:val="21"/>
                <w:szCs w:val="21"/>
                <w:highlight w:val="none"/>
                <w:lang w:eastAsia="zh-CN"/>
              </w:rPr>
              <w:t>；</w:t>
            </w:r>
          </w:p>
          <w:p w14:paraId="3FF3E2AD">
            <w:pPr>
              <w:spacing w:line="360" w:lineRule="auto"/>
              <w:rPr>
                <w:rFonts w:ascii="宋体" w:hAnsi="宋体"/>
                <w:b/>
                <w:color w:val="auto"/>
                <w:sz w:val="21"/>
                <w:szCs w:val="21"/>
                <w:highlight w:val="none"/>
              </w:rPr>
            </w:pPr>
            <w:r>
              <w:rPr>
                <w:rFonts w:hint="eastAsia" w:ascii="宋体" w:hAnsi="宋体"/>
                <w:b/>
                <w:color w:val="auto"/>
                <w:sz w:val="21"/>
                <w:szCs w:val="21"/>
                <w:highlight w:val="none"/>
                <w:lang w:val="en-US" w:eastAsia="zh-CN"/>
              </w:rPr>
              <w:t>4</w:t>
            </w:r>
            <w:r>
              <w:rPr>
                <w:rFonts w:hint="eastAsia" w:ascii="宋体" w:hAnsi="宋体"/>
                <w:b/>
                <w:color w:val="auto"/>
                <w:sz w:val="21"/>
                <w:szCs w:val="21"/>
                <w:highlight w:val="none"/>
              </w:rPr>
              <w:t>、投标人的报价不得超过</w:t>
            </w:r>
            <w:r>
              <w:rPr>
                <w:rFonts w:hint="eastAsia" w:ascii="宋体" w:hAnsi="宋体"/>
                <w:b/>
                <w:color w:val="auto"/>
                <w:sz w:val="21"/>
                <w:szCs w:val="21"/>
                <w:highlight w:val="none"/>
                <w:lang w:val="en-US" w:eastAsia="zh-CN"/>
              </w:rPr>
              <w:t>最高限价和最高限价</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否则</w:t>
            </w:r>
            <w:r>
              <w:rPr>
                <w:rFonts w:hint="eastAsia" w:ascii="宋体" w:hAnsi="宋体"/>
                <w:b/>
                <w:color w:val="auto"/>
                <w:sz w:val="21"/>
                <w:szCs w:val="21"/>
                <w:highlight w:val="none"/>
              </w:rPr>
              <w:t>按</w:t>
            </w:r>
            <w:r>
              <w:rPr>
                <w:rFonts w:hint="eastAsia" w:ascii="宋体" w:hAnsi="宋体"/>
                <w:b/>
                <w:color w:val="auto"/>
                <w:sz w:val="21"/>
                <w:szCs w:val="21"/>
                <w:highlight w:val="none"/>
                <w:lang w:val="en-US" w:eastAsia="zh-CN"/>
              </w:rPr>
              <w:t>无效</w:t>
            </w:r>
            <w:r>
              <w:rPr>
                <w:rFonts w:hint="eastAsia" w:ascii="宋体" w:hAnsi="宋体"/>
                <w:b/>
                <w:color w:val="auto"/>
                <w:sz w:val="21"/>
                <w:szCs w:val="21"/>
                <w:highlight w:val="none"/>
              </w:rPr>
              <w:t>投标处理；</w:t>
            </w:r>
          </w:p>
          <w:p w14:paraId="21895C54">
            <w:pPr>
              <w:pStyle w:val="19"/>
              <w:spacing w:line="360" w:lineRule="auto"/>
              <w:ind w:left="0" w:leftChars="0" w:firstLine="0" w:firstLineChars="0"/>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5、供应商的投标报价应包括但不限于：</w:t>
            </w:r>
            <w:r>
              <w:rPr>
                <w:rFonts w:hint="eastAsia" w:ascii="宋体" w:hAnsi="宋体" w:eastAsia="宋体" w:cs="Times New Roman"/>
                <w:b/>
                <w:color w:val="auto"/>
                <w:sz w:val="21"/>
                <w:szCs w:val="21"/>
                <w:highlight w:val="none"/>
                <w:lang w:val="en-US" w:eastAsia="zh-CN"/>
              </w:rPr>
              <w:t>包含但不限于人员费用、物资装备费、管理费、利润、税金等全部费用等完成本项目所需要的全部费用</w:t>
            </w:r>
            <w:r>
              <w:rPr>
                <w:rFonts w:hint="eastAsia" w:ascii="宋体" w:hAnsi="宋体"/>
                <w:b/>
                <w:color w:val="auto"/>
                <w:sz w:val="21"/>
                <w:szCs w:val="21"/>
                <w:highlight w:val="none"/>
                <w:lang w:val="en-US" w:eastAsia="zh-CN"/>
              </w:rPr>
              <w:t>。结算以最终审定的实际数量结算，所报单价不作调整。</w:t>
            </w:r>
          </w:p>
          <w:p w14:paraId="20F8CAC3">
            <w:pPr>
              <w:pStyle w:val="19"/>
              <w:spacing w:line="360" w:lineRule="auto"/>
              <w:ind w:left="0" w:leftChars="0" w:firstLine="0" w:firstLineChars="0"/>
              <w:rPr>
                <w:b/>
                <w:color w:val="auto"/>
                <w:highlight w:val="none"/>
              </w:rPr>
            </w:pPr>
            <w:r>
              <w:rPr>
                <w:rFonts w:hint="eastAsia"/>
                <w:b/>
                <w:color w:val="auto"/>
                <w:highlight w:val="none"/>
                <w:lang w:val="en-US" w:eastAsia="zh-CN"/>
              </w:rPr>
              <w:t>4</w:t>
            </w:r>
            <w:r>
              <w:rPr>
                <w:rFonts w:hint="eastAsia"/>
                <w:b/>
                <w:color w:val="auto"/>
                <w:highlight w:val="none"/>
              </w:rPr>
              <w:t>、本次磋商</w:t>
            </w:r>
            <w:r>
              <w:rPr>
                <w:b/>
                <w:color w:val="auto"/>
                <w:highlight w:val="none"/>
              </w:rPr>
              <w:t>需进行二次报价，如果磋商申请人未通过实质性评审的，不予进行二次报价；二次报价由</w:t>
            </w:r>
            <w:r>
              <w:rPr>
                <w:rFonts w:hint="eastAsia"/>
                <w:b/>
                <w:color w:val="auto"/>
                <w:highlight w:val="none"/>
              </w:rPr>
              <w:t>通过实质性评审的</w:t>
            </w:r>
            <w:r>
              <w:rPr>
                <w:b/>
                <w:color w:val="auto"/>
                <w:highlight w:val="none"/>
              </w:rPr>
              <w:t>供应商在</w:t>
            </w:r>
            <w:r>
              <w:rPr>
                <w:rFonts w:hint="eastAsia" w:ascii="新宋体" w:hAnsi="新宋体" w:eastAsia="新宋体"/>
                <w:b/>
                <w:color w:val="auto"/>
                <w:highlight w:val="none"/>
              </w:rPr>
              <w:t>政采云电子平台上进行线上报价。</w:t>
            </w:r>
          </w:p>
        </w:tc>
      </w:tr>
      <w:tr w14:paraId="505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447ABFBE">
            <w:pPr>
              <w:spacing w:line="400" w:lineRule="exact"/>
              <w:jc w:val="center"/>
              <w:rPr>
                <w:rFonts w:ascii="新宋体" w:hAnsi="新宋体" w:eastAsia="新宋体"/>
                <w:color w:val="auto"/>
                <w:highlight w:val="none"/>
              </w:rPr>
            </w:pPr>
            <w:r>
              <w:rPr>
                <w:rFonts w:ascii="新宋体" w:hAnsi="新宋体" w:eastAsia="新宋体"/>
                <w:color w:val="auto"/>
                <w:highlight w:val="none"/>
              </w:rPr>
              <w:t>3.3.1</w:t>
            </w:r>
          </w:p>
        </w:tc>
        <w:tc>
          <w:tcPr>
            <w:tcW w:w="2410" w:type="dxa"/>
            <w:vAlign w:val="center"/>
          </w:tcPr>
          <w:p w14:paraId="0D9A3AA4">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磋商保证金</w:t>
            </w:r>
          </w:p>
        </w:tc>
        <w:tc>
          <w:tcPr>
            <w:tcW w:w="6425" w:type="dxa"/>
            <w:vAlign w:val="center"/>
          </w:tcPr>
          <w:p w14:paraId="6DE3E207">
            <w:pPr>
              <w:rPr>
                <w:rFonts w:hint="default" w:eastAsia="新宋体"/>
                <w:color w:val="auto"/>
                <w:highlight w:val="none"/>
                <w:lang w:val="en-US" w:eastAsia="zh-CN"/>
              </w:rPr>
            </w:pPr>
            <w:r>
              <w:rPr>
                <w:rFonts w:hint="eastAsia" w:eastAsia="新宋体"/>
                <w:color w:val="auto"/>
                <w:highlight w:val="none"/>
                <w:lang w:val="en-US" w:eastAsia="zh-CN"/>
              </w:rPr>
              <w:t>本项目无需提交磋商保证金，提交磋商保证金诚信承诺书。</w:t>
            </w:r>
          </w:p>
        </w:tc>
      </w:tr>
      <w:tr w14:paraId="2F0E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1BDC41B">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3.4.3</w:t>
            </w:r>
          </w:p>
        </w:tc>
        <w:tc>
          <w:tcPr>
            <w:tcW w:w="2410" w:type="dxa"/>
            <w:vAlign w:val="center"/>
          </w:tcPr>
          <w:p w14:paraId="1F6FBEFE">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响应文件签署</w:t>
            </w:r>
          </w:p>
        </w:tc>
        <w:tc>
          <w:tcPr>
            <w:tcW w:w="6425" w:type="dxa"/>
            <w:vAlign w:val="center"/>
          </w:tcPr>
          <w:p w14:paraId="4391A516">
            <w:pPr>
              <w:spacing w:line="400" w:lineRule="exact"/>
              <w:jc w:val="left"/>
              <w:rPr>
                <w:rFonts w:ascii="宋体" w:hAnsi="宋体"/>
                <w:color w:val="auto"/>
                <w:highlight w:val="none"/>
              </w:rPr>
            </w:pPr>
            <w:r>
              <w:rPr>
                <w:rFonts w:hint="eastAsia" w:ascii="宋体" w:hAnsi="宋体"/>
                <w:color w:val="auto"/>
                <w:highlight w:val="none"/>
              </w:rPr>
              <w:t>响应文件编制完成后须用云南 CA 按格式进行电子签章，在所要求的 位置有法定代表人</w:t>
            </w:r>
            <w:r>
              <w:rPr>
                <w:rFonts w:hint="eastAsia" w:ascii="宋体" w:hAnsi="宋体"/>
                <w:color w:val="auto"/>
                <w:highlight w:val="none"/>
                <w:lang w:eastAsia="zh-CN"/>
              </w:rPr>
              <w:t>（</w:t>
            </w:r>
            <w:r>
              <w:rPr>
                <w:rFonts w:hint="eastAsia" w:ascii="宋体" w:hAnsi="宋体"/>
                <w:color w:val="auto"/>
                <w:highlight w:val="none"/>
                <w:lang w:val="en-US" w:eastAsia="zh-CN"/>
              </w:rPr>
              <w:t>或负责人</w:t>
            </w:r>
            <w:r>
              <w:rPr>
                <w:rFonts w:hint="eastAsia" w:ascii="宋体" w:hAnsi="宋体"/>
                <w:color w:val="auto"/>
                <w:highlight w:val="none"/>
                <w:lang w:eastAsia="zh-CN"/>
              </w:rPr>
              <w:t>）</w:t>
            </w:r>
            <w:r>
              <w:rPr>
                <w:rFonts w:hint="eastAsia" w:ascii="宋体" w:hAnsi="宋体"/>
                <w:color w:val="auto"/>
                <w:highlight w:val="none"/>
              </w:rPr>
              <w:t>或授权委托人的签字或盖章，均使用云南 CA 按格式进行电子签章，联合体参加磋商的除格式要求外，可由联合体牵头单位签署。</w:t>
            </w:r>
          </w:p>
        </w:tc>
      </w:tr>
      <w:tr w14:paraId="5DC3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262EEB7F">
            <w:pPr>
              <w:spacing w:line="400" w:lineRule="exact"/>
              <w:jc w:val="center"/>
              <w:rPr>
                <w:rFonts w:ascii="新宋体" w:hAnsi="新宋体" w:eastAsia="新宋体"/>
                <w:color w:val="auto"/>
                <w:highlight w:val="none"/>
              </w:rPr>
            </w:pPr>
            <w:r>
              <w:rPr>
                <w:rFonts w:ascii="新宋体" w:hAnsi="新宋体" w:eastAsia="新宋体"/>
                <w:color w:val="auto"/>
                <w:highlight w:val="none"/>
              </w:rPr>
              <w:t>3.4.</w:t>
            </w:r>
            <w:r>
              <w:rPr>
                <w:rFonts w:hint="eastAsia" w:ascii="新宋体" w:hAnsi="新宋体" w:eastAsia="新宋体"/>
                <w:color w:val="auto"/>
                <w:highlight w:val="none"/>
              </w:rPr>
              <w:t>4</w:t>
            </w:r>
          </w:p>
        </w:tc>
        <w:tc>
          <w:tcPr>
            <w:tcW w:w="2410" w:type="dxa"/>
            <w:vAlign w:val="center"/>
          </w:tcPr>
          <w:p w14:paraId="3F246405">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响应文件份数</w:t>
            </w:r>
          </w:p>
        </w:tc>
        <w:tc>
          <w:tcPr>
            <w:tcW w:w="6425" w:type="dxa"/>
            <w:vAlign w:val="center"/>
          </w:tcPr>
          <w:p w14:paraId="24346F9D">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按“政采云”要求，上传电子响应文件壹份。</w:t>
            </w:r>
          </w:p>
        </w:tc>
      </w:tr>
      <w:tr w14:paraId="40E4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3082CCF7">
            <w:pPr>
              <w:spacing w:line="400" w:lineRule="exact"/>
              <w:jc w:val="center"/>
              <w:rPr>
                <w:rFonts w:ascii="新宋体" w:hAnsi="新宋体" w:eastAsia="新宋体"/>
                <w:color w:val="auto"/>
                <w:highlight w:val="none"/>
              </w:rPr>
            </w:pPr>
            <w:r>
              <w:rPr>
                <w:rFonts w:ascii="新宋体" w:hAnsi="新宋体" w:eastAsia="新宋体"/>
                <w:color w:val="auto"/>
                <w:highlight w:val="none"/>
              </w:rPr>
              <w:t>3.4.5</w:t>
            </w:r>
          </w:p>
        </w:tc>
        <w:tc>
          <w:tcPr>
            <w:tcW w:w="2410" w:type="dxa"/>
            <w:vAlign w:val="center"/>
          </w:tcPr>
          <w:p w14:paraId="6FD533D0">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装订要求</w:t>
            </w:r>
          </w:p>
        </w:tc>
        <w:tc>
          <w:tcPr>
            <w:tcW w:w="6425" w:type="dxa"/>
            <w:vAlign w:val="center"/>
          </w:tcPr>
          <w:p w14:paraId="49441710">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本项目为电子开评标，只需按响应文件格式编制响应文件，无纸质文 件装订要求。</w:t>
            </w:r>
          </w:p>
        </w:tc>
      </w:tr>
      <w:tr w14:paraId="5296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4DD5CF41">
            <w:pPr>
              <w:spacing w:line="400" w:lineRule="exact"/>
              <w:jc w:val="center"/>
              <w:rPr>
                <w:rFonts w:ascii="新宋体" w:hAnsi="新宋体" w:eastAsia="新宋体"/>
                <w:color w:val="auto"/>
                <w:highlight w:val="none"/>
              </w:rPr>
            </w:pPr>
            <w:r>
              <w:rPr>
                <w:rFonts w:ascii="新宋体" w:hAnsi="新宋体" w:eastAsia="新宋体"/>
                <w:color w:val="auto"/>
                <w:highlight w:val="none"/>
              </w:rPr>
              <w:t>3.5.2</w:t>
            </w:r>
          </w:p>
        </w:tc>
        <w:tc>
          <w:tcPr>
            <w:tcW w:w="2410" w:type="dxa"/>
            <w:vAlign w:val="center"/>
          </w:tcPr>
          <w:p w14:paraId="72C5BFD3">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密封和标记</w:t>
            </w:r>
          </w:p>
        </w:tc>
        <w:tc>
          <w:tcPr>
            <w:tcW w:w="6425" w:type="dxa"/>
            <w:vAlign w:val="center"/>
          </w:tcPr>
          <w:p w14:paraId="4BFC438F">
            <w:pPr>
              <w:spacing w:line="400" w:lineRule="exact"/>
              <w:rPr>
                <w:rFonts w:ascii="新宋体" w:hAnsi="新宋体" w:eastAsia="新宋体"/>
                <w:color w:val="auto"/>
                <w:highlight w:val="none"/>
              </w:rPr>
            </w:pPr>
            <w:r>
              <w:rPr>
                <w:rFonts w:hint="eastAsia" w:ascii="新宋体" w:hAnsi="新宋体" w:eastAsia="新宋体"/>
                <w:color w:val="auto"/>
                <w:highlight w:val="none"/>
              </w:rPr>
              <w:t>详见供应商须知</w:t>
            </w:r>
          </w:p>
        </w:tc>
      </w:tr>
      <w:tr w14:paraId="5A95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7D57FBCB">
            <w:pPr>
              <w:spacing w:line="400" w:lineRule="exact"/>
              <w:jc w:val="center"/>
              <w:rPr>
                <w:rFonts w:ascii="新宋体" w:hAnsi="新宋体" w:eastAsia="新宋体"/>
                <w:color w:val="auto"/>
                <w:highlight w:val="none"/>
              </w:rPr>
            </w:pPr>
            <w:r>
              <w:rPr>
                <w:rFonts w:ascii="新宋体" w:hAnsi="新宋体" w:eastAsia="新宋体"/>
                <w:color w:val="auto"/>
                <w:highlight w:val="none"/>
              </w:rPr>
              <w:t>3.6.1</w:t>
            </w:r>
          </w:p>
        </w:tc>
        <w:tc>
          <w:tcPr>
            <w:tcW w:w="2410" w:type="dxa"/>
            <w:vAlign w:val="center"/>
          </w:tcPr>
          <w:p w14:paraId="182A2AC7">
            <w:pPr>
              <w:spacing w:line="360" w:lineRule="auto"/>
              <w:jc w:val="center"/>
              <w:rPr>
                <w:rFonts w:ascii="新宋体" w:hAnsi="新宋体" w:eastAsia="新宋体"/>
                <w:color w:val="auto"/>
                <w:highlight w:val="none"/>
              </w:rPr>
            </w:pPr>
            <w:r>
              <w:rPr>
                <w:rFonts w:hint="eastAsia" w:ascii="新宋体" w:hAnsi="新宋体" w:eastAsia="新宋体"/>
                <w:color w:val="auto"/>
                <w:highlight w:val="none"/>
              </w:rPr>
              <w:t>响应文件递交截止</w:t>
            </w:r>
          </w:p>
          <w:p w14:paraId="15A403F1">
            <w:pPr>
              <w:spacing w:line="360" w:lineRule="auto"/>
              <w:jc w:val="center"/>
              <w:rPr>
                <w:rFonts w:ascii="新宋体" w:hAnsi="新宋体" w:eastAsia="新宋体"/>
                <w:color w:val="auto"/>
                <w:highlight w:val="none"/>
              </w:rPr>
            </w:pPr>
            <w:r>
              <w:rPr>
                <w:rFonts w:hint="eastAsia" w:ascii="新宋体" w:hAnsi="新宋体" w:eastAsia="新宋体"/>
                <w:color w:val="auto"/>
                <w:highlight w:val="none"/>
              </w:rPr>
              <w:t>时间、地点</w:t>
            </w:r>
          </w:p>
        </w:tc>
        <w:tc>
          <w:tcPr>
            <w:tcW w:w="6425" w:type="dxa"/>
            <w:vAlign w:val="center"/>
          </w:tcPr>
          <w:p w14:paraId="780F5C2E">
            <w:pPr>
              <w:spacing w:line="360" w:lineRule="auto"/>
              <w:jc w:val="left"/>
              <w:rPr>
                <w:rFonts w:ascii="新宋体" w:hAnsi="新宋体" w:eastAsia="新宋体"/>
                <w:color w:val="auto"/>
                <w:highlight w:val="none"/>
              </w:rPr>
            </w:pPr>
            <w:r>
              <w:rPr>
                <w:rFonts w:hint="eastAsia" w:ascii="新宋体" w:hAnsi="新宋体" w:eastAsia="新宋体"/>
                <w:color w:val="auto"/>
                <w:highlight w:val="none"/>
              </w:rPr>
              <w:t>响应文件递交截止时间：详见第一章竞争性磋商公告“四、响应文件提交”。</w:t>
            </w:r>
          </w:p>
          <w:p w14:paraId="7D60222F">
            <w:pPr>
              <w:spacing w:line="360" w:lineRule="auto"/>
              <w:jc w:val="left"/>
              <w:rPr>
                <w:rFonts w:ascii="新宋体" w:hAnsi="新宋体" w:eastAsia="新宋体"/>
                <w:color w:val="auto"/>
                <w:highlight w:val="none"/>
              </w:rPr>
            </w:pPr>
            <w:r>
              <w:rPr>
                <w:rFonts w:hint="eastAsia" w:ascii="新宋体" w:hAnsi="新宋体" w:eastAsia="新宋体"/>
                <w:color w:val="auto"/>
                <w:highlight w:val="none"/>
              </w:rPr>
              <w:t>递交地点：“政采云平台”</w:t>
            </w:r>
          </w:p>
        </w:tc>
      </w:tr>
      <w:tr w14:paraId="7FE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4EAC2FFE">
            <w:pPr>
              <w:spacing w:line="400" w:lineRule="exact"/>
              <w:jc w:val="center"/>
              <w:rPr>
                <w:rFonts w:ascii="新宋体" w:hAnsi="新宋体" w:eastAsia="新宋体"/>
                <w:color w:val="auto"/>
                <w:highlight w:val="none"/>
              </w:rPr>
            </w:pPr>
            <w:r>
              <w:rPr>
                <w:rFonts w:ascii="新宋体" w:hAnsi="新宋体" w:eastAsia="新宋体"/>
                <w:color w:val="auto"/>
                <w:highlight w:val="none"/>
              </w:rPr>
              <w:t>4.1.1</w:t>
            </w:r>
          </w:p>
        </w:tc>
        <w:tc>
          <w:tcPr>
            <w:tcW w:w="2410" w:type="dxa"/>
            <w:vAlign w:val="center"/>
          </w:tcPr>
          <w:p w14:paraId="593644D7">
            <w:pPr>
              <w:spacing w:line="360" w:lineRule="auto"/>
              <w:jc w:val="center"/>
              <w:rPr>
                <w:rFonts w:ascii="新宋体" w:hAnsi="新宋体" w:eastAsia="新宋体"/>
                <w:color w:val="auto"/>
                <w:highlight w:val="none"/>
              </w:rPr>
            </w:pPr>
            <w:r>
              <w:rPr>
                <w:rFonts w:hint="eastAsia" w:ascii="新宋体" w:hAnsi="新宋体" w:eastAsia="新宋体"/>
                <w:color w:val="auto"/>
                <w:highlight w:val="none"/>
              </w:rPr>
              <w:t>磋商时间及地点</w:t>
            </w:r>
          </w:p>
        </w:tc>
        <w:tc>
          <w:tcPr>
            <w:tcW w:w="6425" w:type="dxa"/>
            <w:vAlign w:val="center"/>
          </w:tcPr>
          <w:p w14:paraId="221D3CFC">
            <w:pPr>
              <w:spacing w:line="360" w:lineRule="auto"/>
              <w:jc w:val="left"/>
              <w:rPr>
                <w:rFonts w:eastAsia="新宋体"/>
                <w:color w:val="auto"/>
                <w:highlight w:val="none"/>
              </w:rPr>
            </w:pPr>
            <w:r>
              <w:rPr>
                <w:rFonts w:eastAsia="新宋体"/>
                <w:color w:val="auto"/>
                <w:highlight w:val="none"/>
              </w:rPr>
              <w:t>时间：</w:t>
            </w:r>
            <w:r>
              <w:rPr>
                <w:rFonts w:eastAsia="新宋体"/>
                <w:color w:val="auto"/>
                <w:highlight w:val="none"/>
                <w:u w:val="single"/>
              </w:rPr>
              <w:t>同</w:t>
            </w:r>
            <w:r>
              <w:rPr>
                <w:rFonts w:eastAsia="新宋体"/>
                <w:color w:val="auto"/>
                <w:kern w:val="0"/>
                <w:highlight w:val="none"/>
                <w:u w:val="single"/>
              </w:rPr>
              <w:t>提交响应文件截止时间</w:t>
            </w:r>
          </w:p>
          <w:p w14:paraId="6D0E2C72">
            <w:pPr>
              <w:widowControl/>
              <w:jc w:val="left"/>
              <w:rPr>
                <w:rFonts w:eastAsia="新宋体"/>
                <w:color w:val="auto"/>
                <w:highlight w:val="none"/>
              </w:rPr>
            </w:pPr>
            <w:r>
              <w:rPr>
                <w:rFonts w:eastAsia="新宋体"/>
                <w:color w:val="auto"/>
                <w:highlight w:val="none"/>
              </w:rPr>
              <w:t>磋商地点：</w:t>
            </w:r>
            <w:r>
              <w:rPr>
                <w:rFonts w:eastAsia="新宋体"/>
                <w:color w:val="auto"/>
                <w:kern w:val="0"/>
                <w:highlight w:val="none"/>
                <w:u w:val="single"/>
              </w:rPr>
              <w:t>“政采云平台”</w:t>
            </w:r>
          </w:p>
        </w:tc>
      </w:tr>
      <w:tr w14:paraId="2655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61E477D">
            <w:pPr>
              <w:spacing w:line="400" w:lineRule="exact"/>
              <w:jc w:val="center"/>
              <w:rPr>
                <w:rFonts w:ascii="新宋体" w:hAnsi="新宋体" w:eastAsia="新宋体"/>
                <w:color w:val="auto"/>
                <w:highlight w:val="none"/>
              </w:rPr>
            </w:pPr>
            <w:r>
              <w:rPr>
                <w:rFonts w:ascii="新宋体" w:hAnsi="新宋体" w:eastAsia="新宋体"/>
                <w:color w:val="auto"/>
                <w:highlight w:val="none"/>
              </w:rPr>
              <w:t>4.1.</w:t>
            </w:r>
            <w:r>
              <w:rPr>
                <w:rFonts w:hint="eastAsia" w:ascii="新宋体" w:hAnsi="新宋体" w:eastAsia="新宋体"/>
                <w:color w:val="auto"/>
                <w:highlight w:val="none"/>
              </w:rPr>
              <w:t>5</w:t>
            </w:r>
          </w:p>
        </w:tc>
        <w:tc>
          <w:tcPr>
            <w:tcW w:w="2410" w:type="dxa"/>
            <w:vAlign w:val="center"/>
          </w:tcPr>
          <w:p w14:paraId="3672FA9F">
            <w:pPr>
              <w:spacing w:line="360" w:lineRule="auto"/>
              <w:jc w:val="center"/>
              <w:rPr>
                <w:rFonts w:ascii="新宋体" w:hAnsi="新宋体" w:eastAsia="新宋体"/>
                <w:color w:val="auto"/>
                <w:highlight w:val="none"/>
              </w:rPr>
            </w:pPr>
            <w:r>
              <w:rPr>
                <w:rFonts w:hint="eastAsia" w:ascii="新宋体" w:hAnsi="新宋体" w:eastAsia="新宋体"/>
                <w:color w:val="auto"/>
                <w:highlight w:val="none"/>
              </w:rPr>
              <w:t>磋商小组的组建</w:t>
            </w:r>
          </w:p>
        </w:tc>
        <w:tc>
          <w:tcPr>
            <w:tcW w:w="6425" w:type="dxa"/>
            <w:vAlign w:val="center"/>
          </w:tcPr>
          <w:p w14:paraId="5957158D">
            <w:pPr>
              <w:spacing w:line="360" w:lineRule="auto"/>
              <w:jc w:val="left"/>
              <w:rPr>
                <w:rFonts w:eastAsia="新宋体"/>
                <w:color w:val="auto"/>
                <w:highlight w:val="none"/>
              </w:rPr>
            </w:pPr>
            <w:r>
              <w:rPr>
                <w:color w:val="auto"/>
                <w:kern w:val="0"/>
                <w:highlight w:val="none"/>
              </w:rPr>
              <w:t>磋商小组由采购人代表和评审专家共3人及以上单数组成，其中评审专家人数不得少于磋商小组成员总数的2/3。</w:t>
            </w:r>
          </w:p>
          <w:p w14:paraId="68A642AF">
            <w:pPr>
              <w:spacing w:line="360" w:lineRule="auto"/>
              <w:jc w:val="left"/>
              <w:rPr>
                <w:rFonts w:eastAsia="新宋体"/>
                <w:color w:val="auto"/>
                <w:highlight w:val="none"/>
              </w:rPr>
            </w:pPr>
            <w:r>
              <w:rPr>
                <w:rFonts w:eastAsia="新宋体"/>
                <w:color w:val="auto"/>
                <w:highlight w:val="none"/>
              </w:rPr>
              <w:t>评审专家确定方式：在</w:t>
            </w:r>
            <w:r>
              <w:rPr>
                <w:color w:val="auto"/>
                <w:highlight w:val="none"/>
              </w:rPr>
              <w:t>云南省政府采购评审专家库中随机抽取</w:t>
            </w:r>
            <w:r>
              <w:rPr>
                <w:rFonts w:eastAsia="新宋体"/>
                <w:color w:val="auto"/>
                <w:highlight w:val="none"/>
              </w:rPr>
              <w:t>。</w:t>
            </w:r>
          </w:p>
        </w:tc>
      </w:tr>
      <w:tr w14:paraId="3101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Align w:val="center"/>
          </w:tcPr>
          <w:p w14:paraId="6FD61333">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5</w:t>
            </w:r>
          </w:p>
        </w:tc>
        <w:tc>
          <w:tcPr>
            <w:tcW w:w="2410" w:type="dxa"/>
            <w:vAlign w:val="center"/>
          </w:tcPr>
          <w:p w14:paraId="531B87DA">
            <w:pPr>
              <w:spacing w:line="400" w:lineRule="exact"/>
              <w:jc w:val="center"/>
              <w:rPr>
                <w:rFonts w:ascii="新宋体" w:hAnsi="新宋体" w:eastAsia="新宋体"/>
                <w:color w:val="auto"/>
                <w:highlight w:val="none"/>
              </w:rPr>
            </w:pPr>
            <w:r>
              <w:rPr>
                <w:rFonts w:hint="eastAsia" w:ascii="新宋体" w:hAnsi="新宋体" w:eastAsia="新宋体"/>
                <w:color w:val="auto"/>
                <w:highlight w:val="none"/>
              </w:rPr>
              <w:t>采购人补充的其他内容</w:t>
            </w:r>
          </w:p>
        </w:tc>
        <w:tc>
          <w:tcPr>
            <w:tcW w:w="6425" w:type="dxa"/>
            <w:vAlign w:val="center"/>
          </w:tcPr>
          <w:p w14:paraId="4320E43E">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见供应商须知。</w:t>
            </w:r>
          </w:p>
        </w:tc>
      </w:tr>
      <w:tr w14:paraId="4B65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403" w:type="dxa"/>
            <w:gridSpan w:val="2"/>
            <w:vAlign w:val="center"/>
          </w:tcPr>
          <w:p w14:paraId="399FE841">
            <w:pPr>
              <w:spacing w:line="400" w:lineRule="exact"/>
              <w:jc w:val="center"/>
              <w:rPr>
                <w:rFonts w:ascii="新宋体" w:hAnsi="新宋体" w:eastAsia="新宋体"/>
                <w:b/>
                <w:color w:val="auto"/>
                <w:highlight w:val="none"/>
              </w:rPr>
            </w:pPr>
            <w:r>
              <w:rPr>
                <w:rFonts w:hint="eastAsia" w:ascii="新宋体" w:hAnsi="新宋体" w:eastAsia="新宋体"/>
                <w:b/>
                <w:color w:val="auto"/>
                <w:highlight w:val="none"/>
              </w:rPr>
              <w:t>注意事项</w:t>
            </w:r>
          </w:p>
        </w:tc>
        <w:tc>
          <w:tcPr>
            <w:tcW w:w="6425" w:type="dxa"/>
            <w:vAlign w:val="center"/>
          </w:tcPr>
          <w:p w14:paraId="6D832040">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 xml:space="preserve">以下情况视为供应商同意撤回已上传系统的响应文件或其响应文件 无效： </w:t>
            </w:r>
          </w:p>
          <w:p w14:paraId="0E9FC234">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 xml:space="preserve">（1）政采云电子平台显示供应商未上传响应文件； </w:t>
            </w:r>
          </w:p>
          <w:p w14:paraId="7072E834">
            <w:pPr>
              <w:spacing w:line="400" w:lineRule="exact"/>
              <w:jc w:val="left"/>
              <w:rPr>
                <w:rFonts w:ascii="新宋体" w:hAnsi="新宋体" w:eastAsia="新宋体"/>
                <w:color w:val="auto"/>
                <w:highlight w:val="none"/>
              </w:rPr>
            </w:pPr>
            <w:r>
              <w:rPr>
                <w:rFonts w:hint="eastAsia" w:ascii="新宋体" w:hAnsi="新宋体" w:eastAsia="新宋体"/>
                <w:color w:val="auto"/>
                <w:highlight w:val="none"/>
              </w:rPr>
              <w:t>（2）因供应商原因上传的响应文件在开启文件时无法解密。</w:t>
            </w:r>
          </w:p>
        </w:tc>
      </w:tr>
      <w:tr w14:paraId="61D6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403" w:type="dxa"/>
            <w:gridSpan w:val="2"/>
            <w:vAlign w:val="center"/>
          </w:tcPr>
          <w:p w14:paraId="30D00761">
            <w:pPr>
              <w:spacing w:line="400" w:lineRule="exact"/>
              <w:jc w:val="center"/>
              <w:rPr>
                <w:rFonts w:ascii="新宋体" w:hAnsi="新宋体" w:eastAsia="新宋体"/>
                <w:b/>
                <w:color w:val="auto"/>
                <w:highlight w:val="none"/>
              </w:rPr>
            </w:pPr>
            <w:r>
              <w:rPr>
                <w:rFonts w:hint="eastAsia" w:ascii="新宋体" w:hAnsi="新宋体" w:eastAsia="新宋体"/>
                <w:b/>
                <w:color w:val="auto"/>
                <w:highlight w:val="none"/>
              </w:rPr>
              <w:t>履约保证金</w:t>
            </w:r>
          </w:p>
        </w:tc>
        <w:tc>
          <w:tcPr>
            <w:tcW w:w="6425" w:type="dxa"/>
            <w:vAlign w:val="center"/>
          </w:tcPr>
          <w:p w14:paraId="2F2A81B1">
            <w:pPr>
              <w:spacing w:line="400" w:lineRule="exact"/>
              <w:jc w:val="left"/>
              <w:rPr>
                <w:color w:val="auto"/>
                <w:highlight w:val="none"/>
              </w:rPr>
            </w:pPr>
            <w:r>
              <w:rPr>
                <w:rFonts w:hint="eastAsia"/>
                <w:color w:val="auto"/>
                <w:highlight w:val="none"/>
              </w:rPr>
              <w:t>按合同约定执行</w:t>
            </w:r>
            <w:r>
              <w:rPr>
                <w:color w:val="auto"/>
                <w:highlight w:val="none"/>
              </w:rPr>
              <w:t>。</w:t>
            </w:r>
          </w:p>
        </w:tc>
      </w:tr>
    </w:tbl>
    <w:p w14:paraId="0E43D01F">
      <w:pPr>
        <w:pStyle w:val="19"/>
        <w:ind w:left="0" w:leftChars="0" w:firstLine="0" w:firstLineChars="0"/>
        <w:rPr>
          <w:color w:val="auto"/>
          <w:highlight w:val="none"/>
        </w:rPr>
      </w:pPr>
    </w:p>
    <w:p w14:paraId="2776CC64">
      <w:pPr>
        <w:rPr>
          <w:color w:val="auto"/>
          <w:highlight w:val="none"/>
        </w:rPr>
      </w:pPr>
      <w:bookmarkStart w:id="60" w:name="_Toc23233"/>
      <w:bookmarkStart w:id="61" w:name="_Toc25261"/>
      <w:r>
        <w:rPr>
          <w:color w:val="auto"/>
          <w:highlight w:val="none"/>
        </w:rPr>
        <w:br w:type="page"/>
      </w:r>
    </w:p>
    <w:p w14:paraId="58D2060F">
      <w:pPr>
        <w:spacing w:line="360" w:lineRule="auto"/>
        <w:jc w:val="center"/>
        <w:outlineLvl w:val="1"/>
        <w:rPr>
          <w:color w:val="auto"/>
          <w:highlight w:val="none"/>
        </w:rPr>
      </w:pPr>
      <w:bookmarkStart w:id="62" w:name="_Toc17589"/>
      <w:bookmarkStart w:id="63" w:name="_Toc16860"/>
      <w:bookmarkStart w:id="64" w:name="_Toc11150"/>
      <w:bookmarkStart w:id="65" w:name="_Toc12204"/>
      <w:r>
        <w:rPr>
          <w:rFonts w:hint="eastAsia" w:ascii="新宋体" w:hAnsi="新宋体" w:eastAsia="新宋体"/>
          <w:b/>
          <w:color w:val="auto"/>
          <w:kern w:val="0"/>
          <w:sz w:val="32"/>
          <w:highlight w:val="none"/>
        </w:rPr>
        <w:t>二、供应商须知</w:t>
      </w:r>
      <w:bookmarkEnd w:id="60"/>
      <w:bookmarkEnd w:id="61"/>
      <w:bookmarkEnd w:id="62"/>
      <w:bookmarkEnd w:id="63"/>
      <w:bookmarkEnd w:id="64"/>
      <w:bookmarkEnd w:id="65"/>
    </w:p>
    <w:p w14:paraId="1021AD04">
      <w:pPr>
        <w:spacing w:line="360" w:lineRule="auto"/>
        <w:ind w:firstLine="420" w:firstLineChars="200"/>
        <w:jc w:val="center"/>
        <w:rPr>
          <w:color w:val="auto"/>
          <w:highlight w:val="none"/>
        </w:rPr>
      </w:pPr>
    </w:p>
    <w:p w14:paraId="074821A9">
      <w:pPr>
        <w:spacing w:line="360" w:lineRule="auto"/>
        <w:jc w:val="center"/>
        <w:outlineLvl w:val="2"/>
        <w:rPr>
          <w:color w:val="auto"/>
          <w:highlight w:val="none"/>
        </w:rPr>
      </w:pPr>
      <w:bookmarkStart w:id="66" w:name="_Toc18246"/>
      <w:bookmarkStart w:id="67" w:name="_Toc13180"/>
      <w:bookmarkStart w:id="68" w:name="_Toc8628"/>
      <w:bookmarkStart w:id="69" w:name="_Toc7143"/>
      <w:bookmarkStart w:id="70" w:name="_Toc10734"/>
      <w:bookmarkStart w:id="71" w:name="_Toc17448"/>
      <w:r>
        <w:rPr>
          <w:rFonts w:ascii="新宋体" w:hAnsi="新宋体" w:eastAsia="新宋体"/>
          <w:b/>
          <w:color w:val="auto"/>
          <w:kern w:val="0"/>
          <w:sz w:val="32"/>
          <w:szCs w:val="32"/>
          <w:highlight w:val="none"/>
        </w:rPr>
        <w:t>1</w:t>
      </w:r>
      <w:r>
        <w:rPr>
          <w:rFonts w:hint="eastAsia" w:ascii="新宋体" w:hAnsi="新宋体" w:eastAsia="新宋体"/>
          <w:b/>
          <w:color w:val="auto"/>
          <w:kern w:val="0"/>
          <w:sz w:val="32"/>
          <w:szCs w:val="32"/>
          <w:highlight w:val="none"/>
        </w:rPr>
        <w:t>.总则</w:t>
      </w:r>
      <w:bookmarkEnd w:id="66"/>
      <w:bookmarkEnd w:id="67"/>
      <w:bookmarkEnd w:id="68"/>
      <w:bookmarkEnd w:id="69"/>
      <w:bookmarkEnd w:id="70"/>
      <w:bookmarkEnd w:id="71"/>
    </w:p>
    <w:p w14:paraId="0F7D9E6B">
      <w:pPr>
        <w:spacing w:line="360" w:lineRule="auto"/>
        <w:outlineLvl w:val="3"/>
        <w:rPr>
          <w:color w:val="auto"/>
          <w:highlight w:val="none"/>
        </w:rPr>
      </w:pPr>
      <w:bookmarkStart w:id="72" w:name="_Toc500402880"/>
      <w:bookmarkStart w:id="73" w:name="_Toc184283911"/>
      <w:bookmarkStart w:id="74" w:name="_Toc1832"/>
      <w:bookmarkStart w:id="75" w:name="_Toc18308"/>
      <w:bookmarkStart w:id="76" w:name="_Toc11007"/>
      <w:bookmarkStart w:id="77" w:name="_Toc25071"/>
      <w:bookmarkStart w:id="78" w:name="_Toc20929"/>
      <w:r>
        <w:rPr>
          <w:b/>
          <w:bCs/>
          <w:color w:val="auto"/>
          <w:highlight w:val="none"/>
        </w:rPr>
        <w:t xml:space="preserve">1.1 </w:t>
      </w:r>
      <w:r>
        <w:rPr>
          <w:rFonts w:hint="eastAsia"/>
          <w:b/>
          <w:bCs/>
          <w:color w:val="auto"/>
          <w:highlight w:val="none"/>
        </w:rPr>
        <w:t>项目</w:t>
      </w:r>
      <w:bookmarkEnd w:id="72"/>
      <w:bookmarkEnd w:id="73"/>
      <w:r>
        <w:rPr>
          <w:rFonts w:hint="eastAsia"/>
          <w:b/>
          <w:bCs/>
          <w:color w:val="auto"/>
          <w:highlight w:val="none"/>
        </w:rPr>
        <w:t>概况</w:t>
      </w:r>
      <w:bookmarkEnd w:id="74"/>
      <w:bookmarkEnd w:id="75"/>
      <w:bookmarkEnd w:id="76"/>
      <w:bookmarkEnd w:id="77"/>
      <w:bookmarkEnd w:id="78"/>
    </w:p>
    <w:p w14:paraId="4B0E50AA">
      <w:pPr>
        <w:spacing w:line="360" w:lineRule="auto"/>
        <w:ind w:firstLine="420" w:firstLineChars="200"/>
        <w:rPr>
          <w:color w:val="auto"/>
          <w:highlight w:val="none"/>
        </w:rPr>
      </w:pPr>
      <w:r>
        <w:rPr>
          <w:color w:val="auto"/>
          <w:highlight w:val="none"/>
        </w:rPr>
        <w:t>1.1.1</w:t>
      </w:r>
      <w:r>
        <w:rPr>
          <w:rFonts w:hint="eastAsia"/>
          <w:color w:val="auto"/>
          <w:highlight w:val="none"/>
        </w:rPr>
        <w:t>根据《中华人民共和国政府采购法》、《中华人民共和国政府采购法实施条例》、《政府采购竞争性磋商采购方式管理暂行办法》和有关法律、法规、规章的规定，本项目采用竞争性磋商方式招标。</w:t>
      </w:r>
    </w:p>
    <w:p w14:paraId="5F0412FD">
      <w:pPr>
        <w:spacing w:line="360" w:lineRule="auto"/>
        <w:ind w:firstLine="420" w:firstLineChars="200"/>
        <w:rPr>
          <w:color w:val="auto"/>
          <w:highlight w:val="none"/>
        </w:rPr>
      </w:pPr>
      <w:r>
        <w:rPr>
          <w:color w:val="auto"/>
          <w:highlight w:val="none"/>
        </w:rPr>
        <w:t xml:space="preserve">1.1.2 </w:t>
      </w:r>
      <w:r>
        <w:rPr>
          <w:rFonts w:hint="eastAsia"/>
          <w:color w:val="auto"/>
          <w:highlight w:val="none"/>
        </w:rPr>
        <w:t>项目采购人：见供应商须知前附表。</w:t>
      </w:r>
    </w:p>
    <w:p w14:paraId="19A9B5AC">
      <w:pPr>
        <w:spacing w:line="360" w:lineRule="auto"/>
        <w:ind w:firstLine="420" w:firstLineChars="200"/>
        <w:rPr>
          <w:color w:val="auto"/>
          <w:highlight w:val="none"/>
        </w:rPr>
      </w:pPr>
      <w:r>
        <w:rPr>
          <w:color w:val="auto"/>
          <w:highlight w:val="none"/>
        </w:rPr>
        <w:t xml:space="preserve">1.1.3 </w:t>
      </w:r>
      <w:r>
        <w:rPr>
          <w:rFonts w:hint="eastAsia"/>
          <w:color w:val="auto"/>
          <w:highlight w:val="none"/>
        </w:rPr>
        <w:t>采购代理机构：见供应商须知前附表。</w:t>
      </w:r>
    </w:p>
    <w:p w14:paraId="0C379707">
      <w:pPr>
        <w:spacing w:line="360" w:lineRule="auto"/>
        <w:ind w:firstLine="420" w:firstLineChars="200"/>
        <w:rPr>
          <w:color w:val="auto"/>
          <w:highlight w:val="none"/>
        </w:rPr>
      </w:pPr>
      <w:r>
        <w:rPr>
          <w:color w:val="auto"/>
          <w:highlight w:val="none"/>
        </w:rPr>
        <w:t xml:space="preserve">1.1.4 </w:t>
      </w:r>
      <w:r>
        <w:rPr>
          <w:rFonts w:hint="eastAsia"/>
          <w:color w:val="auto"/>
          <w:highlight w:val="none"/>
        </w:rPr>
        <w:t>项目名称：见供应商须知前附表。</w:t>
      </w:r>
    </w:p>
    <w:p w14:paraId="61B8328B">
      <w:pPr>
        <w:spacing w:line="360" w:lineRule="auto"/>
        <w:ind w:firstLine="420" w:firstLineChars="200"/>
        <w:rPr>
          <w:color w:val="auto"/>
          <w:highlight w:val="none"/>
        </w:rPr>
      </w:pPr>
      <w:r>
        <w:rPr>
          <w:rFonts w:hint="eastAsia"/>
          <w:color w:val="auto"/>
          <w:highlight w:val="none"/>
        </w:rPr>
        <w:t>1.1.5 项目编号：见供应商须知前附表。</w:t>
      </w:r>
    </w:p>
    <w:p w14:paraId="0D3C2489">
      <w:pPr>
        <w:pStyle w:val="19"/>
        <w:spacing w:line="360" w:lineRule="auto"/>
        <w:ind w:left="0" w:leftChars="0" w:firstLineChars="0"/>
        <w:rPr>
          <w:color w:val="auto"/>
          <w:highlight w:val="none"/>
        </w:rPr>
      </w:pPr>
      <w:r>
        <w:rPr>
          <w:rFonts w:hint="eastAsia"/>
          <w:color w:val="auto"/>
          <w:highlight w:val="none"/>
        </w:rPr>
        <w:t xml:space="preserve">1.1.6 </w:t>
      </w:r>
      <w:r>
        <w:rPr>
          <w:rFonts w:hint="eastAsia" w:ascii="新宋体" w:hAnsi="新宋体" w:eastAsia="新宋体"/>
          <w:color w:val="auto"/>
          <w:highlight w:val="none"/>
        </w:rPr>
        <w:t>基本情况介绍</w:t>
      </w:r>
      <w:r>
        <w:rPr>
          <w:rFonts w:hint="eastAsia"/>
          <w:color w:val="auto"/>
          <w:highlight w:val="none"/>
        </w:rPr>
        <w:t>：见供应商须知前附表。</w:t>
      </w:r>
    </w:p>
    <w:p w14:paraId="0AFE38C7">
      <w:pPr>
        <w:pStyle w:val="19"/>
        <w:spacing w:line="360" w:lineRule="auto"/>
        <w:ind w:left="0" w:leftChars="0" w:firstLineChars="0"/>
        <w:rPr>
          <w:color w:val="auto"/>
          <w:highlight w:val="none"/>
        </w:rPr>
      </w:pPr>
      <w:r>
        <w:rPr>
          <w:rFonts w:hint="eastAsia"/>
          <w:color w:val="auto"/>
          <w:highlight w:val="none"/>
        </w:rPr>
        <w:t>1.1.7 标包划分：见供应商须知前附表。</w:t>
      </w:r>
    </w:p>
    <w:p w14:paraId="661552F0">
      <w:pPr>
        <w:pStyle w:val="19"/>
        <w:spacing w:line="360" w:lineRule="auto"/>
        <w:ind w:left="0" w:leftChars="0" w:firstLineChars="0"/>
        <w:rPr>
          <w:color w:val="auto"/>
          <w:highlight w:val="none"/>
        </w:rPr>
      </w:pPr>
      <w:r>
        <w:rPr>
          <w:rFonts w:hint="eastAsia"/>
          <w:color w:val="auto"/>
          <w:highlight w:val="none"/>
        </w:rPr>
        <w:t>1.1.8 资格审查方式：见供应商须知前附表。</w:t>
      </w:r>
    </w:p>
    <w:p w14:paraId="5C138E28">
      <w:pPr>
        <w:spacing w:line="360" w:lineRule="auto"/>
        <w:outlineLvl w:val="3"/>
        <w:rPr>
          <w:color w:val="auto"/>
          <w:highlight w:val="none"/>
        </w:rPr>
      </w:pPr>
      <w:bookmarkStart w:id="79" w:name="_Toc500402881"/>
      <w:bookmarkStart w:id="80" w:name="_Toc5711"/>
      <w:bookmarkStart w:id="81" w:name="_Toc14007"/>
      <w:bookmarkStart w:id="82" w:name="_Toc307"/>
      <w:bookmarkStart w:id="83" w:name="_Toc8111"/>
      <w:bookmarkStart w:id="84" w:name="_Toc16969"/>
      <w:bookmarkStart w:id="85" w:name="_Toc184283912"/>
      <w:r>
        <w:rPr>
          <w:b/>
          <w:bCs/>
          <w:color w:val="auto"/>
          <w:highlight w:val="none"/>
        </w:rPr>
        <w:t xml:space="preserve">1.2 </w:t>
      </w:r>
      <w:r>
        <w:rPr>
          <w:rFonts w:hint="eastAsia"/>
          <w:b/>
          <w:bCs/>
          <w:color w:val="auto"/>
          <w:highlight w:val="none"/>
        </w:rPr>
        <w:t>资金来源和落实情况</w:t>
      </w:r>
      <w:bookmarkEnd w:id="79"/>
      <w:bookmarkEnd w:id="80"/>
      <w:bookmarkEnd w:id="81"/>
      <w:bookmarkEnd w:id="82"/>
      <w:bookmarkEnd w:id="83"/>
      <w:bookmarkEnd w:id="84"/>
      <w:bookmarkEnd w:id="85"/>
    </w:p>
    <w:p w14:paraId="53F4B0A0">
      <w:pPr>
        <w:spacing w:line="360" w:lineRule="auto"/>
        <w:ind w:firstLine="420" w:firstLineChars="200"/>
        <w:rPr>
          <w:color w:val="auto"/>
          <w:highlight w:val="none"/>
        </w:rPr>
      </w:pPr>
      <w:r>
        <w:rPr>
          <w:color w:val="auto"/>
          <w:highlight w:val="none"/>
        </w:rPr>
        <w:t xml:space="preserve">1.2.1 </w:t>
      </w:r>
      <w:r>
        <w:rPr>
          <w:rFonts w:hint="eastAsia"/>
          <w:color w:val="auto"/>
          <w:highlight w:val="none"/>
        </w:rPr>
        <w:t>资金来源：见供应商须知前附表。</w:t>
      </w:r>
    </w:p>
    <w:p w14:paraId="6072A509">
      <w:pPr>
        <w:spacing w:line="360" w:lineRule="auto"/>
        <w:ind w:firstLine="420" w:firstLineChars="200"/>
        <w:rPr>
          <w:color w:val="auto"/>
          <w:highlight w:val="none"/>
        </w:rPr>
      </w:pPr>
      <w:r>
        <w:rPr>
          <w:color w:val="auto"/>
          <w:highlight w:val="none"/>
        </w:rPr>
        <w:t xml:space="preserve">1.2.2 </w:t>
      </w:r>
      <w:r>
        <w:rPr>
          <w:rFonts w:hint="eastAsia"/>
          <w:color w:val="auto"/>
          <w:highlight w:val="none"/>
        </w:rPr>
        <w:t>资金落实情况：见供应商须知前附表。</w:t>
      </w:r>
    </w:p>
    <w:p w14:paraId="4233C028">
      <w:pPr>
        <w:spacing w:line="360" w:lineRule="auto"/>
        <w:ind w:firstLine="420" w:firstLineChars="200"/>
        <w:rPr>
          <w:color w:val="auto"/>
          <w:highlight w:val="none"/>
        </w:rPr>
      </w:pPr>
      <w:r>
        <w:rPr>
          <w:color w:val="auto"/>
          <w:highlight w:val="none"/>
        </w:rPr>
        <w:t>1.2.3</w:t>
      </w:r>
      <w:r>
        <w:rPr>
          <w:rFonts w:hint="eastAsia"/>
          <w:color w:val="auto"/>
          <w:highlight w:val="none"/>
        </w:rPr>
        <w:t xml:space="preserve"> 采购预算：见供应商须知前附表。</w:t>
      </w:r>
    </w:p>
    <w:p w14:paraId="1D0B7BE1">
      <w:pPr>
        <w:spacing w:line="360" w:lineRule="auto"/>
        <w:outlineLvl w:val="3"/>
        <w:rPr>
          <w:b/>
          <w:bCs/>
          <w:color w:val="auto"/>
          <w:highlight w:val="none"/>
        </w:rPr>
      </w:pPr>
      <w:bookmarkStart w:id="86" w:name="_Toc184283913"/>
      <w:bookmarkStart w:id="87" w:name="_Toc500402882"/>
      <w:bookmarkStart w:id="88" w:name="_Toc27171"/>
      <w:bookmarkStart w:id="89" w:name="_Toc27796"/>
      <w:bookmarkStart w:id="90" w:name="_Toc2266"/>
      <w:bookmarkStart w:id="91" w:name="_Toc19653"/>
      <w:bookmarkStart w:id="92" w:name="_Toc14543"/>
      <w:r>
        <w:rPr>
          <w:b/>
          <w:bCs/>
          <w:color w:val="auto"/>
          <w:highlight w:val="none"/>
        </w:rPr>
        <w:t xml:space="preserve">1.3 </w:t>
      </w:r>
      <w:r>
        <w:rPr>
          <w:rFonts w:hint="eastAsia"/>
          <w:b/>
          <w:bCs/>
          <w:color w:val="auto"/>
          <w:highlight w:val="none"/>
        </w:rPr>
        <w:t>采购需求、</w:t>
      </w:r>
      <w:bookmarkEnd w:id="86"/>
      <w:bookmarkEnd w:id="87"/>
      <w:r>
        <w:rPr>
          <w:rFonts w:hint="eastAsia"/>
          <w:b/>
          <w:bCs/>
          <w:color w:val="auto"/>
          <w:highlight w:val="none"/>
        </w:rPr>
        <w:t>合同履行期限、</w:t>
      </w:r>
      <w:r>
        <w:rPr>
          <w:rFonts w:hint="eastAsia"/>
          <w:b/>
          <w:bCs/>
          <w:color w:val="auto"/>
          <w:highlight w:val="none"/>
          <w:lang w:val="en-US" w:eastAsia="zh-CN"/>
        </w:rPr>
        <w:t>服务</w:t>
      </w:r>
      <w:r>
        <w:rPr>
          <w:rFonts w:hint="eastAsia"/>
          <w:b/>
          <w:bCs/>
          <w:color w:val="auto"/>
          <w:highlight w:val="none"/>
          <w:lang w:eastAsia="zh-CN"/>
        </w:rPr>
        <w:t>地点</w:t>
      </w:r>
      <w:r>
        <w:rPr>
          <w:rFonts w:hint="eastAsia"/>
          <w:b/>
          <w:bCs/>
          <w:color w:val="auto"/>
          <w:highlight w:val="none"/>
        </w:rPr>
        <w:t>、质量要求</w:t>
      </w:r>
      <w:bookmarkEnd w:id="88"/>
      <w:r>
        <w:rPr>
          <w:rFonts w:hint="eastAsia"/>
          <w:b/>
          <w:bCs/>
          <w:color w:val="auto"/>
          <w:highlight w:val="none"/>
        </w:rPr>
        <w:t>。</w:t>
      </w:r>
      <w:bookmarkEnd w:id="89"/>
      <w:bookmarkEnd w:id="90"/>
      <w:bookmarkEnd w:id="91"/>
      <w:bookmarkEnd w:id="92"/>
    </w:p>
    <w:p w14:paraId="18D33D8F">
      <w:pPr>
        <w:spacing w:line="360" w:lineRule="auto"/>
        <w:ind w:firstLine="420" w:firstLineChars="200"/>
        <w:rPr>
          <w:color w:val="auto"/>
          <w:highlight w:val="none"/>
        </w:rPr>
      </w:pPr>
      <w:r>
        <w:rPr>
          <w:color w:val="auto"/>
          <w:highlight w:val="none"/>
        </w:rPr>
        <w:t xml:space="preserve">1.3.1 </w:t>
      </w:r>
      <w:r>
        <w:rPr>
          <w:rFonts w:hint="eastAsia"/>
          <w:color w:val="auto"/>
          <w:highlight w:val="none"/>
        </w:rPr>
        <w:t>采购需求：见供应商须知前附表。</w:t>
      </w:r>
    </w:p>
    <w:p w14:paraId="174B6822">
      <w:pPr>
        <w:spacing w:line="360" w:lineRule="auto"/>
        <w:ind w:firstLine="420" w:firstLineChars="200"/>
        <w:rPr>
          <w:color w:val="auto"/>
          <w:highlight w:val="none"/>
        </w:rPr>
      </w:pPr>
      <w:r>
        <w:rPr>
          <w:color w:val="auto"/>
          <w:highlight w:val="none"/>
        </w:rPr>
        <w:t xml:space="preserve">1.3.2 </w:t>
      </w:r>
      <w:r>
        <w:rPr>
          <w:rFonts w:hint="eastAsia"/>
          <w:color w:val="auto"/>
          <w:highlight w:val="none"/>
        </w:rPr>
        <w:t>合同履行期限：见供应商须知前附表。</w:t>
      </w:r>
    </w:p>
    <w:p w14:paraId="06625004">
      <w:pPr>
        <w:spacing w:line="360" w:lineRule="auto"/>
        <w:ind w:firstLine="420" w:firstLineChars="200"/>
        <w:rPr>
          <w:color w:val="auto"/>
          <w:highlight w:val="none"/>
        </w:rPr>
      </w:pPr>
      <w:r>
        <w:rPr>
          <w:color w:val="auto"/>
          <w:highlight w:val="none"/>
        </w:rPr>
        <w:t xml:space="preserve">1.3.3 </w:t>
      </w:r>
      <w:r>
        <w:rPr>
          <w:rFonts w:hint="eastAsia"/>
          <w:color w:val="auto"/>
          <w:highlight w:val="none"/>
        </w:rPr>
        <w:t>项目实施地点：见供应商须知前附表。</w:t>
      </w:r>
    </w:p>
    <w:p w14:paraId="3FECC9A5">
      <w:pPr>
        <w:spacing w:line="360" w:lineRule="auto"/>
        <w:ind w:firstLine="420" w:firstLineChars="200"/>
        <w:rPr>
          <w:color w:val="auto"/>
          <w:szCs w:val="22"/>
          <w:highlight w:val="none"/>
        </w:rPr>
      </w:pPr>
      <w:r>
        <w:rPr>
          <w:rFonts w:hint="eastAsia"/>
          <w:color w:val="auto"/>
          <w:szCs w:val="22"/>
          <w:highlight w:val="none"/>
        </w:rPr>
        <w:t>1.3.4 质量要求：见供应商须知前附表。</w:t>
      </w:r>
    </w:p>
    <w:p w14:paraId="5B2B2788">
      <w:pPr>
        <w:spacing w:line="360" w:lineRule="auto"/>
        <w:outlineLvl w:val="3"/>
        <w:rPr>
          <w:color w:val="auto"/>
          <w:highlight w:val="none"/>
        </w:rPr>
      </w:pPr>
      <w:bookmarkStart w:id="93" w:name="_Toc184283915"/>
      <w:bookmarkStart w:id="94" w:name="_Toc2447"/>
      <w:bookmarkStart w:id="95" w:name="_Toc11011"/>
      <w:bookmarkStart w:id="96" w:name="_Toc500402884"/>
      <w:bookmarkStart w:id="97" w:name="_Toc1759"/>
      <w:bookmarkStart w:id="98" w:name="_Toc22749"/>
      <w:bookmarkStart w:id="99" w:name="_Toc14772"/>
      <w:r>
        <w:rPr>
          <w:b/>
          <w:bCs/>
          <w:color w:val="auto"/>
          <w:szCs w:val="22"/>
          <w:highlight w:val="none"/>
        </w:rPr>
        <w:t xml:space="preserve">1.4 </w:t>
      </w:r>
      <w:r>
        <w:rPr>
          <w:rFonts w:hint="eastAsia"/>
          <w:b/>
          <w:bCs/>
          <w:color w:val="auto"/>
          <w:szCs w:val="22"/>
          <w:highlight w:val="none"/>
        </w:rPr>
        <w:t>供应商资格</w:t>
      </w:r>
      <w:bookmarkEnd w:id="93"/>
      <w:bookmarkEnd w:id="94"/>
      <w:bookmarkEnd w:id="95"/>
      <w:bookmarkEnd w:id="96"/>
      <w:bookmarkEnd w:id="97"/>
      <w:bookmarkEnd w:id="98"/>
      <w:bookmarkEnd w:id="99"/>
    </w:p>
    <w:p w14:paraId="6BAE0E8C">
      <w:pPr>
        <w:spacing w:line="360" w:lineRule="auto"/>
        <w:ind w:firstLine="420" w:firstLineChars="200"/>
        <w:rPr>
          <w:color w:val="auto"/>
          <w:highlight w:val="none"/>
        </w:rPr>
      </w:pPr>
      <w:r>
        <w:rPr>
          <w:color w:val="auto"/>
          <w:highlight w:val="none"/>
        </w:rPr>
        <w:t xml:space="preserve">1.4.1 </w:t>
      </w:r>
      <w:r>
        <w:rPr>
          <w:rFonts w:hint="eastAsia"/>
          <w:color w:val="auto"/>
          <w:highlight w:val="none"/>
        </w:rPr>
        <w:t>供应商资格要求：见供应商须知前附表。</w:t>
      </w:r>
    </w:p>
    <w:p w14:paraId="44272009">
      <w:pPr>
        <w:spacing w:line="360" w:lineRule="auto"/>
        <w:ind w:firstLine="420" w:firstLineChars="200"/>
        <w:rPr>
          <w:color w:val="auto"/>
          <w:highlight w:val="none"/>
        </w:rPr>
      </w:pPr>
      <w:r>
        <w:rPr>
          <w:color w:val="auto"/>
          <w:highlight w:val="none"/>
        </w:rPr>
        <w:t>1.4.2</w:t>
      </w:r>
      <w:r>
        <w:rPr>
          <w:rFonts w:hint="eastAsia"/>
          <w:color w:val="auto"/>
          <w:highlight w:val="none"/>
        </w:rPr>
        <w:t>联合体：见供应商须知前附表。</w:t>
      </w:r>
    </w:p>
    <w:p w14:paraId="0BC2B51C">
      <w:pPr>
        <w:spacing w:line="360" w:lineRule="auto"/>
        <w:ind w:firstLine="420" w:firstLineChars="200"/>
        <w:rPr>
          <w:color w:val="auto"/>
          <w:highlight w:val="none"/>
        </w:rPr>
      </w:pPr>
      <w:r>
        <w:rPr>
          <w:rFonts w:hint="eastAsia"/>
          <w:color w:val="auto"/>
          <w:highlight w:val="none"/>
        </w:rPr>
        <w:t>1.4.3 供应商不得存在下列情形之一：</w:t>
      </w:r>
    </w:p>
    <w:p w14:paraId="6AE03765">
      <w:pPr>
        <w:spacing w:line="360" w:lineRule="auto"/>
        <w:ind w:firstLine="420" w:firstLineChars="200"/>
        <w:rPr>
          <w:color w:val="auto"/>
          <w:highlight w:val="none"/>
        </w:rPr>
      </w:pPr>
      <w:r>
        <w:rPr>
          <w:rFonts w:hint="eastAsia"/>
          <w:color w:val="auto"/>
          <w:highlight w:val="none"/>
        </w:rPr>
        <w:t>（1）供应商单位负责人为同一人或者存在直接控股、管理关系的不同供应商，参加同一合同项下的采购活动的</w:t>
      </w:r>
    </w:p>
    <w:p w14:paraId="30B5D91C">
      <w:pPr>
        <w:spacing w:line="360" w:lineRule="auto"/>
        <w:ind w:firstLine="420" w:firstLineChars="200"/>
        <w:rPr>
          <w:color w:val="auto"/>
          <w:highlight w:val="none"/>
        </w:rPr>
      </w:pPr>
      <w:r>
        <w:rPr>
          <w:rFonts w:hint="eastAsia"/>
          <w:color w:val="auto"/>
          <w:highlight w:val="none"/>
        </w:rPr>
        <w:t>（2）为采购人不具有独立法人资格的附属机构（单位）；</w:t>
      </w:r>
    </w:p>
    <w:p w14:paraId="494470C5">
      <w:pPr>
        <w:spacing w:line="360" w:lineRule="auto"/>
        <w:ind w:firstLine="420" w:firstLineChars="200"/>
        <w:rPr>
          <w:color w:val="auto"/>
          <w:highlight w:val="none"/>
        </w:rPr>
      </w:pPr>
      <w:r>
        <w:rPr>
          <w:rFonts w:hint="eastAsia"/>
          <w:color w:val="auto"/>
          <w:highlight w:val="none"/>
        </w:rPr>
        <w:t>（3）为本项目提供采购代理服务的；</w:t>
      </w:r>
    </w:p>
    <w:p w14:paraId="1AF87358">
      <w:pPr>
        <w:spacing w:line="360" w:lineRule="auto"/>
        <w:ind w:firstLine="420" w:firstLineChars="200"/>
        <w:rPr>
          <w:color w:val="auto"/>
          <w:highlight w:val="none"/>
        </w:rPr>
      </w:pPr>
      <w:r>
        <w:rPr>
          <w:rFonts w:hint="eastAsia"/>
          <w:color w:val="auto"/>
          <w:highlight w:val="none"/>
        </w:rPr>
        <w:t>（4）被责令停业的；</w:t>
      </w:r>
    </w:p>
    <w:p w14:paraId="1D16A114">
      <w:pPr>
        <w:spacing w:line="360" w:lineRule="auto"/>
        <w:ind w:firstLine="420" w:firstLineChars="200"/>
        <w:rPr>
          <w:color w:val="auto"/>
          <w:highlight w:val="none"/>
        </w:rPr>
      </w:pPr>
      <w:r>
        <w:rPr>
          <w:rFonts w:hint="eastAsia"/>
          <w:color w:val="auto"/>
          <w:highlight w:val="none"/>
        </w:rPr>
        <w:t>（5）被暂停或取消投标资格的；</w:t>
      </w:r>
    </w:p>
    <w:p w14:paraId="047454D6">
      <w:pPr>
        <w:spacing w:line="360" w:lineRule="auto"/>
        <w:ind w:firstLine="420" w:firstLineChars="200"/>
        <w:rPr>
          <w:color w:val="auto"/>
          <w:highlight w:val="none"/>
        </w:rPr>
      </w:pPr>
      <w:r>
        <w:rPr>
          <w:rFonts w:hint="eastAsia"/>
          <w:color w:val="auto"/>
          <w:highlight w:val="none"/>
        </w:rPr>
        <w:t>（6）财产被接管或冻结的；</w:t>
      </w:r>
    </w:p>
    <w:p w14:paraId="709D5111">
      <w:pPr>
        <w:spacing w:line="360" w:lineRule="auto"/>
        <w:ind w:firstLine="420" w:firstLineChars="200"/>
        <w:rPr>
          <w:color w:val="auto"/>
          <w:highlight w:val="none"/>
        </w:rPr>
      </w:pPr>
      <w:r>
        <w:rPr>
          <w:rFonts w:hint="eastAsia"/>
          <w:color w:val="auto"/>
          <w:highlight w:val="none"/>
        </w:rPr>
        <w:t>（7）在最近三年内有骗取成交或严重违约或重大产品质量问题的。</w:t>
      </w:r>
    </w:p>
    <w:p w14:paraId="324009E8">
      <w:pPr>
        <w:spacing w:line="360" w:lineRule="auto"/>
        <w:ind w:firstLine="420" w:firstLineChars="200"/>
        <w:rPr>
          <w:color w:val="auto"/>
          <w:highlight w:val="none"/>
        </w:rPr>
      </w:pPr>
      <w:r>
        <w:rPr>
          <w:rFonts w:hint="eastAsia"/>
          <w:color w:val="auto"/>
          <w:highlight w:val="none"/>
        </w:rPr>
        <w:t>（8）根据《政府购买服务管理办法》（中华人民共和国财政部令第 102 号）规定，供应商不得为公益一类事业单位、使用事业编制且由财政拨款保障的群团组织。</w:t>
      </w:r>
    </w:p>
    <w:p w14:paraId="7B7BA356">
      <w:pPr>
        <w:spacing w:line="360" w:lineRule="auto"/>
        <w:outlineLvl w:val="3"/>
        <w:rPr>
          <w:color w:val="auto"/>
          <w:highlight w:val="none"/>
        </w:rPr>
      </w:pPr>
      <w:bookmarkStart w:id="100" w:name="_Toc15941"/>
      <w:bookmarkStart w:id="101" w:name="_Toc184283916"/>
      <w:bookmarkStart w:id="102" w:name="_Toc11233"/>
      <w:bookmarkStart w:id="103" w:name="_Toc21205"/>
      <w:bookmarkStart w:id="104" w:name="_Toc7354"/>
      <w:bookmarkStart w:id="105" w:name="_Toc28554"/>
      <w:bookmarkStart w:id="106" w:name="_Toc500402885"/>
      <w:r>
        <w:rPr>
          <w:b/>
          <w:bCs/>
          <w:color w:val="auto"/>
          <w:szCs w:val="22"/>
          <w:highlight w:val="none"/>
        </w:rPr>
        <w:t xml:space="preserve">1.5 </w:t>
      </w:r>
      <w:r>
        <w:rPr>
          <w:rFonts w:hint="eastAsia"/>
          <w:b/>
          <w:bCs/>
          <w:color w:val="auto"/>
          <w:szCs w:val="22"/>
          <w:highlight w:val="none"/>
        </w:rPr>
        <w:t>费用承担</w:t>
      </w:r>
      <w:bookmarkEnd w:id="100"/>
      <w:bookmarkEnd w:id="101"/>
      <w:bookmarkEnd w:id="102"/>
      <w:bookmarkEnd w:id="103"/>
      <w:bookmarkEnd w:id="104"/>
      <w:bookmarkEnd w:id="105"/>
      <w:bookmarkEnd w:id="106"/>
    </w:p>
    <w:p w14:paraId="67E5F095">
      <w:pPr>
        <w:spacing w:line="360" w:lineRule="auto"/>
        <w:ind w:firstLine="420" w:firstLineChars="200"/>
        <w:rPr>
          <w:color w:val="auto"/>
          <w:highlight w:val="none"/>
        </w:rPr>
      </w:pPr>
      <w:bookmarkStart w:id="107" w:name="_Toc184283917"/>
      <w:bookmarkStart w:id="108" w:name="_Toc500402886"/>
      <w:r>
        <w:rPr>
          <w:color w:val="auto"/>
          <w:highlight w:val="none"/>
        </w:rPr>
        <w:t xml:space="preserve">1.5.1 </w:t>
      </w:r>
      <w:r>
        <w:rPr>
          <w:rFonts w:hint="eastAsia"/>
          <w:color w:val="auto"/>
          <w:highlight w:val="none"/>
        </w:rPr>
        <w:t>无论磋商过程和结果如何，供应商应自行承担磋商过程的全部费用，采购人和采购代理机构不承担任何费用。</w:t>
      </w:r>
    </w:p>
    <w:p w14:paraId="6FD87C58">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1.5.2</w:t>
      </w:r>
      <w:bookmarkStart w:id="109" w:name="_Toc11122"/>
      <w:bookmarkStart w:id="110" w:name="_Toc26533"/>
      <w:bookmarkStart w:id="111" w:name="_Toc11420"/>
      <w:bookmarkStart w:id="112" w:name="_Toc3411"/>
      <w:bookmarkStart w:id="113" w:name="_Toc16934"/>
      <w:r>
        <w:rPr>
          <w:rFonts w:hint="eastAsia" w:ascii="宋体" w:hAnsi="宋体" w:cs="宋体"/>
          <w:color w:val="auto"/>
          <w:sz w:val="21"/>
          <w:szCs w:val="21"/>
          <w:highlight w:val="none"/>
          <w:lang w:eastAsia="zh-CN"/>
        </w:rPr>
        <w:t>招标代理服务费参照云建招协〔202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号文件规定的计费办法计收，由中标人承担</w:t>
      </w:r>
      <w:r>
        <w:rPr>
          <w:rFonts w:hint="eastAsia" w:ascii="Times New Roman" w:hAnsi="Times New Roman" w:eastAsia="宋体" w:cs="Times New Roman"/>
          <w:color w:val="auto"/>
          <w:highlight w:val="none"/>
          <w:lang w:eastAsia="zh-CN"/>
        </w:rPr>
        <w:t>。</w:t>
      </w:r>
    </w:p>
    <w:p w14:paraId="4E7B49C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1.5.3</w:t>
      </w:r>
      <w:r>
        <w:rPr>
          <w:rFonts w:hint="eastAsia" w:ascii="Times New Roman" w:hAnsi="Times New Roman" w:cs="Times New Roman"/>
          <w:color w:val="auto"/>
          <w:kern w:val="2"/>
          <w:sz w:val="21"/>
          <w:szCs w:val="21"/>
          <w:highlight w:val="none"/>
          <w:lang w:val="en-US" w:eastAsia="zh-CN" w:bidi="ar-SA"/>
        </w:rPr>
        <w:t>成交</w:t>
      </w:r>
      <w:r>
        <w:rPr>
          <w:rFonts w:hint="eastAsia" w:ascii="Times New Roman" w:hAnsi="Times New Roman" w:eastAsia="宋体" w:cs="Times New Roman"/>
          <w:color w:val="auto"/>
          <w:kern w:val="2"/>
          <w:sz w:val="21"/>
          <w:szCs w:val="21"/>
          <w:highlight w:val="none"/>
          <w:lang w:val="en-US" w:eastAsia="zh-CN" w:bidi="ar-SA"/>
        </w:rPr>
        <w:t>人应承担其参加本次招投标活动所发生的相关费用。</w:t>
      </w:r>
    </w:p>
    <w:p w14:paraId="7365206B">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云建招协〔202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号</w:t>
      </w:r>
      <w:r>
        <w:rPr>
          <w:rFonts w:hint="eastAsia" w:ascii="宋体" w:hAnsi="宋体" w:eastAsia="宋体" w:cs="宋体"/>
          <w:color w:val="auto"/>
          <w:sz w:val="21"/>
          <w:szCs w:val="21"/>
          <w:highlight w:val="none"/>
        </w:rPr>
        <w:t>《云南省招标代理服务收费指导标准》</w:t>
      </w:r>
    </w:p>
    <w:p w14:paraId="47A6D7B5">
      <w:pPr>
        <w:spacing w:line="60" w:lineRule="exact"/>
        <w:rPr>
          <w:rFonts w:hint="eastAsia" w:ascii="宋体" w:hAnsi="宋体" w:eastAsia="宋体" w:cs="宋体"/>
          <w:color w:val="auto"/>
          <w:sz w:val="21"/>
          <w:szCs w:val="21"/>
          <w:highlight w:val="none"/>
        </w:rPr>
      </w:pPr>
    </w:p>
    <w:tbl>
      <w:tblPr>
        <w:tblStyle w:val="29"/>
        <w:tblW w:w="463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92"/>
        <w:gridCol w:w="1580"/>
        <w:gridCol w:w="1450"/>
        <w:gridCol w:w="1583"/>
      </w:tblGrid>
      <w:tr w14:paraId="4FF0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2007" w:type="pct"/>
            <w:vMerge w:val="restart"/>
            <w:tcBorders>
              <w:bottom w:val="nil"/>
            </w:tcBorders>
            <w:vAlign w:val="top"/>
          </w:tcPr>
          <w:p w14:paraId="7DF354C6">
            <w:pPr>
              <w:spacing w:line="473" w:lineRule="auto"/>
              <w:rPr>
                <w:rFonts w:hint="eastAsia" w:ascii="宋体" w:hAnsi="宋体" w:eastAsia="宋体" w:cs="宋体"/>
                <w:color w:val="auto"/>
                <w:sz w:val="21"/>
                <w:szCs w:val="21"/>
                <w:highlight w:val="none"/>
              </w:rPr>
            </w:pPr>
          </w:p>
          <w:p w14:paraId="02F73BF0">
            <w:pPr>
              <w:pStyle w:val="30"/>
              <w:spacing w:before="104" w:line="218" w:lineRule="auto"/>
              <w:ind w:left="122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计价金额</w:t>
            </w:r>
          </w:p>
        </w:tc>
        <w:tc>
          <w:tcPr>
            <w:tcW w:w="2992" w:type="pct"/>
            <w:gridSpan w:val="3"/>
            <w:vAlign w:val="top"/>
          </w:tcPr>
          <w:p w14:paraId="4AC29959">
            <w:pPr>
              <w:pStyle w:val="30"/>
              <w:spacing w:before="93" w:line="219" w:lineRule="auto"/>
              <w:ind w:left="194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服务类型</w:t>
            </w:r>
          </w:p>
        </w:tc>
      </w:tr>
      <w:tr w14:paraId="4713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2007" w:type="pct"/>
            <w:vMerge w:val="continue"/>
            <w:tcBorders>
              <w:top w:val="nil"/>
              <w:bottom w:val="nil"/>
            </w:tcBorders>
            <w:vAlign w:val="top"/>
          </w:tcPr>
          <w:p w14:paraId="4182BDA4">
            <w:pPr>
              <w:rPr>
                <w:rFonts w:hint="eastAsia" w:ascii="宋体" w:hAnsi="宋体" w:eastAsia="宋体" w:cs="宋体"/>
                <w:color w:val="auto"/>
                <w:sz w:val="21"/>
                <w:szCs w:val="21"/>
                <w:highlight w:val="none"/>
              </w:rPr>
            </w:pPr>
          </w:p>
        </w:tc>
        <w:tc>
          <w:tcPr>
            <w:tcW w:w="1025" w:type="pct"/>
            <w:vAlign w:val="top"/>
          </w:tcPr>
          <w:p w14:paraId="283B9B18">
            <w:pPr>
              <w:pStyle w:val="30"/>
              <w:spacing w:before="76" w:line="219" w:lineRule="auto"/>
              <w:ind w:left="24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货物招标</w:t>
            </w:r>
          </w:p>
        </w:tc>
        <w:tc>
          <w:tcPr>
            <w:tcW w:w="941" w:type="pct"/>
            <w:vAlign w:val="top"/>
          </w:tcPr>
          <w:p w14:paraId="631545FE">
            <w:pPr>
              <w:pStyle w:val="30"/>
              <w:spacing w:before="78" w:line="219" w:lineRule="auto"/>
              <w:ind w:left="18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服务招标</w:t>
            </w:r>
          </w:p>
        </w:tc>
        <w:tc>
          <w:tcPr>
            <w:tcW w:w="1025" w:type="pct"/>
            <w:vAlign w:val="top"/>
          </w:tcPr>
          <w:p w14:paraId="58D2D4DE">
            <w:pPr>
              <w:pStyle w:val="30"/>
              <w:spacing w:before="79" w:line="220" w:lineRule="auto"/>
              <w:ind w:left="24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工程招标</w:t>
            </w:r>
          </w:p>
        </w:tc>
      </w:tr>
      <w:tr w14:paraId="78A2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2007" w:type="pct"/>
            <w:vMerge w:val="continue"/>
            <w:tcBorders>
              <w:top w:val="nil"/>
            </w:tcBorders>
            <w:vAlign w:val="top"/>
          </w:tcPr>
          <w:p w14:paraId="3F4B8F96">
            <w:pPr>
              <w:rPr>
                <w:rFonts w:hint="eastAsia" w:ascii="宋体" w:hAnsi="宋体" w:eastAsia="宋体" w:cs="宋体"/>
                <w:color w:val="auto"/>
                <w:sz w:val="21"/>
                <w:szCs w:val="21"/>
                <w:highlight w:val="none"/>
              </w:rPr>
            </w:pPr>
          </w:p>
        </w:tc>
        <w:tc>
          <w:tcPr>
            <w:tcW w:w="2992" w:type="pct"/>
            <w:gridSpan w:val="3"/>
            <w:vAlign w:val="top"/>
          </w:tcPr>
          <w:p w14:paraId="3296535E">
            <w:pPr>
              <w:pStyle w:val="30"/>
              <w:spacing w:before="88" w:line="219" w:lineRule="auto"/>
              <w:ind w:left="2109"/>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费</w:t>
            </w:r>
            <w:r>
              <w:rPr>
                <w:rFonts w:hint="eastAsia" w:ascii="宋体" w:hAnsi="宋体" w:eastAsia="宋体" w:cs="宋体"/>
                <w:color w:val="auto"/>
                <w:spacing w:val="25"/>
                <w:sz w:val="21"/>
                <w:szCs w:val="21"/>
                <w:highlight w:val="none"/>
              </w:rPr>
              <w:t xml:space="preserve">  </w:t>
            </w:r>
            <w:r>
              <w:rPr>
                <w:rFonts w:hint="eastAsia" w:ascii="宋体" w:hAnsi="宋体" w:eastAsia="宋体" w:cs="宋体"/>
                <w:b/>
                <w:bCs/>
                <w:color w:val="auto"/>
                <w:spacing w:val="-19"/>
                <w:sz w:val="21"/>
                <w:szCs w:val="21"/>
                <w:highlight w:val="none"/>
              </w:rPr>
              <w:t>率</w:t>
            </w:r>
          </w:p>
        </w:tc>
      </w:tr>
      <w:tr w14:paraId="409E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2007" w:type="pct"/>
            <w:vAlign w:val="top"/>
          </w:tcPr>
          <w:p w14:paraId="7D74A3A6">
            <w:pPr>
              <w:pStyle w:val="30"/>
              <w:spacing w:before="94" w:line="219" w:lineRule="auto"/>
              <w:ind w:left="66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100万元(含)</w:t>
            </w:r>
            <w:r>
              <w:rPr>
                <w:rFonts w:hint="eastAsia" w:cs="宋体"/>
                <w:color w:val="auto"/>
                <w:spacing w:val="6"/>
                <w:sz w:val="21"/>
                <w:szCs w:val="21"/>
                <w:highlight w:val="none"/>
                <w:lang w:val="en-US" w:eastAsia="zh-CN"/>
              </w:rPr>
              <w:t>以下</w:t>
            </w:r>
          </w:p>
        </w:tc>
        <w:tc>
          <w:tcPr>
            <w:tcW w:w="2992" w:type="pct"/>
            <w:gridSpan w:val="3"/>
            <w:vAlign w:val="top"/>
          </w:tcPr>
          <w:p w14:paraId="4C305150">
            <w:pPr>
              <w:pStyle w:val="30"/>
              <w:spacing w:before="174" w:line="176" w:lineRule="auto"/>
              <w:ind w:left="226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1.5%</w:t>
            </w:r>
          </w:p>
        </w:tc>
      </w:tr>
      <w:tr w14:paraId="6F56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2007" w:type="pct"/>
            <w:vAlign w:val="top"/>
          </w:tcPr>
          <w:p w14:paraId="1F92C9BB">
            <w:pPr>
              <w:pStyle w:val="30"/>
              <w:spacing w:before="84" w:line="219"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100—500万元(含)</w:t>
            </w:r>
          </w:p>
        </w:tc>
        <w:tc>
          <w:tcPr>
            <w:tcW w:w="1025" w:type="pct"/>
            <w:vAlign w:val="top"/>
          </w:tcPr>
          <w:p w14:paraId="356C126E">
            <w:pPr>
              <w:pStyle w:val="30"/>
              <w:spacing w:before="165" w:line="175" w:lineRule="auto"/>
              <w:ind w:left="56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1.3%</w:t>
            </w:r>
          </w:p>
        </w:tc>
        <w:tc>
          <w:tcPr>
            <w:tcW w:w="941" w:type="pct"/>
            <w:vAlign w:val="top"/>
          </w:tcPr>
          <w:p w14:paraId="2607E7E9">
            <w:pPr>
              <w:pStyle w:val="30"/>
              <w:spacing w:before="165" w:line="175"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1.3%</w:t>
            </w:r>
          </w:p>
        </w:tc>
        <w:tc>
          <w:tcPr>
            <w:tcW w:w="1025" w:type="pct"/>
            <w:vAlign w:val="top"/>
          </w:tcPr>
          <w:p w14:paraId="4157F750">
            <w:pPr>
              <w:pStyle w:val="30"/>
              <w:spacing w:before="165" w:line="175" w:lineRule="auto"/>
              <w:ind w:left="71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p>
        </w:tc>
      </w:tr>
      <w:tr w14:paraId="044E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2007" w:type="pct"/>
            <w:vAlign w:val="top"/>
          </w:tcPr>
          <w:p w14:paraId="316B3EBF">
            <w:pPr>
              <w:pStyle w:val="30"/>
              <w:spacing w:before="85" w:line="219" w:lineRule="auto"/>
              <w:ind w:left="50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500—1000万元(含)</w:t>
            </w:r>
          </w:p>
        </w:tc>
        <w:tc>
          <w:tcPr>
            <w:tcW w:w="1025" w:type="pct"/>
            <w:vAlign w:val="top"/>
          </w:tcPr>
          <w:p w14:paraId="7FA3FBF9">
            <w:pPr>
              <w:pStyle w:val="30"/>
              <w:spacing w:before="166" w:line="175" w:lineRule="auto"/>
              <w:ind w:left="7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p>
        </w:tc>
        <w:tc>
          <w:tcPr>
            <w:tcW w:w="941" w:type="pct"/>
            <w:vAlign w:val="top"/>
          </w:tcPr>
          <w:p w14:paraId="4FEA5FC0">
            <w:pPr>
              <w:pStyle w:val="30"/>
              <w:spacing w:before="168" w:line="174"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0.5%</w:t>
            </w:r>
          </w:p>
        </w:tc>
        <w:tc>
          <w:tcPr>
            <w:tcW w:w="1025" w:type="pct"/>
            <w:vAlign w:val="top"/>
          </w:tcPr>
          <w:p w14:paraId="01CCF143">
            <w:pPr>
              <w:pStyle w:val="30"/>
              <w:spacing w:before="168" w:line="174" w:lineRule="auto"/>
              <w:ind w:left="55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0.7%</w:t>
            </w:r>
          </w:p>
        </w:tc>
      </w:tr>
      <w:tr w14:paraId="09D4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2007" w:type="pct"/>
            <w:vAlign w:val="top"/>
          </w:tcPr>
          <w:p w14:paraId="0853D5A4">
            <w:pPr>
              <w:pStyle w:val="30"/>
              <w:spacing w:before="84" w:line="216"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1000—5000万元(含)</w:t>
            </w:r>
          </w:p>
        </w:tc>
        <w:tc>
          <w:tcPr>
            <w:tcW w:w="1025" w:type="pct"/>
            <w:vAlign w:val="top"/>
          </w:tcPr>
          <w:p w14:paraId="7A06DE72">
            <w:pPr>
              <w:pStyle w:val="30"/>
              <w:spacing w:before="197" w:line="262" w:lineRule="exact"/>
              <w:ind w:left="564"/>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0.7%</w:t>
            </w:r>
          </w:p>
        </w:tc>
        <w:tc>
          <w:tcPr>
            <w:tcW w:w="941" w:type="pct"/>
            <w:vAlign w:val="top"/>
          </w:tcPr>
          <w:p w14:paraId="1EE3A2D7">
            <w:pPr>
              <w:pStyle w:val="30"/>
              <w:spacing w:before="197" w:line="262" w:lineRule="exact"/>
              <w:ind w:left="496"/>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0.4%</w:t>
            </w:r>
          </w:p>
        </w:tc>
        <w:tc>
          <w:tcPr>
            <w:tcW w:w="1025" w:type="pct"/>
            <w:vAlign w:val="top"/>
          </w:tcPr>
          <w:p w14:paraId="6980D924">
            <w:pPr>
              <w:pStyle w:val="30"/>
              <w:spacing w:before="197" w:line="262" w:lineRule="exact"/>
              <w:ind w:left="559"/>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0.4%</w:t>
            </w:r>
          </w:p>
        </w:tc>
      </w:tr>
      <w:tr w14:paraId="7720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007" w:type="pct"/>
            <w:vAlign w:val="top"/>
          </w:tcPr>
          <w:p w14:paraId="041EA485">
            <w:pPr>
              <w:pStyle w:val="30"/>
              <w:spacing w:before="96" w:line="219" w:lineRule="auto"/>
              <w:ind w:left="16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5000万元一1亿元(含)</w:t>
            </w:r>
          </w:p>
        </w:tc>
        <w:tc>
          <w:tcPr>
            <w:tcW w:w="1025" w:type="pct"/>
            <w:vAlign w:val="top"/>
          </w:tcPr>
          <w:p w14:paraId="45BCA3F0">
            <w:pPr>
              <w:pStyle w:val="30"/>
              <w:spacing w:before="218" w:line="262" w:lineRule="exact"/>
              <w:ind w:left="484"/>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0.25%</w:t>
            </w:r>
          </w:p>
        </w:tc>
        <w:tc>
          <w:tcPr>
            <w:tcW w:w="941" w:type="pct"/>
            <w:vAlign w:val="top"/>
          </w:tcPr>
          <w:p w14:paraId="72DF3D62">
            <w:pPr>
              <w:pStyle w:val="30"/>
              <w:spacing w:before="217" w:line="262" w:lineRule="exact"/>
              <w:ind w:left="496"/>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0.1%</w:t>
            </w:r>
          </w:p>
        </w:tc>
        <w:tc>
          <w:tcPr>
            <w:tcW w:w="1025" w:type="pct"/>
            <w:vAlign w:val="top"/>
          </w:tcPr>
          <w:p w14:paraId="20478DFF">
            <w:pPr>
              <w:pStyle w:val="30"/>
              <w:spacing w:before="218" w:line="262" w:lineRule="exact"/>
              <w:ind w:left="478"/>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0.25%</w:t>
            </w:r>
          </w:p>
        </w:tc>
      </w:tr>
      <w:tr w14:paraId="658C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2007" w:type="pct"/>
            <w:vAlign w:val="top"/>
          </w:tcPr>
          <w:p w14:paraId="58BDBD4F">
            <w:pPr>
              <w:pStyle w:val="30"/>
              <w:spacing w:before="96" w:line="219"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1亿元一5亿元(含)</w:t>
            </w:r>
          </w:p>
        </w:tc>
        <w:tc>
          <w:tcPr>
            <w:tcW w:w="2992" w:type="pct"/>
            <w:gridSpan w:val="3"/>
            <w:vAlign w:val="top"/>
          </w:tcPr>
          <w:p w14:paraId="2AA8C21D">
            <w:pPr>
              <w:pStyle w:val="30"/>
              <w:spacing w:before="178" w:line="174" w:lineRule="auto"/>
              <w:ind w:left="218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0.05%</w:t>
            </w:r>
          </w:p>
        </w:tc>
      </w:tr>
      <w:tr w14:paraId="0C39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2007" w:type="pct"/>
            <w:vAlign w:val="top"/>
          </w:tcPr>
          <w:p w14:paraId="4934DB9C">
            <w:pPr>
              <w:pStyle w:val="30"/>
              <w:spacing w:before="96" w:line="219" w:lineRule="auto"/>
              <w:ind w:left="50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5亿元—10亿元(含)</w:t>
            </w:r>
          </w:p>
        </w:tc>
        <w:tc>
          <w:tcPr>
            <w:tcW w:w="2992" w:type="pct"/>
            <w:gridSpan w:val="3"/>
            <w:vAlign w:val="top"/>
          </w:tcPr>
          <w:p w14:paraId="4D85F395">
            <w:pPr>
              <w:pStyle w:val="30"/>
              <w:spacing w:before="179" w:line="173" w:lineRule="auto"/>
              <w:ind w:left="210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0.035%</w:t>
            </w:r>
          </w:p>
        </w:tc>
      </w:tr>
      <w:tr w14:paraId="6327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2007" w:type="pct"/>
            <w:vAlign w:val="top"/>
          </w:tcPr>
          <w:p w14:paraId="166A1A1E">
            <w:pPr>
              <w:pStyle w:val="30"/>
              <w:spacing w:before="87" w:line="220" w:lineRule="auto"/>
              <w:ind w:left="106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10亿元以上</w:t>
            </w:r>
          </w:p>
        </w:tc>
        <w:tc>
          <w:tcPr>
            <w:tcW w:w="2992" w:type="pct"/>
            <w:gridSpan w:val="3"/>
            <w:vAlign w:val="top"/>
          </w:tcPr>
          <w:p w14:paraId="20C4A5AC">
            <w:pPr>
              <w:pStyle w:val="30"/>
              <w:spacing w:before="169" w:line="173" w:lineRule="auto"/>
              <w:ind w:left="210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0.008%</w:t>
            </w:r>
          </w:p>
        </w:tc>
      </w:tr>
      <w:tr w14:paraId="3787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jc w:val="center"/>
        </w:trPr>
        <w:tc>
          <w:tcPr>
            <w:tcW w:w="5000" w:type="pct"/>
            <w:gridSpan w:val="4"/>
            <w:vAlign w:val="top"/>
          </w:tcPr>
          <w:p w14:paraId="4231AD5E">
            <w:pPr>
              <w:pStyle w:val="30"/>
              <w:spacing w:before="132"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6"/>
                <w:sz w:val="21"/>
                <w:szCs w:val="21"/>
                <w:highlight w:val="none"/>
              </w:rPr>
              <w:t>说</w:t>
            </w:r>
            <w:r>
              <w:rPr>
                <w:rFonts w:hint="eastAsia" w:ascii="宋体" w:hAnsi="宋体" w:eastAsia="宋体" w:cs="宋体"/>
                <w:color w:val="auto"/>
                <w:spacing w:val="-16"/>
                <w:sz w:val="21"/>
                <w:szCs w:val="21"/>
                <w:highlight w:val="none"/>
              </w:rPr>
              <w:t xml:space="preserve"> </w:t>
            </w:r>
            <w:r>
              <w:rPr>
                <w:rFonts w:hint="eastAsia" w:ascii="宋体" w:hAnsi="宋体" w:eastAsia="宋体" w:cs="宋体"/>
                <w:b/>
                <w:bCs/>
                <w:color w:val="auto"/>
                <w:spacing w:val="-16"/>
                <w:sz w:val="21"/>
                <w:szCs w:val="21"/>
                <w:highlight w:val="none"/>
              </w:rPr>
              <w:t>明</w:t>
            </w:r>
            <w:r>
              <w:rPr>
                <w:rFonts w:hint="eastAsia" w:ascii="宋体" w:hAnsi="宋体" w:eastAsia="宋体" w:cs="宋体"/>
                <w:color w:val="auto"/>
                <w:spacing w:val="-46"/>
                <w:sz w:val="21"/>
                <w:szCs w:val="21"/>
                <w:highlight w:val="none"/>
              </w:rPr>
              <w:t xml:space="preserve"> </w:t>
            </w:r>
            <w:r>
              <w:rPr>
                <w:rFonts w:hint="eastAsia" w:ascii="宋体" w:hAnsi="宋体" w:eastAsia="宋体" w:cs="宋体"/>
                <w:b/>
                <w:bCs/>
                <w:color w:val="auto"/>
                <w:spacing w:val="-16"/>
                <w:sz w:val="21"/>
                <w:szCs w:val="21"/>
                <w:highlight w:val="none"/>
              </w:rPr>
              <w:t>：</w:t>
            </w:r>
            <w:r>
              <w:rPr>
                <w:rFonts w:hint="eastAsia" w:ascii="宋体" w:hAnsi="宋体" w:eastAsia="宋体" w:cs="宋体"/>
                <w:color w:val="auto"/>
                <w:spacing w:val="-10"/>
                <w:sz w:val="21"/>
                <w:szCs w:val="21"/>
                <w:highlight w:val="none"/>
              </w:rPr>
              <w:t>招标代理服务收费按差额定率累进法计算以单个项目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(或标段)中标通知书的中标金额为计算基数。</w:t>
            </w:r>
          </w:p>
          <w:p w14:paraId="753902B4">
            <w:pPr>
              <w:pStyle w:val="30"/>
              <w:spacing w:before="107"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例</w:t>
            </w:r>
            <w:r>
              <w:rPr>
                <w:rFonts w:hint="eastAsia" w:ascii="宋体" w:hAnsi="宋体" w:eastAsia="宋体" w:cs="宋体"/>
                <w:color w:val="auto"/>
                <w:spacing w:val="-10"/>
                <w:sz w:val="21"/>
                <w:szCs w:val="21"/>
                <w:highlight w:val="none"/>
              </w:rPr>
              <w:t xml:space="preserve"> </w:t>
            </w:r>
            <w:r>
              <w:rPr>
                <w:rFonts w:hint="eastAsia" w:ascii="宋体" w:hAnsi="宋体" w:eastAsia="宋体" w:cs="宋体"/>
                <w:b/>
                <w:bCs/>
                <w:color w:val="auto"/>
                <w:spacing w:val="-10"/>
                <w:sz w:val="21"/>
                <w:szCs w:val="21"/>
                <w:highlight w:val="none"/>
              </w:rPr>
              <w:t>如</w:t>
            </w:r>
            <w:r>
              <w:rPr>
                <w:rFonts w:hint="eastAsia" w:ascii="宋体" w:hAnsi="宋体" w:eastAsia="宋体" w:cs="宋体"/>
                <w:color w:val="auto"/>
                <w:spacing w:val="-42"/>
                <w:sz w:val="21"/>
                <w:szCs w:val="21"/>
                <w:highlight w:val="none"/>
              </w:rPr>
              <w:t xml:space="preserve"> </w:t>
            </w:r>
            <w:r>
              <w:rPr>
                <w:rFonts w:hint="eastAsia" w:ascii="宋体" w:hAnsi="宋体" w:eastAsia="宋体" w:cs="宋体"/>
                <w:b/>
                <w:bCs/>
                <w:color w:val="auto"/>
                <w:spacing w:val="-10"/>
                <w:sz w:val="21"/>
                <w:szCs w:val="21"/>
                <w:highlight w:val="none"/>
              </w:rPr>
              <w:t>：</w:t>
            </w:r>
            <w:r>
              <w:rPr>
                <w:rFonts w:hint="eastAsia" w:ascii="宋体" w:hAnsi="宋体" w:eastAsia="宋体" w:cs="宋体"/>
                <w:color w:val="auto"/>
                <w:spacing w:val="-10"/>
                <w:sz w:val="21"/>
                <w:szCs w:val="21"/>
                <w:highlight w:val="none"/>
              </w:rPr>
              <w:t>某工厂工程招标代理业务中标金额为10000万元，计</w:t>
            </w:r>
            <w:r>
              <w:rPr>
                <w:rFonts w:hint="eastAsia" w:ascii="宋体" w:hAnsi="宋体" w:eastAsia="宋体" w:cs="宋体"/>
                <w:color w:val="auto"/>
                <w:sz w:val="21"/>
                <w:szCs w:val="21"/>
                <w:highlight w:val="none"/>
              </w:rPr>
              <w:t>算招标代理服务收费额如下：</w:t>
            </w:r>
          </w:p>
          <w:p w14:paraId="0AF13006">
            <w:pPr>
              <w:pStyle w:val="30"/>
              <w:spacing w:before="141"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100万元×1.5%=1.5万元</w:t>
            </w:r>
          </w:p>
          <w:p w14:paraId="1DEE4728">
            <w:pPr>
              <w:pStyle w:val="30"/>
              <w:spacing w:before="88"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(100—500)万元×1%=4万元</w:t>
            </w:r>
          </w:p>
          <w:p w14:paraId="64B69602">
            <w:pPr>
              <w:pStyle w:val="30"/>
              <w:spacing w:before="89"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(500—1000)万元×0.7%=3.5万元</w:t>
            </w:r>
          </w:p>
          <w:p w14:paraId="37943BB8">
            <w:pPr>
              <w:pStyle w:val="30"/>
              <w:spacing w:before="108"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(1000—5000)万元×0.4%=16万元</w:t>
            </w:r>
          </w:p>
          <w:p w14:paraId="08DC37C2">
            <w:pPr>
              <w:pStyle w:val="30"/>
              <w:spacing w:before="109"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(5000—10000)万元×0.25%=12.5万元</w:t>
            </w:r>
          </w:p>
          <w:p w14:paraId="5757057B">
            <w:pPr>
              <w:pStyle w:val="30"/>
              <w:spacing w:before="107"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合计收费=1.5+4+3.5+16+12.5=37.5(万元)</w:t>
            </w:r>
          </w:p>
        </w:tc>
      </w:tr>
    </w:tbl>
    <w:p w14:paraId="11102568">
      <w:pPr>
        <w:pStyle w:val="2"/>
        <w:rPr>
          <w:color w:val="auto"/>
          <w:highlight w:val="none"/>
        </w:rPr>
      </w:pPr>
    </w:p>
    <w:p w14:paraId="06EAF466">
      <w:pPr>
        <w:spacing w:line="360" w:lineRule="auto"/>
        <w:outlineLvl w:val="3"/>
        <w:rPr>
          <w:color w:val="auto"/>
          <w:highlight w:val="none"/>
        </w:rPr>
      </w:pPr>
      <w:r>
        <w:rPr>
          <w:b/>
          <w:bCs/>
          <w:color w:val="auto"/>
          <w:szCs w:val="22"/>
          <w:highlight w:val="none"/>
        </w:rPr>
        <w:t xml:space="preserve">1.6 </w:t>
      </w:r>
      <w:r>
        <w:rPr>
          <w:rFonts w:hint="eastAsia"/>
          <w:b/>
          <w:bCs/>
          <w:color w:val="auto"/>
          <w:szCs w:val="22"/>
          <w:highlight w:val="none"/>
        </w:rPr>
        <w:t>保密</w:t>
      </w:r>
      <w:bookmarkEnd w:id="107"/>
      <w:bookmarkEnd w:id="108"/>
      <w:bookmarkEnd w:id="109"/>
      <w:bookmarkEnd w:id="110"/>
      <w:bookmarkEnd w:id="111"/>
      <w:bookmarkEnd w:id="112"/>
      <w:bookmarkEnd w:id="113"/>
    </w:p>
    <w:p w14:paraId="5BCE6094">
      <w:pPr>
        <w:spacing w:line="360" w:lineRule="auto"/>
        <w:ind w:firstLine="420" w:firstLineChars="200"/>
        <w:rPr>
          <w:color w:val="auto"/>
          <w:highlight w:val="none"/>
        </w:rPr>
      </w:pPr>
      <w:r>
        <w:rPr>
          <w:rFonts w:hint="eastAsia"/>
          <w:color w:val="auto"/>
          <w:highlight w:val="none"/>
        </w:rPr>
        <w:t>参与本次竞争性磋商活动的各方应对竞争性磋商文件和响应文件中的商业和技术等秘密保密，违者应对由此造成的后果承担法律责任。</w:t>
      </w:r>
    </w:p>
    <w:p w14:paraId="36269170">
      <w:pPr>
        <w:spacing w:line="360" w:lineRule="auto"/>
        <w:outlineLvl w:val="3"/>
        <w:rPr>
          <w:color w:val="auto"/>
          <w:highlight w:val="none"/>
        </w:rPr>
      </w:pPr>
      <w:bookmarkStart w:id="114" w:name="_Toc500402887"/>
      <w:bookmarkStart w:id="115" w:name="_Toc24092"/>
      <w:bookmarkStart w:id="116" w:name="_Toc9658"/>
      <w:bookmarkStart w:id="117" w:name="_Toc20062"/>
      <w:bookmarkStart w:id="118" w:name="_Toc29003"/>
      <w:bookmarkStart w:id="119" w:name="_Toc32684"/>
      <w:bookmarkStart w:id="120" w:name="_Toc184283918"/>
      <w:r>
        <w:rPr>
          <w:b/>
          <w:bCs/>
          <w:color w:val="auto"/>
          <w:szCs w:val="22"/>
          <w:highlight w:val="none"/>
        </w:rPr>
        <w:t xml:space="preserve">1.7 </w:t>
      </w:r>
      <w:r>
        <w:rPr>
          <w:rFonts w:hint="eastAsia"/>
          <w:b/>
          <w:bCs/>
          <w:color w:val="auto"/>
          <w:szCs w:val="22"/>
          <w:highlight w:val="none"/>
        </w:rPr>
        <w:t>语言文字</w:t>
      </w:r>
      <w:bookmarkEnd w:id="114"/>
      <w:bookmarkEnd w:id="115"/>
      <w:bookmarkEnd w:id="116"/>
      <w:bookmarkEnd w:id="117"/>
      <w:bookmarkEnd w:id="118"/>
      <w:bookmarkEnd w:id="119"/>
      <w:bookmarkEnd w:id="120"/>
    </w:p>
    <w:p w14:paraId="68CD0AB2">
      <w:pPr>
        <w:spacing w:line="360" w:lineRule="auto"/>
        <w:ind w:firstLine="420" w:firstLineChars="200"/>
        <w:rPr>
          <w:color w:val="auto"/>
          <w:highlight w:val="none"/>
        </w:rPr>
      </w:pPr>
      <w:r>
        <w:rPr>
          <w:rFonts w:hint="eastAsia"/>
          <w:color w:val="auto"/>
          <w:highlight w:val="none"/>
        </w:rPr>
        <w:t>除专用术语外，与本次磋商有关的语言均使用中文。必要时专用术语应附有中文注释。</w:t>
      </w:r>
    </w:p>
    <w:p w14:paraId="5EAF57B9">
      <w:pPr>
        <w:spacing w:line="360" w:lineRule="auto"/>
        <w:outlineLvl w:val="3"/>
        <w:rPr>
          <w:color w:val="auto"/>
          <w:highlight w:val="none"/>
        </w:rPr>
      </w:pPr>
      <w:bookmarkStart w:id="121" w:name="_Toc18513"/>
      <w:bookmarkStart w:id="122" w:name="_Toc184283919"/>
      <w:bookmarkStart w:id="123" w:name="_Toc10207"/>
      <w:bookmarkStart w:id="124" w:name="_Toc32601"/>
      <w:bookmarkStart w:id="125" w:name="_Toc7691"/>
      <w:bookmarkStart w:id="126" w:name="_Toc500402888"/>
      <w:bookmarkStart w:id="127" w:name="_Toc16952"/>
      <w:r>
        <w:rPr>
          <w:b/>
          <w:bCs/>
          <w:color w:val="auto"/>
          <w:szCs w:val="22"/>
          <w:highlight w:val="none"/>
        </w:rPr>
        <w:t xml:space="preserve">1.8 </w:t>
      </w:r>
      <w:r>
        <w:rPr>
          <w:rFonts w:hint="eastAsia"/>
          <w:b/>
          <w:bCs/>
          <w:color w:val="auto"/>
          <w:szCs w:val="22"/>
          <w:highlight w:val="none"/>
        </w:rPr>
        <w:t>计量单位</w:t>
      </w:r>
      <w:bookmarkEnd w:id="121"/>
      <w:bookmarkEnd w:id="122"/>
      <w:bookmarkEnd w:id="123"/>
      <w:bookmarkEnd w:id="124"/>
      <w:bookmarkEnd w:id="125"/>
      <w:bookmarkEnd w:id="126"/>
      <w:bookmarkEnd w:id="127"/>
    </w:p>
    <w:p w14:paraId="21AFB5B3">
      <w:pPr>
        <w:spacing w:line="360" w:lineRule="auto"/>
        <w:ind w:firstLine="420" w:firstLineChars="200"/>
        <w:rPr>
          <w:color w:val="auto"/>
          <w:highlight w:val="none"/>
        </w:rPr>
      </w:pPr>
      <w:r>
        <w:rPr>
          <w:rFonts w:hint="eastAsia"/>
          <w:color w:val="auto"/>
          <w:highlight w:val="none"/>
        </w:rPr>
        <w:t>所有计量均采用中华人民共和国法定计量单位。</w:t>
      </w:r>
    </w:p>
    <w:p w14:paraId="6DC2DDB2">
      <w:pPr>
        <w:spacing w:line="360" w:lineRule="auto"/>
        <w:outlineLvl w:val="3"/>
        <w:rPr>
          <w:color w:val="auto"/>
          <w:highlight w:val="none"/>
        </w:rPr>
      </w:pPr>
      <w:bookmarkStart w:id="128" w:name="_Toc184283923"/>
      <w:bookmarkStart w:id="129" w:name="_Toc5746"/>
      <w:bookmarkStart w:id="130" w:name="_Toc12542"/>
      <w:bookmarkStart w:id="131" w:name="_Toc26310"/>
      <w:bookmarkStart w:id="132" w:name="_Toc500402892"/>
      <w:bookmarkStart w:id="133" w:name="_Toc4480"/>
      <w:bookmarkStart w:id="134" w:name="_Toc645"/>
      <w:r>
        <w:rPr>
          <w:b/>
          <w:bCs/>
          <w:color w:val="auto"/>
          <w:szCs w:val="22"/>
          <w:highlight w:val="none"/>
        </w:rPr>
        <w:t>1.9</w:t>
      </w:r>
      <w:r>
        <w:rPr>
          <w:rFonts w:hint="eastAsia"/>
          <w:b/>
          <w:bCs/>
          <w:color w:val="auto"/>
          <w:szCs w:val="22"/>
          <w:highlight w:val="none"/>
        </w:rPr>
        <w:t xml:space="preserve"> 偏离</w:t>
      </w:r>
      <w:bookmarkEnd w:id="128"/>
      <w:bookmarkEnd w:id="129"/>
      <w:bookmarkEnd w:id="130"/>
      <w:bookmarkEnd w:id="131"/>
      <w:bookmarkEnd w:id="132"/>
      <w:bookmarkEnd w:id="133"/>
      <w:bookmarkEnd w:id="134"/>
    </w:p>
    <w:p w14:paraId="635E904E">
      <w:pPr>
        <w:spacing w:line="360" w:lineRule="auto"/>
        <w:ind w:firstLine="420" w:firstLineChars="200"/>
        <w:rPr>
          <w:color w:val="auto"/>
          <w:highlight w:val="none"/>
        </w:rPr>
      </w:pPr>
      <w:r>
        <w:rPr>
          <w:rFonts w:hint="eastAsia"/>
          <w:color w:val="auto"/>
          <w:highlight w:val="none"/>
        </w:rPr>
        <w:t>供应商可在响应文件要求的条件上，作出正偏离的承诺。</w:t>
      </w:r>
    </w:p>
    <w:p w14:paraId="59D3D412">
      <w:pPr>
        <w:spacing w:line="360" w:lineRule="auto"/>
        <w:outlineLvl w:val="3"/>
        <w:rPr>
          <w:color w:val="auto"/>
          <w:highlight w:val="none"/>
        </w:rPr>
      </w:pPr>
      <w:bookmarkStart w:id="135" w:name="_Toc26363"/>
      <w:bookmarkStart w:id="136" w:name="_Toc17547"/>
      <w:bookmarkStart w:id="137" w:name="_Toc11058"/>
      <w:bookmarkStart w:id="138" w:name="_Toc10119"/>
      <w:bookmarkStart w:id="139" w:name="_Toc11555"/>
      <w:r>
        <w:rPr>
          <w:rFonts w:hint="eastAsia"/>
          <w:b/>
          <w:bCs/>
          <w:color w:val="auto"/>
          <w:szCs w:val="22"/>
          <w:highlight w:val="none"/>
        </w:rPr>
        <w:t>1.10 磋商有效期</w:t>
      </w:r>
      <w:bookmarkEnd w:id="135"/>
      <w:bookmarkEnd w:id="136"/>
      <w:bookmarkEnd w:id="137"/>
      <w:bookmarkEnd w:id="138"/>
      <w:bookmarkEnd w:id="139"/>
    </w:p>
    <w:p w14:paraId="51BD3A14">
      <w:pPr>
        <w:spacing w:line="360" w:lineRule="auto"/>
        <w:ind w:firstLine="420" w:firstLineChars="200"/>
        <w:rPr>
          <w:color w:val="auto"/>
          <w:highlight w:val="none"/>
        </w:rPr>
      </w:pPr>
      <w:r>
        <w:rPr>
          <w:rFonts w:hint="eastAsia"/>
          <w:color w:val="auto"/>
          <w:highlight w:val="none"/>
        </w:rPr>
        <w:t>磋商有效期为递交响应文件截止之日起90日历天</w:t>
      </w:r>
    </w:p>
    <w:p w14:paraId="1491715A">
      <w:pPr>
        <w:spacing w:line="360" w:lineRule="auto"/>
        <w:outlineLvl w:val="3"/>
        <w:rPr>
          <w:color w:val="auto"/>
          <w:highlight w:val="none"/>
        </w:rPr>
      </w:pPr>
      <w:bookmarkStart w:id="140" w:name="_Toc17755"/>
      <w:bookmarkStart w:id="141" w:name="_Toc32002"/>
      <w:bookmarkStart w:id="142" w:name="_Toc15280"/>
      <w:bookmarkStart w:id="143" w:name="_Toc5811"/>
      <w:bookmarkStart w:id="144" w:name="_Toc15743"/>
      <w:r>
        <w:rPr>
          <w:b/>
          <w:bCs/>
          <w:color w:val="auto"/>
          <w:szCs w:val="22"/>
          <w:highlight w:val="none"/>
        </w:rPr>
        <w:t xml:space="preserve">1.11 </w:t>
      </w:r>
      <w:r>
        <w:rPr>
          <w:rFonts w:hint="eastAsia"/>
          <w:b/>
          <w:bCs/>
          <w:color w:val="auto"/>
          <w:szCs w:val="22"/>
          <w:highlight w:val="none"/>
        </w:rPr>
        <w:t>履约担保</w:t>
      </w:r>
      <w:bookmarkEnd w:id="140"/>
      <w:bookmarkEnd w:id="141"/>
      <w:bookmarkEnd w:id="142"/>
      <w:bookmarkEnd w:id="143"/>
      <w:bookmarkEnd w:id="144"/>
    </w:p>
    <w:p w14:paraId="2E4E1385">
      <w:pPr>
        <w:spacing w:line="360" w:lineRule="auto"/>
        <w:ind w:firstLine="420" w:firstLineChars="200"/>
        <w:outlineLvl w:val="9"/>
        <w:rPr>
          <w:color w:val="auto"/>
          <w:szCs w:val="22"/>
          <w:highlight w:val="none"/>
        </w:rPr>
      </w:pPr>
      <w:bookmarkStart w:id="145" w:name="_Toc23568"/>
      <w:bookmarkStart w:id="146" w:name="_Toc28416"/>
      <w:bookmarkStart w:id="147" w:name="_Toc2409"/>
      <w:bookmarkStart w:id="148" w:name="_Toc13440"/>
      <w:r>
        <w:rPr>
          <w:rFonts w:hint="eastAsia"/>
          <w:color w:val="auto"/>
          <w:szCs w:val="22"/>
          <w:highlight w:val="none"/>
        </w:rPr>
        <w:t>见供应商须知前附表。</w:t>
      </w:r>
    </w:p>
    <w:p w14:paraId="1C0F8906">
      <w:pPr>
        <w:spacing w:line="360" w:lineRule="auto"/>
        <w:outlineLvl w:val="3"/>
        <w:rPr>
          <w:b/>
          <w:bCs/>
          <w:color w:val="auto"/>
          <w:szCs w:val="22"/>
          <w:highlight w:val="none"/>
        </w:rPr>
      </w:pPr>
      <w:r>
        <w:rPr>
          <w:rFonts w:hint="eastAsia"/>
          <w:b/>
          <w:bCs/>
          <w:color w:val="auto"/>
          <w:szCs w:val="22"/>
          <w:highlight w:val="none"/>
        </w:rPr>
        <w:t>1.12 类似业绩</w:t>
      </w:r>
      <w:bookmarkEnd w:id="145"/>
      <w:bookmarkEnd w:id="146"/>
      <w:bookmarkEnd w:id="147"/>
      <w:bookmarkEnd w:id="148"/>
    </w:p>
    <w:p w14:paraId="0AFF2DBE">
      <w:pPr>
        <w:pStyle w:val="7"/>
        <w:spacing w:line="360" w:lineRule="auto"/>
        <w:ind w:firstLine="360"/>
        <w:rPr>
          <w:rFonts w:hint="eastAsia" w:ascii="Times New Roman"/>
          <w:color w:val="auto"/>
          <w:sz w:val="21"/>
          <w:szCs w:val="22"/>
          <w:highlight w:val="none"/>
        </w:rPr>
      </w:pPr>
      <w:r>
        <w:rPr>
          <w:rFonts w:hint="eastAsia" w:ascii="Times New Roman"/>
          <w:color w:val="auto"/>
          <w:sz w:val="21"/>
          <w:szCs w:val="22"/>
          <w:highlight w:val="none"/>
        </w:rPr>
        <w:t>见供应商须知前附表。</w:t>
      </w:r>
    </w:p>
    <w:p w14:paraId="2E0EDCBF">
      <w:pPr>
        <w:spacing w:line="360" w:lineRule="auto"/>
        <w:outlineLvl w:val="3"/>
        <w:rPr>
          <w:rFonts w:hint="eastAsia"/>
          <w:b/>
          <w:bCs/>
          <w:color w:val="auto"/>
          <w:szCs w:val="22"/>
          <w:highlight w:val="none"/>
        </w:rPr>
      </w:pPr>
      <w:r>
        <w:rPr>
          <w:rFonts w:hint="eastAsia"/>
          <w:b/>
          <w:bCs/>
          <w:color w:val="auto"/>
          <w:szCs w:val="22"/>
          <w:highlight w:val="none"/>
        </w:rPr>
        <w:t>1.13 隐瞒不良信息记录中标后的处理方法</w:t>
      </w:r>
    </w:p>
    <w:p w14:paraId="0DEAC46A">
      <w:pPr>
        <w:pStyle w:val="7"/>
        <w:spacing w:line="360" w:lineRule="auto"/>
        <w:ind w:firstLine="36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不良信息定义：中标人应保证其投标文件中提供的信用记录、行政处罚、诉讼仲裁等信息的真实性。若中标后被查实在投标期间存在隐瞒不良信息（包括但不限于失信被执行人、重大税收违法、政府采购严重违法失信等记录）的行为，视为提供虚假材料谋取中标。</w:t>
      </w:r>
    </w:p>
    <w:p w14:paraId="05CA0CD9">
      <w:pPr>
        <w:pStyle w:val="7"/>
        <w:spacing w:line="360" w:lineRule="auto"/>
        <w:ind w:firstLine="360"/>
        <w:rPr>
          <w:rFonts w:hint="eastAsia" w:ascii="Times New Roman"/>
          <w:color w:val="auto"/>
          <w:sz w:val="21"/>
          <w:szCs w:val="22"/>
          <w:highlight w:val="none"/>
        </w:rPr>
      </w:pPr>
      <w:r>
        <w:rPr>
          <w:rFonts w:hint="eastAsia" w:ascii="Times New Roman" w:hAnsi="Times New Roman" w:eastAsia="宋体" w:cs="Times New Roman"/>
          <w:color w:val="auto"/>
          <w:kern w:val="2"/>
          <w:sz w:val="21"/>
          <w:szCs w:val="21"/>
          <w:highlight w:val="none"/>
          <w:lang w:val="en-US" w:eastAsia="zh-CN" w:bidi="ar-SA"/>
        </w:rPr>
        <w:t>处理方法：一经查实，采购人有权终止合同，并依法追偿损失。同时，中标人将被列入不良记录名单，1-3年内禁止参与云南省政府采购活动，并依法承担相应法律责任。</w:t>
      </w:r>
    </w:p>
    <w:p w14:paraId="42357EC7">
      <w:pPr>
        <w:spacing w:line="360" w:lineRule="auto"/>
        <w:jc w:val="center"/>
        <w:outlineLvl w:val="2"/>
        <w:rPr>
          <w:color w:val="auto"/>
          <w:highlight w:val="none"/>
        </w:rPr>
      </w:pPr>
      <w:bookmarkStart w:id="149" w:name="_Toc689"/>
      <w:bookmarkStart w:id="150" w:name="_Toc500402893"/>
      <w:bookmarkStart w:id="151" w:name="_Toc414014529"/>
      <w:bookmarkStart w:id="152" w:name="_Toc6863"/>
      <w:bookmarkStart w:id="153" w:name="_Toc11839"/>
      <w:bookmarkStart w:id="154" w:name="_Toc16876"/>
      <w:bookmarkStart w:id="155" w:name="_Toc184274917"/>
      <w:bookmarkStart w:id="156" w:name="_Toc184283924"/>
      <w:bookmarkStart w:id="157" w:name="_Toc411522333"/>
      <w:bookmarkStart w:id="158" w:name="_Toc11791"/>
      <w:bookmarkStart w:id="159" w:name="_Toc27294"/>
      <w:bookmarkStart w:id="160" w:name="_Toc411522047"/>
      <w:r>
        <w:rPr>
          <w:rFonts w:ascii="新宋体" w:hAnsi="新宋体" w:eastAsia="新宋体"/>
          <w:b/>
          <w:color w:val="auto"/>
          <w:kern w:val="0"/>
          <w:sz w:val="32"/>
          <w:szCs w:val="32"/>
          <w:highlight w:val="none"/>
        </w:rPr>
        <w:t>2</w:t>
      </w:r>
      <w:r>
        <w:rPr>
          <w:rFonts w:hint="eastAsia" w:ascii="新宋体" w:hAnsi="新宋体" w:eastAsia="新宋体"/>
          <w:b/>
          <w:color w:val="auto"/>
          <w:kern w:val="0"/>
          <w:sz w:val="32"/>
          <w:szCs w:val="32"/>
          <w:highlight w:val="none"/>
        </w:rPr>
        <w:t>.竞争性磋商文件</w:t>
      </w:r>
      <w:bookmarkEnd w:id="149"/>
      <w:bookmarkEnd w:id="150"/>
      <w:bookmarkEnd w:id="151"/>
      <w:bookmarkEnd w:id="152"/>
      <w:bookmarkEnd w:id="153"/>
      <w:bookmarkEnd w:id="154"/>
      <w:bookmarkEnd w:id="155"/>
      <w:bookmarkEnd w:id="156"/>
      <w:bookmarkEnd w:id="157"/>
      <w:bookmarkEnd w:id="158"/>
      <w:bookmarkEnd w:id="159"/>
      <w:bookmarkEnd w:id="160"/>
    </w:p>
    <w:p w14:paraId="07791B21">
      <w:pPr>
        <w:spacing w:line="360" w:lineRule="auto"/>
        <w:outlineLvl w:val="3"/>
        <w:rPr>
          <w:color w:val="auto"/>
          <w:highlight w:val="none"/>
        </w:rPr>
      </w:pPr>
      <w:bookmarkStart w:id="161" w:name="_Toc22463"/>
      <w:bookmarkStart w:id="162" w:name="_Toc13470"/>
      <w:bookmarkStart w:id="163" w:name="_Toc500402894"/>
      <w:bookmarkStart w:id="164" w:name="_Toc27478"/>
      <w:bookmarkStart w:id="165" w:name="_Toc8450"/>
      <w:bookmarkStart w:id="166" w:name="_Toc28902"/>
      <w:bookmarkStart w:id="167" w:name="_Toc184283925"/>
      <w:r>
        <w:rPr>
          <w:b/>
          <w:bCs/>
          <w:color w:val="auto"/>
          <w:highlight w:val="none"/>
        </w:rPr>
        <w:t xml:space="preserve">2.1 </w:t>
      </w:r>
      <w:r>
        <w:rPr>
          <w:rFonts w:hint="eastAsia"/>
          <w:b/>
          <w:bCs/>
          <w:color w:val="auto"/>
          <w:highlight w:val="none"/>
        </w:rPr>
        <w:t>竞争性磋商文件的组成</w:t>
      </w:r>
      <w:bookmarkEnd w:id="161"/>
      <w:bookmarkEnd w:id="162"/>
      <w:bookmarkEnd w:id="163"/>
      <w:bookmarkEnd w:id="164"/>
      <w:bookmarkEnd w:id="165"/>
      <w:bookmarkEnd w:id="166"/>
      <w:bookmarkEnd w:id="167"/>
    </w:p>
    <w:p w14:paraId="4C0AC37E">
      <w:pPr>
        <w:spacing w:line="360" w:lineRule="auto"/>
        <w:ind w:firstLine="420" w:firstLineChars="200"/>
        <w:rPr>
          <w:color w:val="auto"/>
          <w:highlight w:val="none"/>
        </w:rPr>
      </w:pPr>
      <w:r>
        <w:rPr>
          <w:rFonts w:hint="eastAsia"/>
          <w:color w:val="auto"/>
          <w:highlight w:val="none"/>
        </w:rPr>
        <w:t>本竞争性磋商文件包括：</w:t>
      </w:r>
    </w:p>
    <w:p w14:paraId="4F673A3C">
      <w:pPr>
        <w:spacing w:line="360" w:lineRule="auto"/>
        <w:ind w:firstLine="420" w:firstLineChars="200"/>
        <w:rPr>
          <w:color w:val="auto"/>
          <w:highlight w:val="none"/>
        </w:rPr>
      </w:pPr>
      <w:r>
        <w:rPr>
          <w:rFonts w:hint="eastAsia"/>
          <w:color w:val="auto"/>
          <w:highlight w:val="none"/>
        </w:rPr>
        <w:t>第一章 竞争性磋商公告</w:t>
      </w:r>
    </w:p>
    <w:p w14:paraId="3218EEE4">
      <w:pPr>
        <w:spacing w:line="360" w:lineRule="auto"/>
        <w:ind w:firstLine="420" w:firstLineChars="200"/>
        <w:rPr>
          <w:color w:val="auto"/>
          <w:highlight w:val="none"/>
        </w:rPr>
      </w:pPr>
      <w:r>
        <w:rPr>
          <w:rFonts w:hint="eastAsia"/>
          <w:color w:val="auto"/>
          <w:highlight w:val="none"/>
        </w:rPr>
        <w:t>第二章 供应商须知</w:t>
      </w:r>
    </w:p>
    <w:p w14:paraId="18434B40">
      <w:pPr>
        <w:spacing w:line="360" w:lineRule="auto"/>
        <w:ind w:firstLine="420" w:firstLineChars="200"/>
        <w:rPr>
          <w:color w:val="auto"/>
          <w:highlight w:val="none"/>
        </w:rPr>
      </w:pPr>
      <w:r>
        <w:rPr>
          <w:rFonts w:hint="eastAsia"/>
          <w:color w:val="auto"/>
          <w:highlight w:val="none"/>
        </w:rPr>
        <w:t>第三章 评审办法</w:t>
      </w:r>
    </w:p>
    <w:p w14:paraId="74162033">
      <w:pPr>
        <w:spacing w:line="360" w:lineRule="auto"/>
        <w:ind w:firstLine="420" w:firstLineChars="200"/>
        <w:rPr>
          <w:color w:val="auto"/>
          <w:highlight w:val="none"/>
        </w:rPr>
      </w:pPr>
      <w:r>
        <w:rPr>
          <w:rFonts w:hint="eastAsia"/>
          <w:color w:val="auto"/>
          <w:highlight w:val="none"/>
        </w:rPr>
        <w:t>第四章 采购需求</w:t>
      </w:r>
    </w:p>
    <w:p w14:paraId="5D6EC379">
      <w:pPr>
        <w:spacing w:line="360" w:lineRule="auto"/>
        <w:ind w:firstLine="420" w:firstLineChars="200"/>
        <w:rPr>
          <w:color w:val="auto"/>
          <w:highlight w:val="none"/>
        </w:rPr>
      </w:pPr>
      <w:r>
        <w:rPr>
          <w:rFonts w:hint="eastAsia"/>
          <w:color w:val="auto"/>
          <w:highlight w:val="none"/>
        </w:rPr>
        <w:t>第五章 合同条款及格式</w:t>
      </w:r>
    </w:p>
    <w:p w14:paraId="0C1093F9">
      <w:pPr>
        <w:spacing w:line="360" w:lineRule="auto"/>
        <w:ind w:firstLine="420" w:firstLineChars="200"/>
        <w:rPr>
          <w:color w:val="auto"/>
          <w:highlight w:val="none"/>
        </w:rPr>
      </w:pPr>
      <w:r>
        <w:rPr>
          <w:rFonts w:hint="eastAsia"/>
          <w:color w:val="auto"/>
          <w:highlight w:val="none"/>
        </w:rPr>
        <w:t>第六章 响应文件格式</w:t>
      </w:r>
    </w:p>
    <w:p w14:paraId="64B5777E">
      <w:pPr>
        <w:spacing w:line="360" w:lineRule="auto"/>
        <w:ind w:firstLine="420" w:firstLineChars="200"/>
        <w:rPr>
          <w:color w:val="auto"/>
          <w:highlight w:val="none"/>
        </w:rPr>
      </w:pPr>
      <w:r>
        <w:rPr>
          <w:rFonts w:hint="eastAsia"/>
          <w:color w:val="auto"/>
          <w:highlight w:val="none"/>
        </w:rPr>
        <w:t>根据本章第</w:t>
      </w:r>
      <w:r>
        <w:rPr>
          <w:color w:val="auto"/>
          <w:highlight w:val="none"/>
        </w:rPr>
        <w:t>2.2</w:t>
      </w:r>
      <w:r>
        <w:rPr>
          <w:rFonts w:hint="eastAsia"/>
          <w:color w:val="auto"/>
          <w:highlight w:val="none"/>
        </w:rPr>
        <w:t>款和第</w:t>
      </w:r>
      <w:r>
        <w:rPr>
          <w:color w:val="auto"/>
          <w:highlight w:val="none"/>
        </w:rPr>
        <w:t>2.3</w:t>
      </w:r>
      <w:r>
        <w:rPr>
          <w:rFonts w:hint="eastAsia"/>
          <w:color w:val="auto"/>
          <w:highlight w:val="none"/>
        </w:rPr>
        <w:t>款对竞争性磋商文件所作的澄清、修改，构成竞争性磋商文件的组成部分。</w:t>
      </w:r>
    </w:p>
    <w:p w14:paraId="0B56F015">
      <w:pPr>
        <w:spacing w:line="360" w:lineRule="auto"/>
        <w:outlineLvl w:val="3"/>
        <w:rPr>
          <w:color w:val="auto"/>
          <w:highlight w:val="none"/>
        </w:rPr>
      </w:pPr>
      <w:bookmarkStart w:id="168" w:name="_Toc6227"/>
      <w:bookmarkStart w:id="169" w:name="_Toc500402895"/>
      <w:bookmarkStart w:id="170" w:name="_Toc184283926"/>
      <w:bookmarkStart w:id="171" w:name="_Toc9847"/>
      <w:bookmarkStart w:id="172" w:name="_Toc20040"/>
      <w:bookmarkStart w:id="173" w:name="_Toc25604"/>
      <w:bookmarkStart w:id="174" w:name="_Toc17772"/>
      <w:r>
        <w:rPr>
          <w:b/>
          <w:bCs/>
          <w:color w:val="auto"/>
          <w:szCs w:val="22"/>
          <w:highlight w:val="none"/>
        </w:rPr>
        <w:t xml:space="preserve">2.2 </w:t>
      </w:r>
      <w:r>
        <w:rPr>
          <w:rFonts w:hint="eastAsia"/>
          <w:b/>
          <w:bCs/>
          <w:color w:val="auto"/>
          <w:szCs w:val="22"/>
          <w:highlight w:val="none"/>
        </w:rPr>
        <w:t>竞争性磋商文件的澄清</w:t>
      </w:r>
      <w:bookmarkEnd w:id="168"/>
      <w:bookmarkEnd w:id="169"/>
      <w:bookmarkEnd w:id="170"/>
      <w:bookmarkEnd w:id="171"/>
      <w:bookmarkEnd w:id="172"/>
      <w:bookmarkEnd w:id="173"/>
      <w:bookmarkEnd w:id="174"/>
    </w:p>
    <w:p w14:paraId="4F948F15">
      <w:pPr>
        <w:spacing w:line="360" w:lineRule="auto"/>
        <w:ind w:firstLine="420" w:firstLineChars="200"/>
        <w:rPr>
          <w:color w:val="auto"/>
          <w:highlight w:val="none"/>
        </w:rPr>
      </w:pPr>
      <w:r>
        <w:rPr>
          <w:color w:val="auto"/>
          <w:highlight w:val="none"/>
        </w:rPr>
        <w:t xml:space="preserve">2.2.1 </w:t>
      </w:r>
      <w:r>
        <w:rPr>
          <w:rFonts w:hint="eastAsia"/>
          <w:color w:val="auto"/>
          <w:highlight w:val="none"/>
        </w:rPr>
        <w:t>供应商应仔细阅读和检查竞争性磋商文件的全部内容。如有疑问的，供应商可以向采购人或采购代理机构提出询问或者凭企业数字证书（CA）登录政采云，通过在线方式提出询问（不署名），采购人或者采购代理机构在接到询问后的3个工作日内对供应商依法提出的询问作出答复，但答复的内容不涉及商业秘密。</w:t>
      </w:r>
    </w:p>
    <w:p w14:paraId="03C1E928">
      <w:pPr>
        <w:spacing w:line="360" w:lineRule="auto"/>
        <w:ind w:firstLine="420" w:firstLineChars="200"/>
        <w:rPr>
          <w:color w:val="auto"/>
          <w:highlight w:val="none"/>
        </w:rPr>
      </w:pPr>
      <w:r>
        <w:rPr>
          <w:color w:val="auto"/>
          <w:highlight w:val="none"/>
        </w:rPr>
        <w:t>2.2.2</w:t>
      </w:r>
      <w:r>
        <w:rPr>
          <w:rFonts w:hint="eastAsia"/>
          <w:color w:val="auto"/>
          <w:highlight w:val="none"/>
        </w:rPr>
        <w:t xml:space="preserve"> 提交响应文件截止之日前，采购人、采购代理机构可以对已发出的竞争性磋商文件进行必要的澄清，澄清的内容作为竞争性磋商文件的组成部分。澄清的内容可能影响竞争性磋商文件编制，采购人、采购代理机构应在提交响应文件截止之日5日前，在政采云平台通知所有接收竞争性磋商文件的供应商，但不指明澄清问题的来源。不足5日的，应当顺延提交响应文件截止之日。</w:t>
      </w:r>
    </w:p>
    <w:p w14:paraId="68CE270E">
      <w:pPr>
        <w:spacing w:line="360" w:lineRule="auto"/>
        <w:outlineLvl w:val="3"/>
        <w:rPr>
          <w:color w:val="auto"/>
          <w:highlight w:val="none"/>
        </w:rPr>
      </w:pPr>
      <w:bookmarkStart w:id="175" w:name="_Toc22890"/>
      <w:bookmarkStart w:id="176" w:name="_Toc16339"/>
      <w:bookmarkStart w:id="177" w:name="_Toc7756"/>
      <w:bookmarkStart w:id="178" w:name="_Toc4"/>
      <w:bookmarkStart w:id="179" w:name="_Toc500402896"/>
      <w:bookmarkStart w:id="180" w:name="_Toc27221"/>
      <w:bookmarkStart w:id="181" w:name="_Toc184283927"/>
      <w:r>
        <w:rPr>
          <w:b/>
          <w:bCs/>
          <w:color w:val="auto"/>
          <w:szCs w:val="22"/>
          <w:highlight w:val="none"/>
        </w:rPr>
        <w:t xml:space="preserve">2.3 </w:t>
      </w:r>
      <w:r>
        <w:rPr>
          <w:rFonts w:hint="eastAsia"/>
          <w:b/>
          <w:bCs/>
          <w:color w:val="auto"/>
          <w:szCs w:val="22"/>
          <w:highlight w:val="none"/>
        </w:rPr>
        <w:t>竞争性磋商文件的修改</w:t>
      </w:r>
      <w:bookmarkEnd w:id="175"/>
      <w:bookmarkEnd w:id="176"/>
      <w:bookmarkEnd w:id="177"/>
      <w:bookmarkEnd w:id="178"/>
      <w:bookmarkEnd w:id="179"/>
      <w:bookmarkEnd w:id="180"/>
      <w:bookmarkEnd w:id="181"/>
    </w:p>
    <w:p w14:paraId="476A0B89">
      <w:pPr>
        <w:spacing w:line="360" w:lineRule="auto"/>
        <w:ind w:firstLine="420" w:firstLineChars="200"/>
        <w:rPr>
          <w:color w:val="auto"/>
          <w:highlight w:val="none"/>
        </w:rPr>
      </w:pPr>
      <w:r>
        <w:rPr>
          <w:color w:val="auto"/>
          <w:highlight w:val="none"/>
        </w:rPr>
        <w:t xml:space="preserve">2.3.1 </w:t>
      </w:r>
      <w:r>
        <w:rPr>
          <w:rFonts w:hint="eastAsia"/>
          <w:color w:val="auto"/>
          <w:highlight w:val="none"/>
        </w:rPr>
        <w:t>在提交响应文件截止时间5日前，采购人、采购代理机构确实需要变更竞争性磋商文件内容的，采购人、采购代理机构可主动或在解答供应商提出的澄清问题时对竞争性磋商文件进行修改。修改的内容可能影响响应文件编制，采购人、采购代理机构应在提交响应文件截止之日5日前，通知所有接收竞争性磋商文件的供应商。不足5日的，应当顺延提交响应文件截止之日。</w:t>
      </w:r>
    </w:p>
    <w:p w14:paraId="43BD40D3">
      <w:pPr>
        <w:spacing w:line="360" w:lineRule="auto"/>
        <w:ind w:firstLine="420" w:firstLineChars="200"/>
        <w:rPr>
          <w:color w:val="auto"/>
          <w:highlight w:val="none"/>
        </w:rPr>
      </w:pPr>
    </w:p>
    <w:p w14:paraId="795A06FE">
      <w:pPr>
        <w:pStyle w:val="19"/>
        <w:rPr>
          <w:color w:val="auto"/>
          <w:highlight w:val="none"/>
        </w:rPr>
      </w:pPr>
    </w:p>
    <w:p w14:paraId="01E77A83">
      <w:pPr>
        <w:spacing w:line="360" w:lineRule="auto"/>
        <w:jc w:val="center"/>
        <w:outlineLvl w:val="2"/>
        <w:rPr>
          <w:rFonts w:eastAsia="新宋体"/>
          <w:color w:val="auto"/>
          <w:highlight w:val="none"/>
        </w:rPr>
      </w:pPr>
      <w:bookmarkStart w:id="182" w:name="_Toc414014530"/>
      <w:bookmarkStart w:id="183" w:name="_Toc411522048"/>
      <w:bookmarkStart w:id="184" w:name="_Toc184283928"/>
      <w:bookmarkStart w:id="185" w:name="_Toc500402897"/>
      <w:bookmarkStart w:id="186" w:name="_Toc411522334"/>
      <w:bookmarkStart w:id="187" w:name="_Toc184274918"/>
      <w:bookmarkStart w:id="188" w:name="_Toc3574"/>
      <w:bookmarkStart w:id="189" w:name="_Toc18608"/>
      <w:bookmarkStart w:id="190" w:name="_Toc5184"/>
      <w:bookmarkStart w:id="191" w:name="_Toc436"/>
      <w:bookmarkStart w:id="192" w:name="_Toc6553"/>
      <w:bookmarkStart w:id="193" w:name="_Toc1772"/>
      <w:r>
        <w:rPr>
          <w:rFonts w:ascii="新宋体" w:hAnsi="新宋体" w:eastAsia="新宋体"/>
          <w:b/>
          <w:color w:val="auto"/>
          <w:kern w:val="0"/>
          <w:sz w:val="32"/>
          <w:szCs w:val="32"/>
          <w:highlight w:val="none"/>
        </w:rPr>
        <w:t>3</w:t>
      </w:r>
      <w:bookmarkEnd w:id="182"/>
      <w:bookmarkEnd w:id="183"/>
      <w:bookmarkEnd w:id="184"/>
      <w:bookmarkEnd w:id="185"/>
      <w:bookmarkEnd w:id="186"/>
      <w:bookmarkEnd w:id="187"/>
      <w:r>
        <w:rPr>
          <w:rFonts w:hint="eastAsia" w:ascii="新宋体" w:hAnsi="新宋体" w:eastAsia="新宋体"/>
          <w:b/>
          <w:color w:val="auto"/>
          <w:kern w:val="0"/>
          <w:sz w:val="32"/>
          <w:szCs w:val="32"/>
          <w:highlight w:val="none"/>
        </w:rPr>
        <w:t>.</w:t>
      </w:r>
      <w:bookmarkEnd w:id="188"/>
      <w:r>
        <w:rPr>
          <w:rFonts w:hint="eastAsia" w:ascii="新宋体" w:hAnsi="新宋体" w:eastAsia="新宋体"/>
          <w:b/>
          <w:color w:val="auto"/>
          <w:kern w:val="0"/>
          <w:sz w:val="32"/>
          <w:szCs w:val="32"/>
          <w:highlight w:val="none"/>
        </w:rPr>
        <w:t>响应文件</w:t>
      </w:r>
      <w:bookmarkEnd w:id="189"/>
      <w:bookmarkEnd w:id="190"/>
      <w:bookmarkEnd w:id="191"/>
      <w:bookmarkEnd w:id="192"/>
      <w:bookmarkEnd w:id="193"/>
    </w:p>
    <w:p w14:paraId="13A018E3">
      <w:pPr>
        <w:spacing w:line="360" w:lineRule="auto"/>
        <w:outlineLvl w:val="3"/>
        <w:rPr>
          <w:color w:val="auto"/>
          <w:highlight w:val="none"/>
        </w:rPr>
      </w:pPr>
      <w:bookmarkStart w:id="194" w:name="_Toc500402898"/>
      <w:bookmarkStart w:id="195" w:name="_Toc184283929"/>
      <w:bookmarkStart w:id="196" w:name="_Toc10086"/>
      <w:bookmarkStart w:id="197" w:name="_Toc14948"/>
      <w:bookmarkStart w:id="198" w:name="_Toc1761"/>
      <w:bookmarkStart w:id="199" w:name="_Toc29500"/>
      <w:bookmarkStart w:id="200" w:name="_Toc10787"/>
      <w:r>
        <w:rPr>
          <w:b/>
          <w:bCs/>
          <w:color w:val="auto"/>
          <w:highlight w:val="none"/>
        </w:rPr>
        <w:t>3.1</w:t>
      </w:r>
      <w:r>
        <w:rPr>
          <w:rFonts w:hint="eastAsia"/>
          <w:b/>
          <w:bCs/>
          <w:color w:val="auto"/>
          <w:highlight w:val="none"/>
        </w:rPr>
        <w:t xml:space="preserve"> 响应文件的组成</w:t>
      </w:r>
      <w:bookmarkEnd w:id="194"/>
      <w:bookmarkEnd w:id="195"/>
      <w:bookmarkEnd w:id="196"/>
      <w:bookmarkEnd w:id="197"/>
      <w:bookmarkEnd w:id="198"/>
      <w:bookmarkEnd w:id="199"/>
      <w:bookmarkEnd w:id="200"/>
    </w:p>
    <w:p w14:paraId="4ECB3308">
      <w:pPr>
        <w:spacing w:line="360" w:lineRule="auto"/>
        <w:ind w:firstLine="420" w:firstLineChars="200"/>
        <w:rPr>
          <w:color w:val="auto"/>
          <w:highlight w:val="none"/>
        </w:rPr>
      </w:pPr>
      <w:r>
        <w:rPr>
          <w:rFonts w:hint="eastAsia"/>
          <w:color w:val="auto"/>
          <w:highlight w:val="none"/>
        </w:rPr>
        <w:t>响应文件包括以下内容：</w:t>
      </w:r>
    </w:p>
    <w:p w14:paraId="464D4674">
      <w:pPr>
        <w:spacing w:line="360" w:lineRule="auto"/>
        <w:ind w:firstLine="420" w:firstLineChars="200"/>
        <w:rPr>
          <w:color w:val="auto"/>
          <w:highlight w:val="none"/>
        </w:rPr>
      </w:pPr>
      <w:bookmarkStart w:id="201" w:name="_Toc500402899"/>
      <w:bookmarkStart w:id="202" w:name="_Toc184283930"/>
      <w:r>
        <w:rPr>
          <w:rFonts w:hint="eastAsia"/>
          <w:color w:val="auto"/>
          <w:highlight w:val="none"/>
        </w:rPr>
        <w:t>（一）资格部分</w:t>
      </w:r>
    </w:p>
    <w:p w14:paraId="52DD476A">
      <w:pPr>
        <w:spacing w:line="360" w:lineRule="auto"/>
        <w:ind w:firstLine="420" w:firstLineChars="200"/>
        <w:rPr>
          <w:color w:val="auto"/>
          <w:highlight w:val="none"/>
        </w:rPr>
      </w:pPr>
      <w:r>
        <w:rPr>
          <w:rFonts w:hint="eastAsia"/>
          <w:color w:val="auto"/>
          <w:highlight w:val="none"/>
        </w:rPr>
        <w:t>（二）商务部分</w:t>
      </w:r>
    </w:p>
    <w:p w14:paraId="05AD790A">
      <w:pPr>
        <w:spacing w:line="360" w:lineRule="auto"/>
        <w:ind w:firstLine="420" w:firstLineChars="200"/>
        <w:rPr>
          <w:color w:val="auto"/>
          <w:highlight w:val="none"/>
        </w:rPr>
      </w:pPr>
      <w:r>
        <w:rPr>
          <w:rFonts w:hint="eastAsia"/>
          <w:color w:val="auto"/>
          <w:highlight w:val="none"/>
        </w:rPr>
        <w:t>（三）技术部分</w:t>
      </w:r>
    </w:p>
    <w:p w14:paraId="45E51106">
      <w:pPr>
        <w:spacing w:line="360" w:lineRule="auto"/>
        <w:ind w:firstLine="420" w:firstLineChars="200"/>
        <w:rPr>
          <w:color w:val="auto"/>
          <w:highlight w:val="none"/>
        </w:rPr>
      </w:pPr>
      <w:r>
        <w:rPr>
          <w:rFonts w:hint="eastAsia"/>
          <w:color w:val="auto"/>
          <w:highlight w:val="none"/>
        </w:rPr>
        <w:t>以上三个部分包括的内容和供应商须知或附表中的规定的部分（若有），详见响应文件格式</w:t>
      </w:r>
    </w:p>
    <w:p w14:paraId="57358C4A">
      <w:pPr>
        <w:spacing w:line="360" w:lineRule="auto"/>
        <w:outlineLvl w:val="3"/>
        <w:rPr>
          <w:color w:val="auto"/>
          <w:highlight w:val="none"/>
        </w:rPr>
      </w:pPr>
      <w:bookmarkStart w:id="203" w:name="_Toc23207"/>
      <w:bookmarkStart w:id="204" w:name="_Toc31536"/>
      <w:bookmarkStart w:id="205" w:name="_Toc15"/>
      <w:bookmarkStart w:id="206" w:name="_Toc11953"/>
      <w:bookmarkStart w:id="207" w:name="_Toc32102"/>
      <w:r>
        <w:rPr>
          <w:b/>
          <w:bCs/>
          <w:color w:val="auto"/>
          <w:szCs w:val="22"/>
          <w:highlight w:val="none"/>
        </w:rPr>
        <w:t>3.2</w:t>
      </w:r>
      <w:r>
        <w:rPr>
          <w:rFonts w:hint="eastAsia"/>
          <w:b/>
          <w:bCs/>
          <w:color w:val="auto"/>
          <w:szCs w:val="22"/>
          <w:highlight w:val="none"/>
        </w:rPr>
        <w:t xml:space="preserve"> </w:t>
      </w:r>
      <w:bookmarkEnd w:id="201"/>
      <w:bookmarkEnd w:id="202"/>
      <w:bookmarkEnd w:id="203"/>
      <w:bookmarkEnd w:id="204"/>
      <w:bookmarkEnd w:id="205"/>
      <w:bookmarkEnd w:id="206"/>
      <w:bookmarkEnd w:id="207"/>
      <w:r>
        <w:rPr>
          <w:rFonts w:hint="eastAsia"/>
          <w:b/>
          <w:bCs/>
          <w:color w:val="auto"/>
          <w:szCs w:val="22"/>
          <w:highlight w:val="none"/>
        </w:rPr>
        <w:t>磋商报价</w:t>
      </w:r>
    </w:p>
    <w:p w14:paraId="5B5C156D">
      <w:pPr>
        <w:spacing w:line="360" w:lineRule="auto"/>
        <w:ind w:firstLine="420" w:firstLineChars="200"/>
        <w:rPr>
          <w:color w:val="auto"/>
          <w:highlight w:val="none"/>
        </w:rPr>
      </w:pPr>
      <w:bookmarkStart w:id="208" w:name="_Toc184283931"/>
      <w:bookmarkStart w:id="209" w:name="_Toc500402900"/>
      <w:r>
        <w:rPr>
          <w:color w:val="auto"/>
          <w:highlight w:val="none"/>
        </w:rPr>
        <w:t xml:space="preserve">3.2.1 </w:t>
      </w:r>
      <w:r>
        <w:rPr>
          <w:rFonts w:hint="eastAsia"/>
          <w:color w:val="auto"/>
          <w:highlight w:val="none"/>
        </w:rPr>
        <w:t>报价方式详见供应商须知前附表“磋商报价”；最高限价：详见供应商须知前附表，报价超过最高限价的响应文件按</w:t>
      </w:r>
      <w:r>
        <w:rPr>
          <w:rFonts w:hint="eastAsia"/>
          <w:color w:val="auto"/>
          <w:highlight w:val="none"/>
          <w:lang w:val="en-US" w:eastAsia="zh-CN"/>
        </w:rPr>
        <w:t>无效</w:t>
      </w:r>
      <w:r>
        <w:rPr>
          <w:rFonts w:hint="eastAsia"/>
          <w:color w:val="auto"/>
          <w:highlight w:val="none"/>
        </w:rPr>
        <w:t>投标处理。</w:t>
      </w:r>
    </w:p>
    <w:p w14:paraId="7FE1F424">
      <w:pPr>
        <w:spacing w:line="360" w:lineRule="auto"/>
        <w:ind w:firstLine="420" w:firstLineChars="200"/>
        <w:rPr>
          <w:color w:val="auto"/>
          <w:highlight w:val="none"/>
        </w:rPr>
      </w:pPr>
      <w:r>
        <w:rPr>
          <w:color w:val="auto"/>
          <w:highlight w:val="none"/>
        </w:rPr>
        <w:t>3.2.</w:t>
      </w:r>
      <w:r>
        <w:rPr>
          <w:rFonts w:hint="eastAsia"/>
          <w:color w:val="auto"/>
          <w:highlight w:val="none"/>
        </w:rPr>
        <w:t>2供应商的磋商报价应依据竞争性磋商文件的要求及有关资料，执行国家规定的现行技术、经济标准及规范，为完成本项目采购范围的所有工作，由供应商自行测算，并能保证供应商完成采购内容需求和履行合同所需的一切工作，在合同实施期间，合同价格不作调整，供应商应充分考虑此风险。</w:t>
      </w:r>
    </w:p>
    <w:p w14:paraId="770DB26C">
      <w:pPr>
        <w:spacing w:line="360" w:lineRule="auto"/>
        <w:ind w:firstLine="420" w:firstLineChars="200"/>
        <w:rPr>
          <w:color w:val="auto"/>
          <w:highlight w:val="none"/>
        </w:rPr>
      </w:pPr>
      <w:r>
        <w:rPr>
          <w:color w:val="auto"/>
          <w:highlight w:val="none"/>
        </w:rPr>
        <w:t>3.2.</w:t>
      </w:r>
      <w:r>
        <w:rPr>
          <w:rFonts w:hint="eastAsia"/>
          <w:color w:val="auto"/>
          <w:highlight w:val="none"/>
        </w:rPr>
        <w:t>3磋商报价组成</w:t>
      </w:r>
    </w:p>
    <w:p w14:paraId="45A21A25">
      <w:pPr>
        <w:spacing w:line="360" w:lineRule="auto"/>
        <w:ind w:firstLine="420" w:firstLineChars="200"/>
        <w:rPr>
          <w:color w:val="auto"/>
          <w:highlight w:val="none"/>
        </w:rPr>
      </w:pPr>
      <w:r>
        <w:rPr>
          <w:rFonts w:hint="eastAsia"/>
          <w:color w:val="auto"/>
          <w:highlight w:val="none"/>
        </w:rPr>
        <w:t>磋商报价包括完成本项目相关工作的所有费用（合同实施过程中应预见和不可预见费用等一切有关费用)，包括但不限于成本、差旅费、考察费、利润、税费、培训、知识产权等其它费用。</w:t>
      </w:r>
    </w:p>
    <w:p w14:paraId="5BEC443D">
      <w:pPr>
        <w:spacing w:line="360" w:lineRule="auto"/>
        <w:ind w:firstLine="420" w:firstLineChars="200"/>
        <w:rPr>
          <w:color w:val="auto"/>
          <w:highlight w:val="none"/>
        </w:rPr>
      </w:pPr>
      <w:r>
        <w:rPr>
          <w:color w:val="auto"/>
          <w:highlight w:val="none"/>
        </w:rPr>
        <w:t>3.2.</w:t>
      </w:r>
      <w:r>
        <w:rPr>
          <w:rFonts w:hint="eastAsia"/>
          <w:color w:val="auto"/>
          <w:highlight w:val="none"/>
        </w:rPr>
        <w:t>4供应商须通过资格评审、符合性评审标准后才能进入磋商阶段，并进行最终磋商报价。最终磋商报价是供应商的响应文件的有效组成部分。</w:t>
      </w:r>
    </w:p>
    <w:p w14:paraId="201F8A01">
      <w:pPr>
        <w:spacing w:line="360" w:lineRule="auto"/>
        <w:ind w:firstLine="420" w:firstLineChars="200"/>
        <w:rPr>
          <w:rFonts w:hint="eastAsia"/>
          <w:color w:val="auto"/>
          <w:highlight w:val="none"/>
        </w:rPr>
      </w:pPr>
      <w:r>
        <w:rPr>
          <w:color w:val="auto"/>
          <w:highlight w:val="none"/>
        </w:rPr>
        <w:t>3.2.</w:t>
      </w:r>
      <w:r>
        <w:rPr>
          <w:rFonts w:hint="eastAsia"/>
          <w:color w:val="auto"/>
          <w:highlight w:val="none"/>
        </w:rPr>
        <w:t>5报价的大写金额和小写金额不一致的，以大写金额为准；总价金额与按单价汇总金额不一致的，以单价金额计算结果为准；单价金额小数点有明显错位的，应以在总价为准，并修改单价；对修改单价；对不同文字文本竞争性磋商文件的解释发生异议的，以中文解释文本为准。</w:t>
      </w:r>
    </w:p>
    <w:p w14:paraId="3D25CB6C">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3.2.6根据财政部令第87号第六十条规定：评标委员会认为供应商的报价明显低于其他通过符合性审查供应商的报价，有可能影响产品质量或者不能诚信履约的，应当要求其在评标现场合理的时间内提供书面说明，必要时提供相关证明材料，供应商不能证明其合理性的，评标委员会应当将其作为无效投标处理。</w:t>
      </w:r>
    </w:p>
    <w:p w14:paraId="49A7B5D1">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3.2.7异常低价审查：</w:t>
      </w:r>
    </w:p>
    <w:p w14:paraId="2A066491">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采购评审中出现下列情形之一的，评审委员会应当启动异常低价投标（响应）审查程序：</w:t>
      </w:r>
    </w:p>
    <w:p w14:paraId="425AC17D">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1F272215">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54775085">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w:t>
      </w:r>
    </w:p>
    <w:p w14:paraId="535D3AE3">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7D145D78">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3.2.8评审委员会启动异常低价投标（响应）审查后，属于前述3.2.7中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D9D954">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3.2.8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FA3ADE">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3.2.9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0A75EA">
      <w:pPr>
        <w:spacing w:line="360" w:lineRule="auto"/>
        <w:ind w:firstLine="420" w:firstLineChars="200"/>
        <w:rPr>
          <w:color w:val="auto"/>
          <w:highlight w:val="none"/>
        </w:rPr>
      </w:pPr>
      <w:r>
        <w:rPr>
          <w:rFonts w:hint="eastAsia"/>
          <w:color w:val="auto"/>
          <w:highlight w:val="none"/>
          <w:lang w:val="en-US" w:eastAsia="zh-CN"/>
        </w:rPr>
        <w:t>3.2.10异常低价投标（响应）审查的启动原因、审查意见和审查结果应当在评审报告中记录，并随供应商提供的相关书面说明及证明材料，以及评审委员会有关互联网浏览、查询历史一并归档。</w:t>
      </w:r>
    </w:p>
    <w:bookmarkEnd w:id="208"/>
    <w:bookmarkEnd w:id="209"/>
    <w:p w14:paraId="118822E6">
      <w:pPr>
        <w:spacing w:line="360" w:lineRule="auto"/>
        <w:outlineLvl w:val="3"/>
        <w:rPr>
          <w:rFonts w:hint="eastAsia" w:eastAsia="宋体"/>
          <w:color w:val="auto"/>
          <w:highlight w:val="none"/>
          <w:lang w:eastAsia="zh-CN"/>
        </w:rPr>
      </w:pPr>
      <w:bookmarkStart w:id="210" w:name="_Toc26223"/>
      <w:bookmarkStart w:id="211" w:name="_Toc22911"/>
      <w:bookmarkStart w:id="212" w:name="_Toc500402901"/>
      <w:bookmarkStart w:id="213" w:name="_Toc1930"/>
      <w:bookmarkStart w:id="214" w:name="_Toc31527"/>
      <w:bookmarkStart w:id="215" w:name="_Toc5061"/>
      <w:bookmarkStart w:id="216" w:name="_Toc184283932"/>
      <w:r>
        <w:rPr>
          <w:b/>
          <w:bCs/>
          <w:color w:val="auto"/>
          <w:szCs w:val="22"/>
          <w:highlight w:val="none"/>
        </w:rPr>
        <w:t>3.3</w:t>
      </w:r>
      <w:r>
        <w:rPr>
          <w:rFonts w:hint="eastAsia"/>
          <w:b/>
          <w:bCs/>
          <w:color w:val="auto"/>
          <w:szCs w:val="22"/>
          <w:highlight w:val="none"/>
        </w:rPr>
        <w:t xml:space="preserve"> 磋商保证金</w:t>
      </w:r>
      <w:bookmarkEnd w:id="210"/>
      <w:bookmarkEnd w:id="211"/>
      <w:bookmarkEnd w:id="212"/>
      <w:bookmarkEnd w:id="213"/>
      <w:bookmarkEnd w:id="214"/>
      <w:bookmarkEnd w:id="215"/>
      <w:bookmarkEnd w:id="216"/>
    </w:p>
    <w:p w14:paraId="38640DC3">
      <w:pPr>
        <w:spacing w:line="360" w:lineRule="auto"/>
        <w:ind w:firstLine="420" w:firstLineChars="200"/>
        <w:rPr>
          <w:rFonts w:hint="default"/>
          <w:color w:val="auto"/>
          <w:highlight w:val="none"/>
          <w:lang w:val="en-US"/>
        </w:rPr>
      </w:pPr>
      <w:r>
        <w:rPr>
          <w:rFonts w:hint="eastAsia" w:eastAsia="新宋体"/>
          <w:color w:val="auto"/>
          <w:highlight w:val="none"/>
          <w:lang w:val="en-US" w:eastAsia="zh-CN"/>
        </w:rPr>
        <w:t>本项目无需提交磋商保证金，提交磋商保证金诚信承诺书</w:t>
      </w:r>
      <w:r>
        <w:rPr>
          <w:rFonts w:hint="eastAsia"/>
          <w:color w:val="auto"/>
          <w:highlight w:val="none"/>
          <w:lang w:val="en-US" w:eastAsia="zh-CN"/>
        </w:rPr>
        <w:t>。</w:t>
      </w:r>
    </w:p>
    <w:p w14:paraId="2F8D82B1">
      <w:pPr>
        <w:spacing w:line="360" w:lineRule="auto"/>
        <w:outlineLvl w:val="3"/>
        <w:rPr>
          <w:color w:val="auto"/>
          <w:highlight w:val="none"/>
        </w:rPr>
      </w:pPr>
      <w:bookmarkStart w:id="217" w:name="_Toc24250"/>
      <w:bookmarkStart w:id="218" w:name="_Toc31992"/>
      <w:bookmarkStart w:id="219" w:name="_Toc184283936"/>
      <w:bookmarkStart w:id="220" w:name="_Toc30520"/>
      <w:bookmarkStart w:id="221" w:name="_Toc32005"/>
      <w:bookmarkStart w:id="222" w:name="_Toc500402905"/>
      <w:bookmarkStart w:id="223" w:name="_Toc19818"/>
      <w:r>
        <w:rPr>
          <w:b/>
          <w:bCs/>
          <w:color w:val="auto"/>
          <w:szCs w:val="22"/>
          <w:highlight w:val="none"/>
        </w:rPr>
        <w:t>3.4</w:t>
      </w:r>
      <w:r>
        <w:rPr>
          <w:rFonts w:hint="eastAsia"/>
          <w:b/>
          <w:bCs/>
          <w:color w:val="auto"/>
          <w:szCs w:val="22"/>
          <w:highlight w:val="none"/>
        </w:rPr>
        <w:t xml:space="preserve"> 响应文件的编制</w:t>
      </w:r>
      <w:bookmarkEnd w:id="217"/>
      <w:bookmarkEnd w:id="218"/>
      <w:bookmarkEnd w:id="219"/>
      <w:bookmarkEnd w:id="220"/>
      <w:bookmarkEnd w:id="221"/>
      <w:bookmarkEnd w:id="222"/>
      <w:bookmarkEnd w:id="223"/>
    </w:p>
    <w:p w14:paraId="6D5497F8">
      <w:pPr>
        <w:spacing w:line="360" w:lineRule="auto"/>
        <w:ind w:firstLine="420" w:firstLineChars="200"/>
        <w:rPr>
          <w:color w:val="auto"/>
          <w:highlight w:val="none"/>
        </w:rPr>
      </w:pPr>
      <w:r>
        <w:rPr>
          <w:rFonts w:hint="eastAsia"/>
          <w:color w:val="auto"/>
          <w:highlight w:val="none"/>
        </w:rPr>
        <w:t>3.4.1 响应文件应按第六章“响应文件格式”进行编写，如有必要，可以增加附页，作为响应文件的组成部分。其中，在满足竞争性磋商文件实质性要求的基础上，可以提出比响应文件要求更有利于采购人的承诺。</w:t>
      </w:r>
    </w:p>
    <w:p w14:paraId="5E3C8477">
      <w:pPr>
        <w:spacing w:line="360" w:lineRule="auto"/>
        <w:ind w:firstLine="420" w:firstLineChars="200"/>
        <w:rPr>
          <w:color w:val="auto"/>
          <w:highlight w:val="none"/>
        </w:rPr>
      </w:pPr>
      <w:r>
        <w:rPr>
          <w:rFonts w:hint="eastAsia"/>
          <w:color w:val="auto"/>
          <w:highlight w:val="none"/>
        </w:rPr>
        <w:t>3.4.2 响应文件应当对竞争性磋商文件有关合同履行期限、采购需求、质量等实质性内容作出响应。</w:t>
      </w:r>
    </w:p>
    <w:p w14:paraId="22D1D33F">
      <w:pPr>
        <w:spacing w:line="360" w:lineRule="auto"/>
        <w:ind w:firstLine="420" w:firstLineChars="200"/>
        <w:rPr>
          <w:color w:val="auto"/>
          <w:highlight w:val="none"/>
        </w:rPr>
      </w:pPr>
      <w:r>
        <w:rPr>
          <w:rFonts w:hint="eastAsia"/>
          <w:color w:val="auto"/>
          <w:highlight w:val="none"/>
        </w:rPr>
        <w:t xml:space="preserve">3.4.3 </w:t>
      </w:r>
      <w:bookmarkStart w:id="224" w:name="_Toc31495"/>
      <w:bookmarkStart w:id="225" w:name="_Toc500402907"/>
      <w:bookmarkStart w:id="226" w:name="_Toc184283938"/>
      <w:bookmarkStart w:id="227" w:name="_Toc4894"/>
      <w:bookmarkStart w:id="228" w:name="_Toc30575"/>
      <w:bookmarkStart w:id="229" w:name="_Toc7214"/>
      <w:bookmarkStart w:id="230" w:name="_Toc17265"/>
      <w:r>
        <w:rPr>
          <w:rFonts w:hint="eastAsia"/>
          <w:color w:val="auto"/>
          <w:highlight w:val="none"/>
        </w:rPr>
        <w:t>供应商应安装“政采云”投标客户端，根据采购文件格式编制响应文件，生成加密标书后进行上传（详见公告附件供应商操作指南及申领云南 CA 操作手册）。</w:t>
      </w:r>
    </w:p>
    <w:p w14:paraId="6064047A">
      <w:pPr>
        <w:spacing w:line="360" w:lineRule="auto"/>
        <w:outlineLvl w:val="3"/>
        <w:rPr>
          <w:color w:val="auto"/>
          <w:highlight w:val="none"/>
        </w:rPr>
      </w:pPr>
      <w:r>
        <w:rPr>
          <w:b/>
          <w:bCs/>
          <w:color w:val="auto"/>
          <w:szCs w:val="22"/>
          <w:highlight w:val="none"/>
        </w:rPr>
        <w:t>3.5</w:t>
      </w:r>
      <w:r>
        <w:rPr>
          <w:rFonts w:hint="eastAsia"/>
          <w:b/>
          <w:bCs/>
          <w:color w:val="auto"/>
          <w:szCs w:val="22"/>
          <w:highlight w:val="none"/>
        </w:rPr>
        <w:t xml:space="preserve"> 响应文件的密封和标记</w:t>
      </w:r>
      <w:bookmarkEnd w:id="224"/>
      <w:bookmarkEnd w:id="225"/>
      <w:bookmarkEnd w:id="226"/>
      <w:bookmarkEnd w:id="227"/>
      <w:bookmarkEnd w:id="228"/>
      <w:bookmarkEnd w:id="229"/>
      <w:bookmarkEnd w:id="230"/>
    </w:p>
    <w:p w14:paraId="49077FDF">
      <w:pPr>
        <w:spacing w:line="360" w:lineRule="auto"/>
        <w:ind w:firstLine="420" w:firstLineChars="200"/>
        <w:rPr>
          <w:color w:val="auto"/>
          <w:highlight w:val="none"/>
        </w:rPr>
      </w:pPr>
      <w:r>
        <w:rPr>
          <w:rFonts w:hint="eastAsia"/>
          <w:color w:val="auto"/>
          <w:highlight w:val="none"/>
        </w:rPr>
        <w:t>本项目无密封和标记的要求，只需按照“政采云”平台的要求编制、加密后在响应文件提 交截止时间前上传至“政采云”平台，响应文件提交截止时间前未完成响应文件上传的，视为 撤回响应文件。</w:t>
      </w:r>
    </w:p>
    <w:p w14:paraId="1E03838D">
      <w:pPr>
        <w:spacing w:line="360" w:lineRule="auto"/>
        <w:outlineLvl w:val="3"/>
        <w:rPr>
          <w:color w:val="auto"/>
          <w:highlight w:val="none"/>
        </w:rPr>
      </w:pPr>
      <w:bookmarkStart w:id="231" w:name="_Toc184283939"/>
      <w:bookmarkStart w:id="232" w:name="_Toc29320"/>
      <w:bookmarkStart w:id="233" w:name="_Toc500402908"/>
      <w:bookmarkStart w:id="234" w:name="_Toc9426"/>
      <w:bookmarkStart w:id="235" w:name="_Toc27827"/>
      <w:bookmarkStart w:id="236" w:name="_Toc14423"/>
      <w:bookmarkStart w:id="237" w:name="_Toc32650"/>
      <w:r>
        <w:rPr>
          <w:b/>
          <w:bCs/>
          <w:color w:val="auto"/>
          <w:szCs w:val="22"/>
          <w:highlight w:val="none"/>
        </w:rPr>
        <w:t>3.6</w:t>
      </w:r>
      <w:r>
        <w:rPr>
          <w:rFonts w:hint="eastAsia"/>
          <w:b/>
          <w:bCs/>
          <w:color w:val="auto"/>
          <w:szCs w:val="22"/>
          <w:highlight w:val="none"/>
        </w:rPr>
        <w:t xml:space="preserve"> 响应文件的递交</w:t>
      </w:r>
      <w:bookmarkEnd w:id="231"/>
      <w:bookmarkEnd w:id="232"/>
      <w:bookmarkEnd w:id="233"/>
      <w:bookmarkEnd w:id="234"/>
      <w:bookmarkEnd w:id="235"/>
      <w:bookmarkEnd w:id="236"/>
      <w:bookmarkEnd w:id="237"/>
    </w:p>
    <w:p w14:paraId="2807E488">
      <w:pPr>
        <w:spacing w:line="360" w:lineRule="auto"/>
        <w:ind w:firstLine="420" w:firstLineChars="200"/>
        <w:rPr>
          <w:color w:val="auto"/>
          <w:highlight w:val="none"/>
        </w:rPr>
      </w:pPr>
      <w:r>
        <w:rPr>
          <w:color w:val="auto"/>
          <w:highlight w:val="none"/>
        </w:rPr>
        <w:t xml:space="preserve">3.6.1 </w:t>
      </w:r>
      <w:r>
        <w:rPr>
          <w:rFonts w:hint="eastAsia"/>
          <w:color w:val="auto"/>
          <w:highlight w:val="none"/>
        </w:rPr>
        <w:t>供应商应在磋商人须知前附表规定的递交响应文件截止时间前和地点递交响应文件。</w:t>
      </w:r>
    </w:p>
    <w:p w14:paraId="79FAB48A">
      <w:pPr>
        <w:spacing w:line="360" w:lineRule="auto"/>
        <w:ind w:firstLine="420" w:firstLineChars="200"/>
        <w:rPr>
          <w:color w:val="auto"/>
          <w:highlight w:val="none"/>
        </w:rPr>
      </w:pPr>
      <w:r>
        <w:rPr>
          <w:color w:val="auto"/>
          <w:highlight w:val="none"/>
        </w:rPr>
        <w:t>3.6.</w:t>
      </w:r>
      <w:r>
        <w:rPr>
          <w:rFonts w:hint="eastAsia"/>
          <w:color w:val="auto"/>
          <w:highlight w:val="none"/>
        </w:rPr>
        <w:t>2 除供应商须知前附表另有规定外，供应商所递交的响应文件不予退还。</w:t>
      </w:r>
    </w:p>
    <w:p w14:paraId="40615271">
      <w:pPr>
        <w:spacing w:line="360" w:lineRule="auto"/>
        <w:ind w:firstLine="420" w:firstLineChars="200"/>
        <w:rPr>
          <w:color w:val="auto"/>
          <w:highlight w:val="none"/>
        </w:rPr>
      </w:pPr>
      <w:r>
        <w:rPr>
          <w:color w:val="auto"/>
          <w:highlight w:val="none"/>
        </w:rPr>
        <w:t>3.6.</w:t>
      </w:r>
      <w:r>
        <w:rPr>
          <w:rFonts w:hint="eastAsia"/>
          <w:color w:val="auto"/>
          <w:highlight w:val="none"/>
        </w:rPr>
        <w:t>3</w:t>
      </w:r>
      <w:bookmarkStart w:id="238" w:name="_Toc26797"/>
      <w:bookmarkStart w:id="239" w:name="_Toc21221"/>
      <w:bookmarkStart w:id="240" w:name="_Toc500402909"/>
      <w:bookmarkStart w:id="241" w:name="_Toc25369"/>
      <w:bookmarkStart w:id="242" w:name="_Toc3290"/>
      <w:bookmarkStart w:id="243" w:name="_Toc184283940"/>
      <w:bookmarkStart w:id="244" w:name="_Toc13315"/>
      <w:r>
        <w:rPr>
          <w:rFonts w:hint="eastAsia"/>
          <w:color w:val="auto"/>
          <w:highlight w:val="none"/>
        </w:rPr>
        <w:t>供应商应按照本项目采购文件和“政采云”平台的要求编制、加密后在响应文件提 交截止时间前上传至“政采云”平台，响应文件提交截止时间前未完成响应文件上传的，视为撤回响应文件。供应商在“政采云”平台提交电子版响应文件时，请填写参加远程采购活动经办人联系方式。</w:t>
      </w:r>
    </w:p>
    <w:p w14:paraId="1B11C82D">
      <w:pPr>
        <w:spacing w:line="360" w:lineRule="auto"/>
        <w:outlineLvl w:val="3"/>
        <w:rPr>
          <w:color w:val="auto"/>
          <w:highlight w:val="none"/>
        </w:rPr>
      </w:pPr>
      <w:r>
        <w:rPr>
          <w:b/>
          <w:bCs/>
          <w:color w:val="auto"/>
          <w:szCs w:val="22"/>
          <w:highlight w:val="none"/>
        </w:rPr>
        <w:t>3.7</w:t>
      </w:r>
      <w:r>
        <w:rPr>
          <w:rFonts w:hint="eastAsia"/>
          <w:b/>
          <w:bCs/>
          <w:color w:val="auto"/>
          <w:szCs w:val="22"/>
          <w:highlight w:val="none"/>
        </w:rPr>
        <w:t xml:space="preserve"> 响应文件的修改或撤回</w:t>
      </w:r>
      <w:bookmarkEnd w:id="238"/>
      <w:bookmarkEnd w:id="239"/>
      <w:bookmarkEnd w:id="240"/>
      <w:bookmarkEnd w:id="241"/>
      <w:bookmarkEnd w:id="242"/>
      <w:bookmarkEnd w:id="243"/>
      <w:bookmarkEnd w:id="244"/>
    </w:p>
    <w:p w14:paraId="6E38F97C">
      <w:pPr>
        <w:spacing w:line="360" w:lineRule="auto"/>
        <w:ind w:firstLine="420" w:firstLineChars="200"/>
        <w:rPr>
          <w:color w:val="auto"/>
          <w:highlight w:val="none"/>
        </w:rPr>
      </w:pPr>
      <w:r>
        <w:rPr>
          <w:rFonts w:hint="eastAsia"/>
          <w:color w:val="auto"/>
          <w:highlight w:val="none"/>
        </w:rPr>
        <w:t>3.7.1 在磋商人须知前附表3.6.1规定的递交响应文件截止时间前，供应商可以修改或撤回已递交的响应文件。</w:t>
      </w:r>
    </w:p>
    <w:p w14:paraId="6616D05C">
      <w:pPr>
        <w:spacing w:line="360" w:lineRule="auto"/>
        <w:ind w:firstLine="420" w:firstLineChars="200"/>
        <w:rPr>
          <w:color w:val="auto"/>
          <w:highlight w:val="none"/>
        </w:rPr>
      </w:pPr>
      <w:r>
        <w:rPr>
          <w:rFonts w:hint="eastAsia"/>
          <w:color w:val="auto"/>
          <w:highlight w:val="none"/>
        </w:rPr>
        <w:t>3.7.2 供应商递交修改或撤回的文件，应按照本项目采购文件和“政采云”平台的要求编 制、加密后在响应文件提交截止时间前重新上传至“政采云”平台，响应文件提交截止时间前 未完成响应文件上传的，视为撤回响应文件。</w:t>
      </w:r>
    </w:p>
    <w:p w14:paraId="1C17A781">
      <w:pPr>
        <w:spacing w:line="360" w:lineRule="auto"/>
        <w:outlineLvl w:val="3"/>
        <w:rPr>
          <w:b/>
          <w:bCs/>
          <w:color w:val="auto"/>
          <w:szCs w:val="22"/>
          <w:highlight w:val="none"/>
        </w:rPr>
      </w:pPr>
      <w:r>
        <w:rPr>
          <w:rFonts w:hint="eastAsia"/>
          <w:b/>
          <w:bCs/>
          <w:color w:val="auto"/>
          <w:szCs w:val="22"/>
          <w:highlight w:val="none"/>
        </w:rPr>
        <w:t>3.8 备选的磋商申请方案</w:t>
      </w:r>
    </w:p>
    <w:p w14:paraId="3C98727A">
      <w:pPr>
        <w:ind w:firstLine="420" w:firstLineChars="200"/>
        <w:rPr>
          <w:color w:val="auto"/>
          <w:highlight w:val="none"/>
        </w:rPr>
      </w:pPr>
      <w:bookmarkStart w:id="245" w:name="_Toc133"/>
      <w:r>
        <w:rPr>
          <w:rFonts w:hint="eastAsia"/>
          <w:color w:val="auto"/>
          <w:highlight w:val="none"/>
        </w:rPr>
        <w:t>3.8.1 本项目不接受备选的磋商申请方案</w:t>
      </w:r>
      <w:bookmarkEnd w:id="245"/>
    </w:p>
    <w:p w14:paraId="2C2165A2">
      <w:pPr>
        <w:pStyle w:val="7"/>
        <w:rPr>
          <w:color w:val="auto"/>
          <w:highlight w:val="none"/>
        </w:rPr>
      </w:pPr>
    </w:p>
    <w:p w14:paraId="574C04D7">
      <w:pPr>
        <w:widowControl/>
        <w:spacing w:line="360" w:lineRule="auto"/>
        <w:jc w:val="left"/>
        <w:rPr>
          <w:color w:val="auto"/>
          <w:highlight w:val="none"/>
        </w:rPr>
      </w:pPr>
      <w:r>
        <w:rPr>
          <w:b/>
          <w:bCs/>
          <w:color w:val="auto"/>
          <w:kern w:val="0"/>
          <w:sz w:val="20"/>
          <w:szCs w:val="20"/>
          <w:highlight w:val="none"/>
          <w:lang w:bidi="ar"/>
        </w:rPr>
        <w:t xml:space="preserve">3.9 </w:t>
      </w:r>
      <w:r>
        <w:rPr>
          <w:rFonts w:hint="eastAsia" w:ascii="宋体" w:hAnsi="宋体" w:cs="宋体"/>
          <w:b/>
          <w:bCs/>
          <w:color w:val="auto"/>
          <w:kern w:val="0"/>
          <w:sz w:val="20"/>
          <w:szCs w:val="20"/>
          <w:highlight w:val="none"/>
          <w:lang w:bidi="ar"/>
        </w:rPr>
        <w:t xml:space="preserve">磋商、承诺及最后磋商报价 </w:t>
      </w:r>
    </w:p>
    <w:p w14:paraId="2A17115F">
      <w:pPr>
        <w:widowControl/>
        <w:spacing w:line="360" w:lineRule="auto"/>
        <w:ind w:firstLine="420" w:firstLineChars="200"/>
        <w:jc w:val="left"/>
        <w:rPr>
          <w:color w:val="auto"/>
          <w:highlight w:val="none"/>
        </w:rPr>
      </w:pPr>
      <w:r>
        <w:rPr>
          <w:rFonts w:hint="eastAsia"/>
          <w:color w:val="auto"/>
          <w:highlight w:val="none"/>
        </w:rPr>
        <w:t>提交响应文件的供应商，供应商在“政采云”平台上进行磋商、承诺及最后磋商报价，操作流程详见公告附件供应商操作指南。供应商必须进行最后磋商报价。</w:t>
      </w:r>
    </w:p>
    <w:p w14:paraId="488BBAEE">
      <w:pPr>
        <w:spacing w:line="360" w:lineRule="auto"/>
        <w:jc w:val="center"/>
        <w:outlineLvl w:val="2"/>
        <w:rPr>
          <w:color w:val="auto"/>
          <w:highlight w:val="none"/>
        </w:rPr>
      </w:pPr>
      <w:bookmarkStart w:id="246" w:name="_Toc414014531"/>
      <w:bookmarkStart w:id="247" w:name="_Toc14152"/>
      <w:bookmarkStart w:id="248" w:name="_Toc24273"/>
      <w:bookmarkStart w:id="249" w:name="_Toc11808"/>
      <w:bookmarkStart w:id="250" w:name="_Toc3423"/>
      <w:bookmarkStart w:id="251" w:name="_Toc24720"/>
      <w:bookmarkStart w:id="252" w:name="_Toc25577"/>
      <w:r>
        <w:rPr>
          <w:rFonts w:ascii="新宋体" w:hAnsi="新宋体" w:eastAsia="新宋体"/>
          <w:b/>
          <w:color w:val="auto"/>
          <w:kern w:val="0"/>
          <w:sz w:val="32"/>
          <w:szCs w:val="32"/>
          <w:highlight w:val="none"/>
        </w:rPr>
        <w:t>4</w:t>
      </w:r>
      <w:r>
        <w:rPr>
          <w:rFonts w:hint="eastAsia" w:ascii="新宋体" w:hAnsi="新宋体" w:eastAsia="新宋体"/>
          <w:b/>
          <w:color w:val="auto"/>
          <w:kern w:val="0"/>
          <w:sz w:val="32"/>
          <w:szCs w:val="32"/>
          <w:highlight w:val="none"/>
        </w:rPr>
        <w:t>.竞争性磋商</w:t>
      </w:r>
      <w:bookmarkEnd w:id="246"/>
      <w:bookmarkEnd w:id="247"/>
      <w:bookmarkEnd w:id="248"/>
      <w:bookmarkEnd w:id="249"/>
      <w:bookmarkEnd w:id="250"/>
      <w:bookmarkEnd w:id="251"/>
      <w:bookmarkEnd w:id="252"/>
    </w:p>
    <w:p w14:paraId="0A6A3E3C">
      <w:pPr>
        <w:spacing w:line="360" w:lineRule="auto"/>
        <w:rPr>
          <w:color w:val="auto"/>
          <w:highlight w:val="none"/>
        </w:rPr>
      </w:pPr>
    </w:p>
    <w:p w14:paraId="610A55F9">
      <w:pPr>
        <w:spacing w:line="360" w:lineRule="auto"/>
        <w:outlineLvl w:val="3"/>
        <w:rPr>
          <w:b/>
          <w:bCs/>
          <w:color w:val="auto"/>
          <w:highlight w:val="none"/>
        </w:rPr>
      </w:pPr>
      <w:bookmarkStart w:id="253" w:name="_Toc22110"/>
      <w:bookmarkStart w:id="254" w:name="_Toc2794"/>
      <w:bookmarkStart w:id="255" w:name="_Toc29867"/>
      <w:bookmarkStart w:id="256" w:name="_Toc23652"/>
      <w:bookmarkStart w:id="257" w:name="_Toc32534"/>
      <w:r>
        <w:rPr>
          <w:b/>
          <w:bCs/>
          <w:color w:val="auto"/>
          <w:highlight w:val="none"/>
        </w:rPr>
        <w:t>4.1</w:t>
      </w:r>
      <w:r>
        <w:rPr>
          <w:rFonts w:hint="eastAsia"/>
          <w:b/>
          <w:bCs/>
          <w:color w:val="auto"/>
          <w:highlight w:val="none"/>
        </w:rPr>
        <w:t xml:space="preserve"> 磋商及评审</w:t>
      </w:r>
      <w:bookmarkEnd w:id="253"/>
      <w:bookmarkEnd w:id="254"/>
      <w:bookmarkEnd w:id="255"/>
      <w:bookmarkEnd w:id="256"/>
      <w:bookmarkEnd w:id="257"/>
    </w:p>
    <w:p w14:paraId="5C1DA14D">
      <w:pPr>
        <w:spacing w:line="360" w:lineRule="auto"/>
        <w:ind w:firstLine="420" w:firstLineChars="200"/>
        <w:rPr>
          <w:color w:val="auto"/>
          <w:highlight w:val="none"/>
        </w:rPr>
      </w:pPr>
      <w:r>
        <w:rPr>
          <w:color w:val="auto"/>
          <w:highlight w:val="none"/>
        </w:rPr>
        <w:t xml:space="preserve">4.1.1 </w:t>
      </w:r>
      <w:r>
        <w:rPr>
          <w:rFonts w:hint="eastAsia"/>
          <w:color w:val="auto"/>
          <w:highlight w:val="none"/>
        </w:rPr>
        <w:t>磋商时间及地点：见供应商须知前附表。</w:t>
      </w:r>
    </w:p>
    <w:p w14:paraId="7683DC0C">
      <w:pPr>
        <w:spacing w:line="360" w:lineRule="auto"/>
        <w:ind w:firstLine="420" w:firstLineChars="200"/>
        <w:rPr>
          <w:color w:val="auto"/>
          <w:highlight w:val="none"/>
        </w:rPr>
      </w:pPr>
      <w:r>
        <w:rPr>
          <w:rFonts w:hint="eastAsia"/>
          <w:color w:val="auto"/>
          <w:highlight w:val="none"/>
        </w:rPr>
        <w:t>4.1.2 磋商及评审程序：</w:t>
      </w:r>
    </w:p>
    <w:p w14:paraId="67214CC3">
      <w:pPr>
        <w:spacing w:line="360" w:lineRule="auto"/>
        <w:ind w:firstLine="420" w:firstLineChars="200"/>
        <w:rPr>
          <w:color w:val="auto"/>
          <w:highlight w:val="none"/>
        </w:rPr>
      </w:pPr>
      <w:r>
        <w:rPr>
          <w:rFonts w:hint="eastAsia"/>
          <w:color w:val="auto"/>
          <w:highlight w:val="none"/>
        </w:rPr>
        <w:t>（1）主持人主持会议；</w:t>
      </w:r>
    </w:p>
    <w:p w14:paraId="52C8E832">
      <w:pPr>
        <w:spacing w:line="360" w:lineRule="auto"/>
        <w:ind w:firstLine="420" w:firstLineChars="200"/>
        <w:rPr>
          <w:color w:val="auto"/>
          <w:highlight w:val="none"/>
        </w:rPr>
      </w:pPr>
      <w:r>
        <w:rPr>
          <w:rFonts w:hint="eastAsia"/>
          <w:color w:val="auto"/>
          <w:highlight w:val="none"/>
        </w:rPr>
        <w:t>（2）开标，本项目为竞争性磋商不进行唱标；</w:t>
      </w:r>
    </w:p>
    <w:p w14:paraId="5CFBD62A">
      <w:pPr>
        <w:spacing w:line="360" w:lineRule="auto"/>
        <w:ind w:firstLine="420" w:firstLineChars="200"/>
        <w:rPr>
          <w:color w:val="auto"/>
          <w:highlight w:val="none"/>
        </w:rPr>
      </w:pPr>
      <w:r>
        <w:rPr>
          <w:rFonts w:hint="eastAsia"/>
          <w:color w:val="auto"/>
          <w:highlight w:val="none"/>
        </w:rPr>
        <w:t>（3）资格评审、符合性评审；</w:t>
      </w:r>
    </w:p>
    <w:p w14:paraId="609A509F">
      <w:pPr>
        <w:spacing w:line="360" w:lineRule="auto"/>
        <w:ind w:firstLine="420" w:firstLineChars="200"/>
        <w:rPr>
          <w:color w:val="auto"/>
          <w:highlight w:val="none"/>
        </w:rPr>
      </w:pPr>
      <w:r>
        <w:rPr>
          <w:rFonts w:hint="eastAsia"/>
          <w:color w:val="auto"/>
          <w:highlight w:val="none"/>
        </w:rPr>
        <w:t>（4）商务、技术评审；</w:t>
      </w:r>
    </w:p>
    <w:p w14:paraId="56291AA5">
      <w:pPr>
        <w:spacing w:line="360" w:lineRule="auto"/>
        <w:ind w:firstLine="420" w:firstLineChars="200"/>
        <w:rPr>
          <w:color w:val="auto"/>
          <w:highlight w:val="none"/>
        </w:rPr>
      </w:pPr>
      <w:r>
        <w:rPr>
          <w:rFonts w:hint="eastAsia"/>
          <w:color w:val="auto"/>
          <w:highlight w:val="none"/>
        </w:rPr>
        <w:t>（5）最后磋商报价及最后磋商报价符合性审查</w:t>
      </w:r>
      <w:r>
        <w:rPr>
          <w:rFonts w:hint="eastAsia"/>
          <w:color w:val="auto"/>
          <w:highlight w:val="none"/>
          <w:lang w:eastAsia="zh-CN"/>
        </w:rPr>
        <w:t>（</w:t>
      </w:r>
      <w:r>
        <w:rPr>
          <w:rFonts w:hint="eastAsia"/>
          <w:color w:val="auto"/>
          <w:highlight w:val="none"/>
          <w:lang w:val="en-US" w:eastAsia="zh-CN"/>
        </w:rPr>
        <w:t>二次报价顺序以系统为准</w:t>
      </w:r>
      <w:r>
        <w:rPr>
          <w:rFonts w:hint="eastAsia"/>
          <w:color w:val="auto"/>
          <w:highlight w:val="none"/>
          <w:lang w:eastAsia="zh-CN"/>
        </w:rPr>
        <w:t>）</w:t>
      </w:r>
      <w:r>
        <w:rPr>
          <w:rFonts w:hint="eastAsia"/>
          <w:color w:val="auto"/>
          <w:highlight w:val="none"/>
        </w:rPr>
        <w:t>；</w:t>
      </w:r>
    </w:p>
    <w:p w14:paraId="6B98D323">
      <w:pPr>
        <w:spacing w:line="360" w:lineRule="auto"/>
        <w:ind w:firstLine="420" w:firstLineChars="200"/>
        <w:rPr>
          <w:color w:val="auto"/>
          <w:highlight w:val="none"/>
        </w:rPr>
      </w:pPr>
      <w:r>
        <w:rPr>
          <w:rFonts w:hint="eastAsia"/>
          <w:color w:val="auto"/>
          <w:highlight w:val="none"/>
        </w:rPr>
        <w:t>（6）宣布磋商结果；</w:t>
      </w:r>
    </w:p>
    <w:p w14:paraId="195F513F">
      <w:pPr>
        <w:spacing w:line="360" w:lineRule="auto"/>
        <w:ind w:firstLine="420" w:firstLineChars="200"/>
        <w:rPr>
          <w:color w:val="auto"/>
          <w:highlight w:val="none"/>
        </w:rPr>
      </w:pPr>
      <w:r>
        <w:rPr>
          <w:rFonts w:hint="eastAsia"/>
          <w:color w:val="auto"/>
          <w:highlight w:val="none"/>
        </w:rPr>
        <w:t>（7）提交评审报告。</w:t>
      </w:r>
    </w:p>
    <w:p w14:paraId="09C1A3B1">
      <w:pPr>
        <w:spacing w:line="360" w:lineRule="auto"/>
        <w:ind w:firstLine="420" w:firstLineChars="200"/>
        <w:rPr>
          <w:color w:val="auto"/>
          <w:highlight w:val="none"/>
        </w:rPr>
      </w:pPr>
      <w:r>
        <w:rPr>
          <w:color w:val="auto"/>
          <w:highlight w:val="none"/>
        </w:rPr>
        <w:t>4.1.</w:t>
      </w:r>
      <w:r>
        <w:rPr>
          <w:rFonts w:hint="eastAsia"/>
          <w:color w:val="auto"/>
          <w:highlight w:val="none"/>
        </w:rPr>
        <w:t>3磋商原则：依照“</w:t>
      </w:r>
      <w:r>
        <w:rPr>
          <w:rFonts w:ascii="Arial" w:hAnsi="Arial" w:cs="Arial"/>
          <w:color w:val="auto"/>
          <w:kern w:val="0"/>
          <w:highlight w:val="none"/>
        </w:rPr>
        <w:t>客观、公正、审慎</w:t>
      </w:r>
      <w:r>
        <w:rPr>
          <w:rFonts w:hint="eastAsia"/>
          <w:color w:val="auto"/>
          <w:highlight w:val="none"/>
        </w:rPr>
        <w:t>”的原则。</w:t>
      </w:r>
    </w:p>
    <w:p w14:paraId="5B18E402">
      <w:pPr>
        <w:spacing w:line="360" w:lineRule="auto"/>
        <w:ind w:firstLine="420" w:firstLineChars="200"/>
        <w:rPr>
          <w:color w:val="auto"/>
          <w:highlight w:val="none"/>
        </w:rPr>
      </w:pPr>
      <w:r>
        <w:rPr>
          <w:color w:val="auto"/>
          <w:highlight w:val="none"/>
        </w:rPr>
        <w:t>4.1.</w:t>
      </w:r>
      <w:r>
        <w:rPr>
          <w:rFonts w:hint="eastAsia"/>
          <w:color w:val="auto"/>
          <w:highlight w:val="none"/>
        </w:rPr>
        <w:t>4本项目将邀请相关部门进行现场监督，并按有关规定依法组建磋商小组进行评判。</w:t>
      </w:r>
    </w:p>
    <w:p w14:paraId="08742A73">
      <w:pPr>
        <w:spacing w:line="360" w:lineRule="auto"/>
        <w:ind w:firstLine="420" w:firstLineChars="200"/>
        <w:rPr>
          <w:color w:val="auto"/>
          <w:highlight w:val="none"/>
        </w:rPr>
      </w:pPr>
      <w:r>
        <w:rPr>
          <w:rFonts w:hint="eastAsia"/>
          <w:color w:val="auto"/>
          <w:highlight w:val="none"/>
        </w:rPr>
        <w:t>4.1.5磋商小组的组建：见供应商须知前附表。</w:t>
      </w:r>
    </w:p>
    <w:p w14:paraId="1FCEC29D">
      <w:pPr>
        <w:pStyle w:val="19"/>
        <w:spacing w:line="360" w:lineRule="auto"/>
        <w:ind w:left="0" w:leftChars="0"/>
        <w:rPr>
          <w:color w:val="auto"/>
          <w:highlight w:val="none"/>
        </w:rPr>
      </w:pPr>
      <w:r>
        <w:rPr>
          <w:rFonts w:hint="eastAsia"/>
          <w:color w:val="auto"/>
          <w:highlight w:val="none"/>
        </w:rPr>
        <w:t>4.1.5.1磋商小组成员有下列情形之一的，应当回避：</w:t>
      </w:r>
    </w:p>
    <w:p w14:paraId="12074DBF">
      <w:pPr>
        <w:pStyle w:val="19"/>
        <w:spacing w:line="360" w:lineRule="auto"/>
        <w:rPr>
          <w:color w:val="auto"/>
          <w:highlight w:val="none"/>
        </w:rPr>
      </w:pPr>
      <w:r>
        <w:rPr>
          <w:rFonts w:hint="eastAsia"/>
          <w:color w:val="auto"/>
          <w:highlight w:val="none"/>
        </w:rPr>
        <w:t>（1）采购人或供应商的主要负责人的近亲属；</w:t>
      </w:r>
    </w:p>
    <w:p w14:paraId="63690560">
      <w:pPr>
        <w:pStyle w:val="19"/>
        <w:spacing w:line="360" w:lineRule="auto"/>
        <w:rPr>
          <w:color w:val="auto"/>
          <w:highlight w:val="none"/>
        </w:rPr>
      </w:pPr>
      <w:r>
        <w:rPr>
          <w:rFonts w:hint="eastAsia"/>
          <w:color w:val="auto"/>
          <w:highlight w:val="none"/>
        </w:rPr>
        <w:t>（2）项目主管部门或者行政监督部门的人员；</w:t>
      </w:r>
    </w:p>
    <w:p w14:paraId="48C0A6D2">
      <w:pPr>
        <w:pStyle w:val="19"/>
        <w:spacing w:line="360" w:lineRule="auto"/>
        <w:rPr>
          <w:color w:val="auto"/>
          <w:highlight w:val="none"/>
        </w:rPr>
      </w:pPr>
      <w:r>
        <w:rPr>
          <w:rFonts w:hint="eastAsia"/>
          <w:color w:val="auto"/>
          <w:highlight w:val="none"/>
        </w:rPr>
        <w:t>（3）与供应商有经济利益关系，可能影响公正评审的；</w:t>
      </w:r>
    </w:p>
    <w:p w14:paraId="0B655CBF">
      <w:pPr>
        <w:pStyle w:val="19"/>
        <w:spacing w:line="360" w:lineRule="auto"/>
        <w:rPr>
          <w:color w:val="auto"/>
          <w:highlight w:val="none"/>
        </w:rPr>
      </w:pPr>
      <w:r>
        <w:rPr>
          <w:rFonts w:hint="eastAsia"/>
          <w:color w:val="auto"/>
          <w:highlight w:val="none"/>
        </w:rPr>
        <w:t>（4）曾因在招标、评标以及其他与招标投标有关活动中从事违法行为而受过行政处罚或刑事处罚的。</w:t>
      </w:r>
    </w:p>
    <w:p w14:paraId="2E74D2D0">
      <w:pPr>
        <w:spacing w:line="360" w:lineRule="auto"/>
        <w:outlineLvl w:val="3"/>
        <w:rPr>
          <w:b/>
          <w:bCs/>
          <w:color w:val="auto"/>
          <w:highlight w:val="none"/>
        </w:rPr>
      </w:pPr>
      <w:bookmarkStart w:id="258" w:name="_Toc28871"/>
      <w:bookmarkStart w:id="259" w:name="_Toc1003"/>
      <w:bookmarkStart w:id="260" w:name="_Toc4986"/>
      <w:bookmarkStart w:id="261" w:name="_Toc27792"/>
      <w:bookmarkStart w:id="262" w:name="_Toc3093"/>
      <w:r>
        <w:rPr>
          <w:b/>
          <w:bCs/>
          <w:color w:val="auto"/>
          <w:highlight w:val="none"/>
        </w:rPr>
        <w:t>4.</w:t>
      </w:r>
      <w:r>
        <w:rPr>
          <w:rFonts w:hint="eastAsia"/>
          <w:b/>
          <w:bCs/>
          <w:color w:val="auto"/>
          <w:highlight w:val="none"/>
        </w:rPr>
        <w:t>2 竞争性磋商评审办法</w:t>
      </w:r>
      <w:bookmarkEnd w:id="258"/>
      <w:bookmarkEnd w:id="259"/>
      <w:bookmarkEnd w:id="260"/>
      <w:bookmarkEnd w:id="261"/>
      <w:bookmarkEnd w:id="262"/>
    </w:p>
    <w:p w14:paraId="66B92B8C">
      <w:pPr>
        <w:spacing w:line="360" w:lineRule="auto"/>
        <w:ind w:firstLine="840" w:firstLineChars="400"/>
        <w:rPr>
          <w:color w:val="auto"/>
          <w:highlight w:val="none"/>
        </w:rPr>
      </w:pPr>
      <w:r>
        <w:rPr>
          <w:rFonts w:hint="eastAsia"/>
          <w:color w:val="auto"/>
          <w:highlight w:val="none"/>
        </w:rPr>
        <w:t>详见第三章评审办法。</w:t>
      </w:r>
    </w:p>
    <w:p w14:paraId="1769C3EC">
      <w:pPr>
        <w:rPr>
          <w:color w:val="auto"/>
          <w:highlight w:val="none"/>
        </w:rPr>
      </w:pPr>
    </w:p>
    <w:p w14:paraId="6C4DE904">
      <w:pPr>
        <w:jc w:val="center"/>
        <w:outlineLvl w:val="2"/>
        <w:rPr>
          <w:color w:val="auto"/>
          <w:highlight w:val="none"/>
        </w:rPr>
      </w:pPr>
      <w:bookmarkStart w:id="263" w:name="_Toc4008"/>
      <w:bookmarkStart w:id="264" w:name="_Toc18678"/>
      <w:bookmarkStart w:id="265" w:name="_Toc9340"/>
      <w:bookmarkStart w:id="266" w:name="_Toc17384"/>
      <w:bookmarkStart w:id="267" w:name="_Toc11326363"/>
      <w:bookmarkStart w:id="268" w:name="_Toc9488"/>
      <w:bookmarkStart w:id="269" w:name="_Toc5441"/>
      <w:r>
        <w:rPr>
          <w:rFonts w:hint="eastAsia" w:ascii="新宋体" w:hAnsi="新宋体" w:eastAsia="新宋体"/>
          <w:b/>
          <w:color w:val="auto"/>
          <w:kern w:val="0"/>
          <w:sz w:val="32"/>
          <w:szCs w:val="32"/>
          <w:highlight w:val="none"/>
        </w:rPr>
        <w:t>5.质疑和投诉</w:t>
      </w:r>
      <w:bookmarkEnd w:id="263"/>
      <w:bookmarkEnd w:id="264"/>
      <w:bookmarkEnd w:id="265"/>
      <w:bookmarkEnd w:id="266"/>
      <w:bookmarkEnd w:id="267"/>
      <w:bookmarkEnd w:id="268"/>
      <w:bookmarkEnd w:id="269"/>
    </w:p>
    <w:p w14:paraId="02C1F9BB">
      <w:pPr>
        <w:spacing w:line="360" w:lineRule="auto"/>
        <w:ind w:firstLine="420" w:firstLineChars="200"/>
        <w:rPr>
          <w:color w:val="auto"/>
          <w:highlight w:val="none"/>
        </w:rPr>
      </w:pPr>
    </w:p>
    <w:p w14:paraId="2B6D04C5">
      <w:pPr>
        <w:spacing w:line="360" w:lineRule="auto"/>
        <w:ind w:firstLine="420" w:firstLineChars="200"/>
        <w:rPr>
          <w:color w:val="auto"/>
          <w:highlight w:val="none"/>
        </w:rPr>
      </w:pPr>
      <w:r>
        <w:rPr>
          <w:rFonts w:hint="eastAsia"/>
          <w:color w:val="auto"/>
          <w:highlight w:val="none"/>
        </w:rPr>
        <w:t>供应商和其他利害关系人认为本次采购活动违反法律、法规和规章规定的，有权向有关行政监督部门投诉。</w:t>
      </w:r>
    </w:p>
    <w:p w14:paraId="6879E8F3">
      <w:pPr>
        <w:spacing w:line="360" w:lineRule="auto"/>
        <w:outlineLvl w:val="3"/>
        <w:rPr>
          <w:color w:val="auto"/>
          <w:highlight w:val="none"/>
        </w:rPr>
      </w:pPr>
      <w:bookmarkStart w:id="270" w:name="_Toc4116"/>
      <w:bookmarkStart w:id="271" w:name="_Toc32488"/>
      <w:bookmarkStart w:id="272" w:name="_Toc25660"/>
      <w:bookmarkStart w:id="273" w:name="_Toc32428"/>
      <w:bookmarkStart w:id="274" w:name="_Toc29557"/>
      <w:r>
        <w:rPr>
          <w:rFonts w:hint="eastAsia"/>
          <w:b/>
          <w:bCs/>
          <w:color w:val="auto"/>
          <w:highlight w:val="none"/>
        </w:rPr>
        <w:t>5.1 质疑</w:t>
      </w:r>
      <w:bookmarkEnd w:id="270"/>
      <w:bookmarkEnd w:id="271"/>
      <w:bookmarkEnd w:id="272"/>
      <w:bookmarkEnd w:id="273"/>
      <w:bookmarkEnd w:id="274"/>
    </w:p>
    <w:p w14:paraId="1BACF993">
      <w:pPr>
        <w:spacing w:line="360" w:lineRule="auto"/>
        <w:ind w:firstLine="420" w:firstLineChars="200"/>
        <w:rPr>
          <w:color w:val="auto"/>
          <w:highlight w:val="none"/>
        </w:rPr>
      </w:pPr>
      <w:r>
        <w:rPr>
          <w:rFonts w:hint="eastAsia"/>
          <w:color w:val="auto"/>
          <w:highlight w:val="none"/>
        </w:rPr>
        <w:t>（1）供应商认为竞争性磋商文件、采购过程和成交结果使自己的权益受到损害的，应当在知道或者应知其权益受到损害之日起七个工作日内，以书面形式向采购人或采购代理机构提出质疑。质疑内容不得含有虚假、恶意成分。当事人对自己提出的主张，有责任提供证据，提出质疑时应同时提交相关证据材料和注明事实的确切来源。不得以假设、揣测、据说、听说等缺乏事实依据的理由提出质疑。</w:t>
      </w:r>
      <w:r>
        <w:rPr>
          <w:rFonts w:hint="eastAsia"/>
          <w:color w:val="auto"/>
          <w:highlight w:val="none"/>
          <w:lang w:val="en-US" w:eastAsia="zh-CN"/>
        </w:rPr>
        <w:t>对</w:t>
      </w:r>
      <w:r>
        <w:rPr>
          <w:rFonts w:hint="eastAsia"/>
          <w:color w:val="auto"/>
          <w:highlight w:val="none"/>
          <w:lang w:eastAsia="zh-CN"/>
        </w:rPr>
        <w:t>采购文件的</w:t>
      </w:r>
      <w:r>
        <w:rPr>
          <w:rFonts w:hint="eastAsia"/>
          <w:color w:val="auto"/>
          <w:highlight w:val="none"/>
          <w:lang w:val="en-US" w:eastAsia="zh-CN"/>
        </w:rPr>
        <w:t>质疑，</w:t>
      </w:r>
      <w:r>
        <w:rPr>
          <w:rFonts w:hint="eastAsia"/>
          <w:color w:val="auto"/>
          <w:highlight w:val="none"/>
          <w:lang w:eastAsia="zh-CN"/>
        </w:rPr>
        <w:t>供应商</w:t>
      </w:r>
      <w:r>
        <w:rPr>
          <w:rFonts w:hint="eastAsia"/>
          <w:color w:val="auto"/>
          <w:highlight w:val="none"/>
          <w:lang w:val="en-US" w:eastAsia="zh-CN"/>
        </w:rPr>
        <w:t>应在</w:t>
      </w:r>
      <w:r>
        <w:rPr>
          <w:rFonts w:hint="eastAsia"/>
          <w:color w:val="auto"/>
          <w:highlight w:val="none"/>
          <w:lang w:eastAsia="zh-CN"/>
        </w:rPr>
        <w:t>法定质疑期内一次性提出针对同一采购程序环节的质疑。</w:t>
      </w:r>
    </w:p>
    <w:p w14:paraId="6CF3C7B0">
      <w:pPr>
        <w:spacing w:line="360" w:lineRule="auto"/>
        <w:ind w:firstLine="420" w:firstLineChars="200"/>
        <w:rPr>
          <w:rFonts w:hint="eastAsia" w:eastAsia="宋体"/>
          <w:color w:val="auto"/>
          <w:highlight w:val="none"/>
          <w:lang w:eastAsia="zh-CN"/>
        </w:rPr>
      </w:pPr>
      <w:r>
        <w:rPr>
          <w:rFonts w:hint="eastAsia"/>
          <w:color w:val="auto"/>
          <w:highlight w:val="none"/>
        </w:rPr>
        <w:t>（2）提出质疑的供应商应当是参与所质疑项目招标活动的供应商</w:t>
      </w:r>
      <w:r>
        <w:rPr>
          <w:rFonts w:hint="eastAsia"/>
          <w:color w:val="auto"/>
          <w:highlight w:val="none"/>
          <w:lang w:eastAsia="zh-CN"/>
        </w:rPr>
        <w:t>。潜在供应商已依法获取其可质疑的采购文件的，可以对该文件提出质疑。对采购文件提出质疑的，应当在获取采购文件或者采购文件公告期限届满之日起7个工作日内提出。</w:t>
      </w:r>
    </w:p>
    <w:p w14:paraId="612B56DC">
      <w:pPr>
        <w:spacing w:line="360" w:lineRule="auto"/>
        <w:ind w:firstLine="420" w:firstLineChars="200"/>
        <w:rPr>
          <w:color w:val="auto"/>
          <w:highlight w:val="none"/>
        </w:rPr>
      </w:pPr>
      <w:r>
        <w:rPr>
          <w:rFonts w:hint="eastAsia"/>
          <w:color w:val="auto"/>
          <w:highlight w:val="none"/>
        </w:rPr>
        <w:t>（3）供应商提供的质疑书（如材料中有外文资料应同时附上中文译本）应当包括以下主要内容：</w:t>
      </w:r>
    </w:p>
    <w:p w14:paraId="2B526D36">
      <w:pPr>
        <w:spacing w:line="360" w:lineRule="auto"/>
        <w:ind w:firstLine="420" w:firstLineChars="200"/>
        <w:rPr>
          <w:color w:val="auto"/>
          <w:highlight w:val="none"/>
        </w:rPr>
      </w:pPr>
      <w:r>
        <w:rPr>
          <w:rFonts w:hint="eastAsia"/>
          <w:color w:val="auto"/>
          <w:highlight w:val="none"/>
        </w:rPr>
        <w:t xml:space="preserve">① </w:t>
      </w:r>
      <w:r>
        <w:rPr>
          <w:rFonts w:hint="eastAsia"/>
          <w:color w:val="auto"/>
          <w:highlight w:val="none"/>
          <w:lang w:val="en-US" w:eastAsia="zh-CN"/>
        </w:rPr>
        <w:t>供应商的姓名或者名称、地址、邮编、联系人及联系电话</w:t>
      </w:r>
      <w:r>
        <w:rPr>
          <w:rFonts w:hint="eastAsia"/>
          <w:color w:val="auto"/>
          <w:highlight w:val="none"/>
        </w:rPr>
        <w:t>；</w:t>
      </w:r>
    </w:p>
    <w:p w14:paraId="7819174A">
      <w:pPr>
        <w:spacing w:line="360" w:lineRule="auto"/>
        <w:ind w:firstLine="420" w:firstLineChars="200"/>
        <w:rPr>
          <w:color w:val="auto"/>
          <w:highlight w:val="none"/>
        </w:rPr>
      </w:pPr>
      <w:r>
        <w:rPr>
          <w:rFonts w:hint="eastAsia"/>
          <w:color w:val="auto"/>
          <w:highlight w:val="none"/>
        </w:rPr>
        <w:t xml:space="preserve">② </w:t>
      </w:r>
      <w:r>
        <w:rPr>
          <w:rFonts w:hint="eastAsia"/>
          <w:color w:val="auto"/>
          <w:highlight w:val="none"/>
          <w:lang w:val="en-US" w:eastAsia="zh-CN"/>
        </w:rPr>
        <w:t>质疑项目的名称、编号</w:t>
      </w:r>
      <w:r>
        <w:rPr>
          <w:rFonts w:hint="eastAsia"/>
          <w:color w:val="auto"/>
          <w:highlight w:val="none"/>
        </w:rPr>
        <w:t>；</w:t>
      </w:r>
    </w:p>
    <w:p w14:paraId="0627200C">
      <w:pPr>
        <w:spacing w:line="360" w:lineRule="auto"/>
        <w:ind w:firstLine="420" w:firstLineChars="200"/>
        <w:rPr>
          <w:color w:val="auto"/>
          <w:highlight w:val="none"/>
        </w:rPr>
      </w:pPr>
      <w:r>
        <w:rPr>
          <w:rFonts w:hint="eastAsia"/>
          <w:color w:val="auto"/>
          <w:highlight w:val="none"/>
        </w:rPr>
        <w:t xml:space="preserve">③ </w:t>
      </w:r>
      <w:r>
        <w:rPr>
          <w:rFonts w:hint="default" w:ascii="宋体" w:hAnsi="宋体" w:cs="宋体"/>
          <w:b w:val="0"/>
          <w:bCs w:val="0"/>
          <w:color w:val="auto"/>
          <w:highlight w:val="none"/>
          <w:lang w:val="en-US" w:eastAsia="zh-CN"/>
        </w:rPr>
        <w:t>具体、明确的质疑事项和与质疑事项相关的请求</w:t>
      </w:r>
      <w:r>
        <w:rPr>
          <w:rFonts w:hint="eastAsia"/>
          <w:color w:val="auto"/>
          <w:highlight w:val="none"/>
        </w:rPr>
        <w:t>；</w:t>
      </w:r>
    </w:p>
    <w:p w14:paraId="79CD028D">
      <w:pPr>
        <w:spacing w:line="360" w:lineRule="auto"/>
        <w:ind w:firstLine="420" w:firstLineChars="200"/>
        <w:rPr>
          <w:color w:val="auto"/>
          <w:highlight w:val="none"/>
        </w:rPr>
      </w:pPr>
      <w:r>
        <w:rPr>
          <w:rFonts w:hint="eastAsia"/>
          <w:color w:val="auto"/>
          <w:highlight w:val="none"/>
        </w:rPr>
        <w:t xml:space="preserve">④ </w:t>
      </w:r>
      <w:r>
        <w:rPr>
          <w:rFonts w:hint="eastAsia"/>
          <w:color w:val="auto"/>
          <w:highlight w:val="none"/>
          <w:lang w:val="en-US" w:eastAsia="zh-CN"/>
        </w:rPr>
        <w:t>事实依据</w:t>
      </w:r>
      <w:r>
        <w:rPr>
          <w:rFonts w:hint="eastAsia"/>
          <w:color w:val="auto"/>
          <w:highlight w:val="none"/>
        </w:rPr>
        <w:t>；</w:t>
      </w:r>
    </w:p>
    <w:p w14:paraId="5145DBDE">
      <w:pPr>
        <w:spacing w:line="360" w:lineRule="auto"/>
        <w:ind w:firstLine="420" w:firstLineChars="200"/>
        <w:rPr>
          <w:color w:val="auto"/>
          <w:highlight w:val="none"/>
        </w:rPr>
      </w:pPr>
      <w:r>
        <w:rPr>
          <w:rFonts w:hint="eastAsia"/>
          <w:color w:val="auto"/>
          <w:highlight w:val="none"/>
        </w:rPr>
        <w:t xml:space="preserve">⑤ </w:t>
      </w:r>
      <w:r>
        <w:rPr>
          <w:rFonts w:hint="eastAsia"/>
          <w:color w:val="auto"/>
          <w:highlight w:val="none"/>
          <w:lang w:val="en-US" w:eastAsia="zh-CN"/>
        </w:rPr>
        <w:t>必要的法律依据</w:t>
      </w:r>
      <w:r>
        <w:rPr>
          <w:rFonts w:hint="eastAsia"/>
          <w:color w:val="auto"/>
          <w:highlight w:val="none"/>
        </w:rPr>
        <w:t>；</w:t>
      </w:r>
    </w:p>
    <w:p w14:paraId="6B558FAF">
      <w:pPr>
        <w:spacing w:line="360" w:lineRule="auto"/>
        <w:ind w:firstLine="420" w:firstLineChars="200"/>
        <w:rPr>
          <w:color w:val="auto"/>
          <w:highlight w:val="none"/>
        </w:rPr>
      </w:pPr>
      <w:r>
        <w:rPr>
          <w:rFonts w:hint="eastAsia"/>
          <w:color w:val="auto"/>
          <w:highlight w:val="none"/>
        </w:rPr>
        <w:t xml:space="preserve">⑥ </w:t>
      </w:r>
      <w:r>
        <w:rPr>
          <w:rFonts w:hint="default" w:ascii="宋体" w:hAnsi="宋体" w:cs="宋体"/>
          <w:b w:val="0"/>
          <w:bCs w:val="0"/>
          <w:color w:val="auto"/>
          <w:highlight w:val="none"/>
          <w:lang w:val="en-US" w:eastAsia="zh-CN"/>
        </w:rPr>
        <w:t>提出质疑的日期</w:t>
      </w:r>
      <w:r>
        <w:rPr>
          <w:rFonts w:hint="eastAsia"/>
          <w:color w:val="auto"/>
          <w:highlight w:val="none"/>
        </w:rPr>
        <w:t>。</w:t>
      </w:r>
    </w:p>
    <w:p w14:paraId="177F6816">
      <w:pPr>
        <w:spacing w:line="360" w:lineRule="auto"/>
        <w:ind w:firstLine="420" w:firstLineChars="200"/>
        <w:rPr>
          <w:color w:val="auto"/>
          <w:highlight w:val="none"/>
        </w:rPr>
      </w:pPr>
      <w:r>
        <w:rPr>
          <w:rFonts w:hint="eastAsia"/>
          <w:color w:val="auto"/>
          <w:highlight w:val="none"/>
          <w:lang w:val="en-US" w:eastAsia="zh-CN"/>
        </w:rPr>
        <w:t>供应商为自然人的，应当由本人签字；供应商为法人或者其他组织的，应当由法定代表人、主要负责人，或者其授权代表签字或者盖章，并加盖公章</w:t>
      </w:r>
      <w:r>
        <w:rPr>
          <w:rFonts w:hint="eastAsia"/>
          <w:color w:val="auto"/>
          <w:highlight w:val="none"/>
        </w:rPr>
        <w:t>。</w:t>
      </w:r>
    </w:p>
    <w:p w14:paraId="053AFA9F">
      <w:pPr>
        <w:spacing w:line="360" w:lineRule="auto"/>
        <w:ind w:firstLine="420" w:firstLineChars="200"/>
        <w:rPr>
          <w:color w:val="auto"/>
          <w:highlight w:val="none"/>
        </w:rPr>
      </w:pPr>
      <w:r>
        <w:rPr>
          <w:rFonts w:hint="eastAsia"/>
          <w:color w:val="auto"/>
          <w:highlight w:val="none"/>
        </w:rPr>
        <w:t>（4）采购人、采购代理机构将在收到供应商的书面质疑后七个工作日内作出答复，但答复的内容不涉及商业秘密。</w:t>
      </w:r>
    </w:p>
    <w:p w14:paraId="40D15F33">
      <w:pPr>
        <w:spacing w:line="360" w:lineRule="auto"/>
        <w:ind w:firstLine="420" w:firstLineChars="200"/>
        <w:rPr>
          <w:color w:val="auto"/>
          <w:highlight w:val="none"/>
        </w:rPr>
      </w:pPr>
      <w:r>
        <w:rPr>
          <w:rFonts w:hint="eastAsia"/>
          <w:color w:val="auto"/>
          <w:highlight w:val="none"/>
        </w:rPr>
        <w:t>（5）参与采购活动的供应商对评审过程或者结果提出质疑的，采购人或采购代理机构可以组织原磋商小组协助处理质疑事项，并依据磋商小组出具的意见进行答复。质疑答复导致成交结果改变的，采购人或采购代理机构应当将相关情况有关主管部门备案。</w:t>
      </w:r>
    </w:p>
    <w:p w14:paraId="2C0AC768">
      <w:pPr>
        <w:spacing w:line="360" w:lineRule="auto"/>
        <w:ind w:firstLine="420" w:firstLineChars="200"/>
        <w:rPr>
          <w:color w:val="auto"/>
          <w:highlight w:val="none"/>
        </w:rPr>
      </w:pPr>
      <w:r>
        <w:rPr>
          <w:rFonts w:hint="eastAsia"/>
          <w:color w:val="auto"/>
          <w:highlight w:val="none"/>
        </w:rPr>
        <w:t>（6）不在法定质疑期内提出的质疑函，采购人或者采购代理机构可以拒收。不符合要求的质疑函在法定质疑期内及时补充完整，否则作质疑不成立处理</w:t>
      </w:r>
    </w:p>
    <w:p w14:paraId="4808E4FB">
      <w:pPr>
        <w:spacing w:line="360" w:lineRule="auto"/>
        <w:outlineLvl w:val="3"/>
        <w:rPr>
          <w:color w:val="auto"/>
          <w:highlight w:val="none"/>
        </w:rPr>
      </w:pPr>
      <w:bookmarkStart w:id="275" w:name="_Toc18201"/>
      <w:bookmarkStart w:id="276" w:name="_Toc7942"/>
      <w:bookmarkStart w:id="277" w:name="_Toc21581"/>
      <w:bookmarkStart w:id="278" w:name="_Toc321836357"/>
      <w:bookmarkStart w:id="279" w:name="_Toc27542"/>
      <w:bookmarkStart w:id="280" w:name="_Toc2709"/>
      <w:r>
        <w:rPr>
          <w:rFonts w:hint="eastAsia"/>
          <w:b/>
          <w:bCs/>
          <w:color w:val="auto"/>
          <w:highlight w:val="none"/>
        </w:rPr>
        <w:t>5.2 投诉</w:t>
      </w:r>
      <w:bookmarkEnd w:id="275"/>
      <w:bookmarkEnd w:id="276"/>
      <w:bookmarkEnd w:id="277"/>
      <w:bookmarkEnd w:id="278"/>
      <w:bookmarkEnd w:id="279"/>
      <w:bookmarkEnd w:id="280"/>
    </w:p>
    <w:p w14:paraId="29552CD6">
      <w:pPr>
        <w:spacing w:line="360" w:lineRule="auto"/>
        <w:ind w:firstLine="420" w:firstLineChars="200"/>
        <w:rPr>
          <w:color w:val="auto"/>
          <w:highlight w:val="none"/>
        </w:rPr>
      </w:pPr>
      <w:r>
        <w:rPr>
          <w:rFonts w:hint="eastAsia"/>
          <w:color w:val="auto"/>
          <w:highlight w:val="none"/>
        </w:rPr>
        <w:t>投诉必须首先经过质疑程序。质疑供应商对采购人、采购代理机构的答复不满意，或者采购人、采购代理机构未在规定时间内作出答复的，可以在答复期满后15个工作日内向</w:t>
      </w:r>
      <w:r>
        <w:rPr>
          <w:rFonts w:hint="eastAsia"/>
          <w:color w:val="auto"/>
          <w:highlight w:val="none"/>
          <w:lang w:val="en-US" w:eastAsia="zh-CN"/>
        </w:rPr>
        <w:t>采购人本级</w:t>
      </w:r>
      <w:r>
        <w:rPr>
          <w:rFonts w:hint="eastAsia"/>
          <w:color w:val="auto"/>
          <w:highlight w:val="none"/>
        </w:rPr>
        <w:t>财政部门提起投诉。</w:t>
      </w:r>
    </w:p>
    <w:p w14:paraId="4628A85F">
      <w:pPr>
        <w:pStyle w:val="19"/>
        <w:rPr>
          <w:color w:val="auto"/>
          <w:highlight w:val="none"/>
        </w:rPr>
      </w:pPr>
    </w:p>
    <w:p w14:paraId="1A02B767">
      <w:pPr>
        <w:spacing w:line="360" w:lineRule="auto"/>
        <w:rPr>
          <w:color w:val="auto"/>
          <w:highlight w:val="none"/>
        </w:rPr>
      </w:pPr>
    </w:p>
    <w:p w14:paraId="00E7A990">
      <w:pPr>
        <w:pStyle w:val="7"/>
        <w:rPr>
          <w:color w:val="auto"/>
          <w:highlight w:val="none"/>
        </w:rPr>
      </w:pPr>
    </w:p>
    <w:p w14:paraId="6896937F">
      <w:pPr>
        <w:spacing w:line="360" w:lineRule="auto"/>
        <w:jc w:val="center"/>
        <w:outlineLvl w:val="2"/>
        <w:rPr>
          <w:color w:val="auto"/>
          <w:highlight w:val="none"/>
        </w:rPr>
      </w:pPr>
      <w:bookmarkStart w:id="281" w:name="_Toc1781"/>
      <w:bookmarkStart w:id="282" w:name="_Toc414014532"/>
      <w:bookmarkStart w:id="283" w:name="_Toc28634"/>
      <w:bookmarkStart w:id="284" w:name="_Toc122530390"/>
      <w:bookmarkStart w:id="285" w:name="_Toc19169"/>
      <w:bookmarkStart w:id="286" w:name="_Toc330589215"/>
      <w:bookmarkStart w:id="287" w:name="_Toc9352"/>
      <w:bookmarkStart w:id="288" w:name="_Toc25841"/>
      <w:bookmarkStart w:id="289" w:name="_Toc370201281"/>
      <w:bookmarkStart w:id="290" w:name="_Toc27921"/>
      <w:bookmarkStart w:id="291" w:name="_Toc11326361"/>
      <w:r>
        <w:rPr>
          <w:rFonts w:hint="eastAsia"/>
          <w:b/>
          <w:bCs/>
          <w:color w:val="auto"/>
          <w:sz w:val="32"/>
          <w:szCs w:val="32"/>
          <w:highlight w:val="none"/>
        </w:rPr>
        <w:t>6.成交通知和合同授予</w:t>
      </w:r>
      <w:bookmarkEnd w:id="281"/>
      <w:bookmarkEnd w:id="282"/>
      <w:bookmarkEnd w:id="283"/>
      <w:bookmarkEnd w:id="284"/>
      <w:bookmarkEnd w:id="285"/>
      <w:bookmarkEnd w:id="286"/>
      <w:bookmarkEnd w:id="287"/>
      <w:bookmarkEnd w:id="288"/>
      <w:bookmarkEnd w:id="289"/>
      <w:bookmarkEnd w:id="290"/>
      <w:bookmarkEnd w:id="291"/>
    </w:p>
    <w:p w14:paraId="22E11C1E">
      <w:pPr>
        <w:spacing w:line="360" w:lineRule="auto"/>
        <w:rPr>
          <w:color w:val="auto"/>
          <w:highlight w:val="none"/>
        </w:rPr>
      </w:pPr>
      <w:bookmarkStart w:id="292" w:name="_Toc122530392"/>
    </w:p>
    <w:p w14:paraId="4CBEC2BF">
      <w:pPr>
        <w:spacing w:line="360" w:lineRule="auto"/>
        <w:outlineLvl w:val="3"/>
        <w:rPr>
          <w:color w:val="auto"/>
          <w:highlight w:val="none"/>
        </w:rPr>
      </w:pPr>
      <w:bookmarkStart w:id="293" w:name="_Toc17592"/>
      <w:bookmarkStart w:id="294" w:name="_Toc4785"/>
      <w:bookmarkStart w:id="295" w:name="_Toc11929"/>
      <w:bookmarkStart w:id="296" w:name="_Toc22244"/>
      <w:bookmarkStart w:id="297" w:name="_Toc5895"/>
      <w:r>
        <w:rPr>
          <w:rFonts w:hint="eastAsia"/>
          <w:b/>
          <w:bCs/>
          <w:color w:val="auto"/>
          <w:highlight w:val="none"/>
        </w:rPr>
        <w:t>6</w:t>
      </w:r>
      <w:r>
        <w:rPr>
          <w:b/>
          <w:bCs/>
          <w:color w:val="auto"/>
          <w:highlight w:val="none"/>
        </w:rPr>
        <w:t>.1</w:t>
      </w:r>
      <w:r>
        <w:rPr>
          <w:rFonts w:hint="eastAsia"/>
          <w:b/>
          <w:bCs/>
          <w:color w:val="auto"/>
          <w:highlight w:val="none"/>
        </w:rPr>
        <w:t xml:space="preserve"> 成交通知</w:t>
      </w:r>
      <w:bookmarkEnd w:id="292"/>
      <w:bookmarkEnd w:id="293"/>
      <w:bookmarkEnd w:id="294"/>
      <w:bookmarkEnd w:id="295"/>
      <w:bookmarkEnd w:id="296"/>
      <w:bookmarkEnd w:id="297"/>
    </w:p>
    <w:p w14:paraId="2A00A29E">
      <w:pPr>
        <w:spacing w:line="360" w:lineRule="auto"/>
        <w:ind w:firstLine="420" w:firstLineChars="200"/>
        <w:rPr>
          <w:color w:val="auto"/>
          <w:highlight w:val="none"/>
        </w:rPr>
      </w:pPr>
      <w:r>
        <w:rPr>
          <w:rFonts w:hint="eastAsia"/>
          <w:color w:val="auto"/>
          <w:highlight w:val="none"/>
        </w:rPr>
        <w:t>6.1.1 采购代理机构应当在评审结束后2个工作日内将评审报告送采购人确认。</w:t>
      </w:r>
    </w:p>
    <w:p w14:paraId="03305C2C">
      <w:pPr>
        <w:spacing w:line="360" w:lineRule="auto"/>
        <w:ind w:firstLine="420" w:firstLineChars="200"/>
        <w:rPr>
          <w:color w:val="auto"/>
          <w:highlight w:val="none"/>
        </w:rPr>
      </w:pPr>
      <w:r>
        <w:rPr>
          <w:rFonts w:hint="eastAsia"/>
          <w:color w:val="auto"/>
          <w:highlight w:val="none"/>
        </w:rPr>
        <w:t>6.1.2 采购人应当在收到评审报告后5个工作日内，从评审报告提出的成交候选人中，采购人依据磋商小组推荐的成交候选人确定成交人。</w:t>
      </w:r>
    </w:p>
    <w:p w14:paraId="5115CD08">
      <w:pPr>
        <w:spacing w:line="360" w:lineRule="auto"/>
        <w:ind w:firstLine="420" w:firstLineChars="200"/>
        <w:rPr>
          <w:color w:val="auto"/>
          <w:highlight w:val="none"/>
        </w:rPr>
      </w:pPr>
      <w:r>
        <w:rPr>
          <w:rFonts w:hint="eastAsia"/>
          <w:color w:val="auto"/>
          <w:highlight w:val="none"/>
        </w:rPr>
        <w:t>6.1.3采购人应当确定排名第一的成交候选人为成交人。排名第一的成交候选人放弃成交采购人可以确定排名第二的成交候选人为成交人，无正当理解放弃成交的没收其磋商保证金。</w:t>
      </w:r>
    </w:p>
    <w:p w14:paraId="38FA165F">
      <w:pPr>
        <w:spacing w:line="360" w:lineRule="auto"/>
        <w:ind w:firstLine="420" w:firstLineChars="200"/>
        <w:rPr>
          <w:color w:val="auto"/>
          <w:highlight w:val="none"/>
        </w:rPr>
      </w:pPr>
      <w:r>
        <w:rPr>
          <w:rFonts w:hint="eastAsia"/>
          <w:color w:val="auto"/>
          <w:highlight w:val="none"/>
        </w:rPr>
        <w:t>排名第二的成交候选人因前款规定的同样原因不能签订合同的，采购人可以确定排名第三的成交候选人为成交人。</w:t>
      </w:r>
    </w:p>
    <w:p w14:paraId="6B7B5FBD">
      <w:pPr>
        <w:spacing w:line="360" w:lineRule="auto"/>
        <w:ind w:firstLine="420" w:firstLineChars="200"/>
        <w:rPr>
          <w:color w:val="auto"/>
          <w:highlight w:val="none"/>
        </w:rPr>
      </w:pPr>
      <w:r>
        <w:rPr>
          <w:rFonts w:hint="eastAsia"/>
          <w:color w:val="auto"/>
          <w:highlight w:val="none"/>
        </w:rPr>
        <w:t>6.1. 4采购人或者采购代理机构应当在成交供应商确定后，在省级以上财政部门指定的政府采购信息发布媒体上公告成交结果，同时向成交供应商发出成交通知书，并将磋商文件随成交结果同时公告，公示期为1个工作日。</w:t>
      </w:r>
    </w:p>
    <w:p w14:paraId="2A6E54B2">
      <w:pPr>
        <w:spacing w:line="360" w:lineRule="auto"/>
        <w:ind w:firstLine="420" w:firstLineChars="200"/>
        <w:rPr>
          <w:color w:val="auto"/>
          <w:highlight w:val="none"/>
        </w:rPr>
      </w:pPr>
      <w:r>
        <w:rPr>
          <w:rFonts w:hint="eastAsia"/>
          <w:color w:val="auto"/>
          <w:highlight w:val="none"/>
        </w:rPr>
        <w:t>6.1.5 成交通知书是合同的一个组成部分。</w:t>
      </w:r>
    </w:p>
    <w:p w14:paraId="305A3F70">
      <w:pPr>
        <w:spacing w:line="360" w:lineRule="auto"/>
        <w:ind w:firstLine="420" w:firstLineChars="200"/>
        <w:rPr>
          <w:color w:val="auto"/>
          <w:highlight w:val="none"/>
        </w:rPr>
      </w:pPr>
      <w:r>
        <w:rPr>
          <w:rFonts w:hint="eastAsia"/>
          <w:color w:val="auto"/>
          <w:highlight w:val="none"/>
        </w:rPr>
        <w:t>6.1.6 除不可抗力等因素外，成交通知书发出后，采购人改变成交结果，或者成交供应商拒绝签订采购合同的，应当承担相应的法律责任。</w:t>
      </w:r>
    </w:p>
    <w:p w14:paraId="1687B36E">
      <w:pPr>
        <w:spacing w:line="360" w:lineRule="auto"/>
        <w:outlineLvl w:val="3"/>
        <w:rPr>
          <w:b/>
          <w:bCs/>
          <w:color w:val="auto"/>
          <w:highlight w:val="none"/>
        </w:rPr>
      </w:pPr>
      <w:bookmarkStart w:id="298" w:name="_Toc122530393"/>
      <w:r>
        <w:rPr>
          <w:rFonts w:hint="eastAsia"/>
          <w:b/>
          <w:bCs/>
          <w:color w:val="auto"/>
          <w:highlight w:val="none"/>
        </w:rPr>
        <w:t>6</w:t>
      </w:r>
      <w:r>
        <w:rPr>
          <w:b/>
          <w:bCs/>
          <w:color w:val="auto"/>
          <w:highlight w:val="none"/>
        </w:rPr>
        <w:t>.2</w:t>
      </w:r>
      <w:r>
        <w:rPr>
          <w:rFonts w:hint="eastAsia"/>
          <w:b/>
          <w:bCs/>
          <w:color w:val="auto"/>
          <w:highlight w:val="none"/>
        </w:rPr>
        <w:t xml:space="preserve"> 签订合同</w:t>
      </w:r>
      <w:bookmarkEnd w:id="298"/>
    </w:p>
    <w:p w14:paraId="7573EBCB">
      <w:pPr>
        <w:spacing w:line="360" w:lineRule="auto"/>
        <w:ind w:firstLine="420" w:firstLineChars="200"/>
        <w:rPr>
          <w:color w:val="auto"/>
          <w:highlight w:val="none"/>
        </w:rPr>
      </w:pPr>
      <w:r>
        <w:rPr>
          <w:rFonts w:hint="eastAsia"/>
          <w:color w:val="auto"/>
          <w:highlight w:val="none"/>
        </w:rPr>
        <w:t>6</w:t>
      </w:r>
      <w:r>
        <w:rPr>
          <w:color w:val="auto"/>
          <w:highlight w:val="none"/>
        </w:rPr>
        <w:t xml:space="preserve">.2.1 </w:t>
      </w:r>
      <w:r>
        <w:rPr>
          <w:rFonts w:hint="eastAsia"/>
          <w:color w:val="auto"/>
          <w:highlight w:val="none"/>
        </w:rPr>
        <w:t>成交人按《成交通知书》规定的事项与采购人签订合同。</w:t>
      </w:r>
    </w:p>
    <w:p w14:paraId="5A20A919">
      <w:pPr>
        <w:spacing w:line="360" w:lineRule="auto"/>
        <w:ind w:firstLine="420" w:firstLineChars="200"/>
        <w:rPr>
          <w:color w:val="auto"/>
          <w:highlight w:val="none"/>
        </w:rPr>
      </w:pPr>
      <w:r>
        <w:rPr>
          <w:rFonts w:hint="eastAsia"/>
          <w:color w:val="auto"/>
          <w:highlight w:val="none"/>
        </w:rPr>
        <w:t>6</w:t>
      </w:r>
      <w:r>
        <w:rPr>
          <w:color w:val="auto"/>
          <w:highlight w:val="none"/>
        </w:rPr>
        <w:t xml:space="preserve">.2.2 </w:t>
      </w:r>
      <w:r>
        <w:rPr>
          <w:rFonts w:hint="eastAsia"/>
          <w:color w:val="auto"/>
          <w:highlight w:val="none"/>
        </w:rPr>
        <w:t>竞争性磋商文件、成交供应商的磋商文件及其磋商承诺、成交通知书，均作为签订合同内容的依据。</w:t>
      </w:r>
    </w:p>
    <w:p w14:paraId="74957034">
      <w:pPr>
        <w:spacing w:line="360" w:lineRule="auto"/>
        <w:ind w:firstLine="420" w:firstLineChars="200"/>
        <w:rPr>
          <w:color w:val="auto"/>
          <w:highlight w:val="none"/>
        </w:rPr>
      </w:pPr>
      <w:r>
        <w:rPr>
          <w:rFonts w:hint="eastAsia"/>
          <w:color w:val="auto"/>
          <w:highlight w:val="none"/>
        </w:rPr>
        <w:t>6.2.3 采购人与成交供应商应当在成交通知书发出之日起30日内，按照竞争性磋商文件确定的合同文本以及采购标的、规格型号、采购金额、采购数量、采购需求等事项签订采购合同。</w:t>
      </w:r>
    </w:p>
    <w:p w14:paraId="07CE80D0">
      <w:pPr>
        <w:spacing w:line="360" w:lineRule="auto"/>
        <w:ind w:firstLine="420" w:firstLineChars="200"/>
        <w:rPr>
          <w:color w:val="auto"/>
          <w:highlight w:val="none"/>
        </w:rPr>
      </w:pPr>
      <w:r>
        <w:rPr>
          <w:rFonts w:hint="eastAsia"/>
          <w:color w:val="auto"/>
          <w:highlight w:val="none"/>
        </w:rPr>
        <w:t>6.2.4 第一成交人拒绝签订采购合同的，按6.1.3规定的方式确定成交人并签订采购合同，也可以重新开展采购活动。拒绝签订采购合同的成交人不得参加对该项目重新开展的采购活动。</w:t>
      </w:r>
    </w:p>
    <w:p w14:paraId="1413101A">
      <w:pPr>
        <w:spacing w:line="360" w:lineRule="auto"/>
        <w:ind w:firstLine="420" w:firstLineChars="200"/>
        <w:rPr>
          <w:color w:val="auto"/>
          <w:highlight w:val="none"/>
        </w:rPr>
      </w:pPr>
      <w:r>
        <w:rPr>
          <w:rFonts w:hint="eastAsia"/>
          <w:color w:val="auto"/>
          <w:highlight w:val="none"/>
        </w:rPr>
        <w:t>6.2.5采购合同履行中，采购人需追加与合同标的相同的货物、工程或服务的，在不改变合同其他条款的前提下，可以与供应商签订补充合同，但所有补充合同的采购金额不得超过原合同采购金额的百分之十。</w:t>
      </w:r>
    </w:p>
    <w:p w14:paraId="4FD57A7A">
      <w:pPr>
        <w:pStyle w:val="19"/>
        <w:rPr>
          <w:color w:val="auto"/>
          <w:highlight w:val="none"/>
        </w:rPr>
      </w:pPr>
    </w:p>
    <w:p w14:paraId="4E39A165">
      <w:pPr>
        <w:pStyle w:val="19"/>
        <w:rPr>
          <w:color w:val="auto"/>
          <w:highlight w:val="none"/>
        </w:rPr>
      </w:pPr>
    </w:p>
    <w:p w14:paraId="09FC3C5E">
      <w:pPr>
        <w:pStyle w:val="4"/>
        <w:jc w:val="center"/>
        <w:rPr>
          <w:color w:val="auto"/>
          <w:highlight w:val="none"/>
        </w:rPr>
      </w:pPr>
      <w:bookmarkStart w:id="299" w:name="_Toc22696"/>
      <w:bookmarkStart w:id="300" w:name="_Toc14790"/>
      <w:bookmarkStart w:id="301" w:name="_Toc17580"/>
      <w:bookmarkStart w:id="302" w:name="_Toc9608"/>
      <w:bookmarkStart w:id="303" w:name="_Toc27203"/>
      <w:r>
        <w:rPr>
          <w:rFonts w:hint="eastAsia" w:ascii="新宋体" w:hAnsi="新宋体" w:eastAsia="新宋体"/>
          <w:color w:val="auto"/>
          <w:kern w:val="0"/>
          <w:highlight w:val="none"/>
        </w:rPr>
        <w:t>7.采购活动需要落实的政策</w:t>
      </w:r>
      <w:bookmarkEnd w:id="299"/>
      <w:bookmarkEnd w:id="300"/>
      <w:bookmarkEnd w:id="301"/>
      <w:bookmarkEnd w:id="302"/>
      <w:bookmarkEnd w:id="303"/>
    </w:p>
    <w:p w14:paraId="32E17376">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.1关于中小企业：</w:t>
      </w:r>
    </w:p>
    <w:p w14:paraId="41490F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.1.1执行《关于印发〈政府采购促进中小企业发展管理办法〉的通知》（财库〔2020〕46号）。</w:t>
      </w:r>
    </w:p>
    <w:p w14:paraId="1839AB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3EE03CD">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项目为服务项目采购的，在服务采购项目中，服务由中小企业承接，即提供服务的人员为中小企业依照《中华人民共和国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》订立劳动合同的从业人员。</w:t>
      </w:r>
    </w:p>
    <w:p w14:paraId="7C4784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.1.2符合中小企业划分标准的个体工商户，在政府采购活动中视同中小企业。</w:t>
      </w:r>
    </w:p>
    <w:p w14:paraId="54C4FE7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根据《政府采购促进中小企业发展管理办法》（财库﹝2020﹞46 号）、工业和信息化部、国家统计局、国家发展改革委、财政部《关于印发中小企业划型标准规定的通知》（工信部联企业〔2011〕300号）、国家统计局关于印发《统计上大中小微型企业划分办法（2017）》的通知的规定，各行业划型标准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1199"/>
        <w:gridCol w:w="638"/>
        <w:gridCol w:w="1032"/>
        <w:gridCol w:w="1617"/>
        <w:gridCol w:w="1345"/>
        <w:gridCol w:w="865"/>
      </w:tblGrid>
      <w:tr w14:paraId="7CE3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14:paraId="3685DCBF">
            <w:pPr>
              <w:widowControl/>
              <w:wordWrap w:val="0"/>
              <w:spacing w:line="2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0" w:type="auto"/>
            <w:noWrap w:val="0"/>
            <w:vAlign w:val="center"/>
          </w:tcPr>
          <w:p w14:paraId="6933D927">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0" w:type="auto"/>
            <w:noWrap w:val="0"/>
            <w:vAlign w:val="center"/>
          </w:tcPr>
          <w:p w14:paraId="7B82A226">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b/>
                <w:bCs/>
                <w:color w:val="auto"/>
                <w:kern w:val="0"/>
                <w:sz w:val="21"/>
                <w:szCs w:val="21"/>
                <w:highlight w:val="none"/>
              </w:rPr>
              <w:t>单位</w:t>
            </w:r>
          </w:p>
        </w:tc>
        <w:tc>
          <w:tcPr>
            <w:tcW w:w="0" w:type="auto"/>
            <w:noWrap w:val="0"/>
            <w:vAlign w:val="center"/>
          </w:tcPr>
          <w:p w14:paraId="5AA6EAB8">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0" w:type="auto"/>
            <w:noWrap w:val="0"/>
            <w:vAlign w:val="center"/>
          </w:tcPr>
          <w:p w14:paraId="720FD0C9">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0" w:type="auto"/>
            <w:noWrap w:val="0"/>
            <w:vAlign w:val="center"/>
          </w:tcPr>
          <w:p w14:paraId="4D4A3516">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0" w:type="auto"/>
            <w:noWrap w:val="0"/>
            <w:vAlign w:val="center"/>
          </w:tcPr>
          <w:p w14:paraId="2564D5D9">
            <w:pPr>
              <w:widowControl/>
              <w:wordWrap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027B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14:paraId="1E54E46E">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0" w:type="auto"/>
            <w:noWrap w:val="0"/>
            <w:vAlign w:val="center"/>
          </w:tcPr>
          <w:p w14:paraId="7DCD539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2A45581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33E34F3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0" w:type="auto"/>
            <w:noWrap w:val="0"/>
            <w:vAlign w:val="center"/>
          </w:tcPr>
          <w:p w14:paraId="792CC1E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0" w:type="auto"/>
            <w:noWrap w:val="0"/>
            <w:vAlign w:val="center"/>
          </w:tcPr>
          <w:p w14:paraId="6818167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50≤Y＜500</w:t>
            </w:r>
          </w:p>
        </w:tc>
        <w:tc>
          <w:tcPr>
            <w:tcW w:w="0" w:type="auto"/>
            <w:noWrap w:val="0"/>
            <w:vAlign w:val="center"/>
          </w:tcPr>
          <w:p w14:paraId="0795135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64D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674278DD">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c>
          <w:tcPr>
            <w:tcW w:w="0" w:type="auto"/>
            <w:noWrap w:val="0"/>
            <w:vAlign w:val="center"/>
          </w:tcPr>
          <w:p w14:paraId="7FF29BF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325EEA8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38BB139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0" w:type="auto"/>
            <w:noWrap w:val="0"/>
            <w:vAlign w:val="center"/>
          </w:tcPr>
          <w:p w14:paraId="37D47CA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0" w:type="auto"/>
            <w:noWrap w:val="0"/>
            <w:vAlign w:val="center"/>
          </w:tcPr>
          <w:p w14:paraId="4D43A1A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0" w:type="auto"/>
            <w:noWrap w:val="0"/>
            <w:vAlign w:val="center"/>
          </w:tcPr>
          <w:p w14:paraId="4DFF102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403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767F7E28">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72B5EECD">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6990E28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35C17A6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0" w:type="auto"/>
            <w:noWrap w:val="0"/>
            <w:vAlign w:val="center"/>
          </w:tcPr>
          <w:p w14:paraId="204758F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0" w:type="auto"/>
            <w:noWrap w:val="0"/>
            <w:vAlign w:val="center"/>
          </w:tcPr>
          <w:p w14:paraId="1FAC24B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300≤Y＜2000</w:t>
            </w:r>
          </w:p>
        </w:tc>
        <w:tc>
          <w:tcPr>
            <w:tcW w:w="0" w:type="auto"/>
            <w:noWrap w:val="0"/>
            <w:vAlign w:val="center"/>
          </w:tcPr>
          <w:p w14:paraId="1FC9244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82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5DA94AF7">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0" w:type="auto"/>
            <w:noWrap w:val="0"/>
            <w:vAlign w:val="center"/>
          </w:tcPr>
          <w:p w14:paraId="6F148AE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6A1F9D6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31A9B14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0" w:type="auto"/>
            <w:noWrap w:val="0"/>
            <w:vAlign w:val="center"/>
          </w:tcPr>
          <w:p w14:paraId="16F688A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0" w:type="auto"/>
            <w:noWrap w:val="0"/>
            <w:vAlign w:val="center"/>
          </w:tcPr>
          <w:p w14:paraId="3718F71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300≤Y＜6000</w:t>
            </w:r>
          </w:p>
        </w:tc>
        <w:tc>
          <w:tcPr>
            <w:tcW w:w="0" w:type="auto"/>
            <w:noWrap w:val="0"/>
            <w:vAlign w:val="center"/>
          </w:tcPr>
          <w:p w14:paraId="27128AE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5D8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434962BB">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237EE10C">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0" w:type="auto"/>
            <w:noWrap w:val="0"/>
            <w:vAlign w:val="center"/>
          </w:tcPr>
          <w:p w14:paraId="4EA735A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74B278F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0" w:type="auto"/>
            <w:noWrap w:val="0"/>
            <w:vAlign w:val="center"/>
          </w:tcPr>
          <w:p w14:paraId="1B06D68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0" w:type="auto"/>
            <w:noWrap w:val="0"/>
            <w:vAlign w:val="center"/>
          </w:tcPr>
          <w:p w14:paraId="309DD96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300≤Z＜5000</w:t>
            </w:r>
          </w:p>
        </w:tc>
        <w:tc>
          <w:tcPr>
            <w:tcW w:w="0" w:type="auto"/>
            <w:noWrap w:val="0"/>
            <w:vAlign w:val="center"/>
          </w:tcPr>
          <w:p w14:paraId="252BE12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7195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1A1AB95D">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0" w:type="auto"/>
            <w:noWrap w:val="0"/>
            <w:vAlign w:val="center"/>
          </w:tcPr>
          <w:p w14:paraId="4D9CBD0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3D571F5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6D76553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0" w:type="auto"/>
            <w:noWrap w:val="0"/>
            <w:vAlign w:val="center"/>
          </w:tcPr>
          <w:p w14:paraId="230BCA1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0" w:type="auto"/>
            <w:noWrap w:val="0"/>
            <w:vAlign w:val="center"/>
          </w:tcPr>
          <w:p w14:paraId="60FE7BF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5≤X＜20</w:t>
            </w:r>
          </w:p>
        </w:tc>
        <w:tc>
          <w:tcPr>
            <w:tcW w:w="0" w:type="auto"/>
            <w:noWrap w:val="0"/>
            <w:vAlign w:val="center"/>
          </w:tcPr>
          <w:p w14:paraId="0C9D557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812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2D666746">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4D716762">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619663A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2A5930A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0" w:type="auto"/>
            <w:noWrap w:val="0"/>
            <w:vAlign w:val="center"/>
          </w:tcPr>
          <w:p w14:paraId="2F9FCA0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0" w:type="auto"/>
            <w:noWrap w:val="0"/>
            <w:vAlign w:val="center"/>
          </w:tcPr>
          <w:p w14:paraId="0340E433">
            <w:pPr>
              <w:widowControl/>
              <w:wordWrap w:val="0"/>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0" w:type="auto"/>
            <w:noWrap w:val="0"/>
            <w:vAlign w:val="center"/>
          </w:tcPr>
          <w:p w14:paraId="34821AF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34B8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4166EB96">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0" w:type="auto"/>
            <w:noWrap w:val="0"/>
            <w:vAlign w:val="center"/>
          </w:tcPr>
          <w:p w14:paraId="66905C4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52DF568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6BC993D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76B1D54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0" w:type="auto"/>
            <w:noWrap w:val="0"/>
            <w:vAlign w:val="center"/>
          </w:tcPr>
          <w:p w14:paraId="440CAC51">
            <w:pPr>
              <w:widowControl/>
              <w:wordWrap w:val="0"/>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0" w:type="auto"/>
            <w:noWrap w:val="0"/>
            <w:vAlign w:val="center"/>
          </w:tcPr>
          <w:p w14:paraId="6A3D246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98A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36EE5C9B">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06583BDB">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062163A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003537B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0" w:type="auto"/>
            <w:noWrap w:val="0"/>
            <w:vAlign w:val="center"/>
          </w:tcPr>
          <w:p w14:paraId="6F2EE8D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0" w:type="auto"/>
            <w:noWrap w:val="0"/>
            <w:vAlign w:val="center"/>
          </w:tcPr>
          <w:p w14:paraId="11163612">
            <w:pPr>
              <w:widowControl/>
              <w:wordWrap w:val="0"/>
              <w:ind w:left="-1" w:leftChars="-1"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100≤Y＜500 </w:t>
            </w:r>
          </w:p>
        </w:tc>
        <w:tc>
          <w:tcPr>
            <w:tcW w:w="0" w:type="auto"/>
            <w:noWrap w:val="0"/>
            <w:vAlign w:val="center"/>
          </w:tcPr>
          <w:p w14:paraId="1290CCA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6CF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0921C310">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w:t>
            </w:r>
          </w:p>
        </w:tc>
        <w:tc>
          <w:tcPr>
            <w:tcW w:w="0" w:type="auto"/>
            <w:noWrap w:val="0"/>
            <w:vAlign w:val="center"/>
          </w:tcPr>
          <w:p w14:paraId="0AD181D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5AF2804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1513C25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0" w:type="auto"/>
            <w:noWrap w:val="0"/>
            <w:vAlign w:val="center"/>
          </w:tcPr>
          <w:p w14:paraId="63E0959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0" w:type="auto"/>
            <w:noWrap w:val="0"/>
            <w:vAlign w:val="center"/>
          </w:tcPr>
          <w:p w14:paraId="58F85AC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0" w:type="auto"/>
            <w:noWrap w:val="0"/>
            <w:vAlign w:val="center"/>
          </w:tcPr>
          <w:p w14:paraId="1FA2F2D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B3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5F04737A">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2AA7351D">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7E84773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0A7F3A3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0" w:type="auto"/>
            <w:noWrap w:val="0"/>
            <w:vAlign w:val="center"/>
          </w:tcPr>
          <w:p w14:paraId="3F6A8F7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0" w:type="auto"/>
            <w:noWrap w:val="0"/>
            <w:vAlign w:val="center"/>
          </w:tcPr>
          <w:p w14:paraId="2A07A5D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200≤Y＜3000</w:t>
            </w:r>
          </w:p>
        </w:tc>
        <w:tc>
          <w:tcPr>
            <w:tcW w:w="0" w:type="auto"/>
            <w:noWrap w:val="0"/>
            <w:vAlign w:val="center"/>
          </w:tcPr>
          <w:p w14:paraId="07B67A3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20DE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3D99377C">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0" w:type="auto"/>
            <w:noWrap w:val="0"/>
            <w:vAlign w:val="center"/>
          </w:tcPr>
          <w:p w14:paraId="1E830BC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55DBB49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7E6731F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0" w:type="auto"/>
            <w:noWrap w:val="0"/>
            <w:vAlign w:val="center"/>
          </w:tcPr>
          <w:p w14:paraId="42B3AAB3">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0" w:type="auto"/>
            <w:noWrap w:val="0"/>
            <w:vAlign w:val="center"/>
          </w:tcPr>
          <w:p w14:paraId="0A14724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20≤X＜100</w:t>
            </w:r>
          </w:p>
        </w:tc>
        <w:tc>
          <w:tcPr>
            <w:tcW w:w="0" w:type="auto"/>
            <w:noWrap w:val="0"/>
            <w:vAlign w:val="center"/>
          </w:tcPr>
          <w:p w14:paraId="44EBB34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B23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78952F18">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1A31BDFC">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242118D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5D22ED6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0" w:type="auto"/>
            <w:noWrap w:val="0"/>
            <w:vAlign w:val="center"/>
          </w:tcPr>
          <w:p w14:paraId="0CC6641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0" w:type="auto"/>
            <w:noWrap w:val="0"/>
            <w:vAlign w:val="center"/>
          </w:tcPr>
          <w:p w14:paraId="6B8B009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0" w:type="auto"/>
            <w:noWrap w:val="0"/>
            <w:vAlign w:val="center"/>
          </w:tcPr>
          <w:p w14:paraId="79BC4C6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205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07750ECB">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0" w:type="auto"/>
            <w:noWrap w:val="0"/>
            <w:vAlign w:val="center"/>
          </w:tcPr>
          <w:p w14:paraId="41D6CD3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3D23A04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51BE234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0" w:type="auto"/>
            <w:noWrap w:val="0"/>
            <w:vAlign w:val="center"/>
          </w:tcPr>
          <w:p w14:paraId="4625630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0" w:type="auto"/>
            <w:noWrap w:val="0"/>
            <w:vAlign w:val="center"/>
          </w:tcPr>
          <w:p w14:paraId="5422D6C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0" w:type="auto"/>
            <w:noWrap w:val="0"/>
            <w:vAlign w:val="center"/>
          </w:tcPr>
          <w:p w14:paraId="38DC45F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03F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2DE025F0">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273A5BBB">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56FF350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4574064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0" w:type="auto"/>
            <w:noWrap w:val="0"/>
            <w:vAlign w:val="center"/>
          </w:tcPr>
          <w:p w14:paraId="17B8F82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0" w:type="auto"/>
            <w:noWrap w:val="0"/>
            <w:vAlign w:val="center"/>
          </w:tcPr>
          <w:p w14:paraId="5F0CDDA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0" w:type="auto"/>
            <w:noWrap w:val="0"/>
            <w:vAlign w:val="center"/>
          </w:tcPr>
          <w:p w14:paraId="3F631EB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559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79B49DBE">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0" w:type="auto"/>
            <w:noWrap w:val="0"/>
            <w:vAlign w:val="center"/>
          </w:tcPr>
          <w:p w14:paraId="08257F6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73B0DB0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0A60E73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4D89601D">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4AE23D2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574E131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96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47498832">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63BEA6BD">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2D12C354">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5D68AEF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0" w:type="auto"/>
            <w:noWrap w:val="0"/>
            <w:vAlign w:val="center"/>
          </w:tcPr>
          <w:p w14:paraId="449B166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0" w:type="auto"/>
            <w:noWrap w:val="0"/>
            <w:vAlign w:val="center"/>
          </w:tcPr>
          <w:p w14:paraId="04D0216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0" w:type="auto"/>
            <w:noWrap w:val="0"/>
            <w:vAlign w:val="center"/>
          </w:tcPr>
          <w:p w14:paraId="785093E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1DA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33EF4AF7">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0" w:type="auto"/>
            <w:noWrap w:val="0"/>
            <w:vAlign w:val="center"/>
          </w:tcPr>
          <w:p w14:paraId="1DBDFD4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17D97D0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56AFD1F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2BA5D755">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0A68D0F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4FA4905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6CB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7FCF65C3">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1DC50003">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51F7FF5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3862902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0" w:type="auto"/>
            <w:noWrap w:val="0"/>
            <w:vAlign w:val="center"/>
          </w:tcPr>
          <w:p w14:paraId="365882B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0" w:type="auto"/>
            <w:noWrap w:val="0"/>
            <w:vAlign w:val="center"/>
          </w:tcPr>
          <w:p w14:paraId="5BB5E5A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0" w:type="auto"/>
            <w:noWrap w:val="0"/>
            <w:vAlign w:val="center"/>
          </w:tcPr>
          <w:p w14:paraId="6FA2BF9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9AB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53F09035">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0" w:type="auto"/>
            <w:noWrap w:val="0"/>
            <w:vAlign w:val="center"/>
          </w:tcPr>
          <w:p w14:paraId="5116F4C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77D79D1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5E7FC38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0" w:type="auto"/>
            <w:noWrap w:val="0"/>
            <w:vAlign w:val="center"/>
          </w:tcPr>
          <w:p w14:paraId="2D3450E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0" w:type="auto"/>
            <w:noWrap w:val="0"/>
            <w:vAlign w:val="center"/>
          </w:tcPr>
          <w:p w14:paraId="382D420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6CB1803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FCD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3AC92275">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0AC1C9C0">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3EEC100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629E280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0" w:type="auto"/>
            <w:noWrap w:val="0"/>
            <w:vAlign w:val="center"/>
          </w:tcPr>
          <w:p w14:paraId="2EA0489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1000≤Y＜100000</w:t>
            </w:r>
          </w:p>
        </w:tc>
        <w:tc>
          <w:tcPr>
            <w:tcW w:w="0" w:type="auto"/>
            <w:noWrap w:val="0"/>
            <w:vAlign w:val="center"/>
          </w:tcPr>
          <w:p w14:paraId="5E5A13E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0" w:type="auto"/>
            <w:noWrap w:val="0"/>
            <w:vAlign w:val="center"/>
          </w:tcPr>
          <w:p w14:paraId="5E98A6D7">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873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703B5218">
            <w:pPr>
              <w:widowControl/>
              <w:wordWrap w:val="0"/>
              <w:spacing w:line="240" w:lineRule="exact"/>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0" w:type="auto"/>
            <w:noWrap w:val="0"/>
            <w:vAlign w:val="center"/>
          </w:tcPr>
          <w:p w14:paraId="5730FBE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3B9F33C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6405A00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730902A5">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0E34EE7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4878FA8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C8D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5E3230DA">
            <w:pPr>
              <w:widowControl/>
              <w:wordWrap w:val="0"/>
              <w:jc w:val="left"/>
              <w:rPr>
                <w:rFonts w:hint="eastAsia" w:ascii="宋体" w:hAnsi="宋体" w:eastAsia="宋体" w:cs="宋体"/>
                <w:color w:val="auto"/>
                <w:spacing w:val="-12"/>
                <w:kern w:val="0"/>
                <w:sz w:val="21"/>
                <w:szCs w:val="21"/>
                <w:highlight w:val="none"/>
              </w:rPr>
            </w:pPr>
          </w:p>
        </w:tc>
        <w:tc>
          <w:tcPr>
            <w:tcW w:w="0" w:type="auto"/>
            <w:noWrap w:val="0"/>
            <w:vAlign w:val="center"/>
          </w:tcPr>
          <w:p w14:paraId="150693E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7D9E214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376AF93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0" w:type="auto"/>
            <w:noWrap w:val="0"/>
            <w:vAlign w:val="center"/>
          </w:tcPr>
          <w:p w14:paraId="229FFDD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0" w:type="auto"/>
            <w:noWrap w:val="0"/>
            <w:vAlign w:val="center"/>
          </w:tcPr>
          <w:p w14:paraId="18D2A13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50≤Y＜1000</w:t>
            </w:r>
          </w:p>
        </w:tc>
        <w:tc>
          <w:tcPr>
            <w:tcW w:w="0" w:type="auto"/>
            <w:noWrap w:val="0"/>
            <w:vAlign w:val="center"/>
          </w:tcPr>
          <w:p w14:paraId="5D7CFEB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3E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32577A8F">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0" w:type="auto"/>
            <w:noWrap w:val="0"/>
            <w:vAlign w:val="center"/>
          </w:tcPr>
          <w:p w14:paraId="33060E7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194F22F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62D72B6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0" w:type="auto"/>
            <w:noWrap w:val="0"/>
            <w:vAlign w:val="center"/>
          </w:tcPr>
          <w:p w14:paraId="7CC6158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1000≤Y＜200000</w:t>
            </w:r>
          </w:p>
        </w:tc>
        <w:tc>
          <w:tcPr>
            <w:tcW w:w="0" w:type="auto"/>
            <w:noWrap w:val="0"/>
            <w:vAlign w:val="center"/>
          </w:tcPr>
          <w:p w14:paraId="05C0C56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0" w:type="auto"/>
            <w:noWrap w:val="0"/>
            <w:vAlign w:val="center"/>
          </w:tcPr>
          <w:p w14:paraId="4B4DEE2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071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1849D539">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71B6C47A">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0" w:type="auto"/>
            <w:noWrap w:val="0"/>
            <w:vAlign w:val="center"/>
          </w:tcPr>
          <w:p w14:paraId="4D60F9E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1AD382B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0" w:type="auto"/>
            <w:noWrap w:val="0"/>
            <w:vAlign w:val="center"/>
          </w:tcPr>
          <w:p w14:paraId="7460779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0" w:type="auto"/>
            <w:noWrap w:val="0"/>
            <w:vAlign w:val="center"/>
          </w:tcPr>
          <w:p w14:paraId="4900E70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2000≤Z＜5000   </w:t>
            </w:r>
          </w:p>
        </w:tc>
        <w:tc>
          <w:tcPr>
            <w:tcW w:w="0" w:type="auto"/>
            <w:noWrap w:val="0"/>
            <w:vAlign w:val="center"/>
          </w:tcPr>
          <w:p w14:paraId="74B87CC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63B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37186142">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0" w:type="auto"/>
            <w:noWrap w:val="0"/>
            <w:vAlign w:val="center"/>
          </w:tcPr>
          <w:p w14:paraId="282969B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4DDEBA03">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2637C2C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0" w:type="auto"/>
            <w:noWrap w:val="0"/>
            <w:vAlign w:val="center"/>
          </w:tcPr>
          <w:p w14:paraId="37838E46">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0" w:type="auto"/>
            <w:noWrap w:val="0"/>
            <w:vAlign w:val="center"/>
          </w:tcPr>
          <w:p w14:paraId="7CE941D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788DD165">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3121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4E119F5B">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46D84022">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0" w:type="auto"/>
            <w:noWrap w:val="0"/>
            <w:vAlign w:val="center"/>
          </w:tcPr>
          <w:p w14:paraId="0D9F5C9F">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412AD64B">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0" w:type="auto"/>
            <w:noWrap w:val="0"/>
            <w:vAlign w:val="center"/>
          </w:tcPr>
          <w:p w14:paraId="741EDB4A">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1000≤Y＜5000 </w:t>
            </w:r>
          </w:p>
        </w:tc>
        <w:tc>
          <w:tcPr>
            <w:tcW w:w="0" w:type="auto"/>
            <w:noWrap w:val="0"/>
            <w:vAlign w:val="center"/>
          </w:tcPr>
          <w:p w14:paraId="544A023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500≤Y＜1000</w:t>
            </w:r>
          </w:p>
        </w:tc>
        <w:tc>
          <w:tcPr>
            <w:tcW w:w="0" w:type="auto"/>
            <w:noWrap w:val="0"/>
            <w:vAlign w:val="center"/>
          </w:tcPr>
          <w:p w14:paraId="33A4737A">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9AD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noWrap w:val="0"/>
            <w:vAlign w:val="center"/>
          </w:tcPr>
          <w:p w14:paraId="079A42E3">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0" w:type="auto"/>
            <w:noWrap w:val="0"/>
            <w:vAlign w:val="center"/>
          </w:tcPr>
          <w:p w14:paraId="0A89CBC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4D910049">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1F36B2CC">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5D2FDF2F">
            <w:pPr>
              <w:widowControl/>
              <w:wordWrap w:val="0"/>
              <w:ind w:left="19" w:leftChars="-51"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73A984E8">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7FF3B5AE">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D68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noWrap w:val="0"/>
            <w:vAlign w:val="center"/>
          </w:tcPr>
          <w:p w14:paraId="498A4CD5">
            <w:pPr>
              <w:widowControl/>
              <w:wordWrap w:val="0"/>
              <w:jc w:val="left"/>
              <w:rPr>
                <w:rFonts w:hint="eastAsia" w:ascii="宋体" w:hAnsi="宋体" w:eastAsia="宋体" w:cs="宋体"/>
                <w:color w:val="auto"/>
                <w:kern w:val="0"/>
                <w:sz w:val="21"/>
                <w:szCs w:val="21"/>
                <w:highlight w:val="none"/>
              </w:rPr>
            </w:pPr>
          </w:p>
        </w:tc>
        <w:tc>
          <w:tcPr>
            <w:tcW w:w="0" w:type="auto"/>
            <w:noWrap w:val="0"/>
            <w:vAlign w:val="center"/>
          </w:tcPr>
          <w:p w14:paraId="750720E8">
            <w:pPr>
              <w:widowControl/>
              <w:wordWrap w:val="0"/>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0" w:type="auto"/>
            <w:noWrap w:val="0"/>
            <w:vAlign w:val="center"/>
          </w:tcPr>
          <w:p w14:paraId="411899F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0" w:type="auto"/>
            <w:noWrap w:val="0"/>
            <w:vAlign w:val="center"/>
          </w:tcPr>
          <w:p w14:paraId="67125F7D">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0" w:type="auto"/>
            <w:noWrap w:val="0"/>
            <w:vAlign w:val="center"/>
          </w:tcPr>
          <w:p w14:paraId="07B30491">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8000≤Z＜120000</w:t>
            </w:r>
          </w:p>
        </w:tc>
        <w:tc>
          <w:tcPr>
            <w:tcW w:w="0" w:type="auto"/>
            <w:noWrap w:val="0"/>
            <w:vAlign w:val="center"/>
          </w:tcPr>
          <w:p w14:paraId="70E96FC0">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100≤Z＜8000</w:t>
            </w:r>
          </w:p>
        </w:tc>
        <w:tc>
          <w:tcPr>
            <w:tcW w:w="0" w:type="auto"/>
            <w:noWrap w:val="0"/>
            <w:vAlign w:val="center"/>
          </w:tcPr>
          <w:p w14:paraId="13BE1872">
            <w:pPr>
              <w:widowControl/>
              <w:wordWrap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4AE6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14:paraId="075DF922">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w:t>
            </w:r>
          </w:p>
        </w:tc>
        <w:tc>
          <w:tcPr>
            <w:tcW w:w="0" w:type="auto"/>
            <w:noWrap w:val="0"/>
            <w:vAlign w:val="center"/>
          </w:tcPr>
          <w:p w14:paraId="315C02DD">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0" w:type="auto"/>
            <w:noWrap w:val="0"/>
            <w:vAlign w:val="center"/>
          </w:tcPr>
          <w:p w14:paraId="521D2C22">
            <w:pPr>
              <w:widowControl/>
              <w:wordWrap w:val="0"/>
              <w:spacing w:line="240" w:lineRule="exact"/>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0" w:type="auto"/>
            <w:noWrap w:val="0"/>
            <w:vAlign w:val="center"/>
          </w:tcPr>
          <w:p w14:paraId="764416E4">
            <w:pPr>
              <w:widowControl/>
              <w:wordWrap w:val="0"/>
              <w:spacing w:line="240" w:lineRule="exact"/>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0" w:type="auto"/>
            <w:noWrap w:val="0"/>
            <w:vAlign w:val="center"/>
          </w:tcPr>
          <w:p w14:paraId="0418351D">
            <w:pPr>
              <w:widowControl/>
              <w:wordWrap w:val="0"/>
              <w:spacing w:line="240" w:lineRule="exact"/>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0" w:type="auto"/>
            <w:noWrap w:val="0"/>
            <w:vAlign w:val="center"/>
          </w:tcPr>
          <w:p w14:paraId="3FEAB659">
            <w:pPr>
              <w:widowControl/>
              <w:wordWrap w:val="0"/>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0" w:type="auto"/>
            <w:noWrap w:val="0"/>
            <w:vAlign w:val="center"/>
          </w:tcPr>
          <w:p w14:paraId="2D4A0EBD">
            <w:pPr>
              <w:widowControl/>
              <w:wordWrap w:val="0"/>
              <w:spacing w:line="240" w:lineRule="exact"/>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7371E6B1">
      <w:pPr>
        <w:pStyle w:val="19"/>
        <w:spacing w:line="360" w:lineRule="auto"/>
        <w:ind w:left="0" w:leftChars="0"/>
        <w:rPr>
          <w:rFonts w:hAnsi="宋体"/>
          <w:color w:val="auto"/>
          <w:szCs w:val="21"/>
          <w:highlight w:val="none"/>
        </w:rPr>
      </w:pPr>
    </w:p>
    <w:p w14:paraId="1AC4B047">
      <w:pPr>
        <w:pStyle w:val="19"/>
        <w:spacing w:line="360" w:lineRule="auto"/>
        <w:ind w:left="0" w:leftChars="0"/>
        <w:rPr>
          <w:rFonts w:hAnsi="宋体"/>
          <w:color w:val="auto"/>
          <w:szCs w:val="21"/>
          <w:highlight w:val="none"/>
        </w:rPr>
      </w:pPr>
      <w:r>
        <w:rPr>
          <w:rFonts w:hint="eastAsia" w:hAnsi="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428E8340">
      <w:pPr>
        <w:pStyle w:val="19"/>
        <w:spacing w:line="360" w:lineRule="auto"/>
        <w:ind w:left="0" w:leftChars="0"/>
        <w:rPr>
          <w:rFonts w:hAnsi="宋体"/>
          <w:color w:val="auto"/>
          <w:szCs w:val="21"/>
          <w:highlight w:val="none"/>
        </w:rPr>
      </w:pPr>
      <w:r>
        <w:rPr>
          <w:rFonts w:hint="eastAsia" w:hAnsi="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09194F">
      <w:pPr>
        <w:pStyle w:val="19"/>
        <w:spacing w:line="360" w:lineRule="auto"/>
        <w:ind w:left="0" w:leftChars="0"/>
        <w:rPr>
          <w:rFonts w:hAnsi="宋体"/>
          <w:color w:val="auto"/>
          <w:szCs w:val="21"/>
          <w:highlight w:val="none"/>
        </w:rPr>
      </w:pPr>
      <w:r>
        <w:rPr>
          <w:rFonts w:hint="eastAsia" w:hAnsi="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4B2402A">
      <w:pPr>
        <w:pStyle w:val="19"/>
        <w:spacing w:line="360" w:lineRule="auto"/>
        <w:ind w:left="0" w:leftChars="0"/>
        <w:rPr>
          <w:rFonts w:hAnsi="宋体"/>
          <w:color w:val="auto"/>
          <w:szCs w:val="21"/>
          <w:highlight w:val="none"/>
        </w:rPr>
      </w:pPr>
      <w:r>
        <w:rPr>
          <w:rFonts w:hint="eastAsia" w:hAnsi="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D9801E">
      <w:pPr>
        <w:pStyle w:val="19"/>
        <w:spacing w:line="360" w:lineRule="auto"/>
        <w:ind w:left="0" w:leftChars="0"/>
        <w:rPr>
          <w:rFonts w:hAnsi="宋体"/>
          <w:color w:val="auto"/>
          <w:szCs w:val="21"/>
          <w:highlight w:val="none"/>
        </w:rPr>
      </w:pPr>
      <w:r>
        <w:rPr>
          <w:rFonts w:hint="eastAsia" w:hAnsi="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F6A852">
      <w:pPr>
        <w:pStyle w:val="19"/>
        <w:spacing w:line="360" w:lineRule="auto"/>
        <w:ind w:left="0" w:leftChars="0"/>
        <w:rPr>
          <w:rFonts w:hAnsi="宋体"/>
          <w:color w:val="auto"/>
          <w:szCs w:val="21"/>
          <w:highlight w:val="none"/>
        </w:rPr>
      </w:pPr>
      <w:r>
        <w:rPr>
          <w:rFonts w:hint="eastAsia" w:hAnsi="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97274B">
      <w:pPr>
        <w:pStyle w:val="19"/>
        <w:spacing w:line="360" w:lineRule="auto"/>
        <w:ind w:left="0" w:leftChars="0"/>
        <w:rPr>
          <w:rFonts w:hAnsi="宋体"/>
          <w:color w:val="auto"/>
          <w:szCs w:val="21"/>
          <w:highlight w:val="none"/>
        </w:rPr>
      </w:pPr>
      <w:r>
        <w:rPr>
          <w:rFonts w:hint="eastAsia" w:hAnsi="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83FB47">
      <w:pPr>
        <w:pStyle w:val="19"/>
        <w:spacing w:line="360" w:lineRule="auto"/>
        <w:ind w:left="0" w:leftChars="0"/>
        <w:rPr>
          <w:rFonts w:hAnsi="宋体"/>
          <w:color w:val="auto"/>
          <w:szCs w:val="21"/>
          <w:highlight w:val="none"/>
        </w:rPr>
      </w:pPr>
      <w:r>
        <w:rPr>
          <w:rFonts w:hint="eastAsia" w:hAnsi="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311120">
      <w:pPr>
        <w:pStyle w:val="19"/>
        <w:spacing w:line="360" w:lineRule="auto"/>
        <w:ind w:left="0" w:leftChars="0"/>
        <w:rPr>
          <w:rFonts w:hAnsi="宋体"/>
          <w:color w:val="auto"/>
          <w:szCs w:val="21"/>
          <w:highlight w:val="none"/>
        </w:rPr>
      </w:pPr>
      <w:r>
        <w:rPr>
          <w:rFonts w:hint="eastAsia" w:hAnsi="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4A2652">
      <w:pPr>
        <w:pStyle w:val="19"/>
        <w:spacing w:line="360" w:lineRule="auto"/>
        <w:ind w:left="0" w:leftChars="0"/>
        <w:rPr>
          <w:rFonts w:hAnsi="宋体"/>
          <w:color w:val="auto"/>
          <w:szCs w:val="21"/>
          <w:highlight w:val="none"/>
        </w:rPr>
      </w:pPr>
      <w:r>
        <w:rPr>
          <w:rFonts w:hint="eastAsia" w:hAnsi="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BD32A5">
      <w:pPr>
        <w:pStyle w:val="19"/>
        <w:spacing w:line="360" w:lineRule="auto"/>
        <w:ind w:left="0" w:leftChars="0"/>
        <w:rPr>
          <w:rFonts w:hAnsi="宋体"/>
          <w:color w:val="auto"/>
          <w:szCs w:val="21"/>
          <w:highlight w:val="none"/>
        </w:rPr>
      </w:pPr>
      <w:r>
        <w:rPr>
          <w:rFonts w:hint="eastAsia" w:hAnsi="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FB1D726">
      <w:pPr>
        <w:pStyle w:val="19"/>
        <w:spacing w:line="360" w:lineRule="auto"/>
        <w:ind w:left="0" w:leftChars="0"/>
        <w:rPr>
          <w:rFonts w:hAnsi="宋体"/>
          <w:color w:val="auto"/>
          <w:szCs w:val="21"/>
          <w:highlight w:val="none"/>
        </w:rPr>
      </w:pPr>
      <w:r>
        <w:rPr>
          <w:rFonts w:hint="eastAsia" w:hAnsi="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3511CA">
      <w:pPr>
        <w:pStyle w:val="19"/>
        <w:spacing w:line="360" w:lineRule="auto"/>
        <w:ind w:left="0" w:leftChars="0"/>
        <w:rPr>
          <w:rFonts w:hAnsi="宋体"/>
          <w:color w:val="auto"/>
          <w:szCs w:val="21"/>
          <w:highlight w:val="none"/>
        </w:rPr>
      </w:pPr>
      <w:r>
        <w:rPr>
          <w:rFonts w:hint="eastAsia" w:hAnsi="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779E8A9">
      <w:pPr>
        <w:pStyle w:val="19"/>
        <w:spacing w:line="360" w:lineRule="auto"/>
        <w:ind w:left="0" w:leftChars="0"/>
        <w:rPr>
          <w:rFonts w:hAnsi="宋体"/>
          <w:color w:val="auto"/>
          <w:szCs w:val="21"/>
          <w:highlight w:val="none"/>
        </w:rPr>
      </w:pPr>
      <w:r>
        <w:rPr>
          <w:rFonts w:hint="eastAsia" w:hAnsi="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BE50EB">
      <w:pPr>
        <w:pStyle w:val="19"/>
        <w:spacing w:line="360" w:lineRule="auto"/>
        <w:ind w:left="0" w:leftChars="0"/>
        <w:rPr>
          <w:rFonts w:hAnsi="宋体"/>
          <w:color w:val="auto"/>
          <w:szCs w:val="21"/>
          <w:highlight w:val="none"/>
        </w:rPr>
      </w:pPr>
      <w:r>
        <w:rPr>
          <w:rFonts w:hint="eastAsia" w:hAnsi="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6806D4">
      <w:pPr>
        <w:pStyle w:val="19"/>
        <w:spacing w:line="360" w:lineRule="auto"/>
        <w:ind w:left="0" w:leftChars="0"/>
        <w:rPr>
          <w:rFonts w:hAnsi="宋体"/>
          <w:color w:val="auto"/>
          <w:szCs w:val="21"/>
          <w:highlight w:val="none"/>
        </w:rPr>
      </w:pPr>
      <w:r>
        <w:rPr>
          <w:rFonts w:hint="eastAsia" w:hAnsi="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0F417129">
      <w:pPr>
        <w:pStyle w:val="19"/>
        <w:spacing w:line="360" w:lineRule="auto"/>
        <w:ind w:left="0" w:leftChars="0"/>
        <w:rPr>
          <w:rFonts w:hAnsi="宋体"/>
          <w:color w:val="auto"/>
          <w:szCs w:val="21"/>
          <w:highlight w:val="none"/>
        </w:rPr>
      </w:pPr>
      <w:r>
        <w:rPr>
          <w:rFonts w:hint="eastAsia" w:hAnsi="宋体"/>
          <w:color w:val="auto"/>
          <w:szCs w:val="21"/>
          <w:highlight w:val="none"/>
        </w:rPr>
        <w:t>以上行业供供应商填写《中小企业声明函》时参考，行业标准划分，以有关部门即时发布的最新标准为准。</w:t>
      </w:r>
    </w:p>
    <w:p w14:paraId="6A5C0B63">
      <w:pPr>
        <w:pStyle w:val="19"/>
        <w:spacing w:line="360" w:lineRule="auto"/>
        <w:ind w:left="0" w:leftChars="0"/>
        <w:rPr>
          <w:rFonts w:hAnsi="宋体"/>
          <w:color w:val="auto"/>
          <w:szCs w:val="21"/>
          <w:highlight w:val="none"/>
        </w:rPr>
      </w:pPr>
      <w:r>
        <w:rPr>
          <w:rFonts w:hint="eastAsia" w:hAnsi="宋体"/>
          <w:color w:val="auto"/>
          <w:szCs w:val="21"/>
          <w:highlight w:val="none"/>
        </w:rPr>
        <w:t>7.2关于监狱企业：</w:t>
      </w:r>
    </w:p>
    <w:p w14:paraId="26C939B7">
      <w:pPr>
        <w:pStyle w:val="19"/>
        <w:spacing w:line="360" w:lineRule="auto"/>
        <w:ind w:left="0" w:leftChars="0"/>
        <w:rPr>
          <w:rFonts w:hAnsi="宋体"/>
          <w:color w:val="auto"/>
          <w:szCs w:val="21"/>
          <w:highlight w:val="none"/>
        </w:rPr>
      </w:pPr>
      <w:r>
        <w:rPr>
          <w:rFonts w:hint="eastAsia" w:hAnsi="宋体"/>
          <w:color w:val="auto"/>
          <w:szCs w:val="21"/>
          <w:highlight w:val="none"/>
        </w:rPr>
        <w:t>7.2.1根据《财政部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2253FB">
      <w:pPr>
        <w:pStyle w:val="19"/>
        <w:spacing w:line="360" w:lineRule="auto"/>
        <w:ind w:left="0" w:leftChars="0"/>
        <w:rPr>
          <w:rFonts w:hAnsi="宋体"/>
          <w:color w:val="auto"/>
          <w:szCs w:val="21"/>
          <w:highlight w:val="none"/>
        </w:rPr>
      </w:pPr>
      <w:r>
        <w:rPr>
          <w:rFonts w:hint="eastAsia" w:hAnsi="宋体"/>
          <w:color w:val="auto"/>
          <w:szCs w:val="21"/>
          <w:highlight w:val="none"/>
        </w:rPr>
        <w:t>7.2.2监狱企业参加政府采购活动时，应当提供由省级以上监狱管理局、戒毒管理局（含新疆生产建设兵团）出具的属于监狱企业的证明文件。</w:t>
      </w:r>
    </w:p>
    <w:p w14:paraId="118F2E18">
      <w:pPr>
        <w:pStyle w:val="19"/>
        <w:spacing w:line="360" w:lineRule="auto"/>
        <w:ind w:left="0" w:leftChars="0"/>
        <w:rPr>
          <w:rFonts w:hAnsi="宋体"/>
          <w:color w:val="auto"/>
          <w:szCs w:val="21"/>
          <w:highlight w:val="none"/>
        </w:rPr>
      </w:pPr>
      <w:r>
        <w:rPr>
          <w:rFonts w:hint="eastAsia" w:hAnsi="宋体"/>
          <w:color w:val="auto"/>
          <w:szCs w:val="21"/>
          <w:highlight w:val="none"/>
        </w:rPr>
        <w:t>7.2.3在政府采购活动中，监狱企业视同小型、微型企业，享受预留份额、评审中价格扣除等政府采购促进中小企业发展的政府采购政策。</w:t>
      </w:r>
    </w:p>
    <w:p w14:paraId="005CC305">
      <w:pPr>
        <w:pStyle w:val="19"/>
        <w:spacing w:line="360" w:lineRule="auto"/>
        <w:ind w:left="0" w:leftChars="0"/>
        <w:rPr>
          <w:rFonts w:hAnsi="宋体"/>
          <w:color w:val="auto"/>
          <w:szCs w:val="21"/>
          <w:highlight w:val="none"/>
        </w:rPr>
      </w:pPr>
      <w:r>
        <w:rPr>
          <w:rFonts w:hint="eastAsia" w:hAnsi="宋体"/>
          <w:color w:val="auto"/>
          <w:szCs w:val="21"/>
          <w:highlight w:val="none"/>
        </w:rPr>
        <w:t>7.3关于残疾人福利性单位：</w:t>
      </w:r>
    </w:p>
    <w:p w14:paraId="0F1339C5">
      <w:pPr>
        <w:pStyle w:val="19"/>
        <w:spacing w:line="360" w:lineRule="auto"/>
        <w:ind w:left="0" w:leftChars="0"/>
        <w:rPr>
          <w:rFonts w:hAnsi="宋体"/>
          <w:color w:val="auto"/>
          <w:szCs w:val="21"/>
          <w:highlight w:val="none"/>
        </w:rPr>
      </w:pPr>
      <w:r>
        <w:rPr>
          <w:rFonts w:hint="eastAsia" w:hAnsi="宋体"/>
          <w:color w:val="auto"/>
          <w:szCs w:val="21"/>
          <w:highlight w:val="none"/>
        </w:rPr>
        <w:t>7.3.1根据《三部门联合发布关于促进残疾人就业政府采购政策的通知》（财库〔2017〕141号）的规定，享受政府采购支持政策的残疾人福利性单位应当同时满足以下条件：</w:t>
      </w:r>
    </w:p>
    <w:p w14:paraId="73E0C9B0">
      <w:pPr>
        <w:pStyle w:val="19"/>
        <w:spacing w:line="360" w:lineRule="auto"/>
        <w:ind w:left="0" w:leftChars="0"/>
        <w:rPr>
          <w:rFonts w:hAnsi="宋体"/>
          <w:color w:val="auto"/>
          <w:szCs w:val="21"/>
          <w:highlight w:val="none"/>
        </w:rPr>
      </w:pPr>
      <w:r>
        <w:rPr>
          <w:rFonts w:hint="eastAsia" w:hAnsi="宋体"/>
          <w:color w:val="auto"/>
          <w:szCs w:val="21"/>
          <w:highlight w:val="none"/>
        </w:rPr>
        <w:t>（一）安置的残疾人占本单位在职职工人数的比例不低于25%（含25%），并且安置的残疾人人数不少于10人（含10人）；</w:t>
      </w:r>
    </w:p>
    <w:p w14:paraId="20563F3F">
      <w:pPr>
        <w:pStyle w:val="19"/>
        <w:spacing w:line="360" w:lineRule="auto"/>
        <w:ind w:left="0" w:leftChars="0"/>
        <w:rPr>
          <w:rFonts w:hAnsi="宋体"/>
          <w:color w:val="auto"/>
          <w:szCs w:val="21"/>
          <w:highlight w:val="none"/>
        </w:rPr>
      </w:pPr>
      <w:r>
        <w:rPr>
          <w:rFonts w:hint="eastAsia" w:hAnsi="宋体"/>
          <w:color w:val="auto"/>
          <w:szCs w:val="21"/>
          <w:highlight w:val="none"/>
        </w:rPr>
        <w:t>（二）依法与安置的每位残疾人签订了一年以上（含一年）的劳动合同或服务协议；</w:t>
      </w:r>
    </w:p>
    <w:p w14:paraId="304997E8">
      <w:pPr>
        <w:pStyle w:val="19"/>
        <w:spacing w:line="360" w:lineRule="auto"/>
        <w:ind w:left="0" w:leftChars="0"/>
        <w:rPr>
          <w:rFonts w:hAnsi="宋体"/>
          <w:color w:val="auto"/>
          <w:szCs w:val="21"/>
          <w:highlight w:val="none"/>
        </w:rPr>
      </w:pPr>
      <w:r>
        <w:rPr>
          <w:rFonts w:hint="eastAsia" w:hAnsi="宋体"/>
          <w:color w:val="auto"/>
          <w:szCs w:val="21"/>
          <w:highlight w:val="none"/>
        </w:rPr>
        <w:t>（三）为安置的每位残疾人按月足额缴纳了基本养老保险、基本医疗保险、失业保险、工伤保险和生育保险等社会保险费；</w:t>
      </w:r>
    </w:p>
    <w:p w14:paraId="2C9F543B">
      <w:pPr>
        <w:pStyle w:val="19"/>
        <w:spacing w:line="360" w:lineRule="auto"/>
        <w:ind w:left="0" w:leftChars="0"/>
        <w:rPr>
          <w:rFonts w:hAnsi="宋体"/>
          <w:color w:val="auto"/>
          <w:szCs w:val="21"/>
          <w:highlight w:val="none"/>
        </w:rPr>
      </w:pPr>
      <w:r>
        <w:rPr>
          <w:rFonts w:hint="eastAsia" w:hAnsi="宋体"/>
          <w:color w:val="auto"/>
          <w:szCs w:val="21"/>
          <w:highlight w:val="none"/>
        </w:rPr>
        <w:t>（四）通过银行等金融机构向安置的每位残疾人，按月支付了不低于单位所在区县适用的经省级人民政府批准的月最低工资标准的工资；</w:t>
      </w:r>
    </w:p>
    <w:p w14:paraId="3CA9C160">
      <w:pPr>
        <w:pStyle w:val="19"/>
        <w:spacing w:line="360" w:lineRule="auto"/>
        <w:ind w:left="0" w:leftChars="0"/>
        <w:rPr>
          <w:rFonts w:hAnsi="宋体"/>
          <w:color w:val="auto"/>
          <w:szCs w:val="21"/>
          <w:highlight w:val="none"/>
        </w:rPr>
      </w:pPr>
      <w:r>
        <w:rPr>
          <w:rFonts w:hint="eastAsia" w:hAnsi="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0508FBAC">
      <w:pPr>
        <w:pStyle w:val="19"/>
        <w:spacing w:line="360" w:lineRule="auto"/>
        <w:ind w:left="0" w:leftChars="0"/>
        <w:rPr>
          <w:rFonts w:hAnsi="宋体"/>
          <w:color w:val="auto"/>
          <w:szCs w:val="21"/>
          <w:highlight w:val="none"/>
        </w:rPr>
      </w:pPr>
      <w:r>
        <w:rPr>
          <w:rFonts w:hint="eastAsia" w:hAnsi="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0BD521">
      <w:pPr>
        <w:pStyle w:val="19"/>
        <w:spacing w:line="360" w:lineRule="auto"/>
        <w:ind w:left="0" w:leftChars="0"/>
        <w:rPr>
          <w:rFonts w:hAnsi="宋体"/>
          <w:color w:val="auto"/>
          <w:szCs w:val="21"/>
          <w:highlight w:val="none"/>
        </w:rPr>
      </w:pPr>
      <w:r>
        <w:rPr>
          <w:rFonts w:hint="eastAsia" w:hAnsi="宋体"/>
          <w:color w:val="auto"/>
          <w:szCs w:val="21"/>
          <w:highlight w:val="none"/>
        </w:rPr>
        <w:t>7.3.2符合条件的残疾人福利性单位在参加政府采购活动时，应当按《三部门联合发布关于促进残疾人就业政府采购政策的通知》（财库〔2017〕141号）提供规定的《残疾人福利性单位声明函》，并对声明的真实性负责，若提供的《残疾人福利性单位声明函》与事实不符的，依照《政府采购法》第七十七条第一款的规定追究法律责任。</w:t>
      </w:r>
    </w:p>
    <w:p w14:paraId="0746172F">
      <w:pPr>
        <w:pStyle w:val="19"/>
        <w:spacing w:line="360" w:lineRule="auto"/>
        <w:ind w:left="0" w:leftChars="0"/>
        <w:rPr>
          <w:rFonts w:hAnsi="宋体"/>
          <w:color w:val="auto"/>
          <w:szCs w:val="21"/>
          <w:highlight w:val="none"/>
        </w:rPr>
      </w:pPr>
      <w:r>
        <w:rPr>
          <w:rFonts w:hint="eastAsia" w:hAnsi="宋体"/>
          <w:color w:val="auto"/>
          <w:szCs w:val="21"/>
          <w:highlight w:val="none"/>
        </w:rPr>
        <w:t>7.3.3本项目针对残疾人福利性单位产品或服务的视同小微企业享受政府采购扶持政策。</w:t>
      </w:r>
    </w:p>
    <w:p w14:paraId="05604757">
      <w:pPr>
        <w:pStyle w:val="19"/>
        <w:spacing w:line="360" w:lineRule="auto"/>
        <w:ind w:left="0" w:leftChars="0"/>
        <w:rPr>
          <w:rFonts w:hint="default" w:hAnsi="宋体" w:eastAsia="宋体"/>
          <w:color w:val="auto"/>
          <w:szCs w:val="21"/>
          <w:highlight w:val="none"/>
          <w:lang w:val="en-US" w:eastAsia="zh-CN"/>
        </w:rPr>
      </w:pPr>
      <w:r>
        <w:rPr>
          <w:rFonts w:hint="eastAsia" w:hAnsi="宋体"/>
          <w:color w:val="auto"/>
          <w:szCs w:val="21"/>
          <w:highlight w:val="none"/>
        </w:rPr>
        <w:t>7.3.</w:t>
      </w:r>
      <w:r>
        <w:rPr>
          <w:rFonts w:hint="eastAsia" w:hAnsi="宋体"/>
          <w:color w:val="auto"/>
          <w:szCs w:val="21"/>
          <w:highlight w:val="none"/>
          <w:lang w:val="en-US" w:eastAsia="zh-CN"/>
        </w:rPr>
        <w:t>4</w:t>
      </w:r>
      <w:r>
        <w:rPr>
          <w:rFonts w:hint="eastAsia" w:hAnsi="宋体"/>
          <w:b/>
          <w:bCs/>
          <w:color w:val="auto"/>
          <w:szCs w:val="21"/>
          <w:highlight w:val="none"/>
          <w:lang w:val="en-US" w:eastAsia="zh-CN"/>
        </w:rPr>
        <w:t>本项目采购标的对应的中小企业划分标准所属行业为“</w:t>
      </w:r>
      <w:r>
        <w:rPr>
          <w:rFonts w:hint="eastAsia" w:hAnsi="宋体"/>
          <w:b/>
          <w:bCs/>
          <w:color w:val="auto"/>
          <w:szCs w:val="21"/>
          <w:highlight w:val="none"/>
          <w:u w:val="single"/>
          <w:lang w:val="en-US" w:eastAsia="zh-CN"/>
        </w:rPr>
        <w:t>租赁和商务服务业</w:t>
      </w:r>
      <w:r>
        <w:rPr>
          <w:rFonts w:hint="eastAsia" w:hAnsi="宋体"/>
          <w:b/>
          <w:bCs/>
          <w:color w:val="auto"/>
          <w:szCs w:val="21"/>
          <w:highlight w:val="none"/>
          <w:lang w:val="en-US" w:eastAsia="zh-CN"/>
        </w:rPr>
        <w:t>”。</w:t>
      </w:r>
    </w:p>
    <w:p w14:paraId="5886C712">
      <w:pPr>
        <w:pStyle w:val="19"/>
        <w:spacing w:line="360" w:lineRule="auto"/>
        <w:ind w:left="0" w:leftChars="0"/>
        <w:rPr>
          <w:rFonts w:hAnsi="宋体"/>
          <w:color w:val="auto"/>
          <w:szCs w:val="21"/>
          <w:highlight w:val="none"/>
        </w:rPr>
      </w:pPr>
      <w:r>
        <w:rPr>
          <w:rFonts w:hint="eastAsia" w:hAnsi="宋体"/>
          <w:color w:val="auto"/>
          <w:szCs w:val="21"/>
          <w:highlight w:val="none"/>
        </w:rPr>
        <w:t>7.4关于节能产品及环境标志产品：</w:t>
      </w:r>
    </w:p>
    <w:p w14:paraId="243F267D">
      <w:pPr>
        <w:pStyle w:val="19"/>
        <w:spacing w:line="360" w:lineRule="auto"/>
        <w:ind w:left="0" w:leftChars="0"/>
        <w:rPr>
          <w:rFonts w:hAnsi="宋体"/>
          <w:color w:val="auto"/>
          <w:szCs w:val="21"/>
          <w:highlight w:val="none"/>
        </w:rPr>
      </w:pPr>
      <w:r>
        <w:rPr>
          <w:rFonts w:hint="eastAsia" w:hAnsi="宋体"/>
          <w:color w:val="auto"/>
          <w:szCs w:val="21"/>
          <w:highlight w:val="none"/>
        </w:rPr>
        <w:t>7.4.1根据《财政部 发展改革委 生态环境部 市场监管总局 关于调整优化节能产品、环境标志产品政府采购执行机制的通知》（财库〔2019〕9 号）和《市场监管总局关于发布参与实施政府采购节能产品、环境标志产品认证机构名录的公告规定》（2019年第16号），提供国家确定的认证机构出具的、处于有效期之内的节能产品、环境标志产品认证证书等证明材料证明。</w:t>
      </w:r>
    </w:p>
    <w:p w14:paraId="079C7C53">
      <w:pPr>
        <w:pStyle w:val="19"/>
        <w:spacing w:line="360" w:lineRule="auto"/>
        <w:ind w:left="0" w:leftChars="0"/>
        <w:rPr>
          <w:rFonts w:hAnsi="宋体"/>
          <w:color w:val="auto"/>
          <w:szCs w:val="21"/>
          <w:highlight w:val="none"/>
        </w:rPr>
      </w:pPr>
      <w:r>
        <w:rPr>
          <w:rFonts w:hint="eastAsia" w:hAnsi="宋体"/>
          <w:color w:val="auto"/>
          <w:szCs w:val="21"/>
          <w:highlight w:val="none"/>
        </w:rPr>
        <w:t>节能产品和环境标志产品清单详见《关于印发节能产品政府采购品目清单的通知》（财库〔2019〕19 号）和《关于印发环境标志产品政府采购品目清单的通知》（财库〔2019〕18 号）。</w:t>
      </w:r>
    </w:p>
    <w:p w14:paraId="1F0A821F">
      <w:pPr>
        <w:pStyle w:val="19"/>
        <w:spacing w:line="360" w:lineRule="auto"/>
        <w:ind w:left="0" w:leftChars="0"/>
        <w:rPr>
          <w:rFonts w:hAnsi="宋体"/>
          <w:color w:val="auto"/>
          <w:szCs w:val="21"/>
          <w:highlight w:val="none"/>
        </w:rPr>
      </w:pPr>
      <w:r>
        <w:rPr>
          <w:rFonts w:hint="eastAsia" w:hAnsi="宋体"/>
          <w:color w:val="auto"/>
          <w:szCs w:val="21"/>
          <w:highlight w:val="none"/>
        </w:rPr>
        <w:t>7.5 其它需要补充的其他内容：详见《供应商须知前附表》。</w:t>
      </w:r>
    </w:p>
    <w:p w14:paraId="56BDC72B">
      <w:pPr>
        <w:pStyle w:val="19"/>
        <w:spacing w:line="360" w:lineRule="auto"/>
        <w:ind w:left="0" w:leftChars="0"/>
        <w:rPr>
          <w:rFonts w:hAnsi="宋体"/>
          <w:color w:val="auto"/>
          <w:szCs w:val="21"/>
          <w:highlight w:val="none"/>
        </w:rPr>
      </w:pPr>
    </w:p>
    <w:p w14:paraId="0E48BB6B">
      <w:pPr>
        <w:pStyle w:val="19"/>
        <w:spacing w:line="360" w:lineRule="auto"/>
        <w:ind w:left="0" w:leftChars="0"/>
        <w:rPr>
          <w:rFonts w:hAnsi="宋体"/>
          <w:color w:val="auto"/>
          <w:szCs w:val="21"/>
          <w:highlight w:val="none"/>
        </w:rPr>
      </w:pPr>
    </w:p>
    <w:p w14:paraId="61631B20">
      <w:pPr>
        <w:pStyle w:val="19"/>
        <w:spacing w:line="360" w:lineRule="auto"/>
        <w:ind w:left="0" w:leftChars="0" w:firstLine="0" w:firstLineChars="0"/>
        <w:jc w:val="center"/>
        <w:rPr>
          <w:rFonts w:hAnsi="宋体"/>
          <w:color w:val="auto"/>
          <w:szCs w:val="21"/>
          <w:highlight w:val="none"/>
        </w:rPr>
      </w:pPr>
      <w:r>
        <w:rPr>
          <w:rFonts w:hint="eastAsia" w:ascii="新宋体" w:hAnsi="新宋体" w:eastAsia="新宋体"/>
          <w:b/>
          <w:bCs/>
          <w:color w:val="auto"/>
          <w:kern w:val="0"/>
          <w:sz w:val="32"/>
          <w:szCs w:val="32"/>
          <w:highlight w:val="none"/>
        </w:rPr>
        <w:t>8.采购人补充的其他内容</w:t>
      </w:r>
    </w:p>
    <w:p w14:paraId="37FC680D">
      <w:pPr>
        <w:pStyle w:val="19"/>
        <w:spacing w:line="360" w:lineRule="auto"/>
        <w:ind w:left="0" w:leftChars="0"/>
        <w:rPr>
          <w:rFonts w:hAnsi="宋体"/>
          <w:color w:val="auto"/>
          <w:szCs w:val="21"/>
          <w:highlight w:val="none"/>
        </w:rPr>
      </w:pPr>
    </w:p>
    <w:p w14:paraId="70B5DAC3">
      <w:pPr>
        <w:pStyle w:val="19"/>
        <w:spacing w:line="360" w:lineRule="auto"/>
        <w:ind w:left="0" w:leftChars="0"/>
        <w:rPr>
          <w:rFonts w:hAnsi="宋体"/>
          <w:color w:val="auto"/>
          <w:szCs w:val="21"/>
          <w:highlight w:val="none"/>
        </w:rPr>
      </w:pPr>
      <w:r>
        <w:rPr>
          <w:rFonts w:hint="eastAsia" w:hAnsi="宋体"/>
          <w:color w:val="auto"/>
          <w:szCs w:val="21"/>
          <w:highlight w:val="none"/>
        </w:rPr>
        <w:t>8.1第一成交候选人的行贿犯罪档案信息查询，采购人等可以通过“中国裁判文书网”查询相关信息。</w:t>
      </w:r>
    </w:p>
    <w:p w14:paraId="57B51DE0">
      <w:pPr>
        <w:pStyle w:val="19"/>
        <w:spacing w:line="360" w:lineRule="auto"/>
        <w:ind w:left="0" w:leftChars="0"/>
        <w:rPr>
          <w:rFonts w:hAnsi="宋体"/>
          <w:color w:val="auto"/>
          <w:szCs w:val="21"/>
          <w:highlight w:val="none"/>
        </w:rPr>
      </w:pPr>
      <w:r>
        <w:rPr>
          <w:rFonts w:hint="eastAsia" w:hAnsi="宋体"/>
          <w:color w:val="auto"/>
          <w:szCs w:val="21"/>
          <w:highlight w:val="none"/>
        </w:rPr>
        <w:t>8.2本项目对失信被执行人，按照《关于在招标投标活动中对失信被执行人实施联合惩戒的通知》（法【2016】285号）执行。通过“信用中国”网站（www.creditchina.gov.cn）或各级信用信息共享平台查询供应商是否为失信被执行人，提供给磋商小组。</w:t>
      </w:r>
    </w:p>
    <w:p w14:paraId="56E83577">
      <w:pPr>
        <w:pStyle w:val="19"/>
        <w:spacing w:line="360" w:lineRule="auto"/>
        <w:ind w:left="0" w:leftChars="0"/>
        <w:rPr>
          <w:rFonts w:hAnsi="宋体"/>
          <w:color w:val="auto"/>
          <w:szCs w:val="21"/>
          <w:highlight w:val="none"/>
        </w:rPr>
      </w:pPr>
      <w:r>
        <w:rPr>
          <w:rFonts w:hint="eastAsia" w:hAnsi="宋体"/>
          <w:color w:val="auto"/>
          <w:szCs w:val="21"/>
          <w:highlight w:val="none"/>
        </w:rPr>
        <w:t>8.3本项目的项目编号即为招标编号。</w:t>
      </w:r>
    </w:p>
    <w:p w14:paraId="7244ED9A">
      <w:pPr>
        <w:rPr>
          <w:rFonts w:ascii="黑体" w:hAnsi="黑体" w:eastAsia="黑体" w:cs="黑体"/>
          <w:b/>
          <w:bCs/>
          <w:color w:val="auto"/>
          <w:sz w:val="36"/>
          <w:szCs w:val="36"/>
          <w:highlight w:val="none"/>
        </w:rPr>
      </w:pPr>
      <w:bookmarkStart w:id="304" w:name="_Toc11460"/>
      <w:bookmarkStart w:id="305" w:name="_Toc482695876"/>
      <w:bookmarkStart w:id="306" w:name="_Toc16477"/>
      <w:bookmarkStart w:id="307" w:name="_Toc512247414"/>
      <w:bookmarkStart w:id="308" w:name="_Toc9139"/>
      <w:bookmarkStart w:id="309" w:name="_Toc29570"/>
      <w:r>
        <w:rPr>
          <w:rFonts w:hint="eastAsia" w:ascii="黑体" w:hAnsi="黑体" w:eastAsia="黑体" w:cs="黑体"/>
          <w:b/>
          <w:bCs/>
          <w:color w:val="auto"/>
          <w:sz w:val="36"/>
          <w:szCs w:val="36"/>
          <w:highlight w:val="none"/>
        </w:rPr>
        <w:br w:type="page"/>
      </w:r>
    </w:p>
    <w:p w14:paraId="1D84EF8E">
      <w:pPr>
        <w:spacing w:line="360" w:lineRule="auto"/>
        <w:jc w:val="center"/>
        <w:outlineLvl w:val="1"/>
        <w:rPr>
          <w:rFonts w:ascii="黑体" w:hAnsi="黑体" w:eastAsia="黑体" w:cs="黑体"/>
          <w:color w:val="auto"/>
          <w:sz w:val="36"/>
          <w:szCs w:val="36"/>
          <w:highlight w:val="none"/>
        </w:rPr>
      </w:pPr>
      <w:bookmarkStart w:id="310" w:name="_Toc30476"/>
      <w:r>
        <w:rPr>
          <w:rFonts w:hint="eastAsia" w:ascii="黑体" w:hAnsi="黑体" w:eastAsia="黑体" w:cs="黑体"/>
          <w:b/>
          <w:bCs/>
          <w:color w:val="auto"/>
          <w:sz w:val="36"/>
          <w:szCs w:val="36"/>
          <w:highlight w:val="none"/>
        </w:rPr>
        <w:t>第三章 评审办法</w:t>
      </w:r>
      <w:bookmarkEnd w:id="304"/>
      <w:bookmarkEnd w:id="305"/>
      <w:bookmarkEnd w:id="306"/>
      <w:bookmarkEnd w:id="307"/>
      <w:bookmarkEnd w:id="308"/>
      <w:bookmarkEnd w:id="309"/>
      <w:bookmarkEnd w:id="310"/>
      <w:bookmarkStart w:id="311" w:name="_Toc23459"/>
      <w:bookmarkStart w:id="312" w:name="_Toc5337"/>
      <w:bookmarkStart w:id="313" w:name="_Toc425171836"/>
      <w:bookmarkStart w:id="314" w:name="_Toc366144088"/>
      <w:bookmarkStart w:id="315" w:name="_Toc306524550"/>
      <w:bookmarkStart w:id="316" w:name="_Toc482695877"/>
      <w:bookmarkStart w:id="317" w:name="_Toc11063"/>
    </w:p>
    <w:p w14:paraId="76E9E32C">
      <w:pPr>
        <w:spacing w:line="360" w:lineRule="auto"/>
        <w:jc w:val="center"/>
        <w:outlineLvl w:val="1"/>
        <w:rPr>
          <w:rFonts w:ascii="新宋体" w:hAnsi="新宋体" w:eastAsia="新宋体"/>
          <w:b/>
          <w:color w:val="auto"/>
          <w:kern w:val="0"/>
          <w:sz w:val="32"/>
          <w:highlight w:val="none"/>
        </w:rPr>
      </w:pPr>
      <w:bookmarkStart w:id="318" w:name="_Toc28774"/>
      <w:bookmarkStart w:id="319" w:name="_Toc31068"/>
      <w:bookmarkStart w:id="320" w:name="_Toc5997"/>
      <w:bookmarkStart w:id="321" w:name="_Toc8801"/>
      <w:r>
        <w:rPr>
          <w:rFonts w:hint="eastAsia" w:ascii="新宋体" w:hAnsi="新宋体" w:eastAsia="新宋体"/>
          <w:b/>
          <w:color w:val="auto"/>
          <w:kern w:val="0"/>
          <w:sz w:val="32"/>
          <w:highlight w:val="none"/>
        </w:rPr>
        <w:t>一、竞争性磋商评审办法前附表</w:t>
      </w:r>
      <w:bookmarkEnd w:id="311"/>
      <w:bookmarkEnd w:id="312"/>
      <w:bookmarkEnd w:id="313"/>
      <w:bookmarkEnd w:id="314"/>
      <w:bookmarkEnd w:id="315"/>
      <w:bookmarkEnd w:id="316"/>
      <w:bookmarkEnd w:id="317"/>
      <w:bookmarkEnd w:id="318"/>
      <w:bookmarkEnd w:id="319"/>
      <w:bookmarkEnd w:id="320"/>
      <w:bookmarkEnd w:id="321"/>
    </w:p>
    <w:tbl>
      <w:tblPr>
        <w:tblStyle w:val="20"/>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1591"/>
        <w:gridCol w:w="1244"/>
        <w:gridCol w:w="6060"/>
      </w:tblGrid>
      <w:tr w14:paraId="6B67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14:paraId="0DCBCC3A">
            <w:pPr>
              <w:pStyle w:val="19"/>
              <w:spacing w:line="360" w:lineRule="auto"/>
              <w:ind w:left="0" w:leftChars="0" w:firstLine="0" w:firstLineChars="0"/>
              <w:rPr>
                <w:b/>
                <w:bCs/>
                <w:color w:val="auto"/>
                <w:sz w:val="30"/>
                <w:szCs w:val="30"/>
                <w:highlight w:val="none"/>
              </w:rPr>
            </w:pPr>
            <w:r>
              <w:rPr>
                <w:b/>
                <w:bCs/>
                <w:color w:val="auto"/>
                <w:sz w:val="30"/>
                <w:szCs w:val="30"/>
                <w:highlight w:val="none"/>
              </w:rPr>
              <w:br w:type="page"/>
            </w:r>
            <w:r>
              <w:rPr>
                <w:rFonts w:hint="eastAsia"/>
                <w:b/>
                <w:bCs/>
                <w:color w:val="auto"/>
                <w:sz w:val="30"/>
                <w:szCs w:val="30"/>
                <w:highlight w:val="none"/>
              </w:rPr>
              <w:t>条款号</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E889815">
            <w:pPr>
              <w:rPr>
                <w:rFonts w:ascii="宋体" w:hAnsi="宋体" w:cs="宋体"/>
                <w:color w:val="auto"/>
                <w:highlight w:val="none"/>
              </w:rPr>
            </w:pPr>
            <w:r>
              <w:rPr>
                <w:rFonts w:hint="eastAsia" w:ascii="宋体" w:hAnsi="宋体" w:cs="宋体"/>
                <w:color w:val="auto"/>
                <w:highlight w:val="none"/>
              </w:rPr>
              <w:t>评审因素</w:t>
            </w:r>
          </w:p>
        </w:tc>
        <w:tc>
          <w:tcPr>
            <w:tcW w:w="6060" w:type="dxa"/>
            <w:tcBorders>
              <w:top w:val="single" w:color="auto" w:sz="4" w:space="0"/>
              <w:left w:val="single" w:color="auto" w:sz="4" w:space="0"/>
              <w:bottom w:val="single" w:color="auto" w:sz="4" w:space="0"/>
              <w:right w:val="single" w:color="auto" w:sz="4" w:space="0"/>
            </w:tcBorders>
            <w:vAlign w:val="center"/>
          </w:tcPr>
          <w:p w14:paraId="3D83411D">
            <w:pPr>
              <w:rPr>
                <w:rFonts w:ascii="宋体" w:hAnsi="宋体" w:cs="宋体"/>
                <w:color w:val="auto"/>
                <w:highlight w:val="none"/>
              </w:rPr>
            </w:pPr>
            <w:r>
              <w:rPr>
                <w:rFonts w:hint="eastAsia" w:ascii="宋体" w:hAnsi="宋体" w:cs="宋体"/>
                <w:color w:val="auto"/>
                <w:highlight w:val="none"/>
              </w:rPr>
              <w:t>评审标准</w:t>
            </w:r>
          </w:p>
        </w:tc>
      </w:tr>
      <w:tr w14:paraId="17F4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59" w:type="dxa"/>
            <w:vMerge w:val="restart"/>
            <w:tcBorders>
              <w:left w:val="single" w:color="auto" w:sz="4" w:space="0"/>
              <w:right w:val="single" w:color="auto" w:sz="4" w:space="0"/>
            </w:tcBorders>
            <w:vAlign w:val="center"/>
          </w:tcPr>
          <w:p w14:paraId="13078721">
            <w:pPr>
              <w:jc w:val="center"/>
              <w:rPr>
                <w:rFonts w:ascii="宋体" w:hAnsi="宋体" w:cs="宋体"/>
                <w:color w:val="auto"/>
                <w:highlight w:val="none"/>
              </w:rPr>
            </w:pPr>
            <w:r>
              <w:rPr>
                <w:rFonts w:hint="eastAsia" w:ascii="宋体" w:hAnsi="宋体" w:cs="宋体"/>
                <w:color w:val="auto"/>
                <w:highlight w:val="none"/>
              </w:rPr>
              <w:t>2.1.1</w:t>
            </w:r>
          </w:p>
        </w:tc>
        <w:tc>
          <w:tcPr>
            <w:tcW w:w="567" w:type="dxa"/>
            <w:vMerge w:val="restart"/>
            <w:tcBorders>
              <w:left w:val="single" w:color="auto" w:sz="4" w:space="0"/>
              <w:right w:val="single" w:color="auto" w:sz="4" w:space="0"/>
            </w:tcBorders>
            <w:vAlign w:val="center"/>
          </w:tcPr>
          <w:p w14:paraId="0E60BE07">
            <w:pPr>
              <w:rPr>
                <w:rFonts w:ascii="宋体" w:hAnsi="宋体" w:cs="宋体"/>
                <w:color w:val="auto"/>
                <w:highlight w:val="none"/>
              </w:rPr>
            </w:pPr>
            <w:r>
              <w:rPr>
                <w:rFonts w:hint="eastAsia" w:ascii="宋体" w:hAnsi="宋体" w:cs="宋体"/>
                <w:color w:val="auto"/>
                <w:highlight w:val="none"/>
              </w:rPr>
              <w:t>资格评审标准</w:t>
            </w:r>
          </w:p>
        </w:tc>
        <w:tc>
          <w:tcPr>
            <w:tcW w:w="2835" w:type="dxa"/>
            <w:gridSpan w:val="2"/>
            <w:tcBorders>
              <w:top w:val="single" w:color="auto" w:sz="4" w:space="0"/>
              <w:left w:val="single" w:color="auto" w:sz="4" w:space="0"/>
              <w:right w:val="single" w:color="auto" w:sz="4" w:space="0"/>
            </w:tcBorders>
            <w:vAlign w:val="center"/>
          </w:tcPr>
          <w:p w14:paraId="6C717F4A">
            <w:pPr>
              <w:jc w:val="left"/>
              <w:rPr>
                <w:rFonts w:ascii="宋体" w:hAnsi="宋体" w:cs="宋体"/>
                <w:color w:val="auto"/>
                <w:highlight w:val="none"/>
              </w:rPr>
            </w:pPr>
            <w:r>
              <w:rPr>
                <w:rFonts w:hint="eastAsia" w:ascii="宋体" w:hAnsi="宋体" w:cs="宋体"/>
                <w:color w:val="auto"/>
                <w:highlight w:val="none"/>
              </w:rPr>
              <w:t>营业执照或其他类似法定凭证</w:t>
            </w:r>
          </w:p>
        </w:tc>
        <w:tc>
          <w:tcPr>
            <w:tcW w:w="6060" w:type="dxa"/>
            <w:tcBorders>
              <w:top w:val="single" w:color="auto" w:sz="4" w:space="0"/>
              <w:left w:val="single" w:color="auto" w:sz="4" w:space="0"/>
              <w:bottom w:val="single" w:color="auto" w:sz="4" w:space="0"/>
              <w:right w:val="single" w:color="auto" w:sz="4" w:space="0"/>
            </w:tcBorders>
            <w:vAlign w:val="center"/>
          </w:tcPr>
          <w:p w14:paraId="3524F799">
            <w:pPr>
              <w:jc w:val="left"/>
              <w:rPr>
                <w:color w:val="auto"/>
                <w:highlight w:val="none"/>
              </w:rPr>
            </w:pPr>
            <w:r>
              <w:rPr>
                <w:rFonts w:hint="eastAsia"/>
                <w:color w:val="auto"/>
                <w:highlight w:val="none"/>
              </w:rPr>
              <w:t>具有独立承担民事责任能力的法人或其他组织</w:t>
            </w:r>
            <w:r>
              <w:rPr>
                <w:rFonts w:hint="eastAsia"/>
                <w:color w:val="auto"/>
                <w:highlight w:val="none"/>
                <w:lang w:val="en-US" w:eastAsia="zh-CN"/>
              </w:rPr>
              <w:t>或自然人</w:t>
            </w:r>
            <w:r>
              <w:rPr>
                <w:rFonts w:hint="eastAsia"/>
                <w:color w:val="auto"/>
                <w:highlight w:val="none"/>
              </w:rPr>
              <w:t>，提供有效的营业执照或其他类似法定凭证（提供原件扫描件）。</w:t>
            </w:r>
          </w:p>
        </w:tc>
      </w:tr>
      <w:tr w14:paraId="32FC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59" w:type="dxa"/>
            <w:vMerge w:val="continue"/>
            <w:tcBorders>
              <w:left w:val="single" w:color="auto" w:sz="4" w:space="0"/>
              <w:right w:val="single" w:color="auto" w:sz="4" w:space="0"/>
            </w:tcBorders>
          </w:tcPr>
          <w:p w14:paraId="63FE99CB">
            <w:pPr>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14244E4B">
            <w:pPr>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5100AC45">
            <w:pPr>
              <w:jc w:val="left"/>
              <w:rPr>
                <w:rFonts w:hint="default" w:ascii="宋体" w:hAnsi="宋体" w:cs="宋体"/>
                <w:color w:val="auto"/>
                <w:highlight w:val="none"/>
                <w:lang w:val="en-US" w:eastAsia="zh-CN"/>
              </w:rPr>
            </w:pPr>
            <w:r>
              <w:rPr>
                <w:rFonts w:hint="default" w:ascii="宋体" w:hAnsi="宋体" w:cs="宋体"/>
                <w:color w:val="auto"/>
                <w:highlight w:val="none"/>
                <w:lang w:val="en-US" w:eastAsia="zh-CN"/>
              </w:rPr>
              <w:t>特定资格</w:t>
            </w:r>
          </w:p>
        </w:tc>
        <w:tc>
          <w:tcPr>
            <w:tcW w:w="6060" w:type="dxa"/>
            <w:tcBorders>
              <w:top w:val="single" w:color="auto" w:sz="4" w:space="0"/>
              <w:left w:val="single" w:color="auto" w:sz="4" w:space="0"/>
              <w:bottom w:val="single" w:color="auto" w:sz="4" w:space="0"/>
              <w:right w:val="single" w:color="auto" w:sz="4" w:space="0"/>
            </w:tcBorders>
            <w:vAlign w:val="center"/>
          </w:tcPr>
          <w:p w14:paraId="2DD818C3">
            <w:pPr>
              <w:jc w:val="left"/>
              <w:rPr>
                <w:rFonts w:hint="eastAsia" w:ascii="宋体" w:hAnsi="宋体" w:cs="宋体" w:eastAsiaTheme="majorEastAsia"/>
                <w:color w:val="auto"/>
                <w:highlight w:val="none"/>
                <w:lang w:eastAsia="zh-CN"/>
              </w:rPr>
            </w:pPr>
            <w:r>
              <w:rPr>
                <w:rFonts w:hint="eastAsia" w:ascii="宋体" w:hAnsi="宋体" w:cs="宋体" w:eastAsiaTheme="majorEastAsia"/>
                <w:color w:val="auto"/>
                <w:highlight w:val="none"/>
                <w:lang w:val="en-US" w:eastAsia="zh-CN"/>
              </w:rPr>
              <w:t>磋商申请</w:t>
            </w:r>
            <w:r>
              <w:rPr>
                <w:rFonts w:hint="eastAsia" w:ascii="宋体" w:hAnsi="宋体" w:cs="宋体" w:eastAsiaTheme="majorEastAsia"/>
                <w:color w:val="auto"/>
                <w:highlight w:val="none"/>
                <w:lang w:eastAsia="zh-CN"/>
              </w:rPr>
              <w:t>人须具备行政主管部门核发有效的《保安服务许可证》；附相关证书原件扫描件。</w:t>
            </w:r>
          </w:p>
        </w:tc>
      </w:tr>
      <w:tr w14:paraId="2189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59" w:type="dxa"/>
            <w:vMerge w:val="continue"/>
            <w:tcBorders>
              <w:left w:val="single" w:color="auto" w:sz="4" w:space="0"/>
              <w:right w:val="single" w:color="auto" w:sz="4" w:space="0"/>
            </w:tcBorders>
          </w:tcPr>
          <w:p w14:paraId="52FAFAA2">
            <w:pPr>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13E1FC20">
            <w:pPr>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0BD88555">
            <w:pPr>
              <w:jc w:val="left"/>
              <w:rPr>
                <w:rFonts w:ascii="宋体" w:hAnsi="宋体" w:cs="宋体"/>
                <w:color w:val="auto"/>
                <w:highlight w:val="none"/>
              </w:rPr>
            </w:pPr>
            <w:r>
              <w:rPr>
                <w:rFonts w:hint="eastAsia" w:ascii="宋体" w:hAnsi="宋体" w:cs="宋体"/>
                <w:color w:val="auto"/>
                <w:highlight w:val="none"/>
                <w:lang w:val="en-US" w:eastAsia="zh-CN"/>
              </w:rPr>
              <w:t>财务要求</w:t>
            </w:r>
          </w:p>
        </w:tc>
        <w:tc>
          <w:tcPr>
            <w:tcW w:w="6060" w:type="dxa"/>
            <w:tcBorders>
              <w:top w:val="single" w:color="auto" w:sz="4" w:space="0"/>
              <w:left w:val="single" w:color="auto" w:sz="4" w:space="0"/>
              <w:bottom w:val="single" w:color="auto" w:sz="4" w:space="0"/>
              <w:right w:val="single" w:color="auto" w:sz="4" w:space="0"/>
            </w:tcBorders>
            <w:vAlign w:val="center"/>
          </w:tcPr>
          <w:p w14:paraId="539A3C9B">
            <w:pPr>
              <w:jc w:val="left"/>
              <w:rPr>
                <w:rFonts w:hint="eastAsia" w:ascii="宋体" w:hAnsi="宋体" w:eastAsia="宋体" w:cs="宋体"/>
                <w:b/>
                <w:bCs/>
                <w:color w:val="auto"/>
                <w:highlight w:val="none"/>
                <w:lang w:eastAsia="zh-CN"/>
              </w:rPr>
            </w:pPr>
            <w:r>
              <w:rPr>
                <w:rFonts w:hint="eastAsia" w:ascii="宋体" w:hAnsi="宋体" w:cs="宋体"/>
                <w:color w:val="auto"/>
                <w:highlight w:val="none"/>
              </w:rPr>
              <w:t>提供证明材料或书面声明</w:t>
            </w:r>
            <w:r>
              <w:rPr>
                <w:rFonts w:hint="eastAsia" w:ascii="宋体" w:hAnsi="宋体" w:cs="宋体"/>
                <w:color w:val="auto"/>
                <w:highlight w:val="none"/>
                <w:lang w:eastAsia="zh-CN"/>
              </w:rPr>
              <w:t>。</w:t>
            </w:r>
          </w:p>
        </w:tc>
      </w:tr>
      <w:tr w14:paraId="6797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tcPr>
          <w:p w14:paraId="42530B8E">
            <w:pPr>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75A56AE0">
            <w:pPr>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2CEE2BCE">
            <w:pPr>
              <w:jc w:val="left"/>
              <w:rPr>
                <w:rFonts w:ascii="宋体" w:hAnsi="宋体" w:cs="宋体"/>
                <w:color w:val="auto"/>
                <w:highlight w:val="none"/>
              </w:rPr>
            </w:pPr>
            <w:r>
              <w:rPr>
                <w:rFonts w:hint="eastAsia" w:ascii="宋体" w:hAnsi="宋体" w:cs="宋体"/>
                <w:color w:val="auto"/>
                <w:highlight w:val="none"/>
              </w:rPr>
              <w:t>具有履行合同所必需的设备和专业技术能力</w:t>
            </w:r>
          </w:p>
        </w:tc>
        <w:tc>
          <w:tcPr>
            <w:tcW w:w="6060" w:type="dxa"/>
            <w:tcBorders>
              <w:top w:val="single" w:color="auto" w:sz="4" w:space="0"/>
              <w:left w:val="single" w:color="auto" w:sz="4" w:space="0"/>
              <w:bottom w:val="single" w:color="auto" w:sz="4" w:space="0"/>
              <w:right w:val="single" w:color="auto" w:sz="4" w:space="0"/>
            </w:tcBorders>
            <w:vAlign w:val="center"/>
          </w:tcPr>
          <w:p w14:paraId="729EDF3C">
            <w:pPr>
              <w:jc w:val="left"/>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提供证明材料或书面声明</w:t>
            </w:r>
            <w:r>
              <w:rPr>
                <w:rFonts w:hint="eastAsia" w:ascii="宋体" w:hAnsi="宋体" w:cs="宋体"/>
                <w:color w:val="auto"/>
                <w:sz w:val="21"/>
                <w:szCs w:val="21"/>
                <w:highlight w:val="none"/>
                <w:lang w:eastAsia="zh-CN"/>
              </w:rPr>
              <w:t>。</w:t>
            </w:r>
          </w:p>
        </w:tc>
      </w:tr>
      <w:tr w14:paraId="0D89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60F2DB18">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2089D00C">
            <w:pPr>
              <w:widowControl/>
              <w:jc w:val="left"/>
              <w:rPr>
                <w:rFonts w:ascii="宋体" w:hAnsi="宋体" w:cs="宋体"/>
                <w:color w:val="auto"/>
                <w:highlight w:val="none"/>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2309230">
            <w:pPr>
              <w:jc w:val="left"/>
              <w:rPr>
                <w:rFonts w:ascii="宋体" w:hAnsi="宋体" w:cs="宋体"/>
                <w:color w:val="auto"/>
                <w:highlight w:val="none"/>
              </w:rPr>
            </w:pPr>
            <w:r>
              <w:rPr>
                <w:rFonts w:hint="eastAsia" w:ascii="宋体" w:hAnsi="宋体" w:cs="宋体"/>
                <w:color w:val="auto"/>
                <w:highlight w:val="none"/>
              </w:rPr>
              <w:t>有依法缴纳税收和社会保障资金的良好记录</w:t>
            </w:r>
          </w:p>
        </w:tc>
        <w:tc>
          <w:tcPr>
            <w:tcW w:w="6060" w:type="dxa"/>
            <w:tcBorders>
              <w:top w:val="single" w:color="auto" w:sz="4" w:space="0"/>
              <w:left w:val="single" w:color="auto" w:sz="4" w:space="0"/>
              <w:bottom w:val="single" w:color="auto" w:sz="4" w:space="0"/>
              <w:right w:val="single" w:color="auto" w:sz="4" w:space="0"/>
            </w:tcBorders>
            <w:vAlign w:val="center"/>
          </w:tcPr>
          <w:p w14:paraId="0FAF6AA6">
            <w:pPr>
              <w:jc w:val="left"/>
              <w:rPr>
                <w:rFonts w:ascii="宋体" w:hAnsi="宋体" w:cs="宋体"/>
                <w:color w:val="auto"/>
                <w:highlight w:val="none"/>
              </w:rPr>
            </w:pPr>
            <w:r>
              <w:rPr>
                <w:rFonts w:hint="eastAsia" w:ascii="宋体" w:hAnsi="宋体" w:eastAsia="宋体" w:cs="宋体"/>
                <w:color w:val="auto"/>
                <w:sz w:val="21"/>
                <w:szCs w:val="21"/>
                <w:highlight w:val="none"/>
              </w:rPr>
              <w:t>提供证明材料或书面声明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依法免税或不需要缴纳社会保障资金的投标人应提供相应文件证明其依法免税或不需要缴纳社会保障资金</w:t>
            </w:r>
            <w:r>
              <w:rPr>
                <w:rFonts w:hint="eastAsia" w:ascii="宋体" w:hAnsi="宋体" w:cs="宋体"/>
                <w:color w:val="auto"/>
                <w:sz w:val="21"/>
                <w:szCs w:val="21"/>
                <w:highlight w:val="none"/>
                <w:lang w:eastAsia="zh-CN"/>
              </w:rPr>
              <w:t>）</w:t>
            </w:r>
            <w:r>
              <w:rPr>
                <w:rFonts w:hint="eastAsia" w:ascii="宋体" w:hAnsi="宋体" w:cs="宋体"/>
                <w:color w:val="auto"/>
                <w:highlight w:val="none"/>
                <w:lang w:eastAsia="zh-CN"/>
              </w:rPr>
              <w:t>。</w:t>
            </w:r>
          </w:p>
        </w:tc>
      </w:tr>
      <w:tr w14:paraId="5F25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3CFEA146">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6461C216">
            <w:pPr>
              <w:widowControl/>
              <w:jc w:val="left"/>
              <w:rPr>
                <w:rFonts w:ascii="宋体" w:hAnsi="宋体" w:cs="宋体"/>
                <w:color w:val="auto"/>
                <w:highlight w:val="none"/>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66FDF93">
            <w:pPr>
              <w:jc w:val="left"/>
              <w:rPr>
                <w:rFonts w:ascii="宋体" w:hAnsi="宋体" w:cs="宋体"/>
                <w:color w:val="auto"/>
                <w:highlight w:val="none"/>
              </w:rPr>
            </w:pPr>
            <w:r>
              <w:rPr>
                <w:rFonts w:hint="eastAsia"/>
                <w:color w:val="auto"/>
                <w:highlight w:val="none"/>
              </w:rPr>
              <w:t>近三年经营活动中没有重大违法记录</w:t>
            </w:r>
          </w:p>
        </w:tc>
        <w:tc>
          <w:tcPr>
            <w:tcW w:w="6060" w:type="dxa"/>
            <w:tcBorders>
              <w:top w:val="single" w:color="auto" w:sz="4" w:space="0"/>
              <w:left w:val="single" w:color="auto" w:sz="4" w:space="0"/>
              <w:bottom w:val="single" w:color="auto" w:sz="4" w:space="0"/>
              <w:right w:val="single" w:color="auto" w:sz="4" w:space="0"/>
            </w:tcBorders>
            <w:vAlign w:val="center"/>
          </w:tcPr>
          <w:p w14:paraId="37D7C168">
            <w:pPr>
              <w:jc w:val="left"/>
              <w:rPr>
                <w:rFonts w:hint="eastAsia" w:ascii="宋体" w:hAnsi="宋体" w:eastAsia="宋体"/>
                <w:color w:val="auto"/>
                <w:highlight w:val="none"/>
                <w:lang w:eastAsia="zh-CN"/>
              </w:rPr>
            </w:pPr>
            <w:r>
              <w:rPr>
                <w:rFonts w:hint="eastAsia" w:ascii="宋体" w:hAnsi="宋体"/>
                <w:color w:val="auto"/>
                <w:highlight w:val="none"/>
              </w:rPr>
              <w:t>提供书面声明</w:t>
            </w:r>
            <w:r>
              <w:rPr>
                <w:rFonts w:hint="eastAsia" w:ascii="宋体" w:hAnsi="宋体"/>
                <w:color w:val="auto"/>
                <w:highlight w:val="none"/>
                <w:lang w:eastAsia="zh-CN"/>
              </w:rPr>
              <w:t>。</w:t>
            </w:r>
          </w:p>
        </w:tc>
      </w:tr>
      <w:tr w14:paraId="449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6C685FD8">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5A4F8F8B">
            <w:pPr>
              <w:widowControl/>
              <w:jc w:val="left"/>
              <w:rPr>
                <w:rFonts w:ascii="宋体" w:hAnsi="宋体" w:cs="宋体"/>
                <w:color w:val="auto"/>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8F0699">
            <w:pPr>
              <w:jc w:val="left"/>
              <w:rPr>
                <w:rFonts w:ascii="宋体" w:hAnsi="宋体" w:cs="宋体"/>
                <w:color w:val="auto"/>
                <w:highlight w:val="none"/>
              </w:rPr>
            </w:pPr>
            <w:r>
              <w:rPr>
                <w:rFonts w:hint="eastAsia" w:asciiTheme="majorEastAsia" w:hAnsiTheme="majorEastAsia" w:eastAsiaTheme="majorEastAsia" w:cstheme="majorEastAsia"/>
                <w:color w:val="auto"/>
                <w:highlight w:val="none"/>
              </w:rPr>
              <w:t>法律、行政法规规定的其他条件</w:t>
            </w:r>
          </w:p>
        </w:tc>
        <w:tc>
          <w:tcPr>
            <w:tcW w:w="6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B93A75">
            <w:pPr>
              <w:jc w:val="left"/>
              <w:rPr>
                <w:rFonts w:hint="eastAsia" w:ascii="宋体" w:hAnsi="宋体" w:cs="宋体" w:eastAsiaTheme="majorEastAsia"/>
                <w:color w:val="auto"/>
                <w:highlight w:val="none"/>
                <w:lang w:eastAsia="zh-CN"/>
              </w:rPr>
            </w:pPr>
            <w:r>
              <w:rPr>
                <w:rFonts w:hint="eastAsia" w:asciiTheme="majorEastAsia" w:hAnsiTheme="majorEastAsia" w:eastAsiaTheme="majorEastAsia" w:cstheme="majorEastAsia"/>
                <w:color w:val="auto"/>
                <w:highlight w:val="none"/>
              </w:rPr>
              <w:t>提供书面声明</w:t>
            </w:r>
            <w:r>
              <w:rPr>
                <w:rFonts w:hint="eastAsia" w:asciiTheme="majorEastAsia" w:hAnsiTheme="majorEastAsia" w:eastAsiaTheme="majorEastAsia" w:cstheme="majorEastAsia"/>
                <w:color w:val="auto"/>
                <w:highlight w:val="none"/>
                <w:lang w:eastAsia="zh-CN"/>
              </w:rPr>
              <w:t>。</w:t>
            </w:r>
          </w:p>
        </w:tc>
      </w:tr>
      <w:tr w14:paraId="1147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20AC1EB7">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461D4B45">
            <w:pPr>
              <w:widowControl/>
              <w:jc w:val="left"/>
              <w:rPr>
                <w:rFonts w:ascii="宋体" w:hAnsi="宋体" w:cs="宋体"/>
                <w:color w:val="auto"/>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E1236C">
            <w:pPr>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落实政府采购政策需满足的资格要求</w:t>
            </w:r>
          </w:p>
        </w:tc>
        <w:tc>
          <w:tcPr>
            <w:tcW w:w="6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7F8CAD">
            <w:pPr>
              <w:jc w:val="left"/>
              <w:rPr>
                <w:rFonts w:hint="eastAsia" w:eastAsia="宋体" w:asciiTheme="majorEastAsia" w:hAnsiTheme="majorEastAsia" w:cstheme="majorEastAsia"/>
                <w:color w:val="auto"/>
                <w:highlight w:val="none"/>
                <w:lang w:eastAsia="zh-CN"/>
              </w:rPr>
            </w:pPr>
            <w:r>
              <w:rPr>
                <w:rFonts w:hint="eastAsia" w:eastAsia="宋体" w:asciiTheme="majorEastAsia" w:hAnsiTheme="majorEastAsia" w:cstheme="majorEastAsia"/>
                <w:color w:val="auto"/>
                <w:highlight w:val="none"/>
                <w:lang w:eastAsia="zh-CN"/>
              </w:rPr>
              <w:t>本项目专门面向中小企业采购（监狱企业、残疾人企业视同中小企业），参加本项目的</w:t>
            </w:r>
            <w:r>
              <w:rPr>
                <w:rFonts w:hint="eastAsia" w:asciiTheme="majorEastAsia" w:hAnsiTheme="majorEastAsia" w:cstheme="majorEastAsia"/>
                <w:color w:val="auto"/>
                <w:highlight w:val="none"/>
                <w:lang w:val="en-US" w:eastAsia="zh-CN"/>
              </w:rPr>
              <w:t>供应商</w:t>
            </w:r>
            <w:r>
              <w:rPr>
                <w:rFonts w:hint="eastAsia" w:eastAsia="宋体" w:asciiTheme="majorEastAsia" w:hAnsiTheme="majorEastAsia" w:cstheme="majorEastAsia"/>
                <w:color w:val="auto"/>
                <w:highlight w:val="none"/>
                <w:lang w:eastAsia="zh-CN"/>
              </w:rPr>
              <w:t>应当按照《政府采购促进中小企业发展管理办法》（财库〔2020〕46号）的规定出具《中小企业声明函》</w:t>
            </w:r>
            <w:r>
              <w:rPr>
                <w:rFonts w:hint="eastAsia" w:asciiTheme="majorEastAsia" w:hAnsiTheme="majorEastAsia" w:cstheme="majorEastAsia"/>
                <w:color w:val="auto"/>
                <w:highlight w:val="none"/>
                <w:lang w:eastAsia="zh-CN"/>
              </w:rPr>
              <w:t>。</w:t>
            </w:r>
          </w:p>
        </w:tc>
      </w:tr>
      <w:tr w14:paraId="7F70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9" w:type="dxa"/>
            <w:vMerge w:val="continue"/>
            <w:tcBorders>
              <w:left w:val="single" w:color="auto" w:sz="4" w:space="0"/>
              <w:right w:val="single" w:color="auto" w:sz="4" w:space="0"/>
            </w:tcBorders>
            <w:vAlign w:val="center"/>
          </w:tcPr>
          <w:p w14:paraId="0135398F">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56B17E9B">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1F5CAD44">
            <w:pPr>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其他承诺</w:t>
            </w:r>
          </w:p>
        </w:tc>
        <w:tc>
          <w:tcPr>
            <w:tcW w:w="6060" w:type="dxa"/>
            <w:tcBorders>
              <w:top w:val="single" w:color="auto" w:sz="4" w:space="0"/>
              <w:left w:val="single" w:color="auto" w:sz="4" w:space="0"/>
              <w:bottom w:val="single" w:color="auto" w:sz="4" w:space="0"/>
              <w:right w:val="single" w:color="auto" w:sz="4" w:space="0"/>
            </w:tcBorders>
            <w:vAlign w:val="center"/>
          </w:tcPr>
          <w:p w14:paraId="43D32860">
            <w:pPr>
              <w:jc w:val="left"/>
              <w:rPr>
                <w:rFonts w:asciiTheme="majorEastAsia" w:hAnsiTheme="majorEastAsia" w:cstheme="majorEastAsia"/>
                <w:color w:val="auto"/>
                <w:highlight w:val="none"/>
              </w:rPr>
            </w:pPr>
            <w:r>
              <w:rPr>
                <w:rFonts w:hint="eastAsia"/>
                <w:color w:val="auto"/>
                <w:highlight w:val="none"/>
              </w:rPr>
              <w:t>1、法定代表人</w:t>
            </w:r>
            <w:r>
              <w:rPr>
                <w:rFonts w:hint="eastAsia"/>
                <w:color w:val="auto"/>
                <w:highlight w:val="none"/>
                <w:lang w:eastAsia="zh-CN"/>
              </w:rPr>
              <w:t>（</w:t>
            </w:r>
            <w:r>
              <w:rPr>
                <w:rFonts w:hint="eastAsia"/>
                <w:color w:val="auto"/>
                <w:highlight w:val="none"/>
                <w:lang w:val="en-US" w:eastAsia="zh-CN"/>
              </w:rPr>
              <w:t>或负责人</w:t>
            </w:r>
            <w:r>
              <w:rPr>
                <w:rFonts w:hint="eastAsia"/>
                <w:color w:val="auto"/>
                <w:highlight w:val="none"/>
                <w:lang w:eastAsia="zh-CN"/>
              </w:rPr>
              <w:t>）</w:t>
            </w:r>
            <w:r>
              <w:rPr>
                <w:rFonts w:hint="eastAsia"/>
                <w:color w:val="auto"/>
                <w:highlight w:val="none"/>
              </w:rPr>
              <w:t>为同一人或者存在控股、管理关系的不同单位，不得同时参加本项目投标，否则相关投标均无效（提供承诺书）；2、供应商不得为采购项目提供整体设计、规范编制或者项目管理、监理、检测等服务的供应商（提供承诺书）。</w:t>
            </w:r>
          </w:p>
        </w:tc>
      </w:tr>
      <w:tr w14:paraId="75C7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restart"/>
            <w:tcBorders>
              <w:left w:val="single" w:color="auto" w:sz="4" w:space="0"/>
              <w:right w:val="single" w:color="auto" w:sz="4" w:space="0"/>
            </w:tcBorders>
            <w:vAlign w:val="center"/>
          </w:tcPr>
          <w:p w14:paraId="0893010A">
            <w:pPr>
              <w:jc w:val="center"/>
              <w:rPr>
                <w:rFonts w:ascii="宋体" w:hAnsi="宋体" w:cs="宋体"/>
                <w:color w:val="auto"/>
                <w:highlight w:val="none"/>
              </w:rPr>
            </w:pPr>
            <w:r>
              <w:rPr>
                <w:rFonts w:hint="eastAsia" w:ascii="宋体" w:hAnsi="宋体" w:cs="宋体"/>
                <w:color w:val="auto"/>
                <w:highlight w:val="none"/>
              </w:rPr>
              <w:t>2.1.2</w:t>
            </w:r>
          </w:p>
        </w:tc>
        <w:tc>
          <w:tcPr>
            <w:tcW w:w="567" w:type="dxa"/>
            <w:vMerge w:val="restart"/>
            <w:tcBorders>
              <w:left w:val="single" w:color="auto" w:sz="4" w:space="0"/>
              <w:right w:val="single" w:color="auto" w:sz="4" w:space="0"/>
            </w:tcBorders>
            <w:vAlign w:val="center"/>
          </w:tcPr>
          <w:p w14:paraId="5801065C">
            <w:pPr>
              <w:rPr>
                <w:rFonts w:ascii="宋体" w:hAnsi="宋体" w:cs="宋体"/>
                <w:color w:val="auto"/>
                <w:highlight w:val="none"/>
              </w:rPr>
            </w:pPr>
            <w:r>
              <w:rPr>
                <w:rFonts w:hint="eastAsia" w:ascii="宋体" w:hAnsi="宋体" w:cs="宋体"/>
                <w:color w:val="auto"/>
                <w:highlight w:val="none"/>
              </w:rPr>
              <w:t>符合性评审标准</w:t>
            </w:r>
          </w:p>
        </w:tc>
        <w:tc>
          <w:tcPr>
            <w:tcW w:w="2835" w:type="dxa"/>
            <w:gridSpan w:val="2"/>
            <w:tcBorders>
              <w:top w:val="single" w:color="auto" w:sz="4" w:space="0"/>
              <w:left w:val="single" w:color="auto" w:sz="4" w:space="0"/>
              <w:right w:val="single" w:color="auto" w:sz="4" w:space="0"/>
            </w:tcBorders>
            <w:vAlign w:val="center"/>
          </w:tcPr>
          <w:p w14:paraId="0F666527">
            <w:pPr>
              <w:rPr>
                <w:rFonts w:ascii="宋体" w:hAnsi="宋体" w:cs="宋体"/>
                <w:color w:val="auto"/>
                <w:highlight w:val="none"/>
              </w:rPr>
            </w:pPr>
            <w:r>
              <w:rPr>
                <w:rFonts w:hint="eastAsia" w:ascii="宋体" w:hAnsi="宋体" w:cs="宋体"/>
                <w:color w:val="auto"/>
                <w:highlight w:val="none"/>
              </w:rPr>
              <w:t>供应商名称</w:t>
            </w:r>
          </w:p>
        </w:tc>
        <w:tc>
          <w:tcPr>
            <w:tcW w:w="6060" w:type="dxa"/>
            <w:tcBorders>
              <w:top w:val="single" w:color="auto" w:sz="4" w:space="0"/>
              <w:left w:val="single" w:color="auto" w:sz="4" w:space="0"/>
              <w:bottom w:val="single" w:color="auto" w:sz="4" w:space="0"/>
              <w:right w:val="single" w:color="auto" w:sz="4" w:space="0"/>
            </w:tcBorders>
            <w:vAlign w:val="center"/>
          </w:tcPr>
          <w:p w14:paraId="29789450">
            <w:pPr>
              <w:rPr>
                <w:rFonts w:ascii="宋体" w:hAnsi="宋体" w:cs="宋体"/>
                <w:color w:val="auto"/>
                <w:highlight w:val="none"/>
              </w:rPr>
            </w:pPr>
            <w:r>
              <w:rPr>
                <w:rFonts w:hint="eastAsia" w:ascii="宋体" w:hAnsi="宋体" w:cs="宋体"/>
                <w:color w:val="auto"/>
                <w:highlight w:val="none"/>
              </w:rPr>
              <w:t>与营业执照或类似的法定凭证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执业证书</w:t>
            </w:r>
            <w:r>
              <w:rPr>
                <w:rFonts w:hint="eastAsia" w:ascii="宋体" w:hAnsi="宋体" w:cs="宋体"/>
                <w:color w:val="auto"/>
                <w:highlight w:val="none"/>
              </w:rPr>
              <w:t>一致</w:t>
            </w:r>
          </w:p>
        </w:tc>
      </w:tr>
      <w:tr w14:paraId="023A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388042C6">
            <w:pPr>
              <w:jc w:val="center"/>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0213BC81">
            <w:pPr>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49FBE410">
            <w:pPr>
              <w:rPr>
                <w:rFonts w:ascii="宋体" w:hAnsi="宋体" w:cs="宋体"/>
                <w:color w:val="auto"/>
                <w:highlight w:val="none"/>
              </w:rPr>
            </w:pPr>
            <w:r>
              <w:rPr>
                <w:rFonts w:hint="eastAsia" w:ascii="宋体" w:hAnsi="宋体" w:cs="宋体"/>
                <w:color w:val="auto"/>
                <w:highlight w:val="none"/>
              </w:rPr>
              <w:t>法定代表人身份证明书及授权委托书</w:t>
            </w:r>
          </w:p>
        </w:tc>
        <w:tc>
          <w:tcPr>
            <w:tcW w:w="6060" w:type="dxa"/>
            <w:tcBorders>
              <w:top w:val="single" w:color="auto" w:sz="4" w:space="0"/>
              <w:left w:val="single" w:color="auto" w:sz="4" w:space="0"/>
              <w:bottom w:val="single" w:color="auto" w:sz="4" w:space="0"/>
              <w:right w:val="single" w:color="auto" w:sz="4" w:space="0"/>
            </w:tcBorders>
            <w:vAlign w:val="center"/>
          </w:tcPr>
          <w:p w14:paraId="46B511BD">
            <w:pPr>
              <w:rPr>
                <w:rFonts w:ascii="宋体" w:hAnsi="宋体" w:cs="宋体"/>
                <w:color w:val="auto"/>
                <w:highlight w:val="none"/>
              </w:rPr>
            </w:pPr>
            <w:r>
              <w:rPr>
                <w:rFonts w:hint="eastAsia" w:ascii="宋体" w:hAnsi="宋体" w:cs="宋体"/>
                <w:color w:val="auto"/>
                <w:highlight w:val="none"/>
              </w:rPr>
              <w:t>符合磋商文件格式要求</w:t>
            </w:r>
          </w:p>
        </w:tc>
      </w:tr>
      <w:tr w14:paraId="5AAB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2F4D9AB1">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7BF5C68A">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08EDE0E5">
            <w:pPr>
              <w:rPr>
                <w:rFonts w:ascii="宋体" w:hAnsi="宋体" w:cs="宋体"/>
                <w:color w:val="auto"/>
                <w:highlight w:val="none"/>
              </w:rPr>
            </w:pPr>
            <w:r>
              <w:rPr>
                <w:rFonts w:hint="eastAsia" w:ascii="宋体" w:hAnsi="宋体" w:cs="宋体"/>
                <w:color w:val="auto"/>
                <w:highlight w:val="none"/>
              </w:rPr>
              <w:t>响应文件的签署、盖章</w:t>
            </w:r>
          </w:p>
        </w:tc>
        <w:tc>
          <w:tcPr>
            <w:tcW w:w="6060" w:type="dxa"/>
            <w:tcBorders>
              <w:top w:val="single" w:color="auto" w:sz="4" w:space="0"/>
              <w:left w:val="single" w:color="auto" w:sz="4" w:space="0"/>
              <w:bottom w:val="single" w:color="auto" w:sz="4" w:space="0"/>
              <w:right w:val="single" w:color="auto" w:sz="4" w:space="0"/>
            </w:tcBorders>
            <w:vAlign w:val="center"/>
          </w:tcPr>
          <w:p w14:paraId="564C30A4">
            <w:pPr>
              <w:rPr>
                <w:rFonts w:ascii="宋体" w:hAnsi="宋体" w:cs="宋体"/>
                <w:color w:val="auto"/>
                <w:highlight w:val="none"/>
              </w:rPr>
            </w:pPr>
            <w:r>
              <w:rPr>
                <w:rFonts w:hint="eastAsia" w:ascii="新宋体" w:hAnsi="新宋体" w:eastAsia="新宋体"/>
                <w:color w:val="auto"/>
                <w:highlight w:val="none"/>
              </w:rPr>
              <w:t>符合第六章响应文件格式要求的签署或签章</w:t>
            </w:r>
          </w:p>
        </w:tc>
      </w:tr>
      <w:tr w14:paraId="6AA9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08EC69BE">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01E5EC00">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68038CDF">
            <w:pPr>
              <w:rPr>
                <w:rFonts w:ascii="宋体" w:hAnsi="宋体" w:cs="宋体"/>
                <w:color w:val="auto"/>
                <w:highlight w:val="none"/>
              </w:rPr>
            </w:pPr>
            <w:r>
              <w:rPr>
                <w:rFonts w:hint="eastAsia" w:ascii="宋体" w:hAnsi="宋体" w:cs="宋体"/>
                <w:color w:val="auto"/>
                <w:highlight w:val="none"/>
              </w:rPr>
              <w:t>响应文件格式</w:t>
            </w:r>
          </w:p>
        </w:tc>
        <w:tc>
          <w:tcPr>
            <w:tcW w:w="6060" w:type="dxa"/>
            <w:tcBorders>
              <w:top w:val="single" w:color="auto" w:sz="4" w:space="0"/>
              <w:left w:val="single" w:color="auto" w:sz="4" w:space="0"/>
              <w:bottom w:val="single" w:color="auto" w:sz="4" w:space="0"/>
              <w:right w:val="single" w:color="auto" w:sz="4" w:space="0"/>
            </w:tcBorders>
            <w:vAlign w:val="center"/>
          </w:tcPr>
          <w:p w14:paraId="67207A3F">
            <w:pPr>
              <w:rPr>
                <w:rFonts w:ascii="宋体" w:hAnsi="宋体" w:cs="宋体"/>
                <w:color w:val="auto"/>
                <w:highlight w:val="none"/>
              </w:rPr>
            </w:pPr>
            <w:r>
              <w:rPr>
                <w:rFonts w:hint="eastAsia" w:ascii="宋体" w:hAnsi="宋体" w:cs="宋体"/>
                <w:color w:val="auto"/>
                <w:highlight w:val="none"/>
              </w:rPr>
              <w:t>符合竞争性磋商文件第六章格式要求</w:t>
            </w:r>
          </w:p>
        </w:tc>
      </w:tr>
      <w:tr w14:paraId="5616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76042588">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75D3B86F">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7C2C3A2E">
            <w:pPr>
              <w:rPr>
                <w:rFonts w:ascii="宋体" w:hAnsi="宋体" w:cs="宋体"/>
                <w:color w:val="auto"/>
                <w:highlight w:val="none"/>
              </w:rPr>
            </w:pPr>
            <w:r>
              <w:rPr>
                <w:rFonts w:hint="eastAsia" w:ascii="宋体" w:hAnsi="宋体" w:cs="宋体"/>
                <w:color w:val="auto"/>
                <w:highlight w:val="none"/>
              </w:rPr>
              <w:t>磋商报价</w:t>
            </w:r>
          </w:p>
        </w:tc>
        <w:tc>
          <w:tcPr>
            <w:tcW w:w="6060" w:type="dxa"/>
            <w:tcBorders>
              <w:top w:val="single" w:color="auto" w:sz="4" w:space="0"/>
              <w:left w:val="single" w:color="auto" w:sz="4" w:space="0"/>
              <w:bottom w:val="single" w:color="auto" w:sz="4" w:space="0"/>
              <w:right w:val="single" w:color="auto" w:sz="4" w:space="0"/>
            </w:tcBorders>
            <w:vAlign w:val="center"/>
          </w:tcPr>
          <w:p w14:paraId="674CA28A">
            <w:pPr>
              <w:rPr>
                <w:rFonts w:hint="default" w:ascii="宋体" w:hAnsi="宋体" w:eastAsia="新宋体" w:cs="宋体"/>
                <w:color w:val="auto"/>
                <w:highlight w:val="none"/>
                <w:lang w:val="en-US" w:eastAsia="zh-CN"/>
              </w:rPr>
            </w:pPr>
            <w:r>
              <w:rPr>
                <w:rFonts w:ascii="宋体" w:hAnsi="宋体" w:cs="宋体"/>
                <w:color w:val="auto"/>
                <w:highlight w:val="none"/>
              </w:rPr>
              <w:t>符合</w:t>
            </w:r>
            <w:r>
              <w:rPr>
                <w:rFonts w:hint="eastAsia" w:ascii="新宋体" w:hAnsi="新宋体" w:eastAsia="新宋体"/>
                <w:color w:val="auto"/>
                <w:highlight w:val="none"/>
              </w:rPr>
              <w:t>供应商须知3.2规定</w:t>
            </w:r>
            <w:r>
              <w:rPr>
                <w:rFonts w:hint="eastAsia" w:ascii="新宋体" w:hAnsi="新宋体" w:eastAsia="新宋体"/>
                <w:color w:val="auto"/>
                <w:highlight w:val="none"/>
                <w:lang w:val="en-US" w:eastAsia="zh-CN"/>
              </w:rPr>
              <w:t>且报价唯一</w:t>
            </w:r>
          </w:p>
        </w:tc>
      </w:tr>
      <w:tr w14:paraId="5A3B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0D9068BB">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49E2D4F0">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1FF26DD7">
            <w:pPr>
              <w:rPr>
                <w:rFonts w:ascii="宋体" w:hAnsi="宋体" w:cs="宋体"/>
                <w:color w:val="auto"/>
                <w:highlight w:val="none"/>
              </w:rPr>
            </w:pPr>
            <w:r>
              <w:rPr>
                <w:rFonts w:hint="eastAsia" w:ascii="宋体" w:hAnsi="宋体" w:cs="宋体"/>
                <w:color w:val="auto"/>
                <w:highlight w:val="none"/>
              </w:rPr>
              <w:t>磋商保证金</w:t>
            </w:r>
          </w:p>
        </w:tc>
        <w:tc>
          <w:tcPr>
            <w:tcW w:w="6060" w:type="dxa"/>
            <w:tcBorders>
              <w:top w:val="single" w:color="auto" w:sz="4" w:space="0"/>
              <w:left w:val="single" w:color="auto" w:sz="4" w:space="0"/>
              <w:bottom w:val="single" w:color="auto" w:sz="4" w:space="0"/>
              <w:right w:val="single" w:color="auto" w:sz="4" w:space="0"/>
            </w:tcBorders>
            <w:vAlign w:val="center"/>
          </w:tcPr>
          <w:p w14:paraId="0B91EE2F">
            <w:pPr>
              <w:rPr>
                <w:rFonts w:ascii="宋体" w:hAnsi="宋体" w:cs="宋体"/>
                <w:color w:val="auto"/>
                <w:highlight w:val="none"/>
              </w:rPr>
            </w:pPr>
            <w:r>
              <w:rPr>
                <w:rFonts w:hint="eastAsia" w:ascii="新宋体" w:hAnsi="新宋体" w:eastAsia="新宋体" w:cs="Times New Roman"/>
                <w:color w:val="auto"/>
                <w:highlight w:val="none"/>
              </w:rPr>
              <w:t>按要求提供保证金诚信承诺书</w:t>
            </w:r>
          </w:p>
        </w:tc>
      </w:tr>
      <w:tr w14:paraId="4F1B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9" w:type="dxa"/>
            <w:vMerge w:val="continue"/>
            <w:tcBorders>
              <w:left w:val="single" w:color="auto" w:sz="4" w:space="0"/>
              <w:right w:val="single" w:color="auto" w:sz="4" w:space="0"/>
            </w:tcBorders>
            <w:vAlign w:val="center"/>
          </w:tcPr>
          <w:p w14:paraId="30619ED4">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24BA9C0B">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4B2C34B1">
            <w:pPr>
              <w:rPr>
                <w:rFonts w:ascii="宋体" w:hAnsi="宋体" w:cs="宋体"/>
                <w:color w:val="auto"/>
                <w:highlight w:val="none"/>
              </w:rPr>
            </w:pPr>
            <w:r>
              <w:rPr>
                <w:rFonts w:hint="eastAsia" w:ascii="宋体" w:hAnsi="宋体" w:cs="宋体"/>
                <w:color w:val="auto"/>
                <w:highlight w:val="none"/>
              </w:rPr>
              <w:t>相关承诺书</w:t>
            </w:r>
          </w:p>
        </w:tc>
        <w:tc>
          <w:tcPr>
            <w:tcW w:w="6060" w:type="dxa"/>
            <w:tcBorders>
              <w:top w:val="single" w:color="auto" w:sz="4" w:space="0"/>
              <w:left w:val="single" w:color="auto" w:sz="4" w:space="0"/>
              <w:bottom w:val="single" w:color="auto" w:sz="4" w:space="0"/>
              <w:right w:val="single" w:color="auto" w:sz="4" w:space="0"/>
            </w:tcBorders>
            <w:vAlign w:val="center"/>
          </w:tcPr>
          <w:p w14:paraId="51FA3276">
            <w:pPr>
              <w:rPr>
                <w:rFonts w:ascii="新宋体" w:hAnsi="新宋体" w:eastAsia="新宋体"/>
                <w:color w:val="auto"/>
                <w:highlight w:val="none"/>
              </w:rPr>
            </w:pPr>
            <w:r>
              <w:rPr>
                <w:rFonts w:hint="eastAsia" w:ascii="宋体" w:hAnsi="宋体" w:cs="宋体"/>
                <w:color w:val="auto"/>
                <w:highlight w:val="none"/>
              </w:rPr>
              <w:t>符合磋商文件格式要求</w:t>
            </w:r>
          </w:p>
        </w:tc>
      </w:tr>
      <w:tr w14:paraId="1892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9" w:type="dxa"/>
            <w:vMerge w:val="continue"/>
            <w:tcBorders>
              <w:left w:val="single" w:color="auto" w:sz="4" w:space="0"/>
              <w:right w:val="single" w:color="auto" w:sz="4" w:space="0"/>
            </w:tcBorders>
            <w:vAlign w:val="center"/>
          </w:tcPr>
          <w:p w14:paraId="4203091B">
            <w:pPr>
              <w:widowControl/>
              <w:jc w:val="left"/>
              <w:rPr>
                <w:rFonts w:ascii="宋体" w:hAnsi="宋体" w:cs="宋体"/>
                <w:color w:val="auto"/>
                <w:highlight w:val="none"/>
              </w:rPr>
            </w:pPr>
          </w:p>
        </w:tc>
        <w:tc>
          <w:tcPr>
            <w:tcW w:w="567" w:type="dxa"/>
            <w:vMerge w:val="continue"/>
            <w:tcBorders>
              <w:left w:val="single" w:color="auto" w:sz="4" w:space="0"/>
              <w:right w:val="single" w:color="auto" w:sz="4" w:space="0"/>
            </w:tcBorders>
            <w:vAlign w:val="center"/>
          </w:tcPr>
          <w:p w14:paraId="49F2E6BF">
            <w:pPr>
              <w:widowControl/>
              <w:jc w:val="left"/>
              <w:rPr>
                <w:rFonts w:ascii="宋体" w:hAnsi="宋体" w:cs="宋体"/>
                <w:color w:val="auto"/>
                <w:highlight w:val="none"/>
              </w:rPr>
            </w:pPr>
          </w:p>
        </w:tc>
        <w:tc>
          <w:tcPr>
            <w:tcW w:w="2835" w:type="dxa"/>
            <w:gridSpan w:val="2"/>
            <w:tcBorders>
              <w:top w:val="single" w:color="auto" w:sz="4" w:space="0"/>
              <w:left w:val="single" w:color="auto" w:sz="4" w:space="0"/>
              <w:right w:val="single" w:color="auto" w:sz="4" w:space="0"/>
            </w:tcBorders>
            <w:vAlign w:val="center"/>
          </w:tcPr>
          <w:p w14:paraId="3989F88E">
            <w:pPr>
              <w:rPr>
                <w:rFonts w:ascii="宋体" w:hAnsi="宋体" w:cs="宋体"/>
                <w:color w:val="auto"/>
                <w:highlight w:val="none"/>
              </w:rPr>
            </w:pPr>
            <w:r>
              <w:rPr>
                <w:rFonts w:hint="eastAsia" w:ascii="宋体" w:hAnsi="宋体" w:cs="宋体"/>
                <w:color w:val="auto"/>
                <w:highlight w:val="none"/>
              </w:rPr>
              <w:t>供应商不得存在的情形</w:t>
            </w:r>
          </w:p>
        </w:tc>
        <w:tc>
          <w:tcPr>
            <w:tcW w:w="6060" w:type="dxa"/>
            <w:tcBorders>
              <w:top w:val="single" w:color="auto" w:sz="4" w:space="0"/>
              <w:left w:val="single" w:color="auto" w:sz="4" w:space="0"/>
              <w:bottom w:val="single" w:color="auto" w:sz="4" w:space="0"/>
              <w:right w:val="single" w:color="auto" w:sz="4" w:space="0"/>
            </w:tcBorders>
            <w:vAlign w:val="center"/>
          </w:tcPr>
          <w:p w14:paraId="6A913046">
            <w:pPr>
              <w:rPr>
                <w:rFonts w:ascii="新宋体" w:hAnsi="新宋体"/>
                <w:color w:val="auto"/>
                <w:highlight w:val="none"/>
              </w:rPr>
            </w:pPr>
            <w:r>
              <w:rPr>
                <w:rFonts w:hint="eastAsia" w:ascii="新宋体" w:hAnsi="新宋体" w:eastAsia="新宋体"/>
                <w:color w:val="auto"/>
                <w:highlight w:val="none"/>
              </w:rPr>
              <w:t>供应商无“供应商须知1.4.3”规定的情形和本章“</w:t>
            </w:r>
            <w:r>
              <w:rPr>
                <w:rFonts w:hint="eastAsia"/>
                <w:color w:val="auto"/>
                <w:highlight w:val="none"/>
              </w:rPr>
              <w:t>2.1.4</w:t>
            </w:r>
            <w:r>
              <w:rPr>
                <w:rFonts w:hint="eastAsia"/>
                <w:color w:val="auto"/>
                <w:highlight w:val="none"/>
                <w:lang w:val="en-US" w:eastAsia="zh-CN"/>
              </w:rPr>
              <w:t>无效</w:t>
            </w:r>
            <w:r>
              <w:rPr>
                <w:rFonts w:hint="eastAsia"/>
                <w:color w:val="auto"/>
                <w:highlight w:val="none"/>
              </w:rPr>
              <w:t>投标</w:t>
            </w:r>
            <w:r>
              <w:rPr>
                <w:rFonts w:hint="eastAsia" w:ascii="新宋体" w:hAnsi="新宋体" w:eastAsia="新宋体"/>
                <w:color w:val="auto"/>
                <w:highlight w:val="none"/>
              </w:rPr>
              <w:t>”</w:t>
            </w:r>
            <w:r>
              <w:rPr>
                <w:rFonts w:hint="eastAsia"/>
                <w:color w:val="auto"/>
                <w:highlight w:val="none"/>
              </w:rPr>
              <w:t>的情形</w:t>
            </w:r>
          </w:p>
        </w:tc>
      </w:tr>
      <w:tr w14:paraId="01C7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Borders>
              <w:top w:val="single" w:color="auto" w:sz="4" w:space="0"/>
              <w:left w:val="single" w:color="auto" w:sz="4" w:space="0"/>
              <w:bottom w:val="single" w:color="auto" w:sz="4" w:space="0"/>
              <w:right w:val="single" w:color="auto" w:sz="4" w:space="0"/>
            </w:tcBorders>
          </w:tcPr>
          <w:p w14:paraId="0842925F">
            <w:pPr>
              <w:rPr>
                <w:rFonts w:ascii="宋体" w:hAnsi="宋体" w:cs="宋体"/>
                <w:color w:val="auto"/>
                <w:highlight w:val="none"/>
              </w:rPr>
            </w:pPr>
            <w:r>
              <w:rPr>
                <w:rFonts w:hint="eastAsia" w:ascii="宋体" w:hAnsi="宋体" w:cs="宋体"/>
                <w:color w:val="auto"/>
                <w:highlight w:val="none"/>
              </w:rPr>
              <w:t>条款号</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6BB2900">
            <w:pPr>
              <w:rPr>
                <w:rFonts w:ascii="宋体" w:hAnsi="宋体" w:cs="宋体"/>
                <w:color w:val="auto"/>
                <w:highlight w:val="none"/>
              </w:rPr>
            </w:pPr>
            <w:r>
              <w:rPr>
                <w:rFonts w:hint="eastAsia" w:ascii="宋体" w:hAnsi="宋体" w:cs="宋体"/>
                <w:color w:val="auto"/>
                <w:highlight w:val="none"/>
              </w:rPr>
              <w:t>条款内容</w:t>
            </w:r>
          </w:p>
        </w:tc>
        <w:tc>
          <w:tcPr>
            <w:tcW w:w="6060" w:type="dxa"/>
            <w:tcBorders>
              <w:top w:val="single" w:color="auto" w:sz="4" w:space="0"/>
              <w:left w:val="single" w:color="auto" w:sz="4" w:space="0"/>
              <w:bottom w:val="single" w:color="auto" w:sz="4" w:space="0"/>
              <w:right w:val="single" w:color="auto" w:sz="4" w:space="0"/>
            </w:tcBorders>
            <w:vAlign w:val="center"/>
          </w:tcPr>
          <w:p w14:paraId="1A795BC6">
            <w:pPr>
              <w:rPr>
                <w:rFonts w:ascii="宋体" w:hAnsi="宋体" w:cs="宋体"/>
                <w:color w:val="auto"/>
                <w:highlight w:val="none"/>
              </w:rPr>
            </w:pPr>
            <w:r>
              <w:rPr>
                <w:rFonts w:hint="eastAsia" w:ascii="宋体" w:hAnsi="宋体" w:cs="宋体"/>
                <w:color w:val="auto"/>
                <w:highlight w:val="none"/>
              </w:rPr>
              <w:t>评审标准</w:t>
            </w:r>
          </w:p>
        </w:tc>
      </w:tr>
      <w:tr w14:paraId="10D3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526" w:type="dxa"/>
            <w:gridSpan w:val="2"/>
            <w:tcBorders>
              <w:top w:val="single" w:color="auto" w:sz="4" w:space="0"/>
              <w:left w:val="single" w:color="auto" w:sz="4" w:space="0"/>
              <w:bottom w:val="single" w:color="auto" w:sz="4" w:space="0"/>
              <w:right w:val="single" w:color="auto" w:sz="4" w:space="0"/>
            </w:tcBorders>
          </w:tcPr>
          <w:p w14:paraId="5DD41E85">
            <w:pPr>
              <w:rPr>
                <w:rFonts w:ascii="宋体" w:hAnsi="宋体" w:cs="宋体"/>
                <w:color w:val="auto"/>
                <w:highlight w:val="none"/>
              </w:rPr>
            </w:pPr>
            <w:r>
              <w:rPr>
                <w:rFonts w:hint="eastAsia" w:ascii="宋体" w:hAnsi="宋体" w:cs="宋体"/>
                <w:color w:val="auto"/>
                <w:highlight w:val="none"/>
              </w:rPr>
              <w:t>2.2.1</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DB35B88">
            <w:pPr>
              <w:jc w:val="center"/>
              <w:rPr>
                <w:rFonts w:ascii="宋体" w:hAnsi="宋体" w:cs="宋体"/>
                <w:color w:val="auto"/>
                <w:szCs w:val="24"/>
                <w:highlight w:val="none"/>
              </w:rPr>
            </w:pPr>
            <w:r>
              <w:rPr>
                <w:rFonts w:hint="eastAsia" w:ascii="宋体" w:hAnsi="宋体" w:cs="宋体"/>
                <w:color w:val="auto"/>
                <w:szCs w:val="24"/>
                <w:highlight w:val="none"/>
              </w:rPr>
              <w:t>分值构成</w:t>
            </w:r>
          </w:p>
          <w:p w14:paraId="588D0B0D">
            <w:pPr>
              <w:rPr>
                <w:rFonts w:ascii="宋体" w:hAnsi="宋体" w:cs="宋体"/>
                <w:color w:val="auto"/>
                <w:highlight w:val="none"/>
              </w:rPr>
            </w:pPr>
            <w:r>
              <w:rPr>
                <w:rFonts w:hint="eastAsia" w:ascii="宋体" w:hAnsi="宋体" w:cs="宋体"/>
                <w:color w:val="auto"/>
                <w:szCs w:val="24"/>
                <w:highlight w:val="none"/>
              </w:rPr>
              <w:t>（报价部分分值为</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0分，技术商务部分分值为</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0分）</w:t>
            </w:r>
          </w:p>
        </w:tc>
        <w:tc>
          <w:tcPr>
            <w:tcW w:w="6060" w:type="dxa"/>
            <w:tcBorders>
              <w:top w:val="single" w:color="auto" w:sz="4" w:space="0"/>
              <w:left w:val="single" w:color="auto" w:sz="4" w:space="0"/>
              <w:bottom w:val="single" w:color="auto" w:sz="4" w:space="0"/>
              <w:right w:val="single" w:color="auto" w:sz="4" w:space="0"/>
            </w:tcBorders>
            <w:vAlign w:val="center"/>
          </w:tcPr>
          <w:p w14:paraId="3A4FB7BD">
            <w:pPr>
              <w:rPr>
                <w:color w:val="auto"/>
                <w:highlight w:val="none"/>
              </w:rPr>
            </w:pPr>
            <w:r>
              <w:rPr>
                <w:rFonts w:hint="eastAsia"/>
                <w:color w:val="auto"/>
                <w:highlight w:val="none"/>
              </w:rPr>
              <w:t>本项目采用综合评估法，第一阶段磋商小组对响应文件进行资格评审、符合性评审，供应商只有全部满足才能通过并进入第二阶段评审。第二阶段对通过第一阶段评审的供应商进行最后磋商报价。第三阶段对供应商分别进行技术商务打分，第四阶段对供应商的最后磋商报价进行符合性审查并打分。最终按供应商最后得分由高到低推荐成交候选人。</w:t>
            </w:r>
          </w:p>
          <w:p w14:paraId="06A77692">
            <w:pPr>
              <w:rPr>
                <w:color w:val="auto"/>
                <w:highlight w:val="none"/>
              </w:rPr>
            </w:pPr>
            <w:r>
              <w:rPr>
                <w:rFonts w:hint="eastAsia"/>
                <w:color w:val="auto"/>
                <w:highlight w:val="none"/>
              </w:rPr>
              <w:t>Z=S+J</w:t>
            </w:r>
          </w:p>
          <w:p w14:paraId="7B8EEFED">
            <w:pPr>
              <w:rPr>
                <w:color w:val="auto"/>
                <w:highlight w:val="none"/>
              </w:rPr>
            </w:pPr>
            <w:r>
              <w:rPr>
                <w:rFonts w:hint="eastAsia"/>
                <w:color w:val="auto"/>
                <w:highlight w:val="none"/>
              </w:rPr>
              <w:t>其中：</w:t>
            </w:r>
          </w:p>
          <w:p w14:paraId="3573AA8B">
            <w:pPr>
              <w:rPr>
                <w:color w:val="auto"/>
                <w:highlight w:val="none"/>
              </w:rPr>
            </w:pPr>
            <w:r>
              <w:rPr>
                <w:rFonts w:hint="eastAsia"/>
                <w:color w:val="auto"/>
                <w:highlight w:val="none"/>
              </w:rPr>
              <w:t>Z：指竞争性供应商的最终得分；</w:t>
            </w:r>
          </w:p>
          <w:p w14:paraId="27812A5D">
            <w:pPr>
              <w:rPr>
                <w:color w:val="auto"/>
                <w:highlight w:val="none"/>
              </w:rPr>
            </w:pPr>
            <w:r>
              <w:rPr>
                <w:rFonts w:hint="eastAsia"/>
                <w:color w:val="auto"/>
                <w:highlight w:val="none"/>
              </w:rPr>
              <w:t>S：指竞供应商的报价部分得分；</w:t>
            </w:r>
          </w:p>
          <w:p w14:paraId="5E23FB8C">
            <w:pPr>
              <w:rPr>
                <w:color w:val="auto"/>
                <w:highlight w:val="none"/>
              </w:rPr>
            </w:pPr>
            <w:r>
              <w:rPr>
                <w:rFonts w:hint="eastAsia"/>
                <w:color w:val="auto"/>
                <w:highlight w:val="none"/>
              </w:rPr>
              <w:t>J：指供应商的技术商务部分得分；</w:t>
            </w:r>
          </w:p>
        </w:tc>
      </w:tr>
      <w:tr w14:paraId="579A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26" w:type="dxa"/>
            <w:gridSpan w:val="2"/>
            <w:vMerge w:val="restart"/>
            <w:tcBorders>
              <w:top w:val="single" w:color="auto" w:sz="4" w:space="0"/>
              <w:left w:val="single" w:color="auto" w:sz="4" w:space="0"/>
              <w:right w:val="single" w:color="auto" w:sz="4" w:space="0"/>
            </w:tcBorders>
          </w:tcPr>
          <w:p w14:paraId="0A1CFF3D">
            <w:pPr>
              <w:rPr>
                <w:rFonts w:ascii="宋体" w:hAnsi="宋体" w:cs="宋体"/>
                <w:color w:val="auto"/>
                <w:highlight w:val="none"/>
              </w:rPr>
            </w:pPr>
            <w:r>
              <w:rPr>
                <w:rFonts w:hint="eastAsia" w:ascii="宋体" w:hAnsi="宋体" w:cs="宋体"/>
                <w:color w:val="auto"/>
                <w:highlight w:val="none"/>
              </w:rPr>
              <w:t>2.2.2</w:t>
            </w: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0FD5D4DA">
            <w:pPr>
              <w:jc w:val="center"/>
              <w:rPr>
                <w:rFonts w:ascii="宋体" w:hAnsi="宋体" w:cs="宋体"/>
                <w:color w:val="auto"/>
                <w:szCs w:val="24"/>
                <w:highlight w:val="none"/>
              </w:rPr>
            </w:pPr>
            <w:r>
              <w:rPr>
                <w:rFonts w:hint="eastAsia" w:ascii="宋体" w:hAnsi="宋体" w:cs="宋体"/>
                <w:color w:val="auto"/>
                <w:highlight w:val="none"/>
              </w:rPr>
              <w:t>报价部分（满分1</w:t>
            </w:r>
            <w:r>
              <w:rPr>
                <w:rFonts w:hint="eastAsia" w:ascii="宋体" w:hAnsi="宋体" w:cs="宋体"/>
                <w:color w:val="auto"/>
                <w:highlight w:val="none"/>
              </w:rPr>
              <w:t>0</w:t>
            </w:r>
            <w:r>
              <w:rPr>
                <w:rFonts w:hint="eastAsia" w:ascii="宋体" w:hAnsi="宋体" w:cs="宋体"/>
                <w:color w:val="auto"/>
                <w:highlight w:val="none"/>
              </w:rPr>
              <w:t>分）</w:t>
            </w:r>
          </w:p>
        </w:tc>
      </w:tr>
      <w:tr w14:paraId="05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526" w:type="dxa"/>
            <w:gridSpan w:val="2"/>
            <w:vMerge w:val="continue"/>
            <w:tcBorders>
              <w:left w:val="single" w:color="auto" w:sz="4" w:space="0"/>
              <w:right w:val="single" w:color="auto" w:sz="4" w:space="0"/>
            </w:tcBorders>
            <w:vAlign w:val="center"/>
          </w:tcPr>
          <w:p w14:paraId="3723B50A">
            <w:pPr>
              <w:widowControl/>
              <w:jc w:val="left"/>
              <w:rPr>
                <w:rFonts w:ascii="宋体" w:hAnsi="宋体" w:cs="宋体"/>
                <w:color w:val="auto"/>
                <w:highlight w:val="none"/>
              </w:rPr>
            </w:pPr>
          </w:p>
        </w:tc>
        <w:tc>
          <w:tcPr>
            <w:tcW w:w="1591" w:type="dxa"/>
            <w:tcBorders>
              <w:top w:val="single" w:color="auto" w:sz="4" w:space="0"/>
              <w:left w:val="single" w:color="auto" w:sz="4" w:space="0"/>
              <w:right w:val="single" w:color="auto" w:sz="4" w:space="0"/>
            </w:tcBorders>
            <w:vAlign w:val="center"/>
          </w:tcPr>
          <w:p w14:paraId="0D52242E">
            <w:pPr>
              <w:jc w:val="center"/>
              <w:rPr>
                <w:rFonts w:ascii="宋体" w:hAnsi="宋体" w:cs="宋体"/>
                <w:color w:val="auto"/>
                <w:szCs w:val="24"/>
                <w:highlight w:val="none"/>
              </w:rPr>
            </w:pPr>
            <w:r>
              <w:rPr>
                <w:rFonts w:hint="eastAsia" w:ascii="宋体" w:hAnsi="宋体" w:cs="宋体"/>
                <w:color w:val="auto"/>
                <w:szCs w:val="24"/>
                <w:highlight w:val="none"/>
              </w:rPr>
              <w:t>最终磋商</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二次报价</w:t>
            </w:r>
            <w:r>
              <w:rPr>
                <w:rFonts w:hint="eastAsia" w:ascii="宋体" w:hAnsi="宋体" w:cs="宋体"/>
                <w:color w:val="auto"/>
                <w:szCs w:val="24"/>
                <w:highlight w:val="none"/>
                <w:lang w:eastAsia="zh-CN"/>
              </w:rPr>
              <w:t>）</w:t>
            </w:r>
            <w:r>
              <w:rPr>
                <w:rFonts w:hint="eastAsia" w:ascii="宋体" w:hAnsi="宋体" w:cs="宋体"/>
                <w:color w:val="auto"/>
                <w:szCs w:val="24"/>
                <w:highlight w:val="none"/>
              </w:rPr>
              <w:t>报价评审</w:t>
            </w:r>
          </w:p>
        </w:tc>
        <w:tc>
          <w:tcPr>
            <w:tcW w:w="1244" w:type="dxa"/>
            <w:tcBorders>
              <w:top w:val="single" w:color="auto" w:sz="4" w:space="0"/>
              <w:left w:val="single" w:color="auto" w:sz="4" w:space="0"/>
              <w:right w:val="single" w:color="auto" w:sz="4" w:space="0"/>
            </w:tcBorders>
            <w:vAlign w:val="center"/>
          </w:tcPr>
          <w:p w14:paraId="6C2F027C">
            <w:pPr>
              <w:spacing w:line="360" w:lineRule="auto"/>
              <w:jc w:val="center"/>
              <w:rPr>
                <w:rFonts w:ascii="宋体" w:hAnsi="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0分</w:t>
            </w:r>
          </w:p>
        </w:tc>
        <w:tc>
          <w:tcPr>
            <w:tcW w:w="6060" w:type="dxa"/>
            <w:tcBorders>
              <w:top w:val="single" w:color="auto" w:sz="4" w:space="0"/>
              <w:left w:val="single" w:color="auto" w:sz="4" w:space="0"/>
              <w:right w:val="single" w:color="auto" w:sz="4" w:space="0"/>
            </w:tcBorders>
            <w:vAlign w:val="center"/>
          </w:tcPr>
          <w:p w14:paraId="7BCAA706">
            <w:pPr>
              <w:spacing w:line="360" w:lineRule="auto"/>
              <w:rPr>
                <w:rFonts w:ascii="宋体" w:hAnsi="宋体" w:cs="宋体"/>
                <w:color w:val="auto"/>
                <w:highlight w:val="none"/>
              </w:rPr>
            </w:pPr>
            <w:r>
              <w:rPr>
                <w:rFonts w:hint="eastAsia" w:ascii="宋体" w:hAnsi="宋体" w:cs="宋体"/>
                <w:color w:val="auto"/>
                <w:highlight w:val="none"/>
              </w:rPr>
              <w:t>1、采用低价优先法计算，满足竞争性磋商文件要求且投标价格最低的</w:t>
            </w:r>
            <w:r>
              <w:rPr>
                <w:rFonts w:hint="eastAsia" w:ascii="宋体" w:hAnsi="宋体" w:cs="宋体"/>
                <w:color w:val="auto"/>
                <w:highlight w:val="none"/>
                <w:lang w:val="en-US" w:eastAsia="zh-CN"/>
              </w:rPr>
              <w:t>磋商</w:t>
            </w:r>
            <w:r>
              <w:rPr>
                <w:rFonts w:hint="eastAsia" w:ascii="宋体" w:hAnsi="宋体" w:cs="宋体"/>
                <w:color w:val="auto"/>
                <w:highlight w:val="none"/>
              </w:rPr>
              <w:t>价为评标基准价，其价格分为满分。其他供应商的价格分统一按照下列公式计算：</w:t>
            </w:r>
          </w:p>
          <w:p w14:paraId="472807C4">
            <w:pPr>
              <w:spacing w:line="360" w:lineRule="auto"/>
              <w:rPr>
                <w:rFonts w:ascii="宋体" w:hAnsi="宋体" w:cs="宋体"/>
                <w:color w:val="auto"/>
                <w:highlight w:val="none"/>
              </w:rPr>
            </w:pPr>
            <w:r>
              <w:rPr>
                <w:rFonts w:hint="eastAsia" w:ascii="宋体" w:hAnsi="宋体" w:cs="宋体"/>
                <w:color w:val="auto"/>
                <w:highlight w:val="none"/>
                <w:lang w:val="en-US" w:eastAsia="zh-CN"/>
              </w:rPr>
              <w:t>最终磋商</w:t>
            </w:r>
            <w:r>
              <w:rPr>
                <w:rFonts w:hint="eastAsia" w:ascii="宋体" w:hAnsi="宋体" w:cs="宋体"/>
                <w:color w:val="auto"/>
                <w:highlight w:val="none"/>
              </w:rPr>
              <w:t>报价得分=(评标基准价／</w:t>
            </w:r>
            <w:r>
              <w:rPr>
                <w:rFonts w:hint="eastAsia" w:ascii="宋体" w:hAnsi="宋体" w:cs="宋体"/>
                <w:color w:val="auto"/>
                <w:highlight w:val="none"/>
                <w:lang w:val="en-US" w:eastAsia="zh-CN"/>
              </w:rPr>
              <w:t>磋商</w:t>
            </w:r>
            <w:r>
              <w:rPr>
                <w:rFonts w:hint="eastAsia" w:ascii="宋体" w:hAnsi="宋体" w:cs="宋体"/>
                <w:color w:val="auto"/>
                <w:highlight w:val="none"/>
              </w:rPr>
              <w:t>报价)×</w:t>
            </w:r>
            <w:r>
              <w:rPr>
                <w:rFonts w:hint="eastAsia" w:ascii="宋体" w:hAnsi="宋体" w:cs="宋体"/>
                <w:color w:val="auto"/>
                <w:highlight w:val="none"/>
                <w:lang w:val="en-US" w:eastAsia="zh-CN"/>
              </w:rPr>
              <w:t>1</w:t>
            </w:r>
            <w:r>
              <w:rPr>
                <w:rFonts w:hint="eastAsia" w:ascii="宋体" w:hAnsi="宋体" w:cs="宋体"/>
                <w:color w:val="auto"/>
                <w:highlight w:val="none"/>
              </w:rPr>
              <w:t>0</w:t>
            </w:r>
          </w:p>
          <w:p w14:paraId="1B72EB7C">
            <w:pPr>
              <w:spacing w:line="360" w:lineRule="auto"/>
              <w:rPr>
                <w:rFonts w:ascii="宋体" w:hAnsi="宋体" w:cs="宋体"/>
                <w:color w:val="auto"/>
                <w:highlight w:val="none"/>
              </w:rPr>
            </w:pPr>
            <w:r>
              <w:rPr>
                <w:rFonts w:hint="eastAsia" w:ascii="宋体" w:hAnsi="宋体" w:cs="宋体"/>
                <w:color w:val="auto"/>
                <w:highlight w:val="none"/>
              </w:rPr>
              <w:t>2、本项目专门面向中小微企业采购</w:t>
            </w:r>
            <w:r>
              <w:rPr>
                <w:rFonts w:hint="eastAsia" w:ascii="宋体" w:hAnsi="宋体" w:cs="宋体"/>
                <w:color w:val="auto"/>
                <w:highlight w:val="none"/>
                <w:lang w:val="en-US" w:eastAsia="zh-CN"/>
              </w:rPr>
              <w:t>。</w:t>
            </w:r>
          </w:p>
          <w:p w14:paraId="3A60E403">
            <w:pPr>
              <w:spacing w:line="360" w:lineRule="auto"/>
              <w:rPr>
                <w:rFonts w:ascii="宋体" w:hAnsi="宋体" w:cs="宋体"/>
                <w:color w:val="auto"/>
                <w:highlight w:val="none"/>
              </w:rPr>
            </w:pPr>
            <w:r>
              <w:rPr>
                <w:rFonts w:hint="eastAsia" w:ascii="宋体" w:hAnsi="宋体" w:cs="宋体"/>
                <w:color w:val="auto"/>
                <w:highlight w:val="none"/>
              </w:rPr>
              <w:t>注：监狱企业、残疾人福利性单位享受相关中小企业扶持政策，但不重复计算。</w:t>
            </w:r>
          </w:p>
          <w:p w14:paraId="61B1C0FE">
            <w:pPr>
              <w:spacing w:line="360" w:lineRule="auto"/>
              <w:rPr>
                <w:color w:val="auto"/>
                <w:highlight w:val="none"/>
              </w:rPr>
            </w:pPr>
            <w:r>
              <w:rPr>
                <w:rFonts w:hint="eastAsia" w:ascii="宋体" w:hAnsi="宋体" w:cs="宋体"/>
                <w:color w:val="auto"/>
                <w:highlight w:val="none"/>
              </w:rPr>
              <w:t>3、根据财政部令第87号第六十条规定：评标委员会认为供应商的报价明显低于其他通过符合性审查供应商的报价，有可能影响产品质量或者不能诚信履约的，应当要求其在评标现场合理的时间内提供书面说明，必要时提供相关证明材料，供应商不能证明其合理性的，评标委员会应当将其作为无效投标处理。</w:t>
            </w:r>
          </w:p>
        </w:tc>
      </w:tr>
      <w:tr w14:paraId="7802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26" w:type="dxa"/>
            <w:gridSpan w:val="2"/>
            <w:vMerge w:val="continue"/>
            <w:tcBorders>
              <w:left w:val="single" w:color="auto" w:sz="4" w:space="0"/>
              <w:right w:val="single" w:color="auto" w:sz="4" w:space="0"/>
            </w:tcBorders>
            <w:vAlign w:val="center"/>
          </w:tcPr>
          <w:p w14:paraId="61DEE5CF">
            <w:pPr>
              <w:widowControl/>
              <w:jc w:val="left"/>
              <w:rPr>
                <w:rFonts w:ascii="宋体" w:hAnsi="宋体" w:cs="宋体"/>
                <w:color w:val="auto"/>
                <w:highlight w:val="none"/>
              </w:rPr>
            </w:pP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114A0C02">
            <w:pPr>
              <w:jc w:val="center"/>
              <w:rPr>
                <w:rFonts w:ascii="宋体" w:hAnsi="宋体" w:cs="宋体"/>
                <w:color w:val="auto"/>
                <w:szCs w:val="24"/>
                <w:highlight w:val="none"/>
              </w:rPr>
            </w:pPr>
            <w:r>
              <w:rPr>
                <w:rFonts w:hint="eastAsia" w:ascii="宋体" w:hAnsi="宋体" w:cs="宋体"/>
                <w:color w:val="auto"/>
                <w:highlight w:val="none"/>
              </w:rPr>
              <w:t>技术商务部分（满分90分）</w:t>
            </w:r>
          </w:p>
        </w:tc>
      </w:tr>
      <w:tr w14:paraId="4D1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vMerge w:val="continue"/>
            <w:tcBorders>
              <w:left w:val="single" w:color="auto" w:sz="4" w:space="0"/>
              <w:right w:val="single" w:color="auto" w:sz="4" w:space="0"/>
            </w:tcBorders>
            <w:vAlign w:val="center"/>
          </w:tcPr>
          <w:p w14:paraId="59108CAE">
            <w:pPr>
              <w:widowControl/>
              <w:jc w:val="left"/>
              <w:rPr>
                <w:rFonts w:ascii="宋体" w:hAnsi="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42C12DB8">
            <w:pPr>
              <w:spacing w:line="360" w:lineRule="auto"/>
              <w:jc w:val="center"/>
              <w:rPr>
                <w:rFonts w:hint="default" w:ascii="宋体" w:hAnsi="宋体" w:cs="宋体"/>
                <w:color w:val="auto"/>
                <w:highlight w:val="none"/>
                <w:lang w:val="en-US" w:eastAsia="zh-CN"/>
              </w:rPr>
            </w:pPr>
            <w:r>
              <w:rPr>
                <w:rFonts w:hint="eastAsia" w:ascii="宋体" w:hAnsi="宋体" w:eastAsia="宋体" w:cs="宋体"/>
                <w:color w:val="auto"/>
                <w:sz w:val="21"/>
                <w:szCs w:val="21"/>
                <w:highlight w:val="none"/>
              </w:rPr>
              <w:t>服务方案</w:t>
            </w:r>
            <w:r>
              <w:rPr>
                <w:rFonts w:hint="eastAsia" w:ascii="宋体" w:hAnsi="宋体" w:cs="宋体"/>
                <w:color w:val="auto"/>
                <w:highlight w:val="none"/>
                <w:lang w:val="en-US" w:eastAsia="zh-CN"/>
              </w:rPr>
              <w:t>评分</w:t>
            </w:r>
          </w:p>
        </w:tc>
        <w:tc>
          <w:tcPr>
            <w:tcW w:w="1244" w:type="dxa"/>
            <w:tcBorders>
              <w:top w:val="single" w:color="auto" w:sz="4" w:space="0"/>
              <w:left w:val="single" w:color="auto" w:sz="4" w:space="0"/>
              <w:bottom w:val="single" w:color="auto" w:sz="4" w:space="0"/>
              <w:right w:val="single" w:color="auto" w:sz="4" w:space="0"/>
            </w:tcBorders>
            <w:vAlign w:val="center"/>
          </w:tcPr>
          <w:p w14:paraId="4C68DF1F">
            <w:pPr>
              <w:jc w:val="center"/>
              <w:rPr>
                <w:rFonts w:hint="default" w:ascii="宋体" w:hAnsi="宋体"/>
                <w:snapToGrid w:val="0"/>
                <w:color w:val="auto"/>
                <w:kern w:val="0"/>
                <w:highlight w:val="none"/>
                <w:lang w:val="en-US" w:eastAsia="zh-CN"/>
              </w:rPr>
            </w:pPr>
            <w:r>
              <w:rPr>
                <w:rFonts w:hint="eastAsia" w:ascii="宋体" w:hAnsi="宋体"/>
                <w:snapToGrid w:val="0"/>
                <w:color w:val="auto"/>
                <w:kern w:val="0"/>
                <w:highlight w:val="none"/>
                <w:lang w:val="en-US" w:eastAsia="zh-CN"/>
              </w:rPr>
              <w:t>25分</w:t>
            </w:r>
          </w:p>
        </w:tc>
        <w:tc>
          <w:tcPr>
            <w:tcW w:w="6060" w:type="dxa"/>
            <w:tcBorders>
              <w:top w:val="single" w:color="auto" w:sz="4" w:space="0"/>
              <w:left w:val="single" w:color="auto" w:sz="4" w:space="0"/>
              <w:bottom w:val="single" w:color="auto" w:sz="4" w:space="0"/>
              <w:right w:val="single" w:color="auto" w:sz="4" w:space="0"/>
            </w:tcBorders>
            <w:vAlign w:val="center"/>
          </w:tcPr>
          <w:p w14:paraId="0923E06E">
            <w:pPr>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服务方案包含：（1）日常安全管理服务；（2）消防安全工作服务；（3）交通秩序管理服务；（4）监控室值班管理服务；（5）服务区域内的秩序管理服务5项内容。</w:t>
            </w:r>
          </w:p>
          <w:p w14:paraId="32FC22EC">
            <w:pPr>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上述5项内容均有详细描述、有针对性的得满分25分，每缺漏一项扣5分，每有一项描述但描述不详细或缺乏针对性的扣2.5分，分数扣完为止。</w:t>
            </w:r>
          </w:p>
          <w:p w14:paraId="484D19FF">
            <w:pPr>
              <w:spacing w:line="360" w:lineRule="auto"/>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注：“描述不详细或缺乏针对性”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7A0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vMerge w:val="continue"/>
            <w:tcBorders>
              <w:left w:val="single" w:color="auto" w:sz="4" w:space="0"/>
              <w:right w:val="single" w:color="auto" w:sz="4" w:space="0"/>
            </w:tcBorders>
            <w:vAlign w:val="center"/>
          </w:tcPr>
          <w:p w14:paraId="0CCC5BF3">
            <w:pPr>
              <w:widowControl/>
              <w:jc w:val="left"/>
              <w:rPr>
                <w:rFonts w:ascii="宋体" w:hAnsi="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6F907EDB">
            <w:pPr>
              <w:spacing w:line="360" w:lineRule="auto"/>
              <w:jc w:val="center"/>
              <w:rPr>
                <w:rFonts w:ascii="宋体" w:hAnsi="宋体" w:cs="宋体"/>
                <w:color w:val="auto"/>
                <w:highlight w:val="none"/>
              </w:rPr>
            </w:pPr>
            <w:r>
              <w:rPr>
                <w:rFonts w:hint="eastAsia" w:ascii="宋体" w:hAnsi="宋体" w:cs="宋体"/>
                <w:color w:val="auto"/>
                <w:highlight w:val="none"/>
              </w:rPr>
              <w:t>人力资源和物资设备配置评分</w:t>
            </w:r>
          </w:p>
        </w:tc>
        <w:tc>
          <w:tcPr>
            <w:tcW w:w="1244" w:type="dxa"/>
            <w:tcBorders>
              <w:top w:val="single" w:color="auto" w:sz="4" w:space="0"/>
              <w:left w:val="single" w:color="auto" w:sz="4" w:space="0"/>
              <w:bottom w:val="single" w:color="auto" w:sz="4" w:space="0"/>
              <w:right w:val="single" w:color="auto" w:sz="4" w:space="0"/>
            </w:tcBorders>
            <w:vAlign w:val="center"/>
          </w:tcPr>
          <w:p w14:paraId="62DCE316">
            <w:pPr>
              <w:jc w:val="center"/>
              <w:rPr>
                <w:rFonts w:ascii="宋体" w:hAnsi="宋体"/>
                <w:snapToGrid w:val="0"/>
                <w:color w:val="auto"/>
                <w:kern w:val="0"/>
                <w:highlight w:val="none"/>
              </w:rPr>
            </w:pPr>
            <w:r>
              <w:rPr>
                <w:rFonts w:hint="eastAsia" w:ascii="宋体" w:hAnsi="宋体"/>
                <w:snapToGrid w:val="0"/>
                <w:color w:val="auto"/>
                <w:kern w:val="0"/>
                <w:highlight w:val="none"/>
                <w:lang w:val="en-US" w:eastAsia="zh-CN"/>
              </w:rPr>
              <w:t>15</w:t>
            </w:r>
            <w:r>
              <w:rPr>
                <w:rFonts w:hint="eastAsia" w:ascii="宋体" w:hAnsi="宋体"/>
                <w:snapToGrid w:val="0"/>
                <w:color w:val="auto"/>
                <w:kern w:val="0"/>
                <w:highlight w:val="none"/>
              </w:rPr>
              <w:t>分</w:t>
            </w:r>
          </w:p>
        </w:tc>
        <w:tc>
          <w:tcPr>
            <w:tcW w:w="6060" w:type="dxa"/>
            <w:tcBorders>
              <w:top w:val="single" w:color="auto" w:sz="4" w:space="0"/>
              <w:left w:val="single" w:color="auto" w:sz="4" w:space="0"/>
              <w:bottom w:val="single" w:color="auto" w:sz="4" w:space="0"/>
              <w:right w:val="single" w:color="auto" w:sz="4" w:space="0"/>
            </w:tcBorders>
            <w:vAlign w:val="center"/>
          </w:tcPr>
          <w:p w14:paraId="3CC2C1CA">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人力资源和物资设备配置包含：（1）人员投入情况；（2）组织分工；（3）投入的设备3项内容。</w:t>
            </w:r>
          </w:p>
          <w:p w14:paraId="3E628007">
            <w:pPr>
              <w:spacing w:line="360" w:lineRule="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上述</w:t>
            </w: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lang w:val="en-US" w:eastAsia="zh-CN"/>
              </w:rPr>
              <w:t>项内容均有详细描述、有针对性的得满分</w:t>
            </w:r>
            <w:r>
              <w:rPr>
                <w:rFonts w:hint="eastAsia" w:ascii="宋体" w:hAnsi="宋体" w:eastAsia="宋体" w:cs="宋体"/>
                <w:color w:val="auto"/>
                <w:highlight w:val="none"/>
                <w:lang w:val="en-US" w:eastAsia="zh-CN"/>
              </w:rPr>
              <w:t>15</w:t>
            </w:r>
            <w:r>
              <w:rPr>
                <w:rFonts w:hint="default" w:ascii="宋体" w:hAnsi="宋体" w:eastAsia="宋体" w:cs="宋体"/>
                <w:color w:val="auto"/>
                <w:highlight w:val="none"/>
                <w:lang w:val="en-US" w:eastAsia="zh-CN"/>
              </w:rPr>
              <w:t>分，每缺漏一项扣5分，每有一项描述但描述不详细或缺乏针对性的扣2.5分，分数扣完为止。</w:t>
            </w:r>
          </w:p>
          <w:p w14:paraId="0ED88C7A">
            <w:pPr>
              <w:spacing w:line="360" w:lineRule="auto"/>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描述不详细或缺乏针对性”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4A02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gridSpan w:val="2"/>
            <w:vMerge w:val="continue"/>
            <w:tcBorders>
              <w:left w:val="single" w:color="auto" w:sz="4" w:space="0"/>
              <w:right w:val="single" w:color="auto" w:sz="4" w:space="0"/>
            </w:tcBorders>
            <w:vAlign w:val="center"/>
          </w:tcPr>
          <w:p w14:paraId="03F50A53">
            <w:pPr>
              <w:widowControl/>
              <w:jc w:val="left"/>
              <w:rPr>
                <w:rFonts w:ascii="宋体" w:hAnsi="宋体" w:cs="宋体"/>
                <w:color w:val="auto"/>
                <w:highlight w:val="none"/>
              </w:rPr>
            </w:pPr>
          </w:p>
        </w:tc>
        <w:tc>
          <w:tcPr>
            <w:tcW w:w="1591" w:type="dxa"/>
            <w:tcBorders>
              <w:top w:val="single" w:color="auto" w:sz="4" w:space="0"/>
              <w:left w:val="single" w:color="auto" w:sz="4" w:space="0"/>
              <w:right w:val="single" w:color="auto" w:sz="4" w:space="0"/>
            </w:tcBorders>
            <w:vAlign w:val="center"/>
          </w:tcPr>
          <w:p w14:paraId="4D0588E9">
            <w:pPr>
              <w:jc w:val="center"/>
              <w:rPr>
                <w:rFonts w:ascii="宋体" w:hAnsi="宋体" w:cs="宋体"/>
                <w:color w:val="auto"/>
                <w:highlight w:val="none"/>
              </w:rPr>
            </w:pPr>
            <w:r>
              <w:rPr>
                <w:rFonts w:hint="eastAsia" w:ascii="宋体" w:hAnsi="宋体" w:cs="宋体"/>
                <w:color w:val="auto"/>
                <w:highlight w:val="none"/>
              </w:rPr>
              <w:t>安全管理制度及应急处理方（预）案</w:t>
            </w:r>
            <w:r>
              <w:rPr>
                <w:rFonts w:ascii="宋体" w:hAnsi="宋体" w:cs="宋体"/>
                <w:color w:val="auto"/>
                <w:highlight w:val="none"/>
              </w:rPr>
              <w:t>评分</w:t>
            </w:r>
          </w:p>
        </w:tc>
        <w:tc>
          <w:tcPr>
            <w:tcW w:w="1244" w:type="dxa"/>
            <w:tcBorders>
              <w:top w:val="single" w:color="auto" w:sz="4" w:space="0"/>
              <w:left w:val="single" w:color="auto" w:sz="4" w:space="0"/>
              <w:right w:val="single" w:color="auto" w:sz="4" w:space="0"/>
            </w:tcBorders>
            <w:vAlign w:val="center"/>
          </w:tcPr>
          <w:p w14:paraId="21CECF5C">
            <w:pPr>
              <w:jc w:val="center"/>
              <w:rPr>
                <w:rFonts w:ascii="宋体" w:hAnsi="宋体"/>
                <w:snapToGrid w:val="0"/>
                <w:color w:val="auto"/>
                <w:kern w:val="0"/>
                <w:highlight w:val="none"/>
              </w:rPr>
            </w:pPr>
            <w:r>
              <w:rPr>
                <w:rFonts w:hint="eastAsia" w:ascii="宋体" w:hAnsi="宋体"/>
                <w:snapToGrid w:val="0"/>
                <w:color w:val="auto"/>
                <w:kern w:val="0"/>
                <w:highlight w:val="none"/>
                <w:lang w:val="en-US" w:eastAsia="zh-CN"/>
              </w:rPr>
              <w:t>25</w:t>
            </w:r>
            <w:r>
              <w:rPr>
                <w:rFonts w:hint="eastAsia" w:ascii="宋体" w:hAnsi="宋体"/>
                <w:snapToGrid w:val="0"/>
                <w:color w:val="auto"/>
                <w:kern w:val="0"/>
                <w:highlight w:val="none"/>
              </w:rPr>
              <w:t>分</w:t>
            </w:r>
          </w:p>
        </w:tc>
        <w:tc>
          <w:tcPr>
            <w:tcW w:w="6060" w:type="dxa"/>
            <w:tcBorders>
              <w:top w:val="single" w:color="auto" w:sz="4" w:space="0"/>
              <w:left w:val="single" w:color="auto" w:sz="4" w:space="0"/>
              <w:bottom w:val="single" w:color="auto" w:sz="4" w:space="0"/>
              <w:right w:val="single" w:color="auto" w:sz="4" w:space="0"/>
            </w:tcBorders>
            <w:vAlign w:val="center"/>
          </w:tcPr>
          <w:p w14:paraId="63926243">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安全管理制度及应急处理方（预）案包含：（1）安全管理制度；（2）消防应急；（3）突发自然灾害；（4）反恐防暴、大型活动安保；（5）其它突发事件5项内容。</w:t>
            </w:r>
          </w:p>
          <w:p w14:paraId="19CB8485">
            <w:pPr>
              <w:spacing w:line="360" w:lineRule="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上述5项内容均有详细描述、有针对性的得满分25分，每缺漏一项扣5分，每有一项描述但描述不详细或缺乏针对性的扣2.5分，分数扣完为止。</w:t>
            </w:r>
          </w:p>
          <w:p w14:paraId="74ABCE45">
            <w:pPr>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描述不详细或缺乏针对性”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401F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26" w:type="dxa"/>
            <w:gridSpan w:val="2"/>
            <w:vMerge w:val="continue"/>
            <w:tcBorders>
              <w:left w:val="single" w:color="auto" w:sz="4" w:space="0"/>
              <w:right w:val="single" w:color="auto" w:sz="4" w:space="0"/>
            </w:tcBorders>
            <w:vAlign w:val="center"/>
          </w:tcPr>
          <w:p w14:paraId="06241946">
            <w:pPr>
              <w:widowControl/>
              <w:jc w:val="left"/>
              <w:rPr>
                <w:rFonts w:ascii="宋体" w:hAnsi="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6D381CF3">
            <w:pPr>
              <w:adjustRightInd w:val="0"/>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服务质量承诺及保障评分</w:t>
            </w:r>
          </w:p>
        </w:tc>
        <w:tc>
          <w:tcPr>
            <w:tcW w:w="1244" w:type="dxa"/>
            <w:tcBorders>
              <w:top w:val="single" w:color="auto" w:sz="4" w:space="0"/>
              <w:left w:val="single" w:color="auto" w:sz="4" w:space="0"/>
              <w:bottom w:val="single" w:color="auto" w:sz="4" w:space="0"/>
              <w:right w:val="single" w:color="auto" w:sz="4" w:space="0"/>
            </w:tcBorders>
            <w:vAlign w:val="center"/>
          </w:tcPr>
          <w:p w14:paraId="53DD562C">
            <w:pPr>
              <w:adjustRightInd w:val="0"/>
              <w:snapToGrid w:val="0"/>
              <w:spacing w:line="360" w:lineRule="auto"/>
              <w:jc w:val="center"/>
              <w:rPr>
                <w:rFonts w:hint="default" w:ascii="宋体" w:hAnsi="宋体"/>
                <w:snapToGrid w:val="0"/>
                <w:color w:val="auto"/>
                <w:kern w:val="0"/>
                <w:highlight w:val="none"/>
                <w:lang w:val="en-US" w:eastAsia="zh-CN"/>
              </w:rPr>
            </w:pPr>
            <w:r>
              <w:rPr>
                <w:rFonts w:hint="eastAsia" w:ascii="宋体" w:hAnsi="宋体"/>
                <w:snapToGrid w:val="0"/>
                <w:color w:val="auto"/>
                <w:kern w:val="0"/>
                <w:highlight w:val="none"/>
                <w:lang w:val="en-US" w:eastAsia="zh-CN"/>
              </w:rPr>
              <w:t>20分</w:t>
            </w:r>
          </w:p>
        </w:tc>
        <w:tc>
          <w:tcPr>
            <w:tcW w:w="6060" w:type="dxa"/>
            <w:tcBorders>
              <w:top w:val="single" w:color="auto" w:sz="4" w:space="0"/>
              <w:left w:val="single" w:color="auto" w:sz="4" w:space="0"/>
              <w:bottom w:val="single" w:color="auto" w:sz="4" w:space="0"/>
              <w:right w:val="single" w:color="auto" w:sz="4" w:space="0"/>
            </w:tcBorders>
            <w:vAlign w:val="center"/>
          </w:tcPr>
          <w:p w14:paraId="482CBDDA">
            <w:pPr>
              <w:spacing w:line="360" w:lineRule="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根据采购需求服务质量承诺及保障包含：（1）质量管理体系或制度；（2）质量标准；（3）质量保证措施；（4）具体的违约责任承诺4项内容。</w:t>
            </w:r>
          </w:p>
          <w:p w14:paraId="0C4C73BC">
            <w:pPr>
              <w:spacing w:line="360" w:lineRule="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上述</w:t>
            </w: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lang w:val="en-US" w:eastAsia="zh-CN"/>
              </w:rPr>
              <w:t>项内容均有详细描述、有针对性的得满分2</w:t>
            </w:r>
            <w:r>
              <w:rPr>
                <w:rFonts w:hint="eastAsia" w:ascii="宋体" w:hAnsi="宋体" w:eastAsia="宋体" w:cs="宋体"/>
                <w:color w:val="auto"/>
                <w:highlight w:val="none"/>
                <w:lang w:val="en-US" w:eastAsia="zh-CN"/>
              </w:rPr>
              <w:t>0</w:t>
            </w:r>
            <w:r>
              <w:rPr>
                <w:rFonts w:hint="default" w:ascii="宋体" w:hAnsi="宋体" w:eastAsia="宋体" w:cs="宋体"/>
                <w:color w:val="auto"/>
                <w:highlight w:val="none"/>
                <w:lang w:val="en-US" w:eastAsia="zh-CN"/>
              </w:rPr>
              <w:t>分，每缺漏一项扣5分，每有一项描述但描述不详细或缺乏针对性的扣2.5分，分数扣完为止。</w:t>
            </w:r>
          </w:p>
          <w:p w14:paraId="722A1B89">
            <w:pPr>
              <w:spacing w:line="360" w:lineRule="auto"/>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注：“描述不详细或缺乏针对性”是指：①方案内容过于简略、与本项目采购需求不符，不完整或缺少关键点；②非专门针对本项目或不适用本项目特性、套用其他项目内容；③对同一问题前后表述矛盾；④存在逻辑漏洞、科学原理或常识错误；⑤不利于本项目目标的实现的任意一种类似缺陷或瑕疵。</w:t>
            </w:r>
          </w:p>
        </w:tc>
      </w:tr>
      <w:tr w14:paraId="49F7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526" w:type="dxa"/>
            <w:gridSpan w:val="2"/>
            <w:vMerge w:val="continue"/>
            <w:tcBorders>
              <w:left w:val="single" w:color="auto" w:sz="4" w:space="0"/>
              <w:right w:val="single" w:color="auto" w:sz="4" w:space="0"/>
            </w:tcBorders>
            <w:vAlign w:val="center"/>
          </w:tcPr>
          <w:p w14:paraId="45913DF9">
            <w:pPr>
              <w:widowControl/>
              <w:jc w:val="left"/>
              <w:rPr>
                <w:rFonts w:ascii="宋体" w:hAnsi="宋体" w:cs="宋体"/>
                <w:color w:val="auto"/>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5383DB1">
            <w:pPr>
              <w:adjustRightInd w:val="0"/>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类似项目业绩评审评分</w:t>
            </w:r>
          </w:p>
        </w:tc>
        <w:tc>
          <w:tcPr>
            <w:tcW w:w="1244" w:type="dxa"/>
            <w:tcBorders>
              <w:top w:val="single" w:color="auto" w:sz="4" w:space="0"/>
              <w:left w:val="single" w:color="auto" w:sz="4" w:space="0"/>
              <w:bottom w:val="single" w:color="auto" w:sz="4" w:space="0"/>
              <w:right w:val="single" w:color="auto" w:sz="4" w:space="0"/>
            </w:tcBorders>
            <w:vAlign w:val="center"/>
          </w:tcPr>
          <w:p w14:paraId="455050FB">
            <w:pPr>
              <w:adjustRightInd w:val="0"/>
              <w:snapToGrid w:val="0"/>
              <w:spacing w:line="360" w:lineRule="auto"/>
              <w:jc w:val="center"/>
              <w:rPr>
                <w:rFonts w:hint="default" w:ascii="宋体" w:hAnsi="宋体"/>
                <w:snapToGrid w:val="0"/>
                <w:color w:val="auto"/>
                <w:kern w:val="0"/>
                <w:highlight w:val="none"/>
                <w:lang w:val="en-US" w:eastAsia="zh-CN"/>
              </w:rPr>
            </w:pPr>
            <w:r>
              <w:rPr>
                <w:rFonts w:hint="eastAsia" w:ascii="宋体" w:hAnsi="宋体"/>
                <w:snapToGrid w:val="0"/>
                <w:color w:val="auto"/>
                <w:kern w:val="0"/>
                <w:highlight w:val="none"/>
                <w:lang w:val="en-US" w:eastAsia="zh-CN"/>
              </w:rPr>
              <w:t>5分</w:t>
            </w:r>
          </w:p>
        </w:tc>
        <w:tc>
          <w:tcPr>
            <w:tcW w:w="6060" w:type="dxa"/>
            <w:tcBorders>
              <w:top w:val="single" w:color="auto" w:sz="4" w:space="0"/>
              <w:left w:val="single" w:color="auto" w:sz="4" w:space="0"/>
              <w:bottom w:val="single" w:color="auto" w:sz="4" w:space="0"/>
              <w:right w:val="single" w:color="auto" w:sz="4" w:space="0"/>
            </w:tcBorders>
            <w:vAlign w:val="center"/>
          </w:tcPr>
          <w:p w14:paraId="2E35EEDD">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供应商2023年至今每提供一个类似业绩加2.5分，分数加满为止。</w:t>
            </w:r>
          </w:p>
          <w:p w14:paraId="482EB41C">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新宋体" w:hAnsi="新宋体" w:eastAsia="新宋体"/>
                <w:color w:val="auto"/>
                <w:szCs w:val="21"/>
                <w:highlight w:val="none"/>
                <w:lang w:val="en-US" w:eastAsia="zh-CN"/>
              </w:rPr>
              <w:t>类似业绩指2023年1月至今完成或正在实施的同类型项目业绩</w:t>
            </w:r>
            <w:r>
              <w:rPr>
                <w:rFonts w:hint="eastAsia" w:ascii="宋体" w:hAnsi="宋体" w:eastAsia="宋体" w:cs="宋体"/>
                <w:color w:val="auto"/>
                <w:highlight w:val="none"/>
                <w:lang w:val="en-US" w:eastAsia="zh-CN"/>
              </w:rPr>
              <w:t>。</w:t>
            </w:r>
          </w:p>
          <w:p w14:paraId="0587534B">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1、证明材料为合同协议书或中标（成交）通知书或业主证明原件扫描件，原件中标后备查。</w:t>
            </w:r>
          </w:p>
          <w:p w14:paraId="5BC32C2D">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2、未提供证明材料或证明材料不符合要求的，不予认可。</w:t>
            </w:r>
          </w:p>
        </w:tc>
      </w:tr>
    </w:tbl>
    <w:p w14:paraId="4D1EEBF5">
      <w:pPr>
        <w:rPr>
          <w:color w:val="auto"/>
          <w:highlight w:val="none"/>
        </w:rPr>
      </w:pPr>
    </w:p>
    <w:p w14:paraId="31F94759">
      <w:pPr>
        <w:spacing w:line="360" w:lineRule="auto"/>
        <w:jc w:val="center"/>
        <w:outlineLvl w:val="1"/>
        <w:rPr>
          <w:rFonts w:ascii="新宋体" w:hAnsi="新宋体" w:eastAsia="新宋体"/>
          <w:b/>
          <w:color w:val="auto"/>
          <w:kern w:val="0"/>
          <w:sz w:val="32"/>
          <w:highlight w:val="none"/>
        </w:rPr>
      </w:pPr>
      <w:bookmarkStart w:id="322" w:name="_Toc1549"/>
      <w:bookmarkStart w:id="323" w:name="_Toc18957"/>
      <w:bookmarkStart w:id="324" w:name="_Toc27151"/>
      <w:bookmarkStart w:id="325" w:name="_Toc14746"/>
      <w:bookmarkStart w:id="326" w:name="_Toc9250"/>
      <w:bookmarkStart w:id="327" w:name="_Toc10910"/>
      <w:bookmarkStart w:id="328" w:name="_Toc9724"/>
      <w:r>
        <w:rPr>
          <w:rFonts w:hint="eastAsia" w:ascii="新宋体" w:hAnsi="新宋体" w:eastAsia="新宋体"/>
          <w:b/>
          <w:color w:val="auto"/>
          <w:kern w:val="0"/>
          <w:sz w:val="32"/>
          <w:highlight w:val="none"/>
        </w:rPr>
        <w:t>二、竞争性磋商评审办法</w:t>
      </w:r>
      <w:bookmarkEnd w:id="322"/>
      <w:bookmarkEnd w:id="323"/>
      <w:bookmarkEnd w:id="324"/>
      <w:bookmarkEnd w:id="325"/>
      <w:bookmarkEnd w:id="326"/>
      <w:bookmarkEnd w:id="327"/>
      <w:bookmarkEnd w:id="328"/>
    </w:p>
    <w:p w14:paraId="21BC8695">
      <w:pPr>
        <w:pStyle w:val="19"/>
        <w:ind w:left="0" w:leftChars="0" w:firstLine="0" w:firstLineChars="0"/>
        <w:jc w:val="center"/>
        <w:outlineLvl w:val="2"/>
        <w:rPr>
          <w:b/>
          <w:bCs/>
          <w:color w:val="auto"/>
          <w:sz w:val="30"/>
          <w:szCs w:val="30"/>
          <w:highlight w:val="none"/>
        </w:rPr>
      </w:pPr>
      <w:bookmarkStart w:id="329" w:name="_Toc8893"/>
      <w:bookmarkStart w:id="330" w:name="_Toc8027"/>
      <w:bookmarkStart w:id="331" w:name="_Toc16267"/>
      <w:bookmarkStart w:id="332" w:name="_Toc24588"/>
      <w:bookmarkStart w:id="333" w:name="_Toc22479"/>
      <w:r>
        <w:rPr>
          <w:rFonts w:hint="eastAsia"/>
          <w:b/>
          <w:bCs/>
          <w:color w:val="auto"/>
          <w:sz w:val="30"/>
          <w:szCs w:val="30"/>
          <w:highlight w:val="none"/>
        </w:rPr>
        <w:t>1.总则</w:t>
      </w:r>
      <w:bookmarkEnd w:id="329"/>
      <w:bookmarkEnd w:id="330"/>
      <w:bookmarkEnd w:id="331"/>
      <w:bookmarkEnd w:id="332"/>
      <w:bookmarkEnd w:id="333"/>
    </w:p>
    <w:p w14:paraId="1609A40B">
      <w:pPr>
        <w:spacing w:line="360" w:lineRule="auto"/>
        <w:ind w:firstLine="420" w:firstLineChars="200"/>
        <w:rPr>
          <w:rFonts w:ascii="宋体" w:hAnsi="宋体"/>
          <w:color w:val="auto"/>
          <w:highlight w:val="none"/>
        </w:rPr>
      </w:pPr>
    </w:p>
    <w:p w14:paraId="41B3EEC6">
      <w:pPr>
        <w:spacing w:line="360" w:lineRule="auto"/>
        <w:ind w:firstLine="420" w:firstLineChars="200"/>
        <w:rPr>
          <w:rFonts w:ascii="宋体" w:hAnsi="宋体"/>
          <w:color w:val="auto"/>
          <w:highlight w:val="none"/>
        </w:rPr>
      </w:pPr>
      <w:r>
        <w:rPr>
          <w:rFonts w:hint="eastAsia" w:ascii="宋体" w:hAnsi="宋体"/>
          <w:color w:val="auto"/>
          <w:highlight w:val="none"/>
        </w:rPr>
        <w:t>1.1根据《中华人民共和国政府采购法》、《中华人民共和国政府采购法实施条例》、《政府采购竞争性磋商采购方式管理暂行办法》和有关法律、法规、规章，结合本项目特点，特定本项目竞争性磋商评审办法。</w:t>
      </w:r>
    </w:p>
    <w:p w14:paraId="1391DB15">
      <w:pPr>
        <w:spacing w:line="360" w:lineRule="auto"/>
        <w:ind w:firstLine="420" w:firstLineChars="200"/>
        <w:rPr>
          <w:rFonts w:ascii="宋体" w:hAnsi="宋体"/>
          <w:color w:val="auto"/>
          <w:highlight w:val="none"/>
        </w:rPr>
      </w:pPr>
      <w:r>
        <w:rPr>
          <w:rFonts w:hint="eastAsia" w:ascii="宋体" w:hAnsi="宋体"/>
          <w:color w:val="auto"/>
          <w:highlight w:val="none"/>
        </w:rPr>
        <w:t>1.2采购人根据上述法律法规的规定及本项目的特点组磋商判小组，对进行响应文件进行评审，磋商小组按供应商须知</w:t>
      </w:r>
      <w:r>
        <w:rPr>
          <w:rFonts w:ascii="新宋体" w:hAnsi="新宋体" w:eastAsia="新宋体"/>
          <w:color w:val="auto"/>
          <w:highlight w:val="none"/>
        </w:rPr>
        <w:t>4.1.4</w:t>
      </w:r>
      <w:r>
        <w:rPr>
          <w:rFonts w:hint="eastAsia" w:ascii="宋体" w:hAnsi="宋体" w:eastAsia="新宋体"/>
          <w:color w:val="auto"/>
          <w:highlight w:val="none"/>
        </w:rPr>
        <w:t>组建</w:t>
      </w:r>
      <w:r>
        <w:rPr>
          <w:rFonts w:hint="eastAsia" w:ascii="宋体" w:hAnsi="宋体"/>
          <w:color w:val="auto"/>
          <w:highlight w:val="none"/>
        </w:rPr>
        <w:t>。磋商小组组长一名由磋商小组成员推举产生，磋商小组组长负责组织评标工作，磋商小组组长与其他成员具有同等表决权。</w:t>
      </w:r>
    </w:p>
    <w:p w14:paraId="507C24CF">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1.3同品牌产品不同供应商的处理方式</w:t>
      </w:r>
      <w:r>
        <w:rPr>
          <w:rFonts w:hint="eastAsia" w:ascii="宋体" w:hAnsi="宋体"/>
          <w:color w:val="auto"/>
          <w:highlight w:val="none"/>
          <w:lang w:eastAsia="zh-CN"/>
        </w:rPr>
        <w:t>（</w:t>
      </w:r>
      <w:r>
        <w:rPr>
          <w:rFonts w:hint="eastAsia" w:ascii="宋体" w:hAnsi="宋体"/>
          <w:color w:val="auto"/>
          <w:highlight w:val="none"/>
          <w:lang w:val="en-US" w:eastAsia="zh-CN"/>
        </w:rPr>
        <w:t>本项目不适用</w:t>
      </w:r>
      <w:r>
        <w:rPr>
          <w:rFonts w:hint="eastAsia" w:ascii="宋体" w:hAnsi="宋体"/>
          <w:color w:val="auto"/>
          <w:highlight w:val="none"/>
          <w:lang w:eastAsia="zh-CN"/>
        </w:rPr>
        <w:t>）</w:t>
      </w:r>
    </w:p>
    <w:p w14:paraId="062792B0">
      <w:pPr>
        <w:spacing w:line="360" w:lineRule="auto"/>
        <w:ind w:firstLine="420" w:firstLineChars="200"/>
        <w:rPr>
          <w:rFonts w:hint="eastAsia" w:ascii="宋体" w:hAnsi="宋体"/>
          <w:color w:val="auto"/>
          <w:highlight w:val="none"/>
        </w:rPr>
      </w:pPr>
      <w:r>
        <w:rPr>
          <w:rFonts w:hint="eastAsia" w:ascii="宋体" w:hAnsi="宋体"/>
          <w:color w:val="auto"/>
          <w:highlight w:val="none"/>
        </w:rPr>
        <w:t>提供相同品牌产品且通过资格评审、符合性评审的不同供应商参加同一合同项下投标的，按一家供应商计算，评审后得分最高的同品牌供应商获得成交人推荐资格；评审得分相同的，技术部分得分高优先、报价部分得分高优先、商务部分得分高优先的顺序确定；所有得分均相等的，节能和环境标志产品优先、节能产品优先、环境标志产品优先，其他有利于采购人利益的优先的顺序确定一个供应商获得成交人推荐资格，其他同品牌供应商不作为成交候选人。</w:t>
      </w:r>
    </w:p>
    <w:p w14:paraId="5F0710F2">
      <w:pP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1.4小微企业优惠政策</w:t>
      </w:r>
    </w:p>
    <w:p w14:paraId="0CDE4172">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根据《关于印发&lt;政府采购促进中小企业发展管理办法&gt;的通知》(财库〔2020〕46号文）的规定，中小企业（含中型、小型、微型企业，下同）应当符合以下任意条件：</w:t>
      </w:r>
    </w:p>
    <w:p w14:paraId="7C10C4D3">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（一）在货物采购项目中，货物由中小企业制造，即货物由中小企业生产且使用该中小企业商号或者注册商标；</w:t>
      </w:r>
    </w:p>
    <w:p w14:paraId="1121546B">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（二）在工程采购项目中，工程由中小企业承建，即工程施工单位为中小企业；</w:t>
      </w:r>
    </w:p>
    <w:p w14:paraId="2BA215AC">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（三）在服务采购项目中，服务由中小企业承接，即提供服务的人员为中小企业依照《中华人民共和国劳动合同法》订立劳动合同的从业人员。</w:t>
      </w:r>
    </w:p>
    <w:p w14:paraId="1167A6F6">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在货物采购项目中，供应商提供的货物既有中小企业制造货物，也有大型企业制造货物的，不享受本办法规定的中小企业扶持政策。</w:t>
      </w:r>
    </w:p>
    <w:p w14:paraId="10A51AC2">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以联合体形式参加政府采购活动，联合体各方均为中小企业的，联合体视同中小企业。其中，联合体各方均为小微企业的，联合体视同小微企业。</w:t>
      </w:r>
    </w:p>
    <w:p w14:paraId="2B026321">
      <w:pPr>
        <w:spacing w:line="360" w:lineRule="auto"/>
        <w:ind w:firstLine="420" w:firstLineChars="200"/>
        <w:rPr>
          <w:rFonts w:hint="default" w:ascii="宋体" w:hAnsi="宋体"/>
          <w:color w:val="auto"/>
          <w:highlight w:val="none"/>
          <w:lang w:val="en-US" w:eastAsia="zh-CN"/>
        </w:rPr>
      </w:pPr>
      <w:r>
        <w:rPr>
          <w:rFonts w:hint="default" w:ascii="宋体" w:hAnsi="宋体"/>
          <w:color w:val="auto"/>
          <w:highlight w:val="none"/>
          <w:lang w:val="en-US" w:eastAsia="zh-CN"/>
        </w:rPr>
        <w:t>中小企业参加政府采购活动，应当出具《中小企业声明函》，否则不得享受相关中小企业扶持政策。任何单位和个人不得要求供应商提供《中小企业声明函》之外的中小企业身份证明文件。</w:t>
      </w:r>
    </w:p>
    <w:p w14:paraId="5C88950F">
      <w:pPr>
        <w:pStyle w:val="19"/>
        <w:rPr>
          <w:rFonts w:hint="default"/>
          <w:color w:val="auto"/>
          <w:highlight w:val="none"/>
          <w:lang w:val="en-US" w:eastAsia="zh-CN"/>
        </w:rPr>
      </w:pPr>
      <w:r>
        <w:rPr>
          <w:rFonts w:hint="default"/>
          <w:color w:val="auto"/>
          <w:highlight w:val="none"/>
          <w:lang w:val="en-US" w:eastAsia="zh-CN"/>
        </w:rPr>
        <w:t>本项目对应的中小企业划分标准所属行业为：租赁和商务服务业</w:t>
      </w:r>
      <w:r>
        <w:rPr>
          <w:rFonts w:hint="eastAsia"/>
          <w:color w:val="auto"/>
          <w:highlight w:val="none"/>
          <w:lang w:val="en-US"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4387"/>
        <w:gridCol w:w="2839"/>
      </w:tblGrid>
      <w:tr w14:paraId="5266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E2F7710">
            <w:pPr>
              <w:pStyle w:val="19"/>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4387" w:type="dxa"/>
            <w:vAlign w:val="center"/>
          </w:tcPr>
          <w:p w14:paraId="7758672E">
            <w:pPr>
              <w:pStyle w:val="19"/>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项目名称</w:t>
            </w:r>
          </w:p>
        </w:tc>
        <w:tc>
          <w:tcPr>
            <w:tcW w:w="2839" w:type="dxa"/>
            <w:vAlign w:val="center"/>
          </w:tcPr>
          <w:p w14:paraId="5F749E25">
            <w:pPr>
              <w:pStyle w:val="19"/>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所属行业</w:t>
            </w:r>
          </w:p>
        </w:tc>
      </w:tr>
      <w:tr w14:paraId="1981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5D6F695">
            <w:pPr>
              <w:pStyle w:val="19"/>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4387" w:type="dxa"/>
            <w:vAlign w:val="center"/>
          </w:tcPr>
          <w:p w14:paraId="509A25F4">
            <w:pPr>
              <w:pStyle w:val="19"/>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昆明市盘龙区滇源中心学校采购2026年保安服务</w:t>
            </w:r>
          </w:p>
        </w:tc>
        <w:tc>
          <w:tcPr>
            <w:tcW w:w="2839" w:type="dxa"/>
            <w:vAlign w:val="center"/>
          </w:tcPr>
          <w:p w14:paraId="727B8A0F">
            <w:pPr>
              <w:pStyle w:val="19"/>
              <w:ind w:left="0" w:leftChars="0" w:firstLine="0" w:firstLineChars="0"/>
              <w:jc w:val="center"/>
              <w:rPr>
                <w:rFonts w:hint="default"/>
                <w:color w:val="auto"/>
                <w:highlight w:val="none"/>
                <w:vertAlign w:val="baseline"/>
                <w:lang w:val="en-US" w:eastAsia="zh-CN"/>
              </w:rPr>
            </w:pPr>
            <w:r>
              <w:rPr>
                <w:rFonts w:hint="default"/>
                <w:color w:val="auto"/>
                <w:highlight w:val="none"/>
                <w:lang w:val="en-US" w:eastAsia="zh-CN"/>
              </w:rPr>
              <w:t>租赁和商务服务业</w:t>
            </w:r>
          </w:p>
        </w:tc>
      </w:tr>
    </w:tbl>
    <w:p w14:paraId="5E722BBC">
      <w:pPr>
        <w:pStyle w:val="19"/>
        <w:rPr>
          <w:rFonts w:hint="default"/>
          <w:color w:val="auto"/>
          <w:highlight w:val="none"/>
          <w:lang w:val="en-US" w:eastAsia="zh-CN"/>
        </w:rPr>
      </w:pPr>
    </w:p>
    <w:p w14:paraId="235F12AC">
      <w:pPr>
        <w:spacing w:line="360" w:lineRule="auto"/>
        <w:ind w:firstLine="420" w:firstLineChars="20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1.5监狱企业优惠政策</w:t>
      </w:r>
    </w:p>
    <w:p w14:paraId="52D7B571">
      <w:pPr>
        <w:spacing w:line="360" w:lineRule="auto"/>
        <w:ind w:firstLine="420" w:firstLineChars="20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5288E735">
      <w:pPr>
        <w:spacing w:line="360" w:lineRule="auto"/>
        <w:ind w:firstLine="420" w:firstLineChars="20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1.6残疾人福利性单位优惠政策</w:t>
      </w:r>
    </w:p>
    <w:p w14:paraId="34CB2FE9">
      <w:pPr>
        <w:spacing w:line="360" w:lineRule="auto"/>
        <w:ind w:firstLine="42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r>
        <w:rPr>
          <w:rFonts w:hint="default" w:ascii="宋体" w:hAnsi="宋体" w:eastAsia="宋体"/>
          <w:b/>
          <w:bCs/>
          <w:color w:val="auto"/>
          <w:highlight w:val="none"/>
          <w:lang w:val="en-US" w:eastAsia="zh-CN"/>
        </w:rPr>
        <w:t>投标人对《残疾人福利性单位声明函》的真实性负责，如有虚假，自行承担相应责任</w:t>
      </w:r>
      <w:r>
        <w:rPr>
          <w:rFonts w:hint="eastAsia" w:ascii="宋体" w:hAnsi="宋体" w:eastAsia="宋体"/>
          <w:b/>
          <w:bCs/>
          <w:color w:val="auto"/>
          <w:highlight w:val="none"/>
          <w:lang w:val="en-US" w:eastAsia="zh-CN"/>
        </w:rPr>
        <w:t>。</w:t>
      </w:r>
    </w:p>
    <w:p w14:paraId="7F351FFC">
      <w:pPr>
        <w:pStyle w:val="19"/>
        <w:ind w:left="0" w:leftChars="0" w:firstLine="0" w:firstLineChars="0"/>
        <w:jc w:val="center"/>
        <w:outlineLvl w:val="2"/>
        <w:rPr>
          <w:b/>
          <w:bCs/>
          <w:color w:val="auto"/>
          <w:sz w:val="30"/>
          <w:szCs w:val="30"/>
          <w:highlight w:val="none"/>
        </w:rPr>
      </w:pPr>
      <w:bookmarkStart w:id="334" w:name="_Toc9699"/>
      <w:bookmarkStart w:id="335" w:name="_Toc5752"/>
      <w:bookmarkStart w:id="336" w:name="_Toc26613"/>
      <w:bookmarkStart w:id="337" w:name="_Toc32441"/>
      <w:bookmarkStart w:id="338" w:name="_Toc29663"/>
      <w:r>
        <w:rPr>
          <w:rFonts w:hint="eastAsia"/>
          <w:b/>
          <w:bCs/>
          <w:color w:val="auto"/>
          <w:sz w:val="30"/>
          <w:szCs w:val="30"/>
          <w:highlight w:val="none"/>
        </w:rPr>
        <w:t>2.磋商评审</w:t>
      </w:r>
      <w:bookmarkEnd w:id="334"/>
      <w:bookmarkEnd w:id="335"/>
      <w:bookmarkEnd w:id="336"/>
      <w:bookmarkEnd w:id="337"/>
      <w:bookmarkEnd w:id="338"/>
    </w:p>
    <w:p w14:paraId="5479DB0A">
      <w:pPr>
        <w:spacing w:line="360" w:lineRule="auto"/>
        <w:outlineLvl w:val="3"/>
        <w:rPr>
          <w:color w:val="auto"/>
          <w:highlight w:val="none"/>
        </w:rPr>
      </w:pPr>
      <w:bookmarkStart w:id="339" w:name="_Toc24499"/>
      <w:bookmarkStart w:id="340" w:name="_Toc9353"/>
      <w:bookmarkStart w:id="341" w:name="_Toc15217"/>
      <w:bookmarkStart w:id="342" w:name="_Toc2525"/>
      <w:r>
        <w:rPr>
          <w:rFonts w:hint="eastAsia"/>
          <w:b/>
          <w:bCs/>
          <w:color w:val="auto"/>
          <w:highlight w:val="none"/>
        </w:rPr>
        <w:t>2.1 资格、符合性评审</w:t>
      </w:r>
      <w:bookmarkEnd w:id="339"/>
      <w:bookmarkEnd w:id="340"/>
      <w:bookmarkEnd w:id="341"/>
      <w:bookmarkEnd w:id="342"/>
    </w:p>
    <w:p w14:paraId="28C6CDC8">
      <w:pPr>
        <w:spacing w:line="360" w:lineRule="auto"/>
        <w:ind w:firstLine="420" w:firstLineChars="200"/>
        <w:rPr>
          <w:color w:val="auto"/>
          <w:highlight w:val="none"/>
        </w:rPr>
      </w:pPr>
      <w:r>
        <w:rPr>
          <w:rFonts w:hint="eastAsia"/>
          <w:color w:val="auto"/>
          <w:highlight w:val="none"/>
        </w:rPr>
        <w:t>依据有关法律法规和竞争性磋商文件的规定，对响应文件中的资格、符合性进行评审。</w:t>
      </w:r>
    </w:p>
    <w:p w14:paraId="3A279F1D">
      <w:pPr>
        <w:spacing w:line="360" w:lineRule="auto"/>
        <w:ind w:firstLine="420" w:firstLineChars="200"/>
        <w:rPr>
          <w:color w:val="auto"/>
          <w:highlight w:val="none"/>
        </w:rPr>
      </w:pPr>
      <w:r>
        <w:rPr>
          <w:rFonts w:hint="eastAsia"/>
          <w:color w:val="auto"/>
          <w:highlight w:val="none"/>
        </w:rPr>
        <w:t>2.1.1资格评审标准：见竞争性磋商评审办法前附表。</w:t>
      </w:r>
    </w:p>
    <w:p w14:paraId="7672A587">
      <w:pPr>
        <w:spacing w:line="360" w:lineRule="auto"/>
        <w:ind w:firstLine="420" w:firstLineChars="200"/>
        <w:rPr>
          <w:color w:val="auto"/>
          <w:highlight w:val="none"/>
        </w:rPr>
      </w:pPr>
      <w:r>
        <w:rPr>
          <w:rFonts w:hint="eastAsia"/>
          <w:color w:val="auto"/>
          <w:highlight w:val="none"/>
        </w:rPr>
        <w:t>2.1.2符合性评审标准：见竞争性磋商评审办法前附表。</w:t>
      </w:r>
    </w:p>
    <w:p w14:paraId="6B672825">
      <w:pPr>
        <w:spacing w:line="360" w:lineRule="auto"/>
        <w:ind w:firstLine="420" w:firstLineChars="200"/>
        <w:rPr>
          <w:color w:val="auto"/>
          <w:highlight w:val="none"/>
        </w:rPr>
      </w:pPr>
      <w:r>
        <w:rPr>
          <w:rFonts w:hint="eastAsia"/>
          <w:color w:val="auto"/>
          <w:highlight w:val="none"/>
        </w:rPr>
        <w:t>2.1.3提交最终报价的供应商不得少于3家。市场竞争不充分的科研项目、需要扶持的科技成果转化项目，以及政府购买服务项目（含政府和社会资本合作项目），提交最终报价的供应商可以为2家</w:t>
      </w:r>
      <w:r>
        <w:rPr>
          <w:color w:val="auto"/>
          <w:highlight w:val="none"/>
        </w:rPr>
        <w:t>。</w:t>
      </w:r>
    </w:p>
    <w:p w14:paraId="4844D2C1">
      <w:pPr>
        <w:spacing w:line="360" w:lineRule="auto"/>
        <w:ind w:firstLine="420" w:firstLineChars="200"/>
        <w:rPr>
          <w:color w:val="auto"/>
          <w:highlight w:val="none"/>
        </w:rPr>
      </w:pPr>
      <w:bookmarkStart w:id="343" w:name="_Toc12621"/>
      <w:bookmarkStart w:id="344" w:name="_Toc11265"/>
      <w:bookmarkStart w:id="345" w:name="_Toc26235"/>
      <w:bookmarkStart w:id="346" w:name="_Toc25793"/>
      <w:r>
        <w:rPr>
          <w:rFonts w:hint="eastAsia"/>
          <w:color w:val="auto"/>
          <w:highlight w:val="none"/>
        </w:rPr>
        <w:t>2.1.4</w:t>
      </w:r>
      <w:r>
        <w:rPr>
          <w:rFonts w:hint="eastAsia"/>
          <w:color w:val="auto"/>
          <w:highlight w:val="none"/>
          <w:lang w:val="en-US" w:eastAsia="zh-CN"/>
        </w:rPr>
        <w:t>无效</w:t>
      </w:r>
      <w:r>
        <w:rPr>
          <w:rFonts w:hint="eastAsia"/>
          <w:color w:val="auto"/>
          <w:highlight w:val="none"/>
        </w:rPr>
        <w:t>投标</w:t>
      </w:r>
      <w:bookmarkEnd w:id="343"/>
      <w:bookmarkEnd w:id="344"/>
      <w:bookmarkEnd w:id="345"/>
      <w:bookmarkEnd w:id="346"/>
    </w:p>
    <w:p w14:paraId="2FA909EB">
      <w:pPr>
        <w:spacing w:line="360" w:lineRule="auto"/>
        <w:ind w:firstLine="420" w:firstLineChars="200"/>
        <w:rPr>
          <w:color w:val="auto"/>
          <w:highlight w:val="none"/>
        </w:rPr>
      </w:pPr>
      <w:r>
        <w:rPr>
          <w:rFonts w:hint="eastAsia"/>
          <w:color w:val="auto"/>
          <w:highlight w:val="none"/>
        </w:rPr>
        <w:t>出现下列情况之一的，其响应文件将被视为</w:t>
      </w:r>
      <w:r>
        <w:rPr>
          <w:rFonts w:hint="eastAsia"/>
          <w:color w:val="auto"/>
          <w:highlight w:val="none"/>
          <w:lang w:val="en-US" w:eastAsia="zh-CN"/>
        </w:rPr>
        <w:t>无效</w:t>
      </w:r>
      <w:r>
        <w:rPr>
          <w:rFonts w:hint="eastAsia"/>
          <w:color w:val="auto"/>
          <w:highlight w:val="none"/>
        </w:rPr>
        <w:t>投标：</w:t>
      </w:r>
    </w:p>
    <w:p w14:paraId="65DFD962">
      <w:pPr>
        <w:spacing w:line="360" w:lineRule="auto"/>
        <w:ind w:firstLine="420" w:firstLineChars="200"/>
        <w:rPr>
          <w:color w:val="auto"/>
          <w:highlight w:val="none"/>
        </w:rPr>
      </w:pPr>
      <w:r>
        <w:rPr>
          <w:rFonts w:hint="eastAsia"/>
          <w:color w:val="auto"/>
          <w:highlight w:val="none"/>
        </w:rPr>
        <w:t xml:space="preserve">（1）响应文件无单位签章并无法定代表人或其委托代理人签字或签章的； </w:t>
      </w:r>
    </w:p>
    <w:p w14:paraId="5F738C48">
      <w:pPr>
        <w:spacing w:line="360" w:lineRule="auto"/>
        <w:ind w:firstLine="420" w:firstLineChars="200"/>
        <w:rPr>
          <w:color w:val="auto"/>
          <w:highlight w:val="none"/>
        </w:rPr>
      </w:pPr>
      <w:r>
        <w:rPr>
          <w:rFonts w:hint="eastAsia"/>
          <w:color w:val="auto"/>
          <w:highlight w:val="none"/>
        </w:rPr>
        <w:t>（2）法定代表人委托代理人磋商，但无法定代表人授权委托书的；</w:t>
      </w:r>
    </w:p>
    <w:p w14:paraId="177DC1B2">
      <w:pPr>
        <w:spacing w:line="360" w:lineRule="auto"/>
        <w:ind w:firstLine="420" w:firstLineChars="200"/>
        <w:rPr>
          <w:color w:val="auto"/>
          <w:highlight w:val="none"/>
        </w:rPr>
      </w:pPr>
      <w:r>
        <w:rPr>
          <w:rFonts w:hint="eastAsia"/>
          <w:color w:val="auto"/>
          <w:highlight w:val="none"/>
        </w:rPr>
        <w:t>（3）未按规定的格式填写，内容不全或关键字迹模糊、无法辨认的；</w:t>
      </w:r>
    </w:p>
    <w:p w14:paraId="06B12253">
      <w:pPr>
        <w:spacing w:line="360" w:lineRule="auto"/>
        <w:ind w:firstLine="420" w:firstLineChars="200"/>
        <w:rPr>
          <w:color w:val="auto"/>
          <w:highlight w:val="none"/>
        </w:rPr>
      </w:pPr>
      <w:r>
        <w:rPr>
          <w:rFonts w:hint="eastAsia"/>
          <w:color w:val="auto"/>
          <w:highlight w:val="none"/>
        </w:rPr>
        <w:t>（4）磋商有效期不满足竞争性磋商文件要求的；</w:t>
      </w:r>
    </w:p>
    <w:p w14:paraId="45D4FC18">
      <w:pPr>
        <w:spacing w:line="360" w:lineRule="auto"/>
        <w:ind w:firstLine="420" w:firstLineChars="200"/>
        <w:rPr>
          <w:color w:val="auto"/>
          <w:highlight w:val="none"/>
        </w:rPr>
      </w:pPr>
      <w:r>
        <w:rPr>
          <w:rFonts w:hint="eastAsia"/>
          <w:color w:val="auto"/>
          <w:highlight w:val="none"/>
        </w:rPr>
        <w:t>（5）供应商磋商报价超出采购预算（最高限价）的；</w:t>
      </w:r>
    </w:p>
    <w:p w14:paraId="09EFC37D">
      <w:pPr>
        <w:spacing w:line="360" w:lineRule="auto"/>
        <w:ind w:firstLine="420" w:firstLineChars="200"/>
        <w:rPr>
          <w:color w:val="auto"/>
          <w:highlight w:val="none"/>
        </w:rPr>
      </w:pPr>
      <w:r>
        <w:rPr>
          <w:rFonts w:hint="eastAsia"/>
          <w:color w:val="auto"/>
          <w:highlight w:val="none"/>
        </w:rPr>
        <w:t>（6）响应文件不得载有采购人不能接受的条件。</w:t>
      </w:r>
    </w:p>
    <w:p w14:paraId="578760CF">
      <w:pPr>
        <w:spacing w:line="360" w:lineRule="auto"/>
        <w:ind w:firstLine="420" w:firstLineChars="200"/>
        <w:rPr>
          <w:color w:val="auto"/>
          <w:highlight w:val="none"/>
        </w:rPr>
      </w:pPr>
      <w:r>
        <w:rPr>
          <w:rFonts w:hint="eastAsia"/>
          <w:color w:val="auto"/>
          <w:highlight w:val="none"/>
        </w:rPr>
        <w:t>（7）供应商递交两份或多份内容不同的响应文件，或在同一次报价中报有两个或多个报价，且未声明哪一个有效，按竞争性磋商文件规定提交备选磋商申请方案的除外；</w:t>
      </w:r>
    </w:p>
    <w:p w14:paraId="64953214">
      <w:pPr>
        <w:spacing w:line="360" w:lineRule="auto"/>
        <w:ind w:firstLine="420" w:firstLineChars="200"/>
        <w:rPr>
          <w:color w:val="auto"/>
          <w:highlight w:val="none"/>
        </w:rPr>
      </w:pPr>
      <w:r>
        <w:rPr>
          <w:rFonts w:hint="eastAsia"/>
          <w:color w:val="auto"/>
          <w:highlight w:val="none"/>
        </w:rPr>
        <w:t>（8）未按竞争性磋商文件要求提供磋商保证金的；</w:t>
      </w:r>
    </w:p>
    <w:p w14:paraId="2D5BA6F2">
      <w:pPr>
        <w:spacing w:line="360" w:lineRule="auto"/>
        <w:ind w:firstLine="420" w:firstLineChars="200"/>
        <w:rPr>
          <w:color w:val="auto"/>
          <w:highlight w:val="none"/>
        </w:rPr>
      </w:pPr>
      <w:r>
        <w:rPr>
          <w:rFonts w:hint="eastAsia"/>
          <w:color w:val="auto"/>
          <w:highlight w:val="none"/>
        </w:rPr>
        <w:t>（9）不满足供应商须知1.4.1条任意一条规定的；</w:t>
      </w:r>
    </w:p>
    <w:p w14:paraId="0ECC03FE">
      <w:pPr>
        <w:spacing w:line="360" w:lineRule="auto"/>
        <w:ind w:firstLine="420" w:firstLineChars="200"/>
        <w:rPr>
          <w:color w:val="auto"/>
          <w:highlight w:val="none"/>
        </w:rPr>
      </w:pPr>
      <w:r>
        <w:rPr>
          <w:rFonts w:hint="eastAsia"/>
          <w:color w:val="auto"/>
          <w:highlight w:val="none"/>
        </w:rPr>
        <w:t>（10）不符合资格评审、符合性评审任意一条规定的；</w:t>
      </w:r>
    </w:p>
    <w:p w14:paraId="5A08D9EE">
      <w:pPr>
        <w:spacing w:line="360" w:lineRule="auto"/>
        <w:ind w:firstLine="420" w:firstLineChars="200"/>
        <w:rPr>
          <w:color w:val="auto"/>
          <w:highlight w:val="none"/>
        </w:rPr>
      </w:pPr>
      <w:r>
        <w:rPr>
          <w:rFonts w:hint="eastAsia"/>
          <w:color w:val="auto"/>
          <w:highlight w:val="none"/>
        </w:rPr>
        <w:t>（11）有串通磋商、弄虚作假、行贿行为的。</w:t>
      </w:r>
    </w:p>
    <w:p w14:paraId="182D62BC">
      <w:pPr>
        <w:spacing w:line="360" w:lineRule="auto"/>
        <w:outlineLvl w:val="3"/>
        <w:rPr>
          <w:color w:val="auto"/>
          <w:highlight w:val="none"/>
        </w:rPr>
      </w:pPr>
      <w:bookmarkStart w:id="347" w:name="_Toc31624"/>
      <w:bookmarkStart w:id="348" w:name="_Toc29336"/>
      <w:bookmarkStart w:id="349" w:name="_Toc8121"/>
      <w:bookmarkStart w:id="350" w:name="_Toc29011"/>
      <w:r>
        <w:rPr>
          <w:rFonts w:hint="eastAsia"/>
          <w:b/>
          <w:bCs/>
          <w:color w:val="auto"/>
          <w:highlight w:val="none"/>
        </w:rPr>
        <w:t>2.2 详细评审标准</w:t>
      </w:r>
      <w:bookmarkEnd w:id="347"/>
      <w:bookmarkEnd w:id="348"/>
      <w:bookmarkEnd w:id="349"/>
      <w:bookmarkEnd w:id="350"/>
    </w:p>
    <w:p w14:paraId="4242FD77">
      <w:pPr>
        <w:spacing w:line="360" w:lineRule="auto"/>
        <w:ind w:firstLine="420" w:firstLineChars="200"/>
        <w:rPr>
          <w:color w:val="auto"/>
          <w:highlight w:val="none"/>
        </w:rPr>
      </w:pPr>
      <w:r>
        <w:rPr>
          <w:rFonts w:hint="eastAsia"/>
          <w:color w:val="auto"/>
          <w:highlight w:val="none"/>
        </w:rPr>
        <w:t>按竞争性磋商文件中规定的竞争性磋商详细评审标准，对资格、符合性评审通过的进行报价部分和技术商务部分评估，综合比较与评价。</w:t>
      </w:r>
    </w:p>
    <w:p w14:paraId="486018CE">
      <w:pPr>
        <w:spacing w:line="360" w:lineRule="auto"/>
        <w:rPr>
          <w:color w:val="auto"/>
          <w:highlight w:val="none"/>
        </w:rPr>
      </w:pPr>
      <w:r>
        <w:rPr>
          <w:rFonts w:hint="eastAsia"/>
          <w:color w:val="auto"/>
          <w:highlight w:val="none"/>
        </w:rPr>
        <w:t xml:space="preserve">    2.2.1分值构成：见竞争性磋商评审办法前附表</w:t>
      </w:r>
    </w:p>
    <w:p w14:paraId="59ED1DF7">
      <w:pPr>
        <w:spacing w:line="360" w:lineRule="auto"/>
        <w:ind w:firstLine="420" w:firstLineChars="200"/>
        <w:rPr>
          <w:color w:val="auto"/>
          <w:highlight w:val="none"/>
        </w:rPr>
      </w:pPr>
      <w:r>
        <w:rPr>
          <w:rFonts w:hint="eastAsia"/>
          <w:color w:val="auto"/>
          <w:highlight w:val="none"/>
        </w:rPr>
        <w:t>2.2.2详细评审为报价部分评审和技术商务部分评审</w:t>
      </w:r>
    </w:p>
    <w:p w14:paraId="714BECF7">
      <w:pPr>
        <w:spacing w:line="360" w:lineRule="auto"/>
        <w:ind w:firstLine="420" w:firstLineChars="200"/>
        <w:rPr>
          <w:color w:val="auto"/>
          <w:highlight w:val="none"/>
        </w:rPr>
      </w:pPr>
      <w:r>
        <w:rPr>
          <w:rFonts w:hint="eastAsia"/>
          <w:color w:val="auto"/>
          <w:highlight w:val="none"/>
        </w:rPr>
        <w:t>2.2.2.1报价部分评审标准：见竞争性磋商评审办法前附表；</w:t>
      </w:r>
    </w:p>
    <w:p w14:paraId="65A9FA5A">
      <w:pPr>
        <w:spacing w:line="360" w:lineRule="auto"/>
        <w:ind w:firstLine="420" w:firstLineChars="200"/>
        <w:rPr>
          <w:color w:val="auto"/>
          <w:highlight w:val="none"/>
        </w:rPr>
      </w:pPr>
      <w:r>
        <w:rPr>
          <w:rFonts w:hint="eastAsia"/>
          <w:color w:val="auto"/>
          <w:highlight w:val="none"/>
        </w:rPr>
        <w:t>2.2.2.2技术商务部分评审标准：见竞争性磋商评审办法前附表；</w:t>
      </w:r>
    </w:p>
    <w:p w14:paraId="3216105D">
      <w:pPr>
        <w:pStyle w:val="7"/>
        <w:spacing w:line="360" w:lineRule="auto"/>
        <w:rPr>
          <w:rFonts w:ascii="Times New Roman"/>
          <w:color w:val="auto"/>
          <w:sz w:val="21"/>
          <w:szCs w:val="21"/>
          <w:highlight w:val="none"/>
        </w:rPr>
      </w:pPr>
      <w:r>
        <w:rPr>
          <w:rFonts w:hint="eastAsia"/>
          <w:color w:val="auto"/>
          <w:highlight w:val="none"/>
        </w:rPr>
        <w:t xml:space="preserve">  </w:t>
      </w:r>
      <w:r>
        <w:rPr>
          <w:rFonts w:hint="eastAsia" w:ascii="Times New Roman"/>
          <w:color w:val="auto"/>
          <w:sz w:val="21"/>
          <w:szCs w:val="21"/>
          <w:highlight w:val="none"/>
        </w:rPr>
        <w:t xml:space="preserve">  2.2.2.3 扣分情形：详见评标办法附件。</w:t>
      </w:r>
    </w:p>
    <w:p w14:paraId="0D65B737">
      <w:pPr>
        <w:spacing w:line="360" w:lineRule="auto"/>
        <w:outlineLvl w:val="3"/>
        <w:rPr>
          <w:b/>
          <w:bCs/>
          <w:color w:val="auto"/>
          <w:highlight w:val="none"/>
        </w:rPr>
      </w:pPr>
      <w:bookmarkStart w:id="351" w:name="_Toc4450"/>
      <w:bookmarkStart w:id="352" w:name="_Toc9099"/>
      <w:bookmarkStart w:id="353" w:name="_Toc26536"/>
      <w:r>
        <w:rPr>
          <w:rFonts w:hint="eastAsia"/>
          <w:b/>
          <w:bCs/>
          <w:color w:val="auto"/>
          <w:highlight w:val="none"/>
        </w:rPr>
        <w:t>2.3 磋商程序</w:t>
      </w:r>
      <w:bookmarkEnd w:id="351"/>
      <w:bookmarkEnd w:id="352"/>
      <w:bookmarkEnd w:id="353"/>
    </w:p>
    <w:p w14:paraId="046992DE">
      <w:pPr>
        <w:spacing w:line="360" w:lineRule="auto"/>
        <w:ind w:firstLine="420" w:firstLineChars="200"/>
        <w:rPr>
          <w:color w:val="auto"/>
          <w:highlight w:val="none"/>
        </w:rPr>
      </w:pPr>
      <w:r>
        <w:rPr>
          <w:color w:val="auto"/>
          <w:highlight w:val="none"/>
        </w:rPr>
        <w:t>按</w:t>
      </w:r>
      <w:r>
        <w:rPr>
          <w:rFonts w:hint="eastAsia"/>
          <w:color w:val="auto"/>
          <w:highlight w:val="none"/>
        </w:rPr>
        <w:t>供应商须知4.1.2 规定的磋商及评审程序进行。</w:t>
      </w:r>
    </w:p>
    <w:p w14:paraId="2323C39D">
      <w:pPr>
        <w:spacing w:line="360" w:lineRule="auto"/>
        <w:ind w:firstLine="420" w:firstLineChars="200"/>
        <w:rPr>
          <w:color w:val="auto"/>
          <w:highlight w:val="none"/>
        </w:rPr>
      </w:pPr>
      <w:r>
        <w:rPr>
          <w:rFonts w:hint="eastAsia"/>
          <w:color w:val="auto"/>
          <w:highlight w:val="none"/>
        </w:rPr>
        <w:t>在磋商中，磋商小组成员和与采购活动有关的工作人员不得透露与磋商有关的其他供应商的资料、价格和其他信息。响应文件有实质性变动的，磋商小组将以书面形式通知所有参加磋商的供应商。通过资格评审、符合性评审的供应商才有资格进行承诺及最后磋商报价，最后磋商报价通过报价符合性审查后才能进入到最终推荐成交候选人资格。</w:t>
      </w:r>
    </w:p>
    <w:p w14:paraId="1520D639">
      <w:pPr>
        <w:spacing w:line="360" w:lineRule="auto"/>
        <w:outlineLvl w:val="3"/>
        <w:rPr>
          <w:color w:val="auto"/>
          <w:highlight w:val="none"/>
        </w:rPr>
      </w:pPr>
      <w:bookmarkStart w:id="354" w:name="_Toc31759"/>
      <w:bookmarkStart w:id="355" w:name="_Toc27428"/>
      <w:bookmarkStart w:id="356" w:name="_Toc11673"/>
      <w:bookmarkStart w:id="357" w:name="_Toc184"/>
      <w:r>
        <w:rPr>
          <w:rFonts w:hint="eastAsia"/>
          <w:b/>
          <w:bCs/>
          <w:color w:val="auto"/>
          <w:szCs w:val="22"/>
          <w:highlight w:val="none"/>
        </w:rPr>
        <w:t>2.4 打分原则</w:t>
      </w:r>
      <w:bookmarkEnd w:id="354"/>
      <w:bookmarkEnd w:id="355"/>
      <w:bookmarkEnd w:id="356"/>
      <w:bookmarkEnd w:id="357"/>
    </w:p>
    <w:p w14:paraId="302EC78A">
      <w:pPr>
        <w:spacing w:line="360" w:lineRule="auto"/>
        <w:ind w:firstLine="420" w:firstLineChars="200"/>
        <w:rPr>
          <w:color w:val="auto"/>
          <w:highlight w:val="none"/>
        </w:rPr>
      </w:pPr>
      <w:r>
        <w:rPr>
          <w:rFonts w:hint="eastAsia"/>
          <w:color w:val="auto"/>
          <w:highlight w:val="none"/>
        </w:rPr>
        <w:t>2.4.1磋商小组评委应首先对各供应商的响应文件进行评审，并按竞争性磋商文件规定标准和分值评分。</w:t>
      </w:r>
    </w:p>
    <w:p w14:paraId="00D0C955">
      <w:pPr>
        <w:spacing w:line="360" w:lineRule="auto"/>
        <w:ind w:firstLine="420" w:firstLineChars="200"/>
        <w:rPr>
          <w:color w:val="auto"/>
          <w:highlight w:val="none"/>
        </w:rPr>
      </w:pPr>
      <w:r>
        <w:rPr>
          <w:rFonts w:hint="eastAsia"/>
          <w:color w:val="auto"/>
          <w:highlight w:val="none"/>
        </w:rPr>
        <w:t>2.4.2</w:t>
      </w:r>
      <w:r>
        <w:rPr>
          <w:color w:val="auto"/>
          <w:highlight w:val="none"/>
        </w:rPr>
        <w:t>统计分数原则：</w:t>
      </w:r>
      <w:r>
        <w:rPr>
          <w:rFonts w:hint="eastAsia"/>
          <w:color w:val="auto"/>
          <w:highlight w:val="none"/>
        </w:rPr>
        <w:t>磋商小组</w:t>
      </w:r>
      <w:r>
        <w:rPr>
          <w:rFonts w:hint="eastAsia" w:ascii="宋体" w:hAnsi="宋体"/>
          <w:color w:val="auto"/>
          <w:highlight w:val="none"/>
        </w:rPr>
        <w:t>独立评分，</w:t>
      </w:r>
      <w:r>
        <w:rPr>
          <w:rFonts w:hint="eastAsia" w:ascii="宋体" w:hAnsi="宋体"/>
          <w:bCs/>
          <w:color w:val="auto"/>
          <w:highlight w:val="none"/>
        </w:rPr>
        <w:t>供应商各项评分因素得分为该项因素各评委评分的算术平均值</w:t>
      </w:r>
      <w:r>
        <w:rPr>
          <w:color w:val="auto"/>
          <w:highlight w:val="none"/>
        </w:rPr>
        <w:t>。</w:t>
      </w:r>
    </w:p>
    <w:p w14:paraId="762C5F24">
      <w:pPr>
        <w:spacing w:line="360" w:lineRule="auto"/>
        <w:ind w:firstLine="420" w:firstLineChars="200"/>
        <w:rPr>
          <w:color w:val="auto"/>
          <w:highlight w:val="none"/>
        </w:rPr>
      </w:pPr>
      <w:r>
        <w:rPr>
          <w:rFonts w:hint="eastAsia"/>
          <w:color w:val="auto"/>
          <w:highlight w:val="none"/>
        </w:rPr>
        <w:t>2.4.3算术错误修正</w:t>
      </w:r>
    </w:p>
    <w:p w14:paraId="290DD61E">
      <w:pPr>
        <w:spacing w:line="360" w:lineRule="auto"/>
        <w:ind w:firstLine="420" w:firstLineChars="200"/>
        <w:rPr>
          <w:color w:val="auto"/>
          <w:highlight w:val="none"/>
        </w:rPr>
      </w:pPr>
      <w:r>
        <w:rPr>
          <w:rFonts w:hint="eastAsia"/>
          <w:color w:val="auto"/>
          <w:highlight w:val="none"/>
        </w:rPr>
        <w:t>对明显的文字和计算错误按下述原则修正：</w:t>
      </w:r>
    </w:p>
    <w:p w14:paraId="2C20B7A7">
      <w:pPr>
        <w:spacing w:line="360" w:lineRule="auto"/>
        <w:ind w:firstLine="420" w:firstLineChars="200"/>
        <w:rPr>
          <w:color w:val="auto"/>
          <w:highlight w:val="none"/>
        </w:rPr>
      </w:pPr>
      <w:r>
        <w:rPr>
          <w:rFonts w:hint="eastAsia"/>
          <w:color w:val="auto"/>
          <w:highlight w:val="none"/>
        </w:rPr>
        <w:t>（1）当以数字表示的金额与文字表示的金额有差异时，以文字表示的金额为准。</w:t>
      </w:r>
    </w:p>
    <w:p w14:paraId="7A5620DD">
      <w:pPr>
        <w:spacing w:line="360" w:lineRule="auto"/>
        <w:ind w:firstLine="420" w:firstLineChars="200"/>
        <w:rPr>
          <w:color w:val="auto"/>
          <w:highlight w:val="none"/>
        </w:rPr>
      </w:pPr>
      <w:r>
        <w:rPr>
          <w:rFonts w:hint="eastAsia"/>
          <w:color w:val="auto"/>
          <w:highlight w:val="none"/>
        </w:rPr>
        <w:t>（2）当单价与数量相乘不等于合价时，以单价计算为准；如果单价有明显的小数点位置差错，应以标出的合价为准，同时对单价予以修正。</w:t>
      </w:r>
    </w:p>
    <w:p w14:paraId="0C42F4AA">
      <w:pPr>
        <w:spacing w:line="360" w:lineRule="auto"/>
        <w:ind w:firstLine="420" w:firstLineChars="200"/>
        <w:rPr>
          <w:color w:val="auto"/>
          <w:highlight w:val="none"/>
        </w:rPr>
      </w:pPr>
      <w:r>
        <w:rPr>
          <w:rFonts w:hint="eastAsia"/>
          <w:color w:val="auto"/>
          <w:highlight w:val="none"/>
        </w:rPr>
        <w:t>（3）当各细目的合价累计不等于总价时，应以各细目合价累计数为准，修正总价。</w:t>
      </w:r>
    </w:p>
    <w:p w14:paraId="1591C3C3">
      <w:pPr>
        <w:spacing w:line="360" w:lineRule="auto"/>
        <w:outlineLvl w:val="3"/>
        <w:rPr>
          <w:color w:val="auto"/>
          <w:highlight w:val="none"/>
        </w:rPr>
      </w:pPr>
      <w:bookmarkStart w:id="358" w:name="_Toc27659"/>
      <w:bookmarkStart w:id="359" w:name="_Toc13448"/>
      <w:bookmarkStart w:id="360" w:name="_Toc29168"/>
      <w:bookmarkStart w:id="361" w:name="_Toc29650"/>
      <w:r>
        <w:rPr>
          <w:rFonts w:hint="eastAsia"/>
          <w:b/>
          <w:bCs/>
          <w:color w:val="auto"/>
          <w:szCs w:val="22"/>
          <w:highlight w:val="none"/>
        </w:rPr>
        <w:t>2.5 提交磋商报告</w:t>
      </w:r>
      <w:bookmarkEnd w:id="358"/>
      <w:bookmarkEnd w:id="359"/>
      <w:bookmarkEnd w:id="360"/>
      <w:bookmarkEnd w:id="361"/>
    </w:p>
    <w:p w14:paraId="39B431FB">
      <w:pPr>
        <w:spacing w:line="360" w:lineRule="auto"/>
        <w:ind w:firstLine="420" w:firstLineChars="200"/>
        <w:rPr>
          <w:color w:val="auto"/>
          <w:highlight w:val="none"/>
        </w:rPr>
      </w:pPr>
      <w:r>
        <w:rPr>
          <w:rFonts w:hint="eastAsia"/>
          <w:color w:val="auto"/>
          <w:highlight w:val="none"/>
        </w:rPr>
        <w:t>磋商小组在评审结束后向采购人或采购代理机构提交磋商报告并进行签字确认。</w:t>
      </w:r>
    </w:p>
    <w:p w14:paraId="36798136">
      <w:pPr>
        <w:spacing w:line="360" w:lineRule="auto"/>
        <w:outlineLvl w:val="3"/>
        <w:rPr>
          <w:color w:val="auto"/>
          <w:highlight w:val="none"/>
        </w:rPr>
      </w:pPr>
      <w:bookmarkStart w:id="362" w:name="_Toc24177"/>
      <w:bookmarkStart w:id="363" w:name="_Toc9425"/>
      <w:bookmarkStart w:id="364" w:name="_Toc7039"/>
      <w:bookmarkStart w:id="365" w:name="_Toc17710"/>
      <w:r>
        <w:rPr>
          <w:rFonts w:hint="eastAsia"/>
          <w:b/>
          <w:bCs/>
          <w:color w:val="auto"/>
          <w:szCs w:val="22"/>
          <w:highlight w:val="none"/>
        </w:rPr>
        <w:t>2.6 磋商评审会议纪律</w:t>
      </w:r>
      <w:bookmarkEnd w:id="362"/>
      <w:bookmarkEnd w:id="363"/>
      <w:bookmarkEnd w:id="364"/>
      <w:bookmarkEnd w:id="365"/>
    </w:p>
    <w:p w14:paraId="1EE4F94F">
      <w:pPr>
        <w:spacing w:line="360" w:lineRule="auto"/>
        <w:ind w:firstLine="420" w:firstLineChars="200"/>
        <w:rPr>
          <w:color w:val="auto"/>
          <w:highlight w:val="none"/>
        </w:rPr>
      </w:pPr>
      <w:r>
        <w:rPr>
          <w:rFonts w:hint="eastAsia"/>
          <w:color w:val="auto"/>
          <w:highlight w:val="none"/>
        </w:rPr>
        <w:t>2.6.1磋商评审期间的一切资料，包括磋商意见、磋商记录、响应文件审查、澄清、评价和比较的资料，均不得外传和泄露；</w:t>
      </w:r>
    </w:p>
    <w:p w14:paraId="0BE4655B">
      <w:pPr>
        <w:spacing w:line="360" w:lineRule="auto"/>
        <w:ind w:firstLine="420" w:firstLineChars="200"/>
        <w:rPr>
          <w:color w:val="auto"/>
          <w:highlight w:val="none"/>
        </w:rPr>
      </w:pPr>
      <w:r>
        <w:rPr>
          <w:rFonts w:hint="eastAsia"/>
          <w:color w:val="auto"/>
          <w:highlight w:val="none"/>
        </w:rPr>
        <w:t>2.6.2所有资料（包括响应文件及各种文字记录）在磋商结束后均应分别整理、存档备查，任何人不得复制和保留；</w:t>
      </w:r>
    </w:p>
    <w:p w14:paraId="6AC9FC84">
      <w:pPr>
        <w:spacing w:line="360" w:lineRule="auto"/>
        <w:ind w:firstLine="420" w:firstLineChars="200"/>
        <w:rPr>
          <w:color w:val="auto"/>
          <w:highlight w:val="none"/>
        </w:rPr>
      </w:pPr>
      <w:r>
        <w:rPr>
          <w:rFonts w:hint="eastAsia"/>
          <w:color w:val="auto"/>
          <w:highlight w:val="none"/>
        </w:rPr>
        <w:t>2.6.3磋商评审结束后，与会人员不得向外界透露磋商小组的评审意见，如因此造成的后果由责任者承担；</w:t>
      </w:r>
    </w:p>
    <w:p w14:paraId="51B6E600">
      <w:pPr>
        <w:spacing w:line="360" w:lineRule="auto"/>
        <w:ind w:firstLine="420" w:firstLineChars="200"/>
        <w:rPr>
          <w:color w:val="auto"/>
          <w:highlight w:val="none"/>
        </w:rPr>
      </w:pPr>
      <w:r>
        <w:rPr>
          <w:rFonts w:hint="eastAsia"/>
          <w:color w:val="auto"/>
          <w:highlight w:val="none"/>
        </w:rPr>
        <w:t>2.6.4磋商评审期间，磋商人员不得外出，确需外出时应事先请假；</w:t>
      </w:r>
    </w:p>
    <w:p w14:paraId="012F68A1">
      <w:pPr>
        <w:spacing w:line="360" w:lineRule="auto"/>
        <w:ind w:firstLine="420" w:firstLineChars="200"/>
        <w:rPr>
          <w:color w:val="auto"/>
          <w:highlight w:val="none"/>
        </w:rPr>
      </w:pPr>
      <w:r>
        <w:rPr>
          <w:rFonts w:hint="eastAsia"/>
          <w:color w:val="auto"/>
          <w:highlight w:val="none"/>
        </w:rPr>
        <w:t>2.6.5磋商评审期间，所有与会人员均不得私自以任何方式和供应商进行联系，需询问、澄清的问题由磋商小组统一组织办理；</w:t>
      </w:r>
    </w:p>
    <w:p w14:paraId="2B98BDF1">
      <w:pPr>
        <w:spacing w:line="360" w:lineRule="auto"/>
        <w:ind w:firstLine="420" w:firstLineChars="200"/>
        <w:rPr>
          <w:color w:val="auto"/>
          <w:highlight w:val="none"/>
        </w:rPr>
      </w:pPr>
      <w:r>
        <w:rPr>
          <w:rFonts w:hint="eastAsia"/>
          <w:color w:val="auto"/>
          <w:highlight w:val="none"/>
        </w:rPr>
        <w:t>2.6.6磋商评审期间，未经允许，磋商小组以外的任何单位或部门不得参加磋商会议和采访磋商工作。</w:t>
      </w:r>
    </w:p>
    <w:p w14:paraId="7A85091D">
      <w:pPr>
        <w:spacing w:line="360" w:lineRule="auto"/>
        <w:outlineLvl w:val="3"/>
        <w:rPr>
          <w:color w:val="auto"/>
          <w:highlight w:val="none"/>
        </w:rPr>
      </w:pPr>
      <w:bookmarkStart w:id="366" w:name="_Toc8797"/>
      <w:bookmarkStart w:id="367" w:name="_Toc12656"/>
      <w:bookmarkStart w:id="368" w:name="_Toc21739"/>
      <w:bookmarkStart w:id="369" w:name="_Toc15675"/>
      <w:r>
        <w:rPr>
          <w:rFonts w:hint="eastAsia"/>
          <w:b/>
          <w:bCs/>
          <w:color w:val="auto"/>
          <w:highlight w:val="none"/>
        </w:rPr>
        <w:t>2.7 磋商内容</w:t>
      </w:r>
      <w:bookmarkEnd w:id="366"/>
      <w:bookmarkEnd w:id="367"/>
      <w:bookmarkEnd w:id="368"/>
      <w:bookmarkEnd w:id="369"/>
    </w:p>
    <w:p w14:paraId="7721EBA0">
      <w:pPr>
        <w:spacing w:line="360" w:lineRule="auto"/>
        <w:ind w:firstLine="420" w:firstLineChars="200"/>
        <w:rPr>
          <w:color w:val="auto"/>
          <w:highlight w:val="none"/>
        </w:rPr>
      </w:pPr>
      <w:r>
        <w:rPr>
          <w:rFonts w:hint="eastAsia"/>
          <w:color w:val="auto"/>
          <w:highlight w:val="none"/>
        </w:rPr>
        <w:t>服务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内容等。</w:t>
      </w:r>
    </w:p>
    <w:p w14:paraId="22C97F03">
      <w:pPr>
        <w:spacing w:line="360" w:lineRule="auto"/>
        <w:outlineLvl w:val="3"/>
        <w:rPr>
          <w:color w:val="auto"/>
          <w:highlight w:val="none"/>
        </w:rPr>
      </w:pPr>
      <w:bookmarkStart w:id="370" w:name="_Toc21210"/>
      <w:bookmarkStart w:id="371" w:name="_Toc22003"/>
      <w:bookmarkStart w:id="372" w:name="_Toc16204"/>
      <w:bookmarkStart w:id="373" w:name="_Toc9814"/>
      <w:r>
        <w:rPr>
          <w:rFonts w:hint="eastAsia"/>
          <w:b/>
          <w:bCs/>
          <w:color w:val="auto"/>
          <w:highlight w:val="none"/>
        </w:rPr>
        <w:t>2.8 推荐成交候选人</w:t>
      </w:r>
      <w:bookmarkEnd w:id="370"/>
      <w:bookmarkEnd w:id="371"/>
      <w:bookmarkEnd w:id="372"/>
      <w:bookmarkEnd w:id="373"/>
    </w:p>
    <w:p w14:paraId="34CB6E5C">
      <w:pPr>
        <w:spacing w:line="360" w:lineRule="auto"/>
        <w:ind w:firstLine="420" w:firstLineChars="200"/>
        <w:rPr>
          <w:color w:val="auto"/>
          <w:highlight w:val="none"/>
        </w:rPr>
      </w:pPr>
      <w:r>
        <w:rPr>
          <w:rFonts w:hint="eastAsia"/>
          <w:color w:val="auto"/>
          <w:highlight w:val="none"/>
        </w:rPr>
        <w:t>根据资格评审、符合性评审均能满足采购文件实质性要求经详细评审，且通过最后磋商报价</w:t>
      </w:r>
      <w:r>
        <w:rPr>
          <w:color w:val="auto"/>
          <w:highlight w:val="none"/>
        </w:rPr>
        <w:t>，</w:t>
      </w:r>
      <w:r>
        <w:rPr>
          <w:rFonts w:hint="eastAsia"/>
          <w:color w:val="auto"/>
          <w:highlight w:val="none"/>
        </w:rPr>
        <w:t>磋商小组将按照供应商的最后得分由高到低的顺序推荐第一至第三成交候选人。若出现得分并列时，按下列顺序进行推荐：</w:t>
      </w:r>
    </w:p>
    <w:p w14:paraId="57EA2795">
      <w:pPr>
        <w:pStyle w:val="19"/>
        <w:spacing w:line="360" w:lineRule="auto"/>
        <w:ind w:left="0" w:leftChars="0"/>
        <w:rPr>
          <w:color w:val="auto"/>
          <w:szCs w:val="22"/>
          <w:highlight w:val="none"/>
        </w:rPr>
      </w:pPr>
      <w:r>
        <w:rPr>
          <w:rFonts w:hint="eastAsia"/>
          <w:color w:val="auto"/>
          <w:szCs w:val="22"/>
          <w:highlight w:val="none"/>
        </w:rPr>
        <w:t xml:space="preserve">（1）若存在节能产品或环境标志产品参与磋商，相同品牌的按本章1.3处理，若不为同品牌的根据的《财政部 发展改革委 生态环境部 市场监管总局 关于调整优化节能产品、环境标志产品政府采购执行机制的通知》（财库〔2019〕9 号）和《市场监管总局关于发布参与实施政府采购节能产品、环境标志产品认证机构名录的公告规定》，优先采购节能产品或者环境标志产品。 </w:t>
      </w:r>
    </w:p>
    <w:p w14:paraId="6F7BD319">
      <w:pPr>
        <w:pStyle w:val="19"/>
        <w:spacing w:line="360" w:lineRule="auto"/>
        <w:ind w:left="0" w:leftChars="0"/>
        <w:rPr>
          <w:rFonts w:hint="eastAsia"/>
          <w:color w:val="auto"/>
          <w:szCs w:val="22"/>
          <w:highlight w:val="none"/>
          <w:lang w:eastAsia="zh-CN"/>
        </w:rPr>
      </w:pPr>
      <w:r>
        <w:rPr>
          <w:rFonts w:hint="eastAsia"/>
          <w:color w:val="auto"/>
          <w:szCs w:val="22"/>
          <w:highlight w:val="none"/>
        </w:rPr>
        <w:t>（2）若同时存在节能产品、环境标志产品，评标委员会按照节能和环境标志产品优先、节能产品优先、环境标志产品优先和其他有利于采购人利益的优先的顺序确定</w:t>
      </w:r>
      <w:r>
        <w:rPr>
          <w:rFonts w:hint="eastAsia"/>
          <w:color w:val="auto"/>
          <w:szCs w:val="22"/>
          <w:highlight w:val="none"/>
          <w:lang w:eastAsia="zh-CN"/>
        </w:rPr>
        <w:t>。</w:t>
      </w:r>
    </w:p>
    <w:p w14:paraId="03F05603">
      <w:pPr>
        <w:pStyle w:val="19"/>
        <w:spacing w:line="360" w:lineRule="auto"/>
        <w:ind w:left="0" w:leftChars="0"/>
        <w:rPr>
          <w:rFonts w:hint="eastAsia" w:eastAsia="宋体"/>
          <w:color w:val="auto"/>
          <w:szCs w:val="22"/>
          <w:highlight w:val="none"/>
          <w:lang w:val="en-US" w:eastAsia="zh-CN"/>
        </w:rPr>
      </w:pPr>
      <w:r>
        <w:rPr>
          <w:rFonts w:hint="eastAsia"/>
          <w:color w:val="auto"/>
          <w:szCs w:val="22"/>
          <w:highlight w:val="none"/>
          <w:lang w:eastAsia="zh-CN"/>
        </w:rPr>
        <w:t>（</w:t>
      </w:r>
      <w:r>
        <w:rPr>
          <w:rFonts w:hint="eastAsia"/>
          <w:color w:val="auto"/>
          <w:szCs w:val="22"/>
          <w:highlight w:val="none"/>
          <w:lang w:val="en-US" w:eastAsia="zh-CN"/>
        </w:rPr>
        <w:t>3</w:t>
      </w:r>
      <w:r>
        <w:rPr>
          <w:rFonts w:hint="eastAsia"/>
          <w:color w:val="auto"/>
          <w:szCs w:val="22"/>
          <w:highlight w:val="none"/>
          <w:lang w:eastAsia="zh-CN"/>
        </w:rPr>
        <w:t>）</w:t>
      </w:r>
      <w:r>
        <w:rPr>
          <w:rFonts w:hint="eastAsia"/>
          <w:color w:val="auto"/>
          <w:szCs w:val="22"/>
          <w:highlight w:val="none"/>
          <w:lang w:val="en-US" w:eastAsia="zh-CN"/>
        </w:rPr>
        <w:t>若为服务类项目，</w:t>
      </w:r>
      <w:r>
        <w:rPr>
          <w:rFonts w:hint="eastAsia"/>
          <w:color w:val="auto"/>
          <w:szCs w:val="21"/>
          <w:highlight w:val="none"/>
        </w:rPr>
        <w:t>评审得分相同的，按照最后报价由低到高的顺序推荐。评审得分且最后报价相同的，按照技术指标优劣顺序</w:t>
      </w:r>
      <w:r>
        <w:rPr>
          <w:rFonts w:hint="eastAsia"/>
          <w:color w:val="auto"/>
          <w:szCs w:val="22"/>
          <w:highlight w:val="none"/>
        </w:rPr>
        <w:t>和其他有利于采购人利益的优先的顺序</w:t>
      </w:r>
      <w:r>
        <w:rPr>
          <w:rFonts w:hint="eastAsia"/>
          <w:color w:val="auto"/>
          <w:szCs w:val="21"/>
          <w:highlight w:val="none"/>
          <w:lang w:val="en-US" w:eastAsia="zh-CN"/>
        </w:rPr>
        <w:t>确定。</w:t>
      </w:r>
    </w:p>
    <w:p w14:paraId="6CBCCA31">
      <w:pPr>
        <w:pStyle w:val="19"/>
        <w:spacing w:line="360" w:lineRule="auto"/>
        <w:ind w:left="0" w:leftChars="0"/>
        <w:rPr>
          <w:color w:val="auto"/>
          <w:szCs w:val="22"/>
          <w:highlight w:val="none"/>
        </w:rPr>
      </w:pPr>
      <w:r>
        <w:rPr>
          <w:rFonts w:hint="eastAsia"/>
          <w:color w:val="auto"/>
          <w:szCs w:val="22"/>
          <w:highlight w:val="none"/>
        </w:rPr>
        <w:t>（</w:t>
      </w:r>
      <w:r>
        <w:rPr>
          <w:rFonts w:hint="eastAsia"/>
          <w:color w:val="auto"/>
          <w:szCs w:val="22"/>
          <w:highlight w:val="none"/>
          <w:lang w:val="en-US" w:eastAsia="zh-CN"/>
        </w:rPr>
        <w:t>4</w:t>
      </w:r>
      <w:r>
        <w:rPr>
          <w:rFonts w:hint="eastAsia"/>
          <w:color w:val="auto"/>
          <w:szCs w:val="22"/>
          <w:highlight w:val="none"/>
        </w:rPr>
        <w:t>）评标委员会根据全体评标成员签字的原始评标记录和评标结果编写评标报告。</w:t>
      </w:r>
    </w:p>
    <w:p w14:paraId="66520FD6">
      <w:pPr>
        <w:pStyle w:val="19"/>
        <w:ind w:left="0" w:leftChars="0" w:firstLine="0" w:firstLineChars="0"/>
        <w:rPr>
          <w:color w:val="auto"/>
          <w:highlight w:val="none"/>
        </w:rPr>
      </w:pPr>
      <w:bookmarkStart w:id="374" w:name="_Toc19089"/>
      <w:bookmarkStart w:id="375" w:name="_Toc25945"/>
      <w:bookmarkStart w:id="376" w:name="_Toc2833"/>
      <w:bookmarkStart w:id="377" w:name="_Toc20845"/>
      <w:r>
        <w:rPr>
          <w:rFonts w:hint="eastAsia"/>
          <w:b/>
          <w:bCs/>
          <w:color w:val="auto"/>
          <w:highlight w:val="none"/>
        </w:rPr>
        <w:t>2.9 磋商终止</w:t>
      </w:r>
      <w:bookmarkEnd w:id="374"/>
      <w:bookmarkEnd w:id="375"/>
      <w:bookmarkEnd w:id="376"/>
      <w:bookmarkEnd w:id="377"/>
    </w:p>
    <w:p w14:paraId="63DEE305">
      <w:pPr>
        <w:spacing w:line="360" w:lineRule="auto"/>
        <w:ind w:firstLine="420" w:firstLineChars="200"/>
        <w:rPr>
          <w:color w:val="auto"/>
          <w:highlight w:val="none"/>
        </w:rPr>
      </w:pPr>
      <w:r>
        <w:rPr>
          <w:rFonts w:hint="eastAsia"/>
          <w:color w:val="auto"/>
          <w:highlight w:val="none"/>
        </w:rPr>
        <w:t>出现下列情形之一的，采购人或者采购代理机构应当终止竞争性磋商采购活动，发布项目终止公告并说明原因，重新开展采购活动：</w:t>
      </w:r>
    </w:p>
    <w:p w14:paraId="7DDAD8A6">
      <w:pPr>
        <w:spacing w:line="360" w:lineRule="auto"/>
        <w:ind w:firstLine="420" w:firstLineChars="200"/>
        <w:rPr>
          <w:color w:val="auto"/>
          <w:highlight w:val="none"/>
        </w:rPr>
      </w:pPr>
      <w:r>
        <w:rPr>
          <w:rFonts w:hint="eastAsia"/>
          <w:color w:val="auto"/>
          <w:highlight w:val="none"/>
        </w:rPr>
        <w:t>（1）因情况变化，不再符合规定的竞争性磋商采购方式适用的情形的；</w:t>
      </w:r>
    </w:p>
    <w:p w14:paraId="4BBEB8E8">
      <w:pPr>
        <w:spacing w:line="360" w:lineRule="auto"/>
        <w:ind w:firstLine="420" w:firstLineChars="200"/>
        <w:rPr>
          <w:color w:val="auto"/>
          <w:highlight w:val="none"/>
        </w:rPr>
      </w:pPr>
      <w:r>
        <w:rPr>
          <w:rFonts w:hint="eastAsia"/>
          <w:color w:val="auto"/>
          <w:highlight w:val="none"/>
        </w:rPr>
        <w:t>（2）出现影响采购公正的违法、违规行为的；</w:t>
      </w:r>
    </w:p>
    <w:p w14:paraId="1CB5E9AD">
      <w:pPr>
        <w:spacing w:line="360" w:lineRule="auto"/>
        <w:ind w:firstLine="420" w:firstLineChars="200"/>
        <w:rPr>
          <w:color w:val="auto"/>
          <w:highlight w:val="none"/>
        </w:rPr>
      </w:pPr>
      <w:r>
        <w:rPr>
          <w:rFonts w:hint="eastAsia"/>
          <w:color w:val="auto"/>
          <w:highlight w:val="none"/>
        </w:rPr>
        <w:t>（3）在采购过程中符合竞争要求的供应商或者报价未超过采购预算的供应商不足3家的，但经磋商小组认定具备竞争性的情形除外。</w:t>
      </w:r>
    </w:p>
    <w:p w14:paraId="462FD28E">
      <w:pPr>
        <w:pStyle w:val="19"/>
        <w:rPr>
          <w:color w:val="auto"/>
          <w:highlight w:val="none"/>
        </w:rPr>
      </w:pPr>
    </w:p>
    <w:p w14:paraId="1CD546C1">
      <w:pPr>
        <w:pStyle w:val="4"/>
        <w:rPr>
          <w:rFonts w:ascii="新宋体" w:hAnsi="新宋体" w:eastAsia="新宋体"/>
          <w:color w:val="auto"/>
          <w:sz w:val="21"/>
          <w:szCs w:val="21"/>
          <w:highlight w:val="none"/>
        </w:rPr>
      </w:pPr>
      <w:bookmarkStart w:id="378" w:name="_Toc9202"/>
      <w:bookmarkStart w:id="379" w:name="_Toc10154"/>
      <w:bookmarkStart w:id="380" w:name="_Toc21064"/>
      <w:bookmarkStart w:id="381" w:name="_Toc7368"/>
      <w:bookmarkStart w:id="382" w:name="_Toc1350"/>
      <w:r>
        <w:rPr>
          <w:rFonts w:hint="eastAsia" w:ascii="新宋体" w:hAnsi="新宋体" w:eastAsia="新宋体"/>
          <w:color w:val="auto"/>
          <w:kern w:val="0"/>
          <w:szCs w:val="22"/>
          <w:highlight w:val="none"/>
        </w:rPr>
        <w:t>3.重新招标或不再招标</w:t>
      </w:r>
      <w:bookmarkEnd w:id="378"/>
      <w:bookmarkEnd w:id="379"/>
      <w:bookmarkEnd w:id="380"/>
      <w:bookmarkEnd w:id="381"/>
      <w:bookmarkEnd w:id="382"/>
    </w:p>
    <w:p w14:paraId="01FBB375">
      <w:pPr>
        <w:spacing w:line="360" w:lineRule="auto"/>
        <w:outlineLvl w:val="3"/>
        <w:rPr>
          <w:rFonts w:ascii="新宋体" w:hAnsi="新宋体" w:eastAsia="新宋体"/>
          <w:color w:val="auto"/>
          <w:highlight w:val="none"/>
        </w:rPr>
      </w:pPr>
      <w:bookmarkStart w:id="383" w:name="_Toc1633"/>
      <w:bookmarkStart w:id="384" w:name="_Toc30041"/>
      <w:bookmarkStart w:id="385" w:name="_Toc15811"/>
      <w:bookmarkStart w:id="386" w:name="_Toc3690"/>
      <w:r>
        <w:rPr>
          <w:rFonts w:hint="eastAsia" w:ascii="新宋体" w:hAnsi="新宋体" w:eastAsia="新宋体"/>
          <w:b/>
          <w:bCs/>
          <w:color w:val="auto"/>
          <w:highlight w:val="none"/>
        </w:rPr>
        <w:t>3.1 重新招标</w:t>
      </w:r>
      <w:bookmarkEnd w:id="383"/>
      <w:bookmarkEnd w:id="384"/>
      <w:bookmarkEnd w:id="385"/>
      <w:bookmarkEnd w:id="386"/>
    </w:p>
    <w:p w14:paraId="397F30A7">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有下列情形之一的，采购人将重新招标：</w:t>
      </w:r>
    </w:p>
    <w:p w14:paraId="10BA427F">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（1）递交响应文件截止时间止，供应商少于3个的；</w:t>
      </w:r>
    </w:p>
    <w:p w14:paraId="54A671F5">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（2）经磋商小组评审后否决所有供应商的；</w:t>
      </w:r>
    </w:p>
    <w:p w14:paraId="086C8B8A">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（3）磋商小组否决不合格响应文件或者界定为无效响应文件后因有效供应商不足3个使得磋商明显缺乏竞争，磋商小组决定否决全部供应商的；</w:t>
      </w:r>
    </w:p>
    <w:p w14:paraId="2234FC39">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（4）同意延长磋商有效期的供应商少于3个的。</w:t>
      </w:r>
    </w:p>
    <w:p w14:paraId="6F6C1069">
      <w:pPr>
        <w:spacing w:line="360" w:lineRule="auto"/>
        <w:outlineLvl w:val="3"/>
        <w:rPr>
          <w:rFonts w:ascii="新宋体" w:hAnsi="新宋体" w:eastAsia="新宋体"/>
          <w:color w:val="auto"/>
          <w:highlight w:val="none"/>
        </w:rPr>
      </w:pPr>
      <w:bookmarkStart w:id="387" w:name="_Toc30955"/>
      <w:bookmarkStart w:id="388" w:name="_Toc19264"/>
      <w:bookmarkStart w:id="389" w:name="_Toc13560"/>
      <w:bookmarkStart w:id="390" w:name="_Toc21644"/>
      <w:r>
        <w:rPr>
          <w:rFonts w:hint="eastAsia" w:ascii="新宋体" w:hAnsi="新宋体" w:eastAsia="新宋体"/>
          <w:b/>
          <w:bCs/>
          <w:color w:val="auto"/>
          <w:highlight w:val="none"/>
        </w:rPr>
        <w:t>3.2 不再招标</w:t>
      </w:r>
      <w:bookmarkEnd w:id="387"/>
      <w:bookmarkEnd w:id="388"/>
      <w:bookmarkEnd w:id="389"/>
      <w:bookmarkEnd w:id="390"/>
    </w:p>
    <w:p w14:paraId="60BB0D13">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重新招标后，仍出现上述第1条规定情形之一的，采购人可自行决定不再进行招标。</w:t>
      </w:r>
    </w:p>
    <w:p w14:paraId="07BC4834">
      <w:pPr>
        <w:pStyle w:val="19"/>
        <w:rPr>
          <w:color w:val="auto"/>
          <w:highlight w:val="none"/>
        </w:rPr>
      </w:pPr>
    </w:p>
    <w:p w14:paraId="34A1B244">
      <w:pPr>
        <w:pStyle w:val="4"/>
        <w:jc w:val="center"/>
        <w:rPr>
          <w:rFonts w:ascii="新宋体" w:hAnsi="新宋体" w:eastAsia="新宋体"/>
          <w:color w:val="auto"/>
          <w:highlight w:val="none"/>
        </w:rPr>
      </w:pPr>
      <w:bookmarkStart w:id="391" w:name="_Toc11326362"/>
      <w:bookmarkStart w:id="392" w:name="_Toc21134"/>
      <w:bookmarkStart w:id="393" w:name="_Toc22284"/>
      <w:bookmarkStart w:id="394" w:name="_Toc22049"/>
      <w:bookmarkStart w:id="395" w:name="_Toc17161"/>
      <w:bookmarkStart w:id="396" w:name="_Toc21402"/>
      <w:r>
        <w:rPr>
          <w:rFonts w:hint="eastAsia" w:ascii="新宋体" w:hAnsi="新宋体" w:eastAsia="新宋体"/>
          <w:color w:val="auto"/>
          <w:highlight w:val="none"/>
        </w:rPr>
        <w:t>4.回  避</w:t>
      </w:r>
      <w:bookmarkEnd w:id="391"/>
      <w:bookmarkEnd w:id="392"/>
      <w:bookmarkEnd w:id="393"/>
      <w:bookmarkEnd w:id="394"/>
      <w:bookmarkEnd w:id="395"/>
      <w:bookmarkEnd w:id="396"/>
    </w:p>
    <w:p w14:paraId="3206B5EF">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在采购活动中，采购人员及相关人员与供应商有下列利害关系之一的，应当回避：</w:t>
      </w:r>
    </w:p>
    <w:p w14:paraId="014892A5">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（一）参加采购活动前3年内与供应商存在劳动关系；</w:t>
      </w:r>
    </w:p>
    <w:p w14:paraId="12FD7D38">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（二）参加采购活动前3年内担任供应商的董事、监事；</w:t>
      </w:r>
    </w:p>
    <w:p w14:paraId="59E9C242">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（三）参加采购活动前3年内是供应商的控股股东或者实际控制人；</w:t>
      </w:r>
    </w:p>
    <w:p w14:paraId="76032E7A">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（四）与供应商的法定代表人或者负责人有夫妻、直系血亲、三代以内旁系血亲或者近姻亲关系；</w:t>
      </w:r>
    </w:p>
    <w:p w14:paraId="36304852">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（五）与供应商有其他可能影响采购活动公平、公正进行的关系。</w:t>
      </w:r>
    </w:p>
    <w:p w14:paraId="0DBC8243">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D32B2E5">
      <w:pPr>
        <w:pStyle w:val="7"/>
        <w:rPr>
          <w:rFonts w:ascii="新宋体" w:hAnsi="新宋体" w:eastAsia="新宋体"/>
          <w:color w:val="auto"/>
          <w:szCs w:val="21"/>
          <w:highlight w:val="none"/>
        </w:rPr>
      </w:pPr>
    </w:p>
    <w:p w14:paraId="37EBEA51">
      <w:pPr>
        <w:pStyle w:val="7"/>
        <w:rPr>
          <w:rFonts w:ascii="新宋体" w:hAnsi="新宋体" w:eastAsia="新宋体"/>
          <w:color w:val="auto"/>
          <w:szCs w:val="21"/>
          <w:highlight w:val="none"/>
        </w:rPr>
      </w:pPr>
    </w:p>
    <w:p w14:paraId="47B2EE1D">
      <w:pPr>
        <w:rPr>
          <w:rFonts w:ascii="新宋体" w:hAnsi="新宋体" w:eastAsia="新宋体"/>
          <w:color w:val="auto"/>
          <w:highlight w:val="none"/>
        </w:rPr>
      </w:pPr>
      <w:r>
        <w:rPr>
          <w:rFonts w:hint="eastAsia" w:ascii="新宋体" w:hAnsi="新宋体" w:eastAsia="新宋体" w:cs="Arial"/>
          <w:b/>
          <w:bCs/>
          <w:color w:val="auto"/>
          <w:sz w:val="32"/>
          <w:szCs w:val="32"/>
          <w:highlight w:val="none"/>
        </w:rPr>
        <w:br w:type="page"/>
      </w:r>
    </w:p>
    <w:p w14:paraId="5D7929EB">
      <w:pPr>
        <w:jc w:val="center"/>
        <w:outlineLvl w:val="0"/>
        <w:rPr>
          <w:rFonts w:ascii="黑体" w:hAnsi="黑体" w:eastAsia="黑体" w:cs="黑体"/>
          <w:b/>
          <w:bCs/>
          <w:color w:val="auto"/>
          <w:kern w:val="44"/>
          <w:sz w:val="36"/>
          <w:szCs w:val="36"/>
          <w:highlight w:val="none"/>
        </w:rPr>
      </w:pPr>
      <w:bookmarkStart w:id="397" w:name="_Toc10519"/>
      <w:bookmarkStart w:id="398" w:name="_Toc9254"/>
      <w:bookmarkStart w:id="399" w:name="_Toc6313"/>
      <w:bookmarkStart w:id="400" w:name="_Toc29920"/>
      <w:bookmarkStart w:id="401" w:name="_Toc12924"/>
      <w:r>
        <w:rPr>
          <w:rFonts w:hint="eastAsia" w:ascii="黑体" w:hAnsi="黑体" w:eastAsia="黑体" w:cs="黑体"/>
          <w:b/>
          <w:bCs/>
          <w:color w:val="auto"/>
          <w:kern w:val="44"/>
          <w:sz w:val="36"/>
          <w:szCs w:val="36"/>
          <w:highlight w:val="none"/>
        </w:rPr>
        <w:t xml:space="preserve">第四章 </w:t>
      </w:r>
      <w:bookmarkEnd w:id="397"/>
      <w:r>
        <w:rPr>
          <w:rFonts w:hint="eastAsia" w:ascii="黑体" w:hAnsi="黑体" w:eastAsia="黑体" w:cs="黑体"/>
          <w:b/>
          <w:bCs/>
          <w:color w:val="auto"/>
          <w:kern w:val="44"/>
          <w:sz w:val="36"/>
          <w:szCs w:val="36"/>
          <w:highlight w:val="none"/>
        </w:rPr>
        <w:t>采购需求</w:t>
      </w:r>
      <w:bookmarkEnd w:id="398"/>
    </w:p>
    <w:p w14:paraId="6BBA8DD4">
      <w:pPr>
        <w:spacing w:line="360" w:lineRule="auto"/>
        <w:ind w:firstLine="422" w:firstLineChars="200"/>
        <w:rPr>
          <w:rFonts w:hint="eastAsia" w:ascii="新宋体" w:hAnsi="新宋体" w:eastAsia="新宋体" w:cs="Times New Roman"/>
          <w:color w:val="auto"/>
          <w:highlight w:val="none"/>
        </w:rPr>
      </w:pPr>
      <w:r>
        <w:rPr>
          <w:rFonts w:hint="eastAsia" w:ascii="新宋体" w:hAnsi="新宋体" w:eastAsia="新宋体" w:cs="Times New Roman"/>
          <w:b/>
          <w:bCs/>
          <w:color w:val="auto"/>
          <w:highlight w:val="none"/>
          <w:lang w:val="en-US" w:eastAsia="zh-CN"/>
        </w:rPr>
        <w:t>（一）采购标的需实现的功能或者目标，以及为落实政府采购政策需满足的要求；</w:t>
      </w:r>
    </w:p>
    <w:p w14:paraId="54F25DBE">
      <w:pPr>
        <w:spacing w:line="360" w:lineRule="auto"/>
        <w:ind w:firstLine="420" w:firstLineChars="200"/>
        <w:rPr>
          <w:rFonts w:hint="default"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项目名称：昆明市盘龙区滇源中心学校采购2026年保安服务。</w:t>
      </w:r>
    </w:p>
    <w:p w14:paraId="3C36D84B">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基本情况：昆明市盘龙区滇源中心学校下辖4所分校及2所幼儿园，加上滇源中心学校共有9个校点，按照分校办学规模配备一定数量的保安，分别为，白邑小学5名，苏海小学2名，团结幼儿园2名，滇源二小5名，南营小学</w:t>
      </w:r>
      <w:r>
        <w:rPr>
          <w:rFonts w:hint="default" w:ascii="新宋体" w:hAnsi="新宋体" w:eastAsia="新宋体" w:cs="Times New Roman"/>
          <w:color w:val="auto"/>
          <w:highlight w:val="none"/>
          <w:lang w:val="en-US" w:eastAsia="zh-CN"/>
        </w:rPr>
        <w:t>2</w:t>
      </w:r>
      <w:r>
        <w:rPr>
          <w:rFonts w:hint="eastAsia" w:ascii="新宋体" w:hAnsi="新宋体" w:eastAsia="新宋体" w:cs="Times New Roman"/>
          <w:color w:val="auto"/>
          <w:highlight w:val="none"/>
          <w:lang w:val="en-US" w:eastAsia="zh-CN"/>
        </w:rPr>
        <w:t>名，清远小学3名，三转弯小学1名，大哨小学3名，大哨幼儿园2名，一共25名保安。</w:t>
      </w:r>
    </w:p>
    <w:p w14:paraId="7669BEE4">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本项目专门面向中小企业采购（监狱企业、残疾人企业视同中小企业）</w:t>
      </w:r>
      <w:r>
        <w:rPr>
          <w:rFonts w:hint="eastAsia" w:ascii="新宋体" w:hAnsi="新宋体" w:eastAsia="新宋体" w:cs="Times New Roman"/>
          <w:color w:val="auto"/>
          <w:highlight w:val="none"/>
          <w:lang w:eastAsia="zh-CN"/>
        </w:rPr>
        <w:t>。</w:t>
      </w:r>
    </w:p>
    <w:p w14:paraId="2D18F517">
      <w:pPr>
        <w:spacing w:line="360" w:lineRule="auto"/>
        <w:ind w:firstLine="422" w:firstLineChars="200"/>
        <w:rPr>
          <w:rFonts w:hint="eastAsia" w:ascii="新宋体" w:hAnsi="新宋体" w:eastAsia="新宋体" w:cs="Times New Roman"/>
          <w:color w:val="auto"/>
          <w:highlight w:val="none"/>
        </w:rPr>
      </w:pPr>
      <w:r>
        <w:rPr>
          <w:rFonts w:hint="eastAsia" w:ascii="新宋体" w:hAnsi="新宋体" w:eastAsia="新宋体" w:cs="Times New Roman"/>
          <w:b/>
          <w:bCs/>
          <w:color w:val="auto"/>
          <w:highlight w:val="none"/>
          <w:lang w:val="en-US" w:eastAsia="zh-CN"/>
        </w:rPr>
        <w:t>（二）采购标的需执行的国家相关标准、行业标准、地方标准或者其他标准、规范；</w:t>
      </w:r>
    </w:p>
    <w:p w14:paraId="1C410B95">
      <w:pPr>
        <w:spacing w:line="360" w:lineRule="auto"/>
        <w:ind w:firstLine="420" w:firstLineChars="200"/>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lang w:val="en-US" w:eastAsia="zh-CN"/>
        </w:rPr>
        <w:t>符合中华人民共和国国务院令第</w:t>
      </w:r>
      <w:r>
        <w:rPr>
          <w:rFonts w:hint="default" w:ascii="新宋体" w:hAnsi="新宋体" w:eastAsia="新宋体" w:cs="Times New Roman"/>
          <w:color w:val="auto"/>
          <w:highlight w:val="none"/>
          <w:lang w:val="en-US" w:eastAsia="zh-CN"/>
        </w:rPr>
        <w:t>564</w:t>
      </w:r>
      <w:r>
        <w:rPr>
          <w:rFonts w:hint="eastAsia" w:ascii="新宋体" w:hAnsi="新宋体" w:eastAsia="新宋体" w:cs="Times New Roman"/>
          <w:color w:val="auto"/>
          <w:highlight w:val="none"/>
          <w:lang w:val="en-US" w:eastAsia="zh-CN"/>
        </w:rPr>
        <w:t>号《保安服务管理条例》及《云南省保安服务管理条例（</w:t>
      </w:r>
      <w:r>
        <w:rPr>
          <w:rFonts w:hint="default" w:ascii="新宋体" w:hAnsi="新宋体" w:eastAsia="新宋体" w:cs="Times New Roman"/>
          <w:color w:val="auto"/>
          <w:highlight w:val="none"/>
          <w:lang w:val="en-US" w:eastAsia="zh-CN"/>
        </w:rPr>
        <w:t>2014</w:t>
      </w:r>
      <w:r>
        <w:rPr>
          <w:rFonts w:hint="eastAsia" w:ascii="新宋体" w:hAnsi="新宋体" w:eastAsia="新宋体" w:cs="Times New Roman"/>
          <w:color w:val="auto"/>
          <w:highlight w:val="none"/>
          <w:lang w:val="en-US" w:eastAsia="zh-CN"/>
        </w:rPr>
        <w:t>修正）》的相关要求。</w:t>
      </w:r>
    </w:p>
    <w:p w14:paraId="6B1683B8">
      <w:pPr>
        <w:spacing w:line="360" w:lineRule="auto"/>
        <w:ind w:firstLine="422" w:firstLineChars="200"/>
        <w:rPr>
          <w:rFonts w:hint="eastAsia" w:ascii="新宋体" w:hAnsi="新宋体" w:eastAsia="新宋体" w:cs="Times New Roman"/>
          <w:color w:val="auto"/>
          <w:highlight w:val="none"/>
        </w:rPr>
      </w:pPr>
      <w:r>
        <w:rPr>
          <w:rFonts w:hint="eastAsia" w:ascii="新宋体" w:hAnsi="新宋体" w:eastAsia="新宋体" w:cs="Times New Roman"/>
          <w:b/>
          <w:bCs/>
          <w:color w:val="auto"/>
          <w:highlight w:val="none"/>
          <w:lang w:val="en-US" w:eastAsia="zh-CN"/>
        </w:rPr>
        <w:t>（三）采购标的需满足的质量、安全、技术规格、物理特性等要求；</w:t>
      </w:r>
    </w:p>
    <w:p w14:paraId="2D961A5C">
      <w:pPr>
        <w:spacing w:line="360" w:lineRule="auto"/>
        <w:ind w:firstLine="420" w:firstLineChars="200"/>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lang w:val="en-US" w:eastAsia="zh-CN"/>
        </w:rPr>
        <w:t>符合中华人民共和国国务院令第</w:t>
      </w:r>
      <w:r>
        <w:rPr>
          <w:rFonts w:hint="default" w:ascii="新宋体" w:hAnsi="新宋体" w:eastAsia="新宋体" w:cs="Times New Roman"/>
          <w:color w:val="auto"/>
          <w:highlight w:val="none"/>
          <w:lang w:val="en-US" w:eastAsia="zh-CN"/>
        </w:rPr>
        <w:t>564</w:t>
      </w:r>
      <w:r>
        <w:rPr>
          <w:rFonts w:hint="eastAsia" w:ascii="新宋体" w:hAnsi="新宋体" w:eastAsia="新宋体" w:cs="Times New Roman"/>
          <w:color w:val="auto"/>
          <w:highlight w:val="none"/>
          <w:lang w:val="en-US" w:eastAsia="zh-CN"/>
        </w:rPr>
        <w:t>号《保安服务管理条例》及《云南省保安服务管理条例（</w:t>
      </w:r>
      <w:r>
        <w:rPr>
          <w:rFonts w:hint="default" w:ascii="新宋体" w:hAnsi="新宋体" w:eastAsia="新宋体" w:cs="Times New Roman"/>
          <w:color w:val="auto"/>
          <w:highlight w:val="none"/>
          <w:lang w:val="en-US" w:eastAsia="zh-CN"/>
        </w:rPr>
        <w:t>2014</w:t>
      </w:r>
      <w:r>
        <w:rPr>
          <w:rFonts w:hint="eastAsia" w:ascii="新宋体" w:hAnsi="新宋体" w:eastAsia="新宋体" w:cs="Times New Roman"/>
          <w:color w:val="auto"/>
          <w:highlight w:val="none"/>
          <w:lang w:val="en-US" w:eastAsia="zh-CN"/>
        </w:rPr>
        <w:t>修正）》的相关要求。</w:t>
      </w:r>
    </w:p>
    <w:p w14:paraId="79B44626">
      <w:pPr>
        <w:spacing w:line="360" w:lineRule="auto"/>
        <w:ind w:firstLine="422" w:firstLineChars="200"/>
        <w:rPr>
          <w:rFonts w:hint="eastAsia" w:ascii="新宋体" w:hAnsi="新宋体" w:eastAsia="新宋体" w:cs="Times New Roman"/>
          <w:color w:val="auto"/>
          <w:highlight w:val="none"/>
        </w:rPr>
      </w:pPr>
      <w:r>
        <w:rPr>
          <w:rFonts w:hint="eastAsia" w:ascii="新宋体" w:hAnsi="新宋体" w:eastAsia="新宋体" w:cs="Times New Roman"/>
          <w:b/>
          <w:bCs/>
          <w:color w:val="auto"/>
          <w:highlight w:val="none"/>
          <w:lang w:val="en-US" w:eastAsia="zh-CN"/>
        </w:rPr>
        <w:t>（四）采购标的的数量、采购项目交付或者实施的时间和地点；</w:t>
      </w:r>
    </w:p>
    <w:p w14:paraId="749DC8FD">
      <w:pPr>
        <w:spacing w:line="360" w:lineRule="auto"/>
        <w:ind w:firstLine="420" w:firstLineChars="200"/>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lang w:val="en-US" w:eastAsia="zh-CN"/>
        </w:rPr>
        <w:t>采购总人数为：25名保安，最高限价：3541元</w:t>
      </w:r>
      <w:r>
        <w:rPr>
          <w:rFonts w:hint="default" w:ascii="新宋体" w:hAnsi="新宋体" w:eastAsia="新宋体" w:cs="Times New Roman"/>
          <w:color w:val="auto"/>
          <w:highlight w:val="none"/>
          <w:lang w:val="en-US" w:eastAsia="zh-CN"/>
        </w:rPr>
        <w:t>/</w:t>
      </w:r>
      <w:r>
        <w:rPr>
          <w:rFonts w:hint="eastAsia" w:ascii="新宋体" w:hAnsi="新宋体" w:eastAsia="新宋体" w:cs="Times New Roman"/>
          <w:color w:val="auto"/>
          <w:highlight w:val="none"/>
          <w:lang w:val="en-US" w:eastAsia="zh-CN"/>
        </w:rPr>
        <w:t>月</w:t>
      </w:r>
      <w:r>
        <w:rPr>
          <w:rFonts w:hint="default" w:ascii="新宋体" w:hAnsi="新宋体" w:eastAsia="新宋体" w:cs="Times New Roman"/>
          <w:color w:val="auto"/>
          <w:highlight w:val="none"/>
          <w:lang w:val="en-US" w:eastAsia="zh-CN"/>
        </w:rPr>
        <w:t>/</w:t>
      </w:r>
      <w:r>
        <w:rPr>
          <w:rFonts w:hint="eastAsia" w:ascii="新宋体" w:hAnsi="新宋体" w:eastAsia="新宋体" w:cs="Times New Roman"/>
          <w:color w:val="auto"/>
          <w:highlight w:val="none"/>
          <w:lang w:val="en-US" w:eastAsia="zh-CN"/>
        </w:rPr>
        <w:t>人，服务周期：一年，服务期限内合同价款不作调整（中标人发生违约行为除外）。服务地点分别为白邑小学5名，苏海小学2名，团结幼儿园2名，滇源二小5名，南营小学</w:t>
      </w:r>
      <w:r>
        <w:rPr>
          <w:rFonts w:hint="default" w:ascii="新宋体" w:hAnsi="新宋体" w:eastAsia="新宋体" w:cs="Times New Roman"/>
          <w:color w:val="auto"/>
          <w:highlight w:val="none"/>
          <w:lang w:val="en-US" w:eastAsia="zh-CN"/>
        </w:rPr>
        <w:t>2</w:t>
      </w:r>
      <w:r>
        <w:rPr>
          <w:rFonts w:hint="eastAsia" w:ascii="新宋体" w:hAnsi="新宋体" w:eastAsia="新宋体" w:cs="Times New Roman"/>
          <w:color w:val="auto"/>
          <w:highlight w:val="none"/>
          <w:lang w:val="en-US" w:eastAsia="zh-CN"/>
        </w:rPr>
        <w:t>名，清远小学3名，三转弯小学1名，大哨小学3名，大哨幼儿园2名，一共25名保安。</w:t>
      </w:r>
    </w:p>
    <w:p w14:paraId="797435FF">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（五）采购标的需满足的服务标准、期限、效率等要求；</w:t>
      </w:r>
    </w:p>
    <w:p w14:paraId="45E91A59">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服务标准：符合中华人民共和国国务院令第564号《保安服务管理条例》及《云南省保安服务管理条例（2014修正）》的相关要求及采购人要求；</w:t>
      </w:r>
    </w:p>
    <w:p w14:paraId="7389B853">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服务期限：一年。服务期限内合同价款不作调整（中标人发生违约行为除外）。</w:t>
      </w:r>
    </w:p>
    <w:p w14:paraId="37958DB5">
      <w:pPr>
        <w:spacing w:line="360" w:lineRule="auto"/>
        <w:ind w:firstLine="422" w:firstLineChars="200"/>
        <w:rPr>
          <w:rFonts w:hint="eastAsia" w:ascii="新宋体" w:hAnsi="新宋体" w:eastAsia="新宋体" w:cs="Times New Roman"/>
          <w:color w:val="auto"/>
          <w:highlight w:val="none"/>
        </w:rPr>
      </w:pPr>
      <w:r>
        <w:rPr>
          <w:rFonts w:hint="eastAsia" w:ascii="新宋体" w:hAnsi="新宋体" w:eastAsia="新宋体" w:cs="Times New Roman"/>
          <w:b/>
          <w:bCs/>
          <w:color w:val="auto"/>
          <w:highlight w:val="none"/>
          <w:lang w:val="en-US" w:eastAsia="zh-CN"/>
        </w:rPr>
        <w:t>（六）采购标的的验收标准；</w:t>
      </w:r>
    </w:p>
    <w:p w14:paraId="29060825">
      <w:pPr>
        <w:spacing w:line="360" w:lineRule="auto"/>
        <w:ind w:firstLine="420" w:firstLineChars="200"/>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lang w:val="en-US" w:eastAsia="zh-CN"/>
        </w:rPr>
        <w:t>符合中华人民共和国国务院令第</w:t>
      </w:r>
      <w:r>
        <w:rPr>
          <w:rFonts w:hint="default" w:ascii="新宋体" w:hAnsi="新宋体" w:eastAsia="新宋体" w:cs="Times New Roman"/>
          <w:color w:val="auto"/>
          <w:highlight w:val="none"/>
          <w:lang w:val="en-US" w:eastAsia="zh-CN"/>
        </w:rPr>
        <w:t>564</w:t>
      </w:r>
      <w:r>
        <w:rPr>
          <w:rFonts w:hint="eastAsia" w:ascii="新宋体" w:hAnsi="新宋体" w:eastAsia="新宋体" w:cs="Times New Roman"/>
          <w:color w:val="auto"/>
          <w:highlight w:val="none"/>
          <w:lang w:val="en-US" w:eastAsia="zh-CN"/>
        </w:rPr>
        <w:t>号《保安服务管理条例》及《云南省保安服务管理条例（</w:t>
      </w:r>
      <w:r>
        <w:rPr>
          <w:rFonts w:hint="default" w:ascii="新宋体" w:hAnsi="新宋体" w:eastAsia="新宋体" w:cs="Times New Roman"/>
          <w:color w:val="auto"/>
          <w:highlight w:val="none"/>
          <w:lang w:val="en-US" w:eastAsia="zh-CN"/>
        </w:rPr>
        <w:t>2014</w:t>
      </w:r>
      <w:r>
        <w:rPr>
          <w:rFonts w:hint="eastAsia" w:ascii="新宋体" w:hAnsi="新宋体" w:eastAsia="新宋体" w:cs="Times New Roman"/>
          <w:color w:val="auto"/>
          <w:highlight w:val="none"/>
          <w:lang w:val="en-US" w:eastAsia="zh-CN"/>
        </w:rPr>
        <w:t>修正）》的相关要求及通过主管部门检查巡视验收。</w:t>
      </w:r>
    </w:p>
    <w:p w14:paraId="46DB0644">
      <w:pPr>
        <w:spacing w:line="360" w:lineRule="auto"/>
        <w:ind w:firstLine="422" w:firstLineChars="200"/>
        <w:rPr>
          <w:rFonts w:hint="eastAsia" w:ascii="新宋体" w:hAnsi="新宋体" w:eastAsia="新宋体" w:cs="Times New Roman"/>
          <w:b/>
          <w:bCs/>
          <w:color w:val="auto"/>
          <w:highlight w:val="none"/>
        </w:rPr>
      </w:pPr>
      <w:r>
        <w:rPr>
          <w:rFonts w:hint="eastAsia" w:ascii="新宋体" w:hAnsi="新宋体" w:eastAsia="新宋体" w:cs="Times New Roman"/>
          <w:b/>
          <w:bCs/>
          <w:color w:val="auto"/>
          <w:highlight w:val="none"/>
          <w:lang w:val="en-US" w:eastAsia="zh-CN"/>
        </w:rPr>
        <w:t>（七）采购标的的其他技术、服务等要求。</w:t>
      </w:r>
    </w:p>
    <w:p w14:paraId="3C8A5FE8">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（一）服务范围</w:t>
      </w:r>
    </w:p>
    <w:p w14:paraId="0B05033A">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1.门卫值守</w:t>
      </w:r>
    </w:p>
    <w:p w14:paraId="4664D71A">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2.校园巡逻巡查</w:t>
      </w:r>
    </w:p>
    <w:p w14:paraId="053FE21D">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3.监控视频管理值守</w:t>
      </w:r>
    </w:p>
    <w:p w14:paraId="21B5AE6D">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4.突发事件处置</w:t>
      </w:r>
    </w:p>
    <w:p w14:paraId="5313DCCF">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5.其他安全管理工作</w:t>
      </w:r>
    </w:p>
    <w:p w14:paraId="1560A570">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（二）保安人员要求</w:t>
      </w:r>
    </w:p>
    <w:p w14:paraId="2F0E293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1.拥护宪法，遵守国家法律法规，作风正派、品行端正、爱岗敬业、责任心强，具有一定的观察、沟通、应变能力。</w:t>
      </w:r>
    </w:p>
    <w:p w14:paraId="09276D9A">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2.身体健康，人格健全，无传染病及精神病史，无色盲，无纹身，无口吃。</w:t>
      </w:r>
    </w:p>
    <w:p w14:paraId="0FE07F8F">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3.年龄18周岁以上，具有初中（含初中）以上文化程度，身体健康，品行良好，工作责任心强，遵守国家法律法规，派驻保安均须提供无犯罪记录证明。</w:t>
      </w:r>
    </w:p>
    <w:p w14:paraId="53DA6E1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须持有公安部门颁发的保安员证，取得卫生行政部门审批的医疗卫生机构体检合格的健康证，提供公安机关出具的无犯罪记录证明，具有正常履行职责所需的身体素质和工作能力。签订合同时须与采购人签订保密协议，并在服务期间监督派驻保安员履行保密义务。</w:t>
      </w:r>
    </w:p>
    <w:p w14:paraId="0652F315">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5.须严格遵守学校规章制度，服从组织安排，具有吃苦耐劳的精神。</w:t>
      </w:r>
    </w:p>
    <w:p w14:paraId="783D38E7">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6、派驻保安人员均须购买养老保险、工伤保险、失业保险、意外伤害险；</w:t>
      </w:r>
    </w:p>
    <w:p w14:paraId="387A8F68">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7、派驻保安人员服装要根据当地气候特点选用，做到标准统一、整齐；</w:t>
      </w:r>
    </w:p>
    <w:p w14:paraId="051EBF00">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8、教育部门规定的其他条件。</w:t>
      </w:r>
    </w:p>
    <w:p w14:paraId="78D826C4">
      <w:pPr>
        <w:spacing w:line="360" w:lineRule="auto"/>
        <w:ind w:firstLine="420" w:firstLineChars="200"/>
        <w:rPr>
          <w:rFonts w:hint="default"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（三）有下列情形之一的人员，不符合条件，不得派往本项目</w:t>
      </w:r>
    </w:p>
    <w:p w14:paraId="042A1838">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1.本人或家庭成员、主要社会关系人参加非法组织、邪教组织或从事其他危害国家安全活动的；</w:t>
      </w:r>
    </w:p>
    <w:p w14:paraId="3F6B7B10">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2.本人家庭成员或主要社会关系人正在服刑或正在接受调查的；</w:t>
      </w:r>
    </w:p>
    <w:p w14:paraId="14C83397">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3.受过刑事处罚或者涉嫌违法犯罪尚未查清的；</w:t>
      </w:r>
    </w:p>
    <w:p w14:paraId="51F9F1FC">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4.编造、散布有损国家声誉、反对党的理论和路线方针政策、违反国家法律法规信息的；</w:t>
      </w:r>
    </w:p>
    <w:p w14:paraId="2024FD7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5.因吸毒、嫖娼、赌博受到处罚的；</w:t>
      </w:r>
    </w:p>
    <w:p w14:paraId="475206F6">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6.曾被行政拘留、司法拘留、收容教育的；</w:t>
      </w:r>
    </w:p>
    <w:p w14:paraId="4394061C">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7.因违纪违规被辞退解聘的；</w:t>
      </w:r>
    </w:p>
    <w:p w14:paraId="0B070531">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8.有较为严重的个人不良征信记录的；</w:t>
      </w:r>
    </w:p>
    <w:p w14:paraId="2C44293C">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9.未正式毕业的全日制在校生；</w:t>
      </w:r>
    </w:p>
    <w:p w14:paraId="61B57C99">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10.具有严重身体或精神疾病，不宜从事安保工作的；</w:t>
      </w:r>
    </w:p>
    <w:p w14:paraId="585B5CD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11.其他不适宜从事安保工作的。</w:t>
      </w:r>
    </w:p>
    <w:p w14:paraId="336A180F">
      <w:pPr>
        <w:spacing w:line="360" w:lineRule="auto"/>
        <w:ind w:firstLine="420" w:firstLineChars="200"/>
        <w:rPr>
          <w:rFonts w:hint="default"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（四）服务要求</w:t>
      </w:r>
    </w:p>
    <w:p w14:paraId="1801A585">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1、基本要求</w:t>
      </w:r>
    </w:p>
    <w:p w14:paraId="06904FB9">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负责门卫管理，严禁外来人员随意进入校园。对确有正当理由需要进入校园内解决的，在征得被访人同意，并办理好登记手续后，方可进入。严禁校园外无关车辆进入校园，对确有正当理由需要进入校园的车辆，须经学校同意，并指挥车辆安全出入、有序停放；</w:t>
      </w:r>
    </w:p>
    <w:p w14:paraId="27631C3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（2）严格查验外来人员（车辆）随身（车）携带的物品，严禁将各种易燃易爆、剧毒、管制刀具等危险物品带入校园；</w:t>
      </w:r>
    </w:p>
    <w:p w14:paraId="5C5B314D">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对校园内进行安全检查和治安巡逻。重点巡查学校内教室、办公室、财务室、仓库、消控室和各功能室等重要场所。落实防火、防盗、防爆炸、防破坏等治安防范措施，发现安全问题或隐患，要立即报告，并协助予以妥善处置；</w:t>
      </w:r>
    </w:p>
    <w:p w14:paraId="08DFE96F">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（4）发现违法犯罪行为，要及时制止，对一时难以制止或发生治安案件及涉嫌刑事犯罪案件，应当立即报警，并采取措施保护现场，积极配合公安部门侦查、处置；</w:t>
      </w:r>
    </w:p>
    <w:p w14:paraId="46AC78C4">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协助公安部门、属地派出所民警维护校园周边治安秩序，主动向所服务的学校领导和属地派出所反映校园内外治安情况，提出防范意见和建议，协助学校堵塞安全漏洞，消除安全隐患、健全防范制度，提高防范能力；</w:t>
      </w:r>
    </w:p>
    <w:p w14:paraId="37F89A0A">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6）正确使用物防、技防器材和设施设备，妥善保管和维护安保器械，非紧急情况，不得动用钢叉、橡胶自卫棍、齐眉棍等安保器械。禁止将钢管、钢筋棍、管制刀具等易造成严重伤害的器具用于校园安全防范，按照有关规定做好学校保卫室监控值守工作；</w:t>
      </w:r>
    </w:p>
    <w:p w14:paraId="40B2FAF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（7）保障消防安全，负责学校消防设施设备巡查，值守消防控制室，校内消防系统设施设备的日常运行、养护、管理等，发生火警或其他紧急情况，迅速扑救、报警报告，组织疏散，保护现场；</w:t>
      </w:r>
    </w:p>
    <w:p w14:paraId="26DB846B">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（8）服从学校工作安排及管理，完成学校交办的其他工作，包括学校为开展正常教学、科研而安排的各种大型活动（如典礼、集会、演出、比赛、考试、重要外事活动等的安全保障；</w:t>
      </w:r>
    </w:p>
    <w:p w14:paraId="3BD018FE">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2、门岗值守要求</w:t>
      </w:r>
    </w:p>
    <w:p w14:paraId="0A530CD1">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（1）执行24小时值班制度，不得擅自离岗、空岗，按时交接班并做好交接记录，发现问题及时报告；</w:t>
      </w:r>
    </w:p>
    <w:p w14:paraId="114AEC57">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（2）严格落实学校封闭管理制度，对人员和车辆执行学校门岗查验操作规程，严防危险物品进入学校，严防校外无关人员进入学校，严防学校物资流失；</w:t>
      </w:r>
    </w:p>
    <w:p w14:paraId="4C87B439">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（3）发现安全问题、安全隐患、其他治安信息及时向相关领导或部门汇报。必要时，启动报警程序，配合公安机关做好处置工作；</w:t>
      </w:r>
    </w:p>
    <w:p w14:paraId="31D6D8E7">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（4）学生上学放学期间，维护校园门口秩序，疏导师生有序进出，并及时制止学校门前发生的寻衅滋事等行为，必要时应向公安部门报警；</w:t>
      </w:r>
    </w:p>
    <w:p w14:paraId="4B23467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（5）对非放学时间离校学生，应查验班主任或学生主管部门负责人签字同意的出门条，并将出门条留存后，方可放行；</w:t>
      </w:r>
    </w:p>
    <w:p w14:paraId="3B74865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（6）负责门卫室及配备设施设备管理；</w:t>
      </w:r>
    </w:p>
    <w:p w14:paraId="2273FE0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（7）定期开展应急演练、训练；</w:t>
      </w:r>
    </w:p>
    <w:p w14:paraId="6CE82D80">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（8）完成学校交办的其它安全工作。</w:t>
      </w:r>
    </w:p>
    <w:p w14:paraId="519E9FF2">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3、巡逻巡查要求</w:t>
      </w:r>
    </w:p>
    <w:p w14:paraId="2FE91FA2">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（1）按照学校规定，每天定时或不定时对校园及重点部位进行巡逻巡查，发现安全问题、安全隐患及时处置、报告或报警；</w:t>
      </w:r>
    </w:p>
    <w:p w14:paraId="01558E39">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（2）发现学生离开课堂要进行教育，并通知学校；</w:t>
      </w:r>
    </w:p>
    <w:p w14:paraId="02089F4C">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（3）认真做好巡逻日志的记录和交接班工作，每班交班必须向下一班说明本班有关情况，提醒下一班重点进行防范；</w:t>
      </w:r>
    </w:p>
    <w:p w14:paraId="04D7F51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（4）放学后巡逻时，应做好清校工作，规劝滞留学生离校返家。</w:t>
      </w:r>
    </w:p>
    <w:p w14:paraId="775CE3ED">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4、监控视频管理值守要求</w:t>
      </w:r>
    </w:p>
    <w:p w14:paraId="142D6AE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（1）执行24小时值班制度，不得擅自离岗、空岗，按时交接班并做好交接记录，遵守监控系统的操作规程，及时掌握各种监控信息，不随意调整监控目标；</w:t>
      </w:r>
    </w:p>
    <w:p w14:paraId="12C61F4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（2）发现问题，及时、准确地通知巡逻人员处置并报告学校；</w:t>
      </w:r>
    </w:p>
    <w:p w14:paraId="4020E2A0">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（3）不干与工作无关的事情，对当班的监控情况认真登记，做好值班记录；</w:t>
      </w:r>
    </w:p>
    <w:p w14:paraId="53C02D7C">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（4）自觉加强监控室管理，无关人员未经许可不得进入监控室；</w:t>
      </w:r>
    </w:p>
    <w:p w14:paraId="7E6C0DB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（5）调阅查看监控视频必须报请学校批准，并做好登记记录，未经批准一律谢绝查看；</w:t>
      </w:r>
    </w:p>
    <w:p w14:paraId="6AAB5FAE">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（6）定期对监控设备进行维护，保持设备清洁卫生，确保设备正常运转；</w:t>
      </w:r>
    </w:p>
    <w:p w14:paraId="0E130163">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（7）认真履行职责，保守秘密，不得对外宣扬议论有关监控录像的内容。</w:t>
      </w:r>
    </w:p>
    <w:p w14:paraId="5EA10702">
      <w:pPr>
        <w:spacing w:line="360" w:lineRule="auto"/>
        <w:ind w:firstLine="422"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b/>
          <w:bCs/>
          <w:color w:val="auto"/>
          <w:highlight w:val="none"/>
          <w:lang w:val="en-US" w:eastAsia="zh-CN"/>
        </w:rPr>
        <w:t>5、突发事件处置要求</w:t>
      </w:r>
    </w:p>
    <w:p w14:paraId="29A49C28">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（1）做到早发现、早识别。保安人员在值守过程中，密切关注校园及周边的一切动向，发现可疑人员，应劝阻离开，不听劝阻强行闯入的，边处置边报告。</w:t>
      </w:r>
    </w:p>
    <w:p w14:paraId="3923072B">
      <w:pPr>
        <w:spacing w:line="360" w:lineRule="auto"/>
        <w:ind w:firstLine="420" w:firstLineChars="200"/>
        <w:rPr>
          <w:rFonts w:hint="eastAsia" w:ascii="新宋体" w:hAnsi="新宋体" w:eastAsia="新宋体" w:cs="Times New Roman"/>
          <w:color w:val="auto"/>
          <w:highlight w:val="none"/>
          <w:lang w:val="en-US" w:eastAsia="zh-CN"/>
        </w:rPr>
      </w:pPr>
      <w:r>
        <w:rPr>
          <w:rFonts w:hint="eastAsia" w:ascii="新宋体" w:hAnsi="新宋体" w:eastAsia="新宋体" w:cs="Times New Roman"/>
          <w:color w:val="auto"/>
          <w:highlight w:val="none"/>
          <w:lang w:val="en-US" w:eastAsia="zh-CN"/>
        </w:rPr>
        <w:t>（2）发生突发事件要立即报警，第一时间赶到现场，及时、果断处置，控制事态；</w:t>
      </w:r>
    </w:p>
    <w:p w14:paraId="24835E1C">
      <w:pPr>
        <w:spacing w:line="360" w:lineRule="auto"/>
        <w:ind w:firstLine="420" w:firstLineChars="200"/>
        <w:rPr>
          <w:rFonts w:ascii="宋体" w:hAnsi="宋体" w:cs="宋体"/>
          <w:color w:val="auto"/>
          <w:kern w:val="0"/>
          <w:highlight w:val="none"/>
        </w:rPr>
      </w:pPr>
      <w:r>
        <w:rPr>
          <w:rFonts w:hint="eastAsia" w:ascii="新宋体" w:hAnsi="新宋体" w:eastAsia="新宋体" w:cs="Times New Roman"/>
          <w:color w:val="auto"/>
          <w:highlight w:val="none"/>
          <w:lang w:val="en-US" w:eastAsia="zh-CN"/>
        </w:rPr>
        <w:t>（3）发生事故要奋力抢救，发现犯罪分子作案要立即制止、控制，并及时报告、报警。</w:t>
      </w:r>
    </w:p>
    <w:p w14:paraId="61B47DEE">
      <w:pP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br w:type="page"/>
      </w:r>
    </w:p>
    <w:p w14:paraId="52E87C2E">
      <w:pPr>
        <w:pStyle w:val="3"/>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第五章 合同条款及格式</w:t>
      </w:r>
      <w:bookmarkEnd w:id="399"/>
      <w:bookmarkEnd w:id="400"/>
      <w:bookmarkEnd w:id="401"/>
    </w:p>
    <w:p w14:paraId="1F3C7602">
      <w:pPr>
        <w:pStyle w:val="24"/>
        <w:ind w:firstLine="640"/>
        <w:rPr>
          <w:color w:val="auto"/>
          <w:highlight w:val="none"/>
        </w:rPr>
      </w:pPr>
      <w:r>
        <w:rPr>
          <w:color w:val="auto"/>
          <w:highlight w:val="none"/>
        </w:rPr>
        <w:t>合同编号：</w:t>
      </w:r>
      <w:r>
        <w:rPr>
          <w:rFonts w:hint="eastAsia"/>
          <w:color w:val="auto"/>
          <w:highlight w:val="none"/>
        </w:rPr>
        <w:t xml:space="preserve">               合同自编号：           </w:t>
      </w:r>
      <w:r>
        <w:rPr>
          <w:color w:val="auto"/>
          <w:highlight w:val="none"/>
        </w:rPr>
        <w:tab/>
      </w:r>
      <w:r>
        <w:rPr>
          <w:color w:val="auto"/>
          <w:highlight w:val="none"/>
        </w:rPr>
        <w:t>招标编号：</w:t>
      </w:r>
    </w:p>
    <w:p w14:paraId="326EBBEE">
      <w:pPr>
        <w:pStyle w:val="24"/>
        <w:ind w:firstLine="820"/>
        <w:rPr>
          <w:color w:val="auto"/>
          <w:sz w:val="41"/>
          <w:highlight w:val="none"/>
        </w:rPr>
      </w:pPr>
    </w:p>
    <w:p w14:paraId="67B44F44">
      <w:pPr>
        <w:pStyle w:val="24"/>
        <w:ind w:firstLine="480"/>
        <w:rPr>
          <w:color w:val="auto"/>
          <w:highlight w:val="none"/>
        </w:rPr>
      </w:pPr>
    </w:p>
    <w:p w14:paraId="62647B43">
      <w:pPr>
        <w:pStyle w:val="24"/>
        <w:ind w:firstLine="480"/>
        <w:rPr>
          <w:color w:val="auto"/>
          <w:highlight w:val="none"/>
        </w:rPr>
      </w:pPr>
      <w:r>
        <w:rPr>
          <w:color w:val="auto"/>
          <w:highlight w:val="none"/>
        </w:rPr>
        <w:t>●本合同须加盖甲乙双方骑缝章有效</w:t>
      </w:r>
    </w:p>
    <w:p w14:paraId="234EFBDC">
      <w:pPr>
        <w:pStyle w:val="24"/>
        <w:ind w:firstLine="480"/>
        <w:rPr>
          <w:color w:val="auto"/>
          <w:highlight w:val="none"/>
        </w:rPr>
      </w:pPr>
    </w:p>
    <w:p w14:paraId="2F59A027">
      <w:pPr>
        <w:pStyle w:val="24"/>
        <w:ind w:firstLine="0" w:firstLineChars="0"/>
        <w:jc w:val="both"/>
        <w:rPr>
          <w:color w:val="auto"/>
          <w:sz w:val="39"/>
          <w:highlight w:val="none"/>
        </w:rPr>
      </w:pPr>
    </w:p>
    <w:p w14:paraId="4E82E462">
      <w:pPr>
        <w:pStyle w:val="24"/>
        <w:ind w:firstLine="0" w:firstLineChars="0"/>
        <w:jc w:val="both"/>
        <w:rPr>
          <w:b/>
          <w:bCs/>
          <w:color w:val="auto"/>
          <w:sz w:val="38"/>
          <w:highlight w:val="none"/>
        </w:rPr>
      </w:pPr>
    </w:p>
    <w:p w14:paraId="7D5CC337">
      <w:pPr>
        <w:pStyle w:val="24"/>
        <w:ind w:firstLine="763"/>
        <w:jc w:val="center"/>
        <w:rPr>
          <w:b/>
          <w:bCs/>
          <w:color w:val="auto"/>
          <w:sz w:val="38"/>
          <w:highlight w:val="none"/>
        </w:rPr>
      </w:pPr>
      <w:r>
        <w:rPr>
          <w:rFonts w:hint="eastAsia"/>
          <w:b/>
          <w:bCs/>
          <w:color w:val="auto"/>
          <w:sz w:val="38"/>
          <w:highlight w:val="none"/>
        </w:rPr>
        <w:t>云南省政府采购</w:t>
      </w:r>
    </w:p>
    <w:p w14:paraId="7AB64764">
      <w:pPr>
        <w:pStyle w:val="24"/>
        <w:ind w:firstLine="480"/>
        <w:jc w:val="center"/>
        <w:rPr>
          <w:color w:val="auto"/>
          <w:highlight w:val="none"/>
        </w:rPr>
      </w:pPr>
      <w:r>
        <w:rPr>
          <w:color w:val="auto"/>
          <w:highlight w:val="none"/>
        </w:rPr>
        <w:t>（委托采购）</w:t>
      </w:r>
    </w:p>
    <w:p w14:paraId="4E5058DF">
      <w:pPr>
        <w:pStyle w:val="9"/>
        <w:rPr>
          <w:color w:val="auto"/>
          <w:sz w:val="24"/>
          <w:highlight w:val="none"/>
        </w:rPr>
      </w:pPr>
    </w:p>
    <w:p w14:paraId="462BA5FA">
      <w:pPr>
        <w:pStyle w:val="9"/>
        <w:rPr>
          <w:color w:val="auto"/>
          <w:sz w:val="24"/>
          <w:highlight w:val="none"/>
        </w:rPr>
      </w:pPr>
    </w:p>
    <w:p w14:paraId="21530EAF">
      <w:pPr>
        <w:pStyle w:val="9"/>
        <w:rPr>
          <w:color w:val="auto"/>
          <w:sz w:val="24"/>
          <w:highlight w:val="none"/>
        </w:rPr>
      </w:pPr>
    </w:p>
    <w:p w14:paraId="5F31FE53">
      <w:pPr>
        <w:spacing w:line="240" w:lineRule="auto"/>
        <w:ind w:left="0" w:right="0"/>
        <w:jc w:val="center"/>
        <w:rPr>
          <w:b/>
          <w:bCs/>
          <w:color w:val="auto"/>
          <w:sz w:val="63"/>
          <w:highlight w:val="none"/>
        </w:rPr>
      </w:pPr>
      <w:r>
        <w:rPr>
          <w:b/>
          <w:bCs/>
          <w:color w:val="auto"/>
          <w:sz w:val="63"/>
          <w:highlight w:val="none"/>
        </w:rPr>
        <w:t>合</w:t>
      </w:r>
    </w:p>
    <w:p w14:paraId="2AF4FD93">
      <w:pPr>
        <w:spacing w:line="240" w:lineRule="auto"/>
        <w:ind w:left="0" w:right="0"/>
        <w:jc w:val="center"/>
        <w:rPr>
          <w:b/>
          <w:bCs/>
          <w:color w:val="auto"/>
          <w:sz w:val="63"/>
          <w:highlight w:val="none"/>
        </w:rPr>
      </w:pPr>
      <w:r>
        <w:rPr>
          <w:b/>
          <w:bCs/>
          <w:color w:val="auto"/>
          <w:sz w:val="63"/>
          <w:highlight w:val="none"/>
        </w:rPr>
        <w:t>同</w:t>
      </w:r>
    </w:p>
    <w:p w14:paraId="4EDAF251">
      <w:pPr>
        <w:spacing w:line="240" w:lineRule="auto"/>
        <w:ind w:left="0" w:right="0"/>
        <w:jc w:val="center"/>
        <w:rPr>
          <w:color w:val="auto"/>
          <w:sz w:val="63"/>
          <w:highlight w:val="none"/>
        </w:rPr>
      </w:pPr>
      <w:r>
        <w:rPr>
          <w:b/>
          <w:bCs/>
          <w:color w:val="auto"/>
          <w:sz w:val="63"/>
          <w:highlight w:val="none"/>
        </w:rPr>
        <w:t>书</w:t>
      </w:r>
    </w:p>
    <w:p w14:paraId="5C1B3840">
      <w:pPr>
        <w:pStyle w:val="9"/>
        <w:spacing w:before="2"/>
        <w:rPr>
          <w:color w:val="auto"/>
          <w:sz w:val="45"/>
          <w:highlight w:val="none"/>
        </w:rPr>
      </w:pPr>
    </w:p>
    <w:p w14:paraId="44ACA2B8">
      <w:pPr>
        <w:spacing w:before="1"/>
        <w:ind w:left="4107"/>
        <w:rPr>
          <w:b/>
          <w:color w:val="auto"/>
          <w:sz w:val="27"/>
          <w:highlight w:val="none"/>
        </w:rPr>
      </w:pPr>
    </w:p>
    <w:p w14:paraId="5F45B987">
      <w:pPr>
        <w:spacing w:before="1"/>
        <w:ind w:firstLine="3659" w:firstLineChars="1350"/>
        <w:rPr>
          <w:b/>
          <w:color w:val="auto"/>
          <w:sz w:val="27"/>
          <w:highlight w:val="none"/>
        </w:rPr>
      </w:pPr>
    </w:p>
    <w:p w14:paraId="7F016AF4">
      <w:pPr>
        <w:spacing w:before="1"/>
        <w:ind w:firstLine="3659" w:firstLineChars="1350"/>
        <w:rPr>
          <w:b/>
          <w:color w:val="auto"/>
          <w:sz w:val="27"/>
          <w:highlight w:val="none"/>
        </w:rPr>
      </w:pPr>
    </w:p>
    <w:p w14:paraId="6C8A9396">
      <w:pPr>
        <w:spacing w:before="1"/>
        <w:ind w:firstLine="3659" w:firstLineChars="1350"/>
        <w:rPr>
          <w:b/>
          <w:color w:val="auto"/>
          <w:sz w:val="27"/>
          <w:highlight w:val="none"/>
        </w:rPr>
      </w:pPr>
    </w:p>
    <w:p w14:paraId="59350142">
      <w:pPr>
        <w:spacing w:before="1"/>
        <w:ind w:firstLine="3659" w:firstLineChars="1350"/>
        <w:rPr>
          <w:b/>
          <w:color w:val="auto"/>
          <w:sz w:val="27"/>
          <w:highlight w:val="none"/>
        </w:rPr>
      </w:pPr>
      <w:r>
        <w:rPr>
          <w:b/>
          <w:color w:val="auto"/>
          <w:sz w:val="27"/>
          <w:highlight w:val="none"/>
        </w:rPr>
        <w:t>签订地点:</w:t>
      </w:r>
    </w:p>
    <w:p w14:paraId="028E5832">
      <w:pPr>
        <w:pStyle w:val="9"/>
        <w:rPr>
          <w:color w:val="auto"/>
          <w:sz w:val="26"/>
          <w:highlight w:val="none"/>
        </w:rPr>
      </w:pPr>
    </w:p>
    <w:p w14:paraId="4C23348E">
      <w:pPr>
        <w:pStyle w:val="9"/>
        <w:jc w:val="center"/>
        <w:rPr>
          <w:color w:val="auto"/>
          <w:sz w:val="26"/>
          <w:highlight w:val="none"/>
        </w:rPr>
      </w:pPr>
    </w:p>
    <w:p w14:paraId="00D6E3F9">
      <w:pPr>
        <w:widowControl/>
        <w:jc w:val="center"/>
        <w:rPr>
          <w:color w:val="auto"/>
          <w:sz w:val="32"/>
          <w:szCs w:val="32"/>
          <w:highlight w:val="none"/>
        </w:rPr>
      </w:pPr>
      <w:r>
        <w:rPr>
          <w:rFonts w:hint="eastAsia"/>
          <w:b/>
          <w:bCs/>
          <w:color w:val="auto"/>
          <w:sz w:val="30"/>
          <w:szCs w:val="30"/>
          <w:highlight w:val="none"/>
        </w:rPr>
        <w:t>云南省财政厅  制</w:t>
      </w:r>
    </w:p>
    <w:p w14:paraId="002D38CC">
      <w:pPr>
        <w:jc w:val="center"/>
        <w:rPr>
          <w:color w:val="auto"/>
          <w:sz w:val="32"/>
          <w:szCs w:val="32"/>
          <w:highlight w:val="none"/>
        </w:rPr>
      </w:pPr>
    </w:p>
    <w:p w14:paraId="5C981E3E">
      <w:pPr>
        <w:rPr>
          <w:color w:val="auto"/>
          <w:highlight w:val="none"/>
        </w:rPr>
      </w:pPr>
    </w:p>
    <w:p w14:paraId="3FBE1C3F">
      <w:pPr>
        <w:pStyle w:val="25"/>
        <w:spacing w:line="580" w:lineRule="exact"/>
        <w:ind w:left="200"/>
        <w:rPr>
          <w:color w:val="auto"/>
          <w:sz w:val="24"/>
          <w:highlight w:val="none"/>
        </w:rPr>
      </w:pPr>
      <w:r>
        <w:rPr>
          <w:color w:val="auto"/>
          <w:sz w:val="24"/>
          <w:highlight w:val="none"/>
        </w:rPr>
        <w:t>甲方（采购人公章）名 称：</w:t>
      </w:r>
    </w:p>
    <w:p w14:paraId="2F4EB039">
      <w:pPr>
        <w:pStyle w:val="25"/>
        <w:spacing w:line="580" w:lineRule="exact"/>
        <w:ind w:left="1858" w:right="3579"/>
        <w:rPr>
          <w:color w:val="auto"/>
          <w:sz w:val="24"/>
          <w:highlight w:val="none"/>
        </w:rPr>
      </w:pPr>
      <w:r>
        <w:rPr>
          <w:color w:val="auto"/>
          <w:sz w:val="24"/>
          <w:highlight w:val="none"/>
        </w:rPr>
        <w:t xml:space="preserve">地 址： </w:t>
      </w:r>
    </w:p>
    <w:p w14:paraId="477B27EC">
      <w:pPr>
        <w:pStyle w:val="25"/>
        <w:spacing w:line="580" w:lineRule="exact"/>
        <w:ind w:left="1858" w:right="3579"/>
        <w:rPr>
          <w:color w:val="auto"/>
          <w:sz w:val="24"/>
          <w:highlight w:val="none"/>
        </w:rPr>
      </w:pPr>
      <w:r>
        <w:rPr>
          <w:color w:val="auto"/>
          <w:sz w:val="24"/>
          <w:highlight w:val="none"/>
        </w:rPr>
        <w:t>邮 编：</w:t>
      </w:r>
    </w:p>
    <w:p w14:paraId="0C727038">
      <w:pPr>
        <w:pStyle w:val="25"/>
        <w:spacing w:before="2" w:line="580" w:lineRule="exact"/>
        <w:ind w:left="1858" w:right="1539"/>
        <w:rPr>
          <w:color w:val="auto"/>
          <w:sz w:val="24"/>
          <w:highlight w:val="none"/>
        </w:rPr>
      </w:pPr>
      <w:r>
        <w:rPr>
          <w:color w:val="auto"/>
          <w:sz w:val="24"/>
          <w:highlight w:val="none"/>
        </w:rPr>
        <w:t xml:space="preserve">法定代表人或委托代理人： </w:t>
      </w:r>
    </w:p>
    <w:p w14:paraId="7073F6A3">
      <w:pPr>
        <w:pStyle w:val="25"/>
        <w:spacing w:before="2" w:line="580" w:lineRule="exact"/>
        <w:ind w:left="1858" w:right="1539"/>
        <w:rPr>
          <w:color w:val="auto"/>
          <w:sz w:val="24"/>
          <w:highlight w:val="none"/>
        </w:rPr>
      </w:pPr>
      <w:r>
        <w:rPr>
          <w:color w:val="auto"/>
          <w:sz w:val="24"/>
          <w:highlight w:val="none"/>
        </w:rPr>
        <w:t>项目（技术）负责人：</w:t>
      </w:r>
    </w:p>
    <w:p w14:paraId="3CE2EEB0">
      <w:pPr>
        <w:pStyle w:val="25"/>
        <w:spacing w:before="2" w:line="580" w:lineRule="exact"/>
        <w:ind w:left="1858"/>
        <w:rPr>
          <w:color w:val="auto"/>
          <w:sz w:val="24"/>
          <w:highlight w:val="none"/>
        </w:rPr>
      </w:pPr>
      <w:r>
        <w:rPr>
          <w:color w:val="auto"/>
          <w:sz w:val="24"/>
          <w:highlight w:val="none"/>
        </w:rPr>
        <w:t>电 话：</w:t>
      </w:r>
    </w:p>
    <w:p w14:paraId="23EF0B55">
      <w:pPr>
        <w:pStyle w:val="25"/>
        <w:spacing w:before="1" w:line="580" w:lineRule="exact"/>
        <w:ind w:left="200" w:right="3079" w:firstLine="1658"/>
        <w:rPr>
          <w:color w:val="auto"/>
          <w:sz w:val="24"/>
          <w:highlight w:val="none"/>
        </w:rPr>
      </w:pPr>
      <w:r>
        <w:rPr>
          <w:color w:val="auto"/>
          <w:sz w:val="24"/>
          <w:highlight w:val="none"/>
        </w:rPr>
        <w:t xml:space="preserve">签订日期： </w:t>
      </w:r>
    </w:p>
    <w:p w14:paraId="43D54777">
      <w:pPr>
        <w:pStyle w:val="25"/>
        <w:spacing w:before="1" w:line="580" w:lineRule="exact"/>
        <w:ind w:left="200" w:right="3079" w:firstLine="1658"/>
        <w:rPr>
          <w:color w:val="auto"/>
          <w:sz w:val="24"/>
          <w:highlight w:val="none"/>
        </w:rPr>
      </w:pPr>
    </w:p>
    <w:p w14:paraId="0410E76B">
      <w:pPr>
        <w:pStyle w:val="25"/>
        <w:spacing w:line="580" w:lineRule="exact"/>
        <w:ind w:left="200"/>
        <w:rPr>
          <w:color w:val="auto"/>
          <w:sz w:val="24"/>
          <w:highlight w:val="none"/>
        </w:rPr>
      </w:pPr>
      <w:r>
        <w:rPr>
          <w:rFonts w:hint="eastAsia"/>
          <w:color w:val="auto"/>
          <w:sz w:val="24"/>
          <w:highlight w:val="none"/>
        </w:rPr>
        <w:t xml:space="preserve"> 乙</w:t>
      </w:r>
      <w:r>
        <w:rPr>
          <w:color w:val="auto"/>
          <w:sz w:val="24"/>
          <w:highlight w:val="none"/>
        </w:rPr>
        <w:t>方（</w:t>
      </w:r>
      <w:r>
        <w:rPr>
          <w:rFonts w:hint="eastAsia"/>
          <w:color w:val="auto"/>
          <w:sz w:val="24"/>
          <w:highlight w:val="none"/>
        </w:rPr>
        <w:t>投标</w:t>
      </w:r>
      <w:r>
        <w:rPr>
          <w:color w:val="auto"/>
          <w:sz w:val="24"/>
          <w:highlight w:val="none"/>
        </w:rPr>
        <w:t>人公章）名 称：</w:t>
      </w:r>
    </w:p>
    <w:p w14:paraId="447846E1">
      <w:pPr>
        <w:pStyle w:val="25"/>
        <w:spacing w:line="580" w:lineRule="exact"/>
        <w:ind w:left="1860" w:right="3579"/>
        <w:rPr>
          <w:color w:val="auto"/>
          <w:sz w:val="24"/>
          <w:highlight w:val="none"/>
        </w:rPr>
      </w:pPr>
      <w:r>
        <w:rPr>
          <w:color w:val="auto"/>
          <w:sz w:val="24"/>
          <w:highlight w:val="none"/>
        </w:rPr>
        <w:t>地 址：</w:t>
      </w:r>
    </w:p>
    <w:p w14:paraId="4FF6B1DA">
      <w:pPr>
        <w:pStyle w:val="25"/>
        <w:spacing w:line="580" w:lineRule="exact"/>
        <w:ind w:left="1860" w:right="3579"/>
        <w:rPr>
          <w:color w:val="auto"/>
          <w:sz w:val="24"/>
          <w:highlight w:val="none"/>
        </w:rPr>
      </w:pPr>
      <w:r>
        <w:rPr>
          <w:color w:val="auto"/>
          <w:sz w:val="24"/>
          <w:highlight w:val="none"/>
        </w:rPr>
        <w:t>邮 编：</w:t>
      </w:r>
    </w:p>
    <w:p w14:paraId="6BA573DF">
      <w:pPr>
        <w:pStyle w:val="25"/>
        <w:spacing w:before="2" w:line="580" w:lineRule="exact"/>
        <w:ind w:left="1860" w:right="1539"/>
        <w:rPr>
          <w:color w:val="auto"/>
          <w:sz w:val="24"/>
          <w:highlight w:val="none"/>
        </w:rPr>
      </w:pPr>
      <w:r>
        <w:rPr>
          <w:color w:val="auto"/>
          <w:sz w:val="24"/>
          <w:highlight w:val="none"/>
        </w:rPr>
        <w:t xml:space="preserve">法定代表人或委托代理人： </w:t>
      </w:r>
    </w:p>
    <w:p w14:paraId="6ED2B2B5">
      <w:pPr>
        <w:pStyle w:val="25"/>
        <w:spacing w:before="2" w:line="580" w:lineRule="exact"/>
        <w:ind w:left="1860" w:right="1539"/>
        <w:rPr>
          <w:color w:val="auto"/>
          <w:sz w:val="24"/>
          <w:highlight w:val="none"/>
        </w:rPr>
      </w:pPr>
      <w:r>
        <w:rPr>
          <w:rFonts w:hint="eastAsia"/>
          <w:color w:val="auto"/>
          <w:sz w:val="24"/>
          <w:highlight w:val="none"/>
        </w:rPr>
        <w:t>经办人</w:t>
      </w:r>
      <w:r>
        <w:rPr>
          <w:color w:val="auto"/>
          <w:sz w:val="24"/>
          <w:highlight w:val="none"/>
        </w:rPr>
        <w:t>：</w:t>
      </w:r>
    </w:p>
    <w:p w14:paraId="5818E1DD">
      <w:pPr>
        <w:pStyle w:val="25"/>
        <w:spacing w:before="2" w:line="580" w:lineRule="exact"/>
        <w:ind w:left="1860"/>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 xml:space="preserve"> 话：</w:t>
      </w:r>
    </w:p>
    <w:p w14:paraId="1F58F487">
      <w:pPr>
        <w:pStyle w:val="25"/>
        <w:spacing w:before="2" w:line="580" w:lineRule="exact"/>
        <w:ind w:left="1860"/>
        <w:rPr>
          <w:color w:val="auto"/>
          <w:sz w:val="24"/>
          <w:highlight w:val="none"/>
        </w:rPr>
      </w:pPr>
      <w:r>
        <w:rPr>
          <w:rFonts w:hint="eastAsia"/>
          <w:color w:val="auto"/>
          <w:sz w:val="24"/>
          <w:highlight w:val="none"/>
        </w:rPr>
        <w:t>签订日期：</w:t>
      </w:r>
    </w:p>
    <w:p w14:paraId="50BEA75F">
      <w:pPr>
        <w:pStyle w:val="25"/>
        <w:spacing w:before="2" w:line="580" w:lineRule="exact"/>
        <w:ind w:left="1860"/>
        <w:rPr>
          <w:color w:val="auto"/>
          <w:sz w:val="24"/>
          <w:highlight w:val="none"/>
        </w:rPr>
      </w:pPr>
    </w:p>
    <w:p w14:paraId="32CE3898">
      <w:pPr>
        <w:rPr>
          <w:b/>
          <w:color w:val="auto"/>
          <w:sz w:val="28"/>
          <w:szCs w:val="28"/>
          <w:highlight w:val="none"/>
        </w:rPr>
      </w:pPr>
      <w:r>
        <w:rPr>
          <w:b/>
          <w:color w:val="auto"/>
          <w:sz w:val="28"/>
          <w:szCs w:val="28"/>
          <w:highlight w:val="none"/>
        </w:rPr>
        <w:br w:type="page"/>
      </w:r>
    </w:p>
    <w:p w14:paraId="2486F88E">
      <w:pPr>
        <w:rPr>
          <w:b/>
          <w:bCs/>
          <w:color w:val="auto"/>
          <w:sz w:val="28"/>
          <w:szCs w:val="28"/>
          <w:highlight w:val="none"/>
        </w:rPr>
      </w:pPr>
    </w:p>
    <w:p w14:paraId="44294D2D">
      <w:pPr>
        <w:jc w:val="center"/>
        <w:rPr>
          <w:b/>
          <w:bCs/>
          <w:color w:val="auto"/>
          <w:sz w:val="28"/>
          <w:szCs w:val="28"/>
          <w:highlight w:val="none"/>
        </w:rPr>
      </w:pPr>
    </w:p>
    <w:p w14:paraId="7CD1CCAD">
      <w:pPr>
        <w:jc w:val="center"/>
        <w:rPr>
          <w:b/>
          <w:bCs/>
          <w:color w:val="auto"/>
          <w:sz w:val="28"/>
          <w:szCs w:val="28"/>
          <w:highlight w:val="none"/>
        </w:rPr>
      </w:pPr>
      <w:r>
        <w:rPr>
          <w:rFonts w:hint="eastAsia"/>
          <w:b/>
          <w:bCs/>
          <w:color w:val="auto"/>
          <w:sz w:val="28"/>
          <w:szCs w:val="28"/>
          <w:highlight w:val="none"/>
        </w:rPr>
        <w:t>合同书样式（合同内容仅供参考）</w:t>
      </w:r>
    </w:p>
    <w:p w14:paraId="6BF8F52A">
      <w:pPr>
        <w:pStyle w:val="9"/>
        <w:rPr>
          <w:color w:val="auto"/>
          <w:highlight w:val="none"/>
        </w:rPr>
      </w:pPr>
    </w:p>
    <w:p w14:paraId="3A01B90D">
      <w:pPr>
        <w:spacing w:line="480" w:lineRule="auto"/>
        <w:ind w:firstLine="420" w:firstLineChars="200"/>
        <w:jc w:val="center"/>
        <w:rPr>
          <w:rFonts w:ascii="宋体" w:hAnsi="宋体" w:cs="宋体"/>
          <w:b/>
          <w:color w:val="auto"/>
          <w:highlight w:val="none"/>
        </w:rPr>
      </w:pPr>
      <w:r>
        <w:rPr>
          <w:rFonts w:hint="eastAsia" w:ascii="宋体" w:hAnsi="宋体" w:cs="宋体"/>
          <w:color w:val="auto"/>
          <w:highlight w:val="none"/>
        </w:rPr>
        <w:t>（本合同</w:t>
      </w:r>
      <w:r>
        <w:rPr>
          <w:rFonts w:hint="eastAsia" w:ascii="宋体" w:hAnsi="宋体" w:cs="宋体"/>
          <w:color w:val="auto"/>
          <w:highlight w:val="none"/>
          <w:lang w:val="en-US" w:eastAsia="zh-CN"/>
        </w:rPr>
        <w:t>为</w:t>
      </w:r>
      <w:r>
        <w:rPr>
          <w:rFonts w:hint="eastAsia" w:ascii="宋体" w:hAnsi="宋体" w:cs="宋体"/>
          <w:color w:val="auto"/>
          <w:highlight w:val="none"/>
        </w:rPr>
        <w:t>范本</w:t>
      </w:r>
      <w:r>
        <w:rPr>
          <w:rFonts w:hint="eastAsia" w:ascii="宋体" w:hAnsi="宋体" w:cs="宋体"/>
          <w:color w:val="auto"/>
          <w:highlight w:val="none"/>
          <w:lang w:val="en-US" w:eastAsia="zh-CN"/>
        </w:rPr>
        <w:t>格式</w:t>
      </w:r>
      <w:r>
        <w:rPr>
          <w:rFonts w:hint="eastAsia" w:ascii="宋体" w:hAnsi="宋体" w:cs="宋体"/>
          <w:color w:val="auto"/>
          <w:highlight w:val="none"/>
        </w:rPr>
        <w:t>，仅供参考。采购双方可根据最终达成的中标内容进行调整、修改、补充，正式合同以采购双方根据合同法有关规定并参照此范本格式进行签订为准。）</w:t>
      </w:r>
    </w:p>
    <w:p w14:paraId="11F77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color w:val="auto"/>
          <w:highlight w:val="none"/>
          <w:lang w:val="en-US" w:eastAsia="zh-CN"/>
        </w:rPr>
      </w:pPr>
      <w:r>
        <w:rPr>
          <w:rFonts w:hint="eastAsia"/>
          <w:color w:val="auto"/>
          <w:highlight w:val="none"/>
        </w:rPr>
        <w:t>甲乙双方经过平等协商，达成本项目维保服务合同</w:t>
      </w:r>
      <w:r>
        <w:rPr>
          <w:rFonts w:hint="eastAsia"/>
          <w:color w:val="auto"/>
          <w:highlight w:val="none"/>
          <w:lang w:eastAsia="zh-CN"/>
        </w:rPr>
        <w:t>（</w:t>
      </w:r>
      <w:r>
        <w:rPr>
          <w:rFonts w:hint="eastAsia"/>
          <w:color w:val="auto"/>
          <w:highlight w:val="none"/>
        </w:rPr>
        <w:t>以下简称“合同”</w:t>
      </w:r>
      <w:r>
        <w:rPr>
          <w:rFonts w:hint="eastAsia"/>
          <w:color w:val="auto"/>
          <w:highlight w:val="none"/>
          <w:lang w:eastAsia="zh-CN"/>
        </w:rPr>
        <w:t>）</w:t>
      </w:r>
      <w:r>
        <w:rPr>
          <w:rFonts w:hint="eastAsia"/>
          <w:color w:val="auto"/>
          <w:highlight w:val="none"/>
        </w:rPr>
        <w:t>，供双方遵</w:t>
      </w:r>
      <w:r>
        <w:rPr>
          <w:rFonts w:hint="eastAsia"/>
          <w:color w:val="auto"/>
          <w:highlight w:val="none"/>
          <w:lang w:val="en-US" w:eastAsia="zh-CN"/>
        </w:rPr>
        <w:t>守。</w:t>
      </w:r>
    </w:p>
    <w:p w14:paraId="34C13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合同内容包括具体条款、附件及合同中提及的其他文件。</w:t>
      </w:r>
    </w:p>
    <w:p w14:paraId="6EF7ADA0">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p>
    <w:p w14:paraId="3CF416F2">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6CFF33B2">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根据《中华人民共和国民法典》、《中华人民共和国政府采购法》及相关法律法规的规定，甲、乙双方本着平等自愿、互惠互利的原则，经友好协商就乙方为甲方进行</w:t>
      </w:r>
      <w:r>
        <w:rPr>
          <w:rFonts w:hint="eastAsia" w:ascii="宋体" w:hAnsi="宋体" w:cs="宋体"/>
          <w:color w:val="auto"/>
          <w:sz w:val="21"/>
          <w:szCs w:val="21"/>
          <w:highlight w:val="none"/>
          <w:lang w:val="en-US" w:eastAsia="zh-CN"/>
        </w:rPr>
        <w:t>昆明市盘龙区滇源中心学校采购2026年保安服务</w:t>
      </w:r>
      <w:r>
        <w:rPr>
          <w:rFonts w:hint="eastAsia" w:ascii="宋体" w:hAnsi="宋体" w:eastAsia="宋体" w:cs="宋体"/>
          <w:color w:val="auto"/>
          <w:sz w:val="21"/>
          <w:szCs w:val="21"/>
          <w:highlight w:val="none"/>
        </w:rPr>
        <w:t>事宜达成以下协议。</w:t>
      </w:r>
    </w:p>
    <w:p w14:paraId="109B2A9B">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一</w:t>
      </w:r>
      <w:r>
        <w:rPr>
          <w:rFonts w:hint="eastAsia" w:cs="仿宋_GB2312" w:asciiTheme="minorEastAsia" w:hAnsiTheme="minorEastAsia" w:eastAsiaTheme="minorEastAsia"/>
          <w:b/>
          <w:bCs/>
          <w:color w:val="auto"/>
          <w:szCs w:val="21"/>
          <w:highlight w:val="none"/>
        </w:rPr>
        <w:t>、服务项目：</w:t>
      </w:r>
      <w:r>
        <w:rPr>
          <w:rFonts w:hint="eastAsia" w:cs="仿宋_GB2312" w:asciiTheme="minorEastAsia" w:hAnsiTheme="minorEastAsia" w:eastAsiaTheme="minorEastAsia"/>
          <w:b/>
          <w:bCs/>
          <w:color w:val="auto"/>
          <w:szCs w:val="21"/>
          <w:highlight w:val="none"/>
          <w:lang w:val="en-US" w:eastAsia="zh-CN"/>
        </w:rPr>
        <w:t>昆明市盘龙区滇源中心学校采购2026年保安服务</w:t>
      </w:r>
    </w:p>
    <w:p w14:paraId="2A4CEA81">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二、服务目标、人数、区域、期限及内容</w:t>
      </w:r>
    </w:p>
    <w:p w14:paraId="737FD3C4">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（一）服务内容：</w:t>
      </w:r>
    </w:p>
    <w:p w14:paraId="1CA997DC">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1.安保工作时间：早班：</w:t>
      </w:r>
      <w:r>
        <w:rPr>
          <w:rFonts w:hint="eastAsia" w:cs="仿宋_GB2312" w:asciiTheme="minorEastAsia" w:hAnsiTheme="minorEastAsia" w:eastAsiaTheme="minorEastAsia"/>
          <w:color w:val="auto"/>
          <w:szCs w:val="21"/>
          <w:highlight w:val="none"/>
          <w:lang w:val="en-US" w:eastAsia="zh-CN"/>
        </w:rPr>
        <w:t xml:space="preserve"> </w:t>
      </w:r>
    </w:p>
    <w:p w14:paraId="0A207CDF">
      <w:pPr>
        <w:widowControl/>
        <w:shd w:val="clear" w:color="auto" w:fill="FFFFFF"/>
        <w:spacing w:line="360" w:lineRule="auto"/>
        <w:ind w:firstLine="2100" w:firstLineChars="1000"/>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中班：</w:t>
      </w:r>
      <w:r>
        <w:rPr>
          <w:rFonts w:hint="eastAsia" w:cs="仿宋_GB2312" w:asciiTheme="minorEastAsia" w:hAnsiTheme="minorEastAsia" w:eastAsiaTheme="minorEastAsia"/>
          <w:color w:val="auto"/>
          <w:szCs w:val="21"/>
          <w:highlight w:val="none"/>
          <w:lang w:val="en-US" w:eastAsia="zh-CN"/>
        </w:rPr>
        <w:t xml:space="preserve"> </w:t>
      </w:r>
    </w:p>
    <w:p w14:paraId="5A534E7D">
      <w:pPr>
        <w:widowControl/>
        <w:shd w:val="clear" w:color="auto" w:fill="FFFFFF"/>
        <w:spacing w:line="360" w:lineRule="auto"/>
        <w:ind w:firstLine="2100" w:firstLineChars="1000"/>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晚班：</w:t>
      </w:r>
      <w:r>
        <w:rPr>
          <w:rFonts w:hint="eastAsia" w:cs="仿宋_GB2312" w:asciiTheme="minorEastAsia" w:hAnsiTheme="minorEastAsia" w:eastAsiaTheme="minorEastAsia"/>
          <w:color w:val="auto"/>
          <w:szCs w:val="21"/>
          <w:highlight w:val="none"/>
          <w:lang w:val="en-US" w:eastAsia="zh-CN"/>
        </w:rPr>
        <w:t xml:space="preserve"> </w:t>
      </w:r>
    </w:p>
    <w:p w14:paraId="73657428">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2.安保服务</w:t>
      </w:r>
      <w:r>
        <w:rPr>
          <w:rFonts w:hint="eastAsia" w:cs="仿宋_GB2312" w:asciiTheme="minorEastAsia" w:hAnsiTheme="minorEastAsia" w:eastAsiaTheme="minorEastAsia"/>
          <w:color w:val="auto"/>
          <w:szCs w:val="21"/>
          <w:highlight w:val="none"/>
          <w:lang w:val="en-US" w:eastAsia="zh-CN"/>
        </w:rPr>
        <w:t>要求</w:t>
      </w:r>
    </w:p>
    <w:p w14:paraId="669BDB9C">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1</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具备保安服务资格。须提供</w:t>
      </w:r>
      <w:r>
        <w:rPr>
          <w:rFonts w:hint="eastAsia" w:cs="仿宋_GB2312" w:asciiTheme="minorEastAsia" w:hAnsiTheme="minorEastAsia" w:eastAsiaTheme="minorEastAsia"/>
          <w:color w:val="auto"/>
          <w:szCs w:val="21"/>
          <w:highlight w:val="none"/>
          <w:lang w:val="en-US" w:eastAsia="zh-CN"/>
        </w:rPr>
        <w:t>行政主管部门</w:t>
      </w:r>
      <w:r>
        <w:rPr>
          <w:rFonts w:hint="eastAsia" w:cs="仿宋_GB2312" w:asciiTheme="minorEastAsia" w:hAnsiTheme="minorEastAsia" w:eastAsiaTheme="minorEastAsia"/>
          <w:color w:val="auto"/>
          <w:szCs w:val="21"/>
          <w:highlight w:val="none"/>
        </w:rPr>
        <w:t>核发的有效的《保安服务许可证》。</w:t>
      </w:r>
    </w:p>
    <w:p w14:paraId="1F6F0CB1">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2</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负责学校各出入通道的安保管理工作，维护好门卫的正常秩序，确保校园教学、工作和生活秩序正常。</w:t>
      </w:r>
    </w:p>
    <w:p w14:paraId="0E43B903">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3</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负责各教学楼、校内公共区域的日常安保巡逻、保障校园公共财产安全，协助保卫处进行群体性事件的处理和大型活动的安保工作。</w:t>
      </w:r>
    </w:p>
    <w:p w14:paraId="1C474031">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4</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负责协助学校保卫处做好学校内部及公共区域的治安管理，维护内部治安秩序，维护校园内的交通秩序。</w:t>
      </w:r>
    </w:p>
    <w:p w14:paraId="7B913357">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5</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严格执行进出机动车、非机动车、人员、物品的检查，规范填写进出人员登记表，禁止闲杂人员进入校园。</w:t>
      </w:r>
    </w:p>
    <w:p w14:paraId="4D46C830">
      <w:pPr>
        <w:widowControl/>
        <w:shd w:val="clear" w:color="auto" w:fill="FFFFFF"/>
        <w:spacing w:line="360" w:lineRule="auto"/>
        <w:ind w:firstLine="420" w:firstLineChars="200"/>
        <w:jc w:val="left"/>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6</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保护发生在校园内的刑事、治安等案发现场，协助公安机关维护现场秩序，对发生的刑事、治安等案件，及时向保卫处报告。</w:t>
      </w:r>
    </w:p>
    <w:p w14:paraId="52C5953C">
      <w:pPr>
        <w:widowControl/>
        <w:shd w:val="clear" w:color="auto" w:fill="FFFFFF"/>
        <w:spacing w:line="360" w:lineRule="auto"/>
        <w:ind w:firstLine="420" w:firstLineChars="200"/>
        <w:jc w:val="left"/>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7</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预防和制止冲击学校突发性事件的发生及配合处理。</w:t>
      </w:r>
    </w:p>
    <w:p w14:paraId="63AD7905">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（二）服务人数：</w:t>
      </w:r>
      <w:r>
        <w:rPr>
          <w:rFonts w:hint="eastAsia" w:cs="仿宋_GB2312" w:asciiTheme="minorEastAsia" w:hAnsiTheme="minorEastAsia" w:eastAsiaTheme="minorEastAsia"/>
          <w:color w:val="auto"/>
          <w:szCs w:val="21"/>
          <w:highlight w:val="none"/>
          <w:lang w:val="en-US" w:eastAsia="zh-CN"/>
        </w:rPr>
        <w:t>25名安保人防服务人员</w:t>
      </w:r>
      <w:r>
        <w:rPr>
          <w:rFonts w:hint="eastAsia" w:cs="仿宋_GB2312" w:asciiTheme="minorEastAsia" w:hAnsiTheme="minorEastAsia" w:eastAsiaTheme="minorEastAsia"/>
          <w:color w:val="auto"/>
          <w:szCs w:val="21"/>
          <w:highlight w:val="none"/>
        </w:rPr>
        <w:t>。</w:t>
      </w:r>
    </w:p>
    <w:p w14:paraId="509DEE82">
      <w:pPr>
        <w:adjustRightInd w:val="0"/>
        <w:snapToGrid w:val="0"/>
        <w:spacing w:before="120" w:beforeLines="50"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（三）服务区域：</w:t>
      </w:r>
      <w:r>
        <w:rPr>
          <w:rFonts w:hint="eastAsia" w:cs="仿宋_GB2312" w:asciiTheme="minorEastAsia" w:hAnsiTheme="minorEastAsia" w:eastAsiaTheme="minorEastAsia"/>
          <w:color w:val="auto"/>
          <w:szCs w:val="21"/>
          <w:highlight w:val="none"/>
          <w:u w:val="single"/>
          <w:lang w:val="en-US" w:eastAsia="zh-CN"/>
        </w:rPr>
        <w:t xml:space="preserve">                     </w:t>
      </w:r>
      <w:r>
        <w:rPr>
          <w:rFonts w:hint="eastAsia" w:cs="仿宋_GB2312" w:asciiTheme="minorEastAsia" w:hAnsiTheme="minorEastAsia" w:eastAsiaTheme="minorEastAsia"/>
          <w:color w:val="auto"/>
          <w:szCs w:val="21"/>
          <w:highlight w:val="none"/>
        </w:rPr>
        <w:t>；</w:t>
      </w:r>
    </w:p>
    <w:p w14:paraId="5575F6C9">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（四）服务期限：本合同自</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日至</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日止，</w:t>
      </w:r>
      <w:r>
        <w:rPr>
          <w:rFonts w:hint="eastAsia" w:cs="仿宋_GB2312" w:asciiTheme="minorEastAsia" w:hAnsiTheme="minorEastAsia" w:eastAsiaTheme="minorEastAsia"/>
          <w:color w:val="auto"/>
          <w:szCs w:val="21"/>
          <w:highlight w:val="none"/>
          <w:lang w:val="en-US" w:eastAsia="zh-CN"/>
        </w:rPr>
        <w:t>一</w:t>
      </w:r>
      <w:r>
        <w:rPr>
          <w:rFonts w:hint="eastAsia" w:cs="仿宋_GB2312" w:asciiTheme="minorEastAsia" w:hAnsiTheme="minorEastAsia" w:eastAsiaTheme="minorEastAsia"/>
          <w:color w:val="auto"/>
          <w:szCs w:val="21"/>
          <w:highlight w:val="none"/>
        </w:rPr>
        <w:t>年</w:t>
      </w:r>
    </w:p>
    <w:p w14:paraId="276861CF">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三、甲方责任</w:t>
      </w:r>
    </w:p>
    <w:p w14:paraId="64E51801">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（一）负责向乙方提供岗位目标，内部详细的有关资料、规章制度和相应的工作条件，以便保安人员履行职责；</w:t>
      </w:r>
    </w:p>
    <w:p w14:paraId="46D8117F">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（二）负责提供乙方进驻保安人员提供值班室；</w:t>
      </w:r>
    </w:p>
    <w:p w14:paraId="5DF02425">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（三）负责提供乙方保安人员在工作时使用的照明；</w:t>
      </w:r>
    </w:p>
    <w:p w14:paraId="2705A537">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（四）负责教育内部职工及相关人员积极配合保安人员做好安全防范工作，对违反规定和不听劝告人员，保安人员提出后甲方应做好协调教育工作；</w:t>
      </w:r>
    </w:p>
    <w:p w14:paraId="40B43B5F">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（五）校安办代表学校对保安公司安保服务质量进行监管，制订校园安保服务质量监管评价办法，定期对保安公司服务质量进行评价；</w:t>
      </w:r>
    </w:p>
    <w:p w14:paraId="69086FE3">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（六）及时整改乙方保安人员在工作过程中出提出的不安全隐患；</w:t>
      </w:r>
    </w:p>
    <w:p w14:paraId="37F74379">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（七）不得要求乙方保安人员违反《保安条例》第十七条之规定；</w:t>
      </w:r>
    </w:p>
    <w:p w14:paraId="11916DA8">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（八）保安人员应接受双重领导管理，既是保安公司的一员，又是所在单位的一员，必须服从管理，听从指挥；</w:t>
      </w:r>
    </w:p>
    <w:p w14:paraId="654BD347">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（九）校安办派专人每日对保安公司服务情况进行监督、检查和记录，在此基础上每月对保安公司服务质量进行评分。</w:t>
      </w:r>
    </w:p>
    <w:p w14:paraId="2F6B8CF2">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四、乙方责任</w:t>
      </w:r>
    </w:p>
    <w:p w14:paraId="3A0B3C62">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（一）积极主动协调处理校园交通、安全、秩序等方面的突发事件，迅速排除各种险情，及时制止违法犯罪行为；当发生各类案件、事故及其他重大问题和重要情况时，应及时向学校保卫处报告；</w:t>
      </w:r>
    </w:p>
    <w:p w14:paraId="78E574B4">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二）负责各岗位范围内突发事件的应急处置，一旦出现突发事件，保安人员要第一时间赶赴现场维护秩序，有效制止影响学校形象、师生人身安全和干扰学校秩序的行为，必要时报警请求公安机关支持，维护学校秩序；</w:t>
      </w:r>
    </w:p>
    <w:p w14:paraId="05431050">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（三）对保安人员进行管理，必须严格遵守安保从业规范和学校管理制度；</w:t>
      </w:r>
    </w:p>
    <w:p w14:paraId="3103D056">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（四）服务期间必须做到着装统一，仪表整洁，动作规范。对师生员工和外来人员要以礼相待，文明执勤，热情服务；</w:t>
      </w:r>
    </w:p>
    <w:p w14:paraId="12E000DA">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（五）派驻保安人员应具备的个人素质条件：所有拟派人员</w:t>
      </w:r>
      <w:r>
        <w:rPr>
          <w:rFonts w:hint="eastAsia"/>
          <w:color w:val="auto"/>
          <w:highlight w:val="none"/>
        </w:rPr>
        <w:t>年龄</w:t>
      </w:r>
      <w:r>
        <w:rPr>
          <w:rFonts w:hint="eastAsia"/>
          <w:color w:val="auto"/>
          <w:highlight w:val="none"/>
          <w:vertAlign w:val="baseline"/>
        </w:rPr>
        <w:t>18岁</w:t>
      </w:r>
      <w:r>
        <w:rPr>
          <w:rFonts w:hint="eastAsia"/>
          <w:color w:val="auto"/>
          <w:highlight w:val="none"/>
          <w:vertAlign w:val="baseline"/>
          <w:lang w:val="en-US" w:eastAsia="zh-CN"/>
        </w:rPr>
        <w:t>以上，</w:t>
      </w:r>
      <w:r>
        <w:rPr>
          <w:rFonts w:hint="eastAsia" w:cs="仿宋_GB2312" w:asciiTheme="minorEastAsia" w:hAnsiTheme="minorEastAsia" w:eastAsiaTheme="minorEastAsia"/>
          <w:color w:val="auto"/>
          <w:szCs w:val="21"/>
          <w:highlight w:val="none"/>
        </w:rPr>
        <w:t>身体健康，体貌端正，无残疾，无传染病及精神病史，无违法犯罪记录；确保在合同签订后一个月内将</w:t>
      </w:r>
      <w:r>
        <w:rPr>
          <w:rFonts w:hint="eastAsia" w:cs="仿宋_GB2312" w:asciiTheme="minorEastAsia" w:hAnsiTheme="minorEastAsia" w:eastAsiaTheme="minorEastAsia"/>
          <w:color w:val="auto"/>
          <w:szCs w:val="21"/>
          <w:highlight w:val="none"/>
          <w:lang w:val="en-US" w:eastAsia="zh-CN"/>
        </w:rPr>
        <w:t>25</w:t>
      </w:r>
      <w:r>
        <w:rPr>
          <w:rFonts w:hint="eastAsia" w:cs="仿宋_GB2312" w:asciiTheme="minorEastAsia" w:hAnsiTheme="minorEastAsia" w:eastAsiaTheme="minorEastAsia"/>
          <w:color w:val="auto"/>
          <w:szCs w:val="21"/>
          <w:highlight w:val="none"/>
        </w:rPr>
        <w:t>名安保人防服务人员全部配置到位。</w:t>
      </w:r>
    </w:p>
    <w:p w14:paraId="4DB8931A">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（六）对保安人员进行轮训教育，以提高保安人员的政治、业务素质并确保保安人员能履行职责；</w:t>
      </w:r>
    </w:p>
    <w:p w14:paraId="491C5353">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（七）负责配备进驻保安人员的服装、装备（治安器械、安保记录仪等）、生活用品等；</w:t>
      </w:r>
    </w:p>
    <w:p w14:paraId="3E02361C">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（八）保证保安人员必须遵纪守法、准点准时上岗，提供合同明确的服务并达到甲方要求的服务质量；</w:t>
      </w:r>
    </w:p>
    <w:p w14:paraId="69D01DDB">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（九）乙方必须全年每天24小时巡逻、值班、值勤；</w:t>
      </w:r>
    </w:p>
    <w:p w14:paraId="50385F84">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（十）服务过程中若有人员变动，新驻保安由保安公司填写“保安人员登记表”送学校备案，如有人员变动应及时将新的人员登记表送至学校；</w:t>
      </w:r>
    </w:p>
    <w:p w14:paraId="7053C59F">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（十一）建立健全岗位职责、值班制度、考勤制度、奖惩制度等管理制度；派出专人负责校园保安人员和日常工作管理，对保安队员工作进行考核，规范化安保的管理行为；</w:t>
      </w:r>
    </w:p>
    <w:p w14:paraId="01657CD6">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（十二）负责保安人员的工资发放；若因乙方不及时或不足额发放保安人员工资，间接造成甲方损失的，由乙方承担赔偿责任。</w:t>
      </w:r>
    </w:p>
    <w:p w14:paraId="602414AC">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（十三）驻校保安管理人员</w:t>
      </w:r>
      <w:r>
        <w:rPr>
          <w:rFonts w:hint="eastAsia" w:cs="仿宋_GB2312" w:asciiTheme="minorEastAsia" w:hAnsiTheme="minorEastAsia" w:eastAsiaTheme="minorEastAsia"/>
          <w:color w:val="auto"/>
          <w:szCs w:val="21"/>
          <w:highlight w:val="none"/>
          <w:lang w:val="en-US" w:eastAsia="zh-CN"/>
        </w:rPr>
        <w:t xml:space="preserve">   </w:t>
      </w:r>
      <w:r>
        <w:rPr>
          <w:rFonts w:hint="eastAsia" w:cs="仿宋_GB2312" w:asciiTheme="minorEastAsia" w:hAnsiTheme="minorEastAsia" w:eastAsiaTheme="minorEastAsia"/>
          <w:color w:val="auto"/>
          <w:szCs w:val="21"/>
          <w:highlight w:val="none"/>
        </w:rPr>
        <w:t>人</w:t>
      </w:r>
      <w:r>
        <w:rPr>
          <w:rFonts w:hint="eastAsia"/>
          <w:color w:val="auto"/>
          <w:highlight w:val="none"/>
          <w:vertAlign w:val="baseline"/>
        </w:rPr>
        <w:t>及</w:t>
      </w:r>
      <w:r>
        <w:rPr>
          <w:rFonts w:hint="eastAsia"/>
          <w:color w:val="auto"/>
          <w:highlight w:val="none"/>
          <w:vertAlign w:val="baseline"/>
          <w:lang w:val="en-US" w:eastAsia="zh-CN"/>
        </w:rPr>
        <w:t xml:space="preserve">   </w:t>
      </w:r>
      <w:r>
        <w:rPr>
          <w:rFonts w:hint="eastAsia"/>
          <w:color w:val="auto"/>
          <w:highlight w:val="none"/>
          <w:vertAlign w:val="baseline"/>
        </w:rPr>
        <w:t>名兼职消防安全员</w:t>
      </w:r>
      <w:r>
        <w:rPr>
          <w:rFonts w:hint="eastAsia" w:cs="仿宋_GB2312" w:asciiTheme="minorEastAsia" w:hAnsiTheme="minorEastAsia" w:eastAsiaTheme="minorEastAsia"/>
          <w:color w:val="auto"/>
          <w:szCs w:val="21"/>
          <w:highlight w:val="none"/>
        </w:rPr>
        <w:t>；</w:t>
      </w:r>
    </w:p>
    <w:p w14:paraId="61D910C9">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四）乙方派驻保安在工作期间，因受甲方指使行使超出保安人员正常工作范围，造成人员伤亡引起的事故，由甲方负责解决，乙方全力配合解决；如在乙方正常服务工作范围内或因乙方保安人员自身原因引起的事故纠纷由乙方负责解决，甲方应予协助配合。保安人员与乙方发生的劳动、劳务合同纠纷</w:t>
      </w:r>
      <w:r>
        <w:rPr>
          <w:rFonts w:hint="eastAsia" w:cs="仿宋_GB2312" w:asciiTheme="minorEastAsia" w:hAnsiTheme="minorEastAsia" w:eastAsiaTheme="minorEastAsia"/>
          <w:color w:val="auto"/>
          <w:szCs w:val="21"/>
          <w:highlight w:val="none"/>
        </w:rPr>
        <w:t>与甲方无关，由乙方自行处理；</w:t>
      </w:r>
    </w:p>
    <w:p w14:paraId="1DDE5563">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（十五）乙方派驻保安在甲方工作期间，因工受伤（残、亡）或患有职业病的，由乙方负责进行工伤（残、亡）或职业病认定申请，并由乙方根据《工伤保险条例》及相关法规规定，负责落实工伤、职业病待遇；</w:t>
      </w:r>
    </w:p>
    <w:p w14:paraId="2C521487">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（十六）乙方应当与派驻的保安人员签订劳动合同，乙方保安人员的工资、奖金及各种福利待遇、社会保险由乙方负责。若乙方未履行相关义务的，因此而产生的一切经济责任和法律责任由乙方承担。</w:t>
      </w:r>
    </w:p>
    <w:p w14:paraId="5E8288B8">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五、工作时间</w:t>
      </w:r>
    </w:p>
    <w:p w14:paraId="6D753C18">
      <w:pPr>
        <w:adjustRightInd w:val="0"/>
        <w:snapToGrid w:val="0"/>
        <w:spacing w:line="360" w:lineRule="auto"/>
        <w:ind w:firstLine="420" w:firstLineChars="200"/>
        <w:rPr>
          <w:rFonts w:cs="仿宋_GB2312" w:asciiTheme="minorEastAsia" w:hAnsiTheme="minorEastAsia" w:eastAsiaTheme="minorEastAsia"/>
          <w:color w:val="auto"/>
          <w:szCs w:val="21"/>
          <w:highlight w:val="none"/>
          <w:u w:val="none"/>
        </w:rPr>
      </w:pPr>
      <w:r>
        <w:rPr>
          <w:rFonts w:hint="eastAsia" w:cs="仿宋_GB2312" w:asciiTheme="minorEastAsia" w:hAnsiTheme="minorEastAsia" w:eastAsiaTheme="minorEastAsia"/>
          <w:color w:val="auto"/>
          <w:szCs w:val="21"/>
          <w:highlight w:val="none"/>
          <w:u w:val="none"/>
        </w:rPr>
        <w:t>保安人员值勤时间：每周</w:t>
      </w:r>
      <w:r>
        <w:rPr>
          <w:rFonts w:hint="eastAsia" w:cs="仿宋_GB2312" w:asciiTheme="minorEastAsia" w:hAnsiTheme="minorEastAsia" w:eastAsiaTheme="minorEastAsia"/>
          <w:color w:val="auto"/>
          <w:szCs w:val="21"/>
          <w:highlight w:val="none"/>
          <w:u w:val="none"/>
          <w:lang w:val="en-US" w:eastAsia="zh-CN"/>
        </w:rPr>
        <w:t xml:space="preserve">  </w:t>
      </w:r>
      <w:r>
        <w:rPr>
          <w:rFonts w:hint="eastAsia" w:cs="仿宋_GB2312" w:asciiTheme="minorEastAsia" w:hAnsiTheme="minorEastAsia" w:eastAsiaTheme="minorEastAsia"/>
          <w:color w:val="auto"/>
          <w:szCs w:val="21"/>
          <w:highlight w:val="none"/>
          <w:u w:val="none"/>
        </w:rPr>
        <w:t>天，每天三班制、每班不得超过劳动法规定</w:t>
      </w:r>
      <w:r>
        <w:rPr>
          <w:rFonts w:cs="仿宋_GB2312" w:asciiTheme="minorEastAsia" w:hAnsiTheme="minorEastAsia" w:eastAsiaTheme="minorEastAsia"/>
          <w:color w:val="auto"/>
          <w:szCs w:val="21"/>
          <w:highlight w:val="none"/>
          <w:u w:val="none"/>
        </w:rPr>
        <w:t>8</w:t>
      </w:r>
      <w:r>
        <w:rPr>
          <w:rFonts w:hint="eastAsia" w:cs="仿宋_GB2312" w:asciiTheme="minorEastAsia" w:hAnsiTheme="minorEastAsia" w:eastAsiaTheme="minorEastAsia"/>
          <w:color w:val="auto"/>
          <w:szCs w:val="21"/>
          <w:highlight w:val="none"/>
          <w:u w:val="none"/>
        </w:rPr>
        <w:t>小时，每名保安人员每周休息</w:t>
      </w:r>
      <w:r>
        <w:rPr>
          <w:rFonts w:hint="eastAsia" w:cs="仿宋_GB2312" w:asciiTheme="minorEastAsia" w:hAnsiTheme="minorEastAsia" w:eastAsiaTheme="minorEastAsia"/>
          <w:color w:val="auto"/>
          <w:szCs w:val="21"/>
          <w:highlight w:val="none"/>
          <w:u w:val="none"/>
          <w:lang w:val="en-US" w:eastAsia="zh-CN"/>
        </w:rPr>
        <w:t>一</w:t>
      </w:r>
      <w:r>
        <w:rPr>
          <w:rFonts w:hint="eastAsia" w:cs="仿宋_GB2312" w:asciiTheme="minorEastAsia" w:hAnsiTheme="minorEastAsia" w:eastAsiaTheme="minorEastAsia"/>
          <w:color w:val="auto"/>
          <w:szCs w:val="21"/>
          <w:highlight w:val="none"/>
          <w:u w:val="none"/>
        </w:rPr>
        <w:t>天；乙方指派至甲方的保安人员工作正常休息，由甲方据情况给予调整。</w:t>
      </w:r>
    </w:p>
    <w:p w14:paraId="0AC81BE8">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六、服务费金额、付款方式及时间</w:t>
      </w:r>
    </w:p>
    <w:p w14:paraId="52FD280A">
      <w:pPr>
        <w:adjustRightInd w:val="0"/>
        <w:snapToGrid w:val="0"/>
        <w:spacing w:line="360" w:lineRule="auto"/>
        <w:ind w:firstLine="420" w:firstLineChars="200"/>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rPr>
        <w:t>（一）合同总价：</w:t>
      </w:r>
      <w:r>
        <w:rPr>
          <w:rFonts w:hint="eastAsia" w:cs="仿宋" w:asciiTheme="minorEastAsia" w:hAnsiTheme="minorEastAsia" w:eastAsiaTheme="minorEastAsia"/>
          <w:b/>
          <w:bCs/>
          <w:color w:val="auto"/>
          <w:szCs w:val="21"/>
          <w:highlight w:val="none"/>
          <w:u w:val="single"/>
        </w:rPr>
        <w:t xml:space="preserve">     </w:t>
      </w:r>
      <w:r>
        <w:rPr>
          <w:rFonts w:hint="eastAsia" w:cs="仿宋" w:asciiTheme="minorEastAsia" w:hAnsiTheme="minorEastAsia" w:eastAsiaTheme="minorEastAsia"/>
          <w:color w:val="auto"/>
          <w:szCs w:val="21"/>
          <w:highlight w:val="none"/>
        </w:rPr>
        <w:t>元，人民币大写：</w:t>
      </w:r>
      <w:r>
        <w:rPr>
          <w:rFonts w:hint="eastAsia" w:cs="仿宋" w:asciiTheme="minorEastAsia" w:hAnsiTheme="minorEastAsia" w:eastAsiaTheme="minorEastAsia"/>
          <w:b/>
          <w:bCs/>
          <w:color w:val="auto"/>
          <w:szCs w:val="21"/>
          <w:highlight w:val="none"/>
          <w:u w:val="single"/>
        </w:rPr>
        <w:t xml:space="preserve">      </w:t>
      </w:r>
      <w:r>
        <w:rPr>
          <w:rFonts w:hint="eastAsia" w:cs="仿宋" w:asciiTheme="minorEastAsia" w:hAnsiTheme="minorEastAsia" w:eastAsiaTheme="minorEastAsia"/>
          <w:color w:val="auto"/>
          <w:szCs w:val="21"/>
          <w:highlight w:val="none"/>
        </w:rPr>
        <w:t>；</w:t>
      </w:r>
      <w:r>
        <w:rPr>
          <w:rFonts w:hint="eastAsia" w:cs="仿宋" w:asciiTheme="minorEastAsia" w:hAnsiTheme="minorEastAsia" w:eastAsiaTheme="minorEastAsia"/>
          <w:color w:val="auto"/>
          <w:szCs w:val="21"/>
          <w:highlight w:val="none"/>
          <w:lang w:val="en-US" w:eastAsia="zh-CN"/>
        </w:rPr>
        <w:t>单价： 元/人/月。</w:t>
      </w:r>
    </w:p>
    <w:p w14:paraId="16807C7E">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（二）付费方式及时间：乙方正式入场服务，合同经双方签字生效后，</w:t>
      </w:r>
      <w:r>
        <w:rPr>
          <w:rFonts w:hint="eastAsia" w:ascii="宋体" w:hAnsi="宋体" w:cs="仿宋_GB2312"/>
          <w:color w:val="auto"/>
          <w:szCs w:val="21"/>
          <w:highlight w:val="none"/>
          <w:lang w:val="en-US" w:eastAsia="zh-CN"/>
        </w:rPr>
        <w:t>服务费按季度进行支付。由于政府采购支付款项政策的变化，乙方每季度服务结束后，10日内向甲方提供发票，甲方收到发票后10日内在财政一体化平台上完成支付申请，具体支付到乙方账户的时间以财政审批为准，乙方不得以此为由影响工作或纠缠学校</w:t>
      </w:r>
      <w:r>
        <w:rPr>
          <w:rFonts w:hint="eastAsia" w:ascii="宋体" w:hAnsi="宋体" w:cs="仿宋_GB2312"/>
          <w:color w:val="auto"/>
          <w:szCs w:val="21"/>
          <w:highlight w:val="none"/>
        </w:rPr>
        <w:t>。</w:t>
      </w:r>
    </w:p>
    <w:p w14:paraId="677DA05C">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 w:asciiTheme="minorEastAsia" w:hAnsiTheme="minorEastAsia" w:eastAsiaTheme="minorEastAsia"/>
          <w:color w:val="auto"/>
          <w:kern w:val="0"/>
          <w:szCs w:val="21"/>
          <w:highlight w:val="none"/>
        </w:rPr>
        <w:t>（三）银行账户：</w:t>
      </w:r>
      <w:r>
        <w:rPr>
          <w:rFonts w:hint="eastAsia"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rPr>
        <w:t>；税号：</w:t>
      </w:r>
      <w:r>
        <w:rPr>
          <w:rFonts w:hint="eastAsia"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rPr>
        <w:t>；地址：</w:t>
      </w:r>
      <w:r>
        <w:rPr>
          <w:rFonts w:hint="eastAsia" w:cs="仿宋" w:asciiTheme="minorEastAsia" w:hAnsiTheme="minorEastAsia" w:eastAsiaTheme="minorEastAsia"/>
          <w:color w:val="auto"/>
          <w:kern w:val="0"/>
          <w:szCs w:val="21"/>
          <w:highlight w:val="none"/>
          <w:u w:val="single"/>
        </w:rPr>
        <w:t xml:space="preserve">                </w:t>
      </w:r>
      <w:r>
        <w:rPr>
          <w:rFonts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rPr>
        <w:t>；开户银行：</w:t>
      </w:r>
      <w:r>
        <w:rPr>
          <w:rFonts w:hint="eastAsia"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rPr>
        <w:t>；银行帐户：</w:t>
      </w:r>
      <w:r>
        <w:rPr>
          <w:rFonts w:hint="eastAsia" w:cs="仿宋" w:asciiTheme="minorEastAsia" w:hAnsiTheme="minorEastAsia" w:eastAsiaTheme="minorEastAsia"/>
          <w:color w:val="auto"/>
          <w:kern w:val="0"/>
          <w:szCs w:val="21"/>
          <w:highlight w:val="none"/>
          <w:u w:val="single"/>
        </w:rPr>
        <w:t xml:space="preserve">                       </w:t>
      </w:r>
      <w:r>
        <w:rPr>
          <w:rFonts w:hint="eastAsia" w:cs="仿宋" w:asciiTheme="minorEastAsia" w:hAnsiTheme="minorEastAsia" w:eastAsiaTheme="minorEastAsia"/>
          <w:color w:val="auto"/>
          <w:kern w:val="0"/>
          <w:szCs w:val="21"/>
          <w:highlight w:val="none"/>
        </w:rPr>
        <w:t>；</w:t>
      </w:r>
    </w:p>
    <w:p w14:paraId="3D13F9EB">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七、履约担保</w:t>
      </w:r>
    </w:p>
    <w:p w14:paraId="501B6A19">
      <w:pPr>
        <w:tabs>
          <w:tab w:val="left" w:pos="720"/>
        </w:tabs>
        <w:spacing w:line="360" w:lineRule="auto"/>
        <w:ind w:firstLine="420" w:firstLineChars="200"/>
        <w:textAlignment w:val="top"/>
        <w:rPr>
          <w:rFonts w:cs="仿宋"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1.履约保证金的形式：</w:t>
      </w:r>
      <w:r>
        <w:rPr>
          <w:rFonts w:hint="eastAsia" w:cs="仿宋" w:asciiTheme="minorEastAsia" w:hAnsiTheme="minorEastAsia" w:eastAsiaTheme="minorEastAsia"/>
          <w:bCs/>
          <w:color w:val="auto"/>
          <w:szCs w:val="21"/>
          <w:highlight w:val="none"/>
          <w:u w:val="single"/>
        </w:rPr>
        <w:t xml:space="preserve">                 </w:t>
      </w:r>
      <w:r>
        <w:rPr>
          <w:rFonts w:hint="eastAsia" w:cs="仿宋" w:asciiTheme="minorEastAsia" w:hAnsiTheme="minorEastAsia" w:eastAsiaTheme="minorEastAsia"/>
          <w:bCs/>
          <w:color w:val="auto"/>
          <w:szCs w:val="21"/>
          <w:highlight w:val="none"/>
        </w:rPr>
        <w:t>；</w:t>
      </w:r>
    </w:p>
    <w:p w14:paraId="66B985D3">
      <w:pPr>
        <w:tabs>
          <w:tab w:val="left" w:pos="720"/>
        </w:tabs>
        <w:spacing w:line="360" w:lineRule="auto"/>
        <w:ind w:firstLine="420" w:firstLineChars="200"/>
        <w:textAlignment w:val="top"/>
        <w:rPr>
          <w:rFonts w:cs="仿宋"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2.履约保证金金额：</w:t>
      </w:r>
      <w:r>
        <w:rPr>
          <w:rFonts w:hint="eastAsia" w:cs="仿宋" w:asciiTheme="minorEastAsia" w:hAnsiTheme="minorEastAsia" w:eastAsiaTheme="minorEastAsia"/>
          <w:bCs/>
          <w:color w:val="auto"/>
          <w:szCs w:val="21"/>
          <w:highlight w:val="none"/>
          <w:u w:val="none"/>
        </w:rPr>
        <w:t>合同总价的</w:t>
      </w:r>
      <w:r>
        <w:rPr>
          <w:rFonts w:hint="eastAsia" w:cs="仿宋" w:asciiTheme="minorEastAsia" w:hAnsiTheme="minorEastAsia" w:eastAsiaTheme="minorEastAsia"/>
          <w:bCs/>
          <w:color w:val="auto"/>
          <w:szCs w:val="21"/>
          <w:highlight w:val="none"/>
          <w:u w:val="single"/>
          <w:lang w:val="en-US" w:eastAsia="zh-CN"/>
        </w:rPr>
        <w:t xml:space="preserve">     </w:t>
      </w:r>
      <w:r>
        <w:rPr>
          <w:rFonts w:hint="eastAsia" w:cs="仿宋" w:asciiTheme="minorEastAsia" w:hAnsiTheme="minorEastAsia" w:eastAsiaTheme="minorEastAsia"/>
          <w:bCs/>
          <w:color w:val="auto"/>
          <w:szCs w:val="21"/>
          <w:highlight w:val="none"/>
          <w:u w:val="none"/>
        </w:rPr>
        <w:t>%，即小写：</w:t>
      </w:r>
      <w:r>
        <w:rPr>
          <w:rFonts w:hint="eastAsia" w:cs="仿宋" w:asciiTheme="minorEastAsia" w:hAnsiTheme="minorEastAsia" w:eastAsiaTheme="minorEastAsia"/>
          <w:b/>
          <w:color w:val="auto"/>
          <w:szCs w:val="21"/>
          <w:highlight w:val="none"/>
          <w:u w:val="none"/>
        </w:rPr>
        <w:t>¥         元</w:t>
      </w:r>
      <w:r>
        <w:rPr>
          <w:rFonts w:hint="eastAsia" w:cs="仿宋" w:asciiTheme="minorEastAsia" w:hAnsiTheme="minorEastAsia" w:eastAsiaTheme="minorEastAsia"/>
          <w:bCs/>
          <w:color w:val="auto"/>
          <w:szCs w:val="21"/>
          <w:highlight w:val="none"/>
          <w:u w:val="none"/>
        </w:rPr>
        <w:t>（大写：</w:t>
      </w:r>
      <w:r>
        <w:rPr>
          <w:rFonts w:hint="eastAsia" w:cs="仿宋" w:asciiTheme="minorEastAsia" w:hAnsiTheme="minorEastAsia" w:eastAsiaTheme="minorEastAsia"/>
          <w:b/>
          <w:color w:val="auto"/>
          <w:szCs w:val="21"/>
          <w:highlight w:val="none"/>
          <w:u w:val="none"/>
        </w:rPr>
        <w:t xml:space="preserve">          </w:t>
      </w:r>
      <w:r>
        <w:rPr>
          <w:rFonts w:hint="eastAsia" w:cs="仿宋" w:asciiTheme="minorEastAsia" w:hAnsiTheme="minorEastAsia" w:eastAsiaTheme="minorEastAsia"/>
          <w:bCs/>
          <w:color w:val="auto"/>
          <w:szCs w:val="21"/>
          <w:highlight w:val="none"/>
          <w:u w:val="none"/>
        </w:rPr>
        <w:t>）</w:t>
      </w:r>
      <w:r>
        <w:rPr>
          <w:rFonts w:hint="eastAsia" w:cs="仿宋" w:asciiTheme="minorEastAsia" w:hAnsiTheme="minorEastAsia" w:eastAsiaTheme="minorEastAsia"/>
          <w:bCs/>
          <w:color w:val="auto"/>
          <w:szCs w:val="21"/>
          <w:highlight w:val="none"/>
        </w:rPr>
        <w:t>；</w:t>
      </w:r>
      <w:bookmarkStart w:id="402" w:name="_Hlk59174216"/>
      <w:r>
        <w:rPr>
          <w:rFonts w:hint="eastAsia" w:cs="仿宋" w:asciiTheme="minorEastAsia" w:hAnsiTheme="minorEastAsia" w:eastAsiaTheme="minorEastAsia"/>
          <w:bCs/>
          <w:color w:val="auto"/>
          <w:szCs w:val="21"/>
          <w:highlight w:val="none"/>
        </w:rPr>
        <w:t>支付时间为</w:t>
      </w:r>
      <w:r>
        <w:rPr>
          <w:rFonts w:hint="eastAsia" w:cs="宋体" w:asciiTheme="minorEastAsia" w:hAnsiTheme="minorEastAsia" w:eastAsiaTheme="minorEastAsia"/>
          <w:color w:val="auto"/>
          <w:szCs w:val="21"/>
          <w:highlight w:val="none"/>
        </w:rPr>
        <w:t>签订合同前</w:t>
      </w:r>
      <w:bookmarkEnd w:id="402"/>
      <w:r>
        <w:rPr>
          <w:rFonts w:hint="eastAsia" w:cs="仿宋" w:asciiTheme="minorEastAsia" w:hAnsiTheme="minorEastAsia" w:eastAsiaTheme="minorEastAsia"/>
          <w:bCs/>
          <w:color w:val="auto"/>
          <w:szCs w:val="21"/>
          <w:highlight w:val="none"/>
        </w:rPr>
        <w:t>。</w:t>
      </w:r>
    </w:p>
    <w:p w14:paraId="0C832B0C">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u w:val="single"/>
        </w:rPr>
      </w:pPr>
      <w:r>
        <w:rPr>
          <w:rFonts w:hint="eastAsia" w:cs="仿宋" w:asciiTheme="minorEastAsia" w:hAnsiTheme="minorEastAsia" w:eastAsiaTheme="minorEastAsia"/>
          <w:bCs/>
          <w:color w:val="auto"/>
          <w:szCs w:val="21"/>
          <w:highlight w:val="none"/>
        </w:rPr>
        <w:t>3.履约保证金的退还：</w:t>
      </w:r>
      <w:r>
        <w:rPr>
          <w:rFonts w:hint="eastAsia" w:cs="仿宋" w:asciiTheme="minorEastAsia" w:hAnsiTheme="minorEastAsia" w:eastAsiaTheme="minorEastAsia"/>
          <w:color w:val="auto"/>
          <w:szCs w:val="21"/>
          <w:highlight w:val="none"/>
          <w:u w:val="single"/>
          <w:lang w:eastAsia="zh-CN"/>
        </w:rPr>
        <w:t>服务期限（周期）</w:t>
      </w:r>
      <w:r>
        <w:rPr>
          <w:rFonts w:hint="eastAsia" w:cs="仿宋" w:asciiTheme="minorEastAsia" w:hAnsiTheme="minorEastAsia" w:eastAsiaTheme="minorEastAsia"/>
          <w:color w:val="auto"/>
          <w:szCs w:val="21"/>
          <w:highlight w:val="none"/>
          <w:u w:val="single"/>
        </w:rPr>
        <w:t>结束后，一次性无息退还</w:t>
      </w:r>
      <w:r>
        <w:rPr>
          <w:rFonts w:hint="eastAsia" w:cs="仿宋" w:asciiTheme="minorEastAsia" w:hAnsiTheme="minorEastAsia" w:eastAsiaTheme="minorEastAsia"/>
          <w:color w:val="auto"/>
          <w:szCs w:val="21"/>
          <w:highlight w:val="none"/>
        </w:rPr>
        <w:t>。</w:t>
      </w:r>
    </w:p>
    <w:p w14:paraId="424A2A19">
      <w:pPr>
        <w:tabs>
          <w:tab w:val="left" w:pos="720"/>
        </w:tabs>
        <w:spacing w:line="360" w:lineRule="auto"/>
        <w:ind w:firstLine="420" w:firstLineChars="200"/>
        <w:textAlignment w:val="top"/>
        <w:rPr>
          <w:rFonts w:cs="仿宋" w:asciiTheme="minorEastAsia" w:hAnsiTheme="minorEastAsia" w:eastAsiaTheme="minorEastAsia"/>
          <w:bCs/>
          <w:color w:val="auto"/>
          <w:szCs w:val="21"/>
          <w:highlight w:val="none"/>
          <w:u w:val="single"/>
        </w:rPr>
      </w:pPr>
      <w:r>
        <w:rPr>
          <w:rFonts w:hint="eastAsia" w:cs="仿宋" w:asciiTheme="minorEastAsia" w:hAnsiTheme="minorEastAsia" w:eastAsiaTheme="minorEastAsia"/>
          <w:color w:val="auto"/>
          <w:szCs w:val="21"/>
          <w:highlight w:val="none"/>
        </w:rPr>
        <w:t>4.</w:t>
      </w:r>
      <w:r>
        <w:rPr>
          <w:rFonts w:hint="eastAsia" w:cs="仿宋" w:asciiTheme="minorEastAsia" w:hAnsiTheme="minorEastAsia" w:eastAsiaTheme="minorEastAsia"/>
          <w:bCs/>
          <w:color w:val="auto"/>
          <w:szCs w:val="21"/>
          <w:highlight w:val="none"/>
        </w:rPr>
        <w:t>履约保证金不予退还的情形：</w:t>
      </w:r>
      <w:r>
        <w:rPr>
          <w:rFonts w:hint="eastAsia" w:cs="仿宋" w:asciiTheme="minorEastAsia" w:hAnsiTheme="minorEastAsia" w:eastAsiaTheme="minorEastAsia"/>
          <w:bCs/>
          <w:color w:val="auto"/>
          <w:szCs w:val="21"/>
          <w:highlight w:val="none"/>
          <w:u w:val="single"/>
        </w:rPr>
        <w:t>乙方不履行或者不完全履行本合同约定的义务，未达到服务质量要求或未按投标书承诺等的，甲方有权要求乙方限期整改，逾期未整改或严重违约的，甲方有权解除此合同，不予退还履约保证金。</w:t>
      </w:r>
    </w:p>
    <w:p w14:paraId="33200E78">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八、违约责任</w:t>
      </w:r>
    </w:p>
    <w:p w14:paraId="37627CD9">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（一）甲方在服务期限已到期或逾期未交纳服务费，而未向乙方提出正当理由的，乙方在到期限后</w:t>
      </w:r>
      <w:r>
        <w:rPr>
          <w:rFonts w:cs="仿宋_GB2312" w:asciiTheme="minorEastAsia" w:hAnsiTheme="minorEastAsia" w:eastAsiaTheme="minorEastAsia"/>
          <w:color w:val="auto"/>
          <w:szCs w:val="21"/>
          <w:highlight w:val="none"/>
        </w:rPr>
        <w:t>24</w:t>
      </w:r>
      <w:r>
        <w:rPr>
          <w:rFonts w:hint="eastAsia" w:cs="仿宋_GB2312" w:asciiTheme="minorEastAsia" w:hAnsiTheme="minorEastAsia" w:eastAsiaTheme="minorEastAsia"/>
          <w:color w:val="auto"/>
          <w:szCs w:val="21"/>
          <w:highlight w:val="none"/>
        </w:rPr>
        <w:t>小时内免费服务并书面通知甲方及进行工作交接，</w:t>
      </w:r>
      <w:r>
        <w:rPr>
          <w:rFonts w:cs="仿宋_GB2312" w:asciiTheme="minorEastAsia" w:hAnsiTheme="minorEastAsia" w:eastAsiaTheme="minorEastAsia"/>
          <w:color w:val="auto"/>
          <w:szCs w:val="21"/>
          <w:highlight w:val="none"/>
        </w:rPr>
        <w:t>24</w:t>
      </w:r>
      <w:r>
        <w:rPr>
          <w:rFonts w:hint="eastAsia" w:cs="仿宋_GB2312" w:asciiTheme="minorEastAsia" w:hAnsiTheme="minorEastAsia" w:eastAsiaTheme="minorEastAsia"/>
          <w:color w:val="auto"/>
          <w:szCs w:val="21"/>
          <w:highlight w:val="none"/>
        </w:rPr>
        <w:t>小时后自动撤离，不再承担任何责任；</w:t>
      </w:r>
    </w:p>
    <w:p w14:paraId="7362E62D">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（二）甲方对保安人员违反有关规章制度和工作不负责任的及时反馈给乙方，乙方按保安员职责规定及时处理答复；</w:t>
      </w:r>
    </w:p>
    <w:p w14:paraId="14F73CA4">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（三）如甲方认为乙方保安人员不称职，有权提出更换，乙方须在</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日内无条件予以更换新的保安员；</w:t>
      </w:r>
    </w:p>
    <w:p w14:paraId="06981939">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（四）如学校在合约结束后对保安公司服务满意，保安公司因自身问题无法与学校续约合同，则在合同结束前3个月向学校提交书面说明文件，以保障学校安保服务的正常工作；</w:t>
      </w:r>
    </w:p>
    <w:p w14:paraId="62F2B97F">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（五）校安办派专人每日对保安公司及保安人员的服务情况进行监督、检查和记录，在此基础上每月对保安公司及保安人员服务质量进行评分；每月考核90分及以上方为合格。</w:t>
      </w:r>
    </w:p>
    <w:p w14:paraId="5FA2B107">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（六）</w:t>
      </w:r>
      <w:bookmarkStart w:id="403" w:name="_Hlk75786027"/>
      <w:r>
        <w:rPr>
          <w:rFonts w:hint="eastAsia" w:cs="仿宋_GB2312" w:asciiTheme="minorEastAsia" w:hAnsiTheme="minorEastAsia" w:eastAsiaTheme="minorEastAsia"/>
          <w:color w:val="auto"/>
          <w:szCs w:val="21"/>
          <w:highlight w:val="none"/>
        </w:rPr>
        <w:t>保安人员如果日常工作不到位、不达标或有违约现象，将依据合同约定做出</w:t>
      </w:r>
      <w:r>
        <w:rPr>
          <w:rFonts w:hint="eastAsia" w:cs="仿宋_GB2312" w:asciiTheme="minorEastAsia" w:hAnsiTheme="minorEastAsia" w:eastAsiaTheme="minorEastAsia"/>
          <w:color w:val="auto"/>
          <w:szCs w:val="21"/>
          <w:highlight w:val="none"/>
          <w:u w:val="single"/>
        </w:rPr>
        <w:t xml:space="preserve"> </w:t>
      </w:r>
      <w:r>
        <w:rPr>
          <w:rFonts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元/次的处罚。</w:t>
      </w:r>
      <w:bookmarkEnd w:id="403"/>
    </w:p>
    <w:p w14:paraId="17B4744F">
      <w:pPr>
        <w:spacing w:line="360" w:lineRule="auto"/>
        <w:ind w:firstLine="420" w:firstLineChars="200"/>
        <w:rPr>
          <w:rFonts w:asciiTheme="minorEastAsia" w:hAnsiTheme="minorEastAsia" w:eastAsiaTheme="minorEastAsia"/>
          <w:color w:val="auto"/>
          <w:szCs w:val="32"/>
          <w:highlight w:val="none"/>
        </w:rPr>
      </w:pPr>
      <w:r>
        <w:rPr>
          <w:rFonts w:hint="eastAsia" w:cs="仿宋_GB2312" w:asciiTheme="minorEastAsia" w:hAnsiTheme="minorEastAsia" w:eastAsiaTheme="minorEastAsia"/>
          <w:color w:val="auto"/>
          <w:szCs w:val="21"/>
          <w:highlight w:val="none"/>
        </w:rPr>
        <w:t>（七）乙方不得将该项目层层转包，若在服务过程中甲方发现乙方存在分包项目的情况，甲方有权单方面终止合同，并要求支付本合同总价款</w:t>
      </w:r>
      <w:r>
        <w:rPr>
          <w:rFonts w:hint="eastAsia" w:cs="仿宋_GB2312" w:asciiTheme="minorEastAsia" w:hAnsiTheme="minorEastAsia" w:eastAsiaTheme="minorEastAsia"/>
          <w:color w:val="auto"/>
          <w:szCs w:val="21"/>
          <w:highlight w:val="none"/>
          <w:u w:val="single"/>
        </w:rPr>
        <w:t xml:space="preserve">    </w:t>
      </w:r>
      <w:r>
        <w:rPr>
          <w:rFonts w:hint="eastAsia" w:cs="仿宋_GB2312" w:asciiTheme="minorEastAsia" w:hAnsiTheme="minorEastAsia" w:eastAsiaTheme="minorEastAsia"/>
          <w:color w:val="auto"/>
          <w:szCs w:val="21"/>
          <w:highlight w:val="none"/>
        </w:rPr>
        <w:t>%的违约金并赔偿由此给甲方造成的全部损失。</w:t>
      </w:r>
    </w:p>
    <w:p w14:paraId="2DA2DAD3">
      <w:pPr>
        <w:adjustRightInd w:val="0"/>
        <w:snapToGrid w:val="0"/>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（八）其他未尽事宜，双方以互谅、平等的原则临时协商。本合同自双方签字之日起具有法律效力。</w:t>
      </w:r>
    </w:p>
    <w:p w14:paraId="30F833B6">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九、不可抗力</w:t>
      </w:r>
    </w:p>
    <w:p w14:paraId="45C366A6">
      <w:pPr>
        <w:pStyle w:val="18"/>
        <w:spacing w:before="0" w:beforeAutospacing="0" w:after="0" w:afterAutospacing="0" w:line="360" w:lineRule="auto"/>
        <w:ind w:firstLine="420" w:firstLineChars="200"/>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在履行合同过程中，如遇省、市相关政策发生重大调整，导致项目需求发生变更的，乙方应无条件响应甲方要求；同时甲方有权终止合同，双方就已发生合同内容友好协商后，甲方支付相应合同款项，</w:t>
      </w:r>
      <w:r>
        <w:rPr>
          <w:rFonts w:hint="eastAsia" w:asciiTheme="minorEastAsia" w:hAnsiTheme="minorEastAsia" w:eastAsiaTheme="minorEastAsia"/>
          <w:color w:val="auto"/>
          <w:sz w:val="21"/>
          <w:szCs w:val="21"/>
          <w:highlight w:val="none"/>
        </w:rPr>
        <w:t>乙方须无条件予以配合且不会据此提出任何索赔要求。</w:t>
      </w:r>
    </w:p>
    <w:p w14:paraId="609BA2F9">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十、争议处理</w:t>
      </w:r>
    </w:p>
    <w:p w14:paraId="270C4F88">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1.因履行本合同发生的争议，由当事人双方协商解决。</w:t>
      </w:r>
    </w:p>
    <w:p w14:paraId="1C69C3DA">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2.如仍未解决，按下列第</w:t>
      </w:r>
      <w:r>
        <w:rPr>
          <w:rFonts w:hint="eastAsia" w:cs="仿宋" w:asciiTheme="minorEastAsia" w:hAnsiTheme="minorEastAsia" w:eastAsiaTheme="minorEastAsia"/>
          <w:color w:val="auto"/>
          <w:szCs w:val="21"/>
          <w:highlight w:val="none"/>
          <w:u w:val="single"/>
        </w:rPr>
        <w:t>（2）</w:t>
      </w:r>
      <w:r>
        <w:rPr>
          <w:rFonts w:hint="eastAsia" w:cs="仿宋" w:asciiTheme="minorEastAsia" w:hAnsiTheme="minorEastAsia" w:eastAsiaTheme="minorEastAsia"/>
          <w:color w:val="auto"/>
          <w:szCs w:val="21"/>
          <w:highlight w:val="none"/>
        </w:rPr>
        <w:t>种方式解决：</w:t>
      </w:r>
    </w:p>
    <w:p w14:paraId="41BE71D3">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（1）提交</w:t>
      </w:r>
      <w:r>
        <w:rPr>
          <w:rFonts w:hint="eastAsia" w:cs="仿宋" w:asciiTheme="minorEastAsia" w:hAnsiTheme="minorEastAsia" w:eastAsiaTheme="minorEastAsia"/>
          <w:color w:val="auto"/>
          <w:szCs w:val="21"/>
          <w:highlight w:val="none"/>
          <w:u w:val="single"/>
        </w:rPr>
        <w:t xml:space="preserve"> 项目所在地 </w:t>
      </w:r>
      <w:r>
        <w:rPr>
          <w:rFonts w:hint="eastAsia" w:cs="仿宋" w:asciiTheme="minorEastAsia" w:hAnsiTheme="minorEastAsia" w:eastAsiaTheme="minorEastAsia"/>
          <w:color w:val="auto"/>
          <w:szCs w:val="21"/>
          <w:highlight w:val="none"/>
        </w:rPr>
        <w:t>仲裁委员会仲裁。</w:t>
      </w:r>
    </w:p>
    <w:p w14:paraId="6558C595">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（2）依法向</w:t>
      </w:r>
      <w:r>
        <w:rPr>
          <w:rFonts w:hint="eastAsia" w:cs="仿宋" w:asciiTheme="minorEastAsia" w:hAnsiTheme="minorEastAsia" w:eastAsiaTheme="minorEastAsia"/>
          <w:color w:val="auto"/>
          <w:szCs w:val="21"/>
          <w:highlight w:val="none"/>
          <w:u w:val="single"/>
        </w:rPr>
        <w:t xml:space="preserve"> 项目所在地 </w:t>
      </w:r>
      <w:r>
        <w:rPr>
          <w:rFonts w:hint="eastAsia" w:cs="仿宋" w:asciiTheme="minorEastAsia" w:hAnsiTheme="minorEastAsia" w:eastAsiaTheme="minorEastAsia"/>
          <w:color w:val="auto"/>
          <w:szCs w:val="21"/>
          <w:highlight w:val="none"/>
        </w:rPr>
        <w:t>人民法院提起诉讼。</w:t>
      </w:r>
    </w:p>
    <w:p w14:paraId="58B3E539">
      <w:pPr>
        <w:adjustRightInd w:val="0"/>
        <w:snapToGrid w:val="0"/>
        <w:spacing w:line="360" w:lineRule="auto"/>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十一、保密</w:t>
      </w:r>
    </w:p>
    <w:p w14:paraId="11499844">
      <w:pPr>
        <w:tabs>
          <w:tab w:val="left" w:pos="720"/>
        </w:tabs>
        <w:spacing w:line="440" w:lineRule="exact"/>
        <w:ind w:firstLine="420" w:firstLineChars="200"/>
        <w:textAlignment w:val="top"/>
        <w:rPr>
          <w:rFonts w:ascii="宋体" w:hAnsi="宋体" w:cs="仿宋"/>
          <w:color w:val="auto"/>
          <w:szCs w:val="21"/>
          <w:highlight w:val="none"/>
        </w:rPr>
      </w:pPr>
      <w:r>
        <w:rPr>
          <w:rFonts w:hint="eastAsia" w:ascii="宋体" w:hAnsi="宋体" w:cs="仿宋"/>
          <w:color w:val="auto"/>
          <w:szCs w:val="21"/>
          <w:highlight w:val="none"/>
        </w:rPr>
        <w:t>1</w:t>
      </w:r>
      <w:r>
        <w:rPr>
          <w:rFonts w:hint="eastAsia" w:cs="仿宋" w:asciiTheme="minorEastAsia" w:hAnsiTheme="minorEastAsia" w:eastAsiaTheme="minorEastAsia"/>
          <w:color w:val="auto"/>
          <w:szCs w:val="21"/>
          <w:highlight w:val="none"/>
        </w:rPr>
        <w:t>.</w:t>
      </w:r>
      <w:r>
        <w:rPr>
          <w:rFonts w:hint="eastAsia" w:ascii="宋体" w:hAnsi="宋体" w:cs="仿宋"/>
          <w:color w:val="auto"/>
          <w:szCs w:val="21"/>
          <w:highlight w:val="none"/>
        </w:rPr>
        <w:t>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283B1C26">
      <w:pPr>
        <w:tabs>
          <w:tab w:val="left" w:pos="720"/>
        </w:tabs>
        <w:spacing w:line="440" w:lineRule="exact"/>
        <w:ind w:firstLine="420" w:firstLineChars="200"/>
        <w:textAlignment w:val="top"/>
        <w:rPr>
          <w:rFonts w:ascii="宋体" w:hAnsi="宋体" w:cs="仿宋"/>
          <w:color w:val="auto"/>
          <w:szCs w:val="21"/>
          <w:highlight w:val="none"/>
        </w:rPr>
      </w:pPr>
      <w:r>
        <w:rPr>
          <w:rFonts w:hint="eastAsia" w:ascii="宋体" w:hAnsi="宋体" w:cs="仿宋"/>
          <w:color w:val="auto"/>
          <w:szCs w:val="21"/>
          <w:highlight w:val="none"/>
        </w:rPr>
        <w:t>2</w:t>
      </w:r>
      <w:r>
        <w:rPr>
          <w:rFonts w:hint="eastAsia" w:cs="仿宋" w:asciiTheme="minorEastAsia" w:hAnsiTheme="minorEastAsia" w:eastAsiaTheme="minorEastAsia"/>
          <w:color w:val="auto"/>
          <w:szCs w:val="21"/>
          <w:highlight w:val="none"/>
        </w:rPr>
        <w:t>.</w:t>
      </w:r>
      <w:r>
        <w:rPr>
          <w:rFonts w:hint="eastAsia" w:ascii="宋体" w:hAnsi="宋体" w:cs="仿宋"/>
          <w:color w:val="auto"/>
          <w:szCs w:val="21"/>
          <w:highlight w:val="none"/>
        </w:rPr>
        <w:t>本合同解除或终止后，乙方仍需遵守本条约定的保密义务。</w:t>
      </w:r>
    </w:p>
    <w:p w14:paraId="58A5146C">
      <w:pPr>
        <w:adjustRightInd w:val="0"/>
        <w:snapToGrid w:val="0"/>
        <w:spacing w:line="360" w:lineRule="auto"/>
        <w:ind w:firstLine="422"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bCs/>
          <w:color w:val="auto"/>
          <w:szCs w:val="21"/>
          <w:highlight w:val="none"/>
        </w:rPr>
        <w:t>十</w:t>
      </w:r>
      <w:r>
        <w:rPr>
          <w:rFonts w:hint="eastAsia" w:cs="仿宋_GB2312" w:asciiTheme="minorEastAsia" w:hAnsiTheme="minorEastAsia" w:eastAsiaTheme="minorEastAsia"/>
          <w:b/>
          <w:bCs/>
          <w:color w:val="auto"/>
          <w:szCs w:val="21"/>
          <w:highlight w:val="none"/>
          <w:lang w:val="en-US" w:eastAsia="zh-CN"/>
        </w:rPr>
        <w:t>二</w:t>
      </w:r>
      <w:r>
        <w:rPr>
          <w:rFonts w:hint="eastAsia" w:cs="仿宋_GB2312" w:asciiTheme="minorEastAsia" w:hAnsiTheme="minorEastAsia" w:eastAsiaTheme="minorEastAsia"/>
          <w:b/>
          <w:bCs/>
          <w:color w:val="auto"/>
          <w:szCs w:val="21"/>
          <w:highlight w:val="none"/>
        </w:rPr>
        <w:t>、合同生效及其他</w:t>
      </w:r>
    </w:p>
    <w:p w14:paraId="5E9039E2">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1.合同一式</w:t>
      </w:r>
      <w:r>
        <w:rPr>
          <w:rFonts w:hint="eastAsia" w:cs="仿宋" w:asciiTheme="minorEastAsia" w:hAnsiTheme="minorEastAsia" w:eastAsiaTheme="minorEastAsia"/>
          <w:color w:val="auto"/>
          <w:szCs w:val="21"/>
          <w:highlight w:val="none"/>
          <w:u w:val="single"/>
          <w:lang w:val="en-US" w:eastAsia="zh-CN"/>
        </w:rPr>
        <w:t xml:space="preserve">    </w:t>
      </w:r>
      <w:r>
        <w:rPr>
          <w:rFonts w:hint="eastAsia" w:cs="仿宋" w:asciiTheme="minorEastAsia" w:hAnsiTheme="minorEastAsia" w:eastAsiaTheme="minorEastAsia"/>
          <w:color w:val="auto"/>
          <w:szCs w:val="21"/>
          <w:highlight w:val="none"/>
        </w:rPr>
        <w:t>份，甲方执</w:t>
      </w:r>
      <w:r>
        <w:rPr>
          <w:rFonts w:hint="eastAsia" w:cs="仿宋" w:asciiTheme="minorEastAsia" w:hAnsiTheme="minorEastAsia" w:eastAsiaTheme="minorEastAsia"/>
          <w:color w:val="auto"/>
          <w:szCs w:val="21"/>
          <w:highlight w:val="none"/>
          <w:u w:val="single"/>
          <w:lang w:val="en-US" w:eastAsia="zh-CN"/>
        </w:rPr>
        <w:t xml:space="preserve">   </w:t>
      </w:r>
      <w:r>
        <w:rPr>
          <w:rFonts w:hint="eastAsia" w:cs="仿宋" w:asciiTheme="minorEastAsia" w:hAnsiTheme="minorEastAsia" w:eastAsiaTheme="minorEastAsia"/>
          <w:color w:val="auto"/>
          <w:szCs w:val="21"/>
          <w:highlight w:val="none"/>
        </w:rPr>
        <w:t>份、乙方执</w:t>
      </w:r>
      <w:r>
        <w:rPr>
          <w:rFonts w:hint="eastAsia" w:cs="仿宋" w:asciiTheme="minorEastAsia" w:hAnsiTheme="minorEastAsia" w:eastAsiaTheme="minorEastAsia"/>
          <w:color w:val="auto"/>
          <w:szCs w:val="21"/>
          <w:highlight w:val="none"/>
          <w:u w:val="single"/>
          <w:lang w:val="en-US" w:eastAsia="zh-CN"/>
        </w:rPr>
        <w:t xml:space="preserve">   </w:t>
      </w:r>
      <w:r>
        <w:rPr>
          <w:rFonts w:hint="eastAsia" w:cs="仿宋" w:asciiTheme="minorEastAsia" w:hAnsiTheme="minorEastAsia" w:eastAsiaTheme="minorEastAsia"/>
          <w:color w:val="auto"/>
          <w:szCs w:val="21"/>
          <w:highlight w:val="none"/>
        </w:rPr>
        <w:t>份。</w:t>
      </w:r>
    </w:p>
    <w:p w14:paraId="2EE5F0B2">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2.经双方签字的书面合同附件，与本合同具备同等法律效力。</w:t>
      </w:r>
    </w:p>
    <w:p w14:paraId="1AE2148E">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3.本合同其他事宜，按合同法有关规定处理。</w:t>
      </w:r>
    </w:p>
    <w:p w14:paraId="1C7CC9CA">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4.本合同自签订之日起生效。</w:t>
      </w:r>
    </w:p>
    <w:p w14:paraId="377D7EA9">
      <w:pPr>
        <w:tabs>
          <w:tab w:val="left" w:pos="720"/>
        </w:tabs>
        <w:spacing w:line="360" w:lineRule="auto"/>
        <w:ind w:firstLine="420" w:firstLineChars="200"/>
        <w:textAlignment w:val="top"/>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5.本合同不可分割之部分：</w:t>
      </w:r>
      <w:r>
        <w:rPr>
          <w:rFonts w:hint="eastAsia" w:cs="仿宋" w:asciiTheme="minorEastAsia" w:hAnsiTheme="minorEastAsia" w:eastAsiaTheme="minorEastAsia"/>
          <w:color w:val="auto"/>
          <w:szCs w:val="21"/>
          <w:highlight w:val="none"/>
          <w:lang w:eastAsia="zh-CN"/>
        </w:rPr>
        <w:t>竞争性磋商文件</w:t>
      </w:r>
      <w:r>
        <w:rPr>
          <w:rFonts w:hint="eastAsia" w:cs="仿宋" w:asciiTheme="minorEastAsia" w:hAnsiTheme="minorEastAsia" w:eastAsiaTheme="minorEastAsia"/>
          <w:color w:val="auto"/>
          <w:szCs w:val="21"/>
          <w:highlight w:val="none"/>
        </w:rPr>
        <w:t>、乙方的响应文件、成交通知书等。</w:t>
      </w:r>
    </w:p>
    <w:p w14:paraId="4BF92872">
      <w:pPr>
        <w:widowControl/>
        <w:snapToGrid w:val="0"/>
        <w:spacing w:after="240"/>
        <w:jc w:val="both"/>
        <w:rPr>
          <w:rFonts w:hint="eastAsia" w:ascii="宋体" w:hAnsi="宋体" w:eastAsia="宋体" w:cs="宋体"/>
          <w:b/>
          <w:color w:val="auto"/>
          <w:kern w:val="0"/>
          <w:sz w:val="21"/>
          <w:szCs w:val="21"/>
          <w:highlight w:val="none"/>
          <w:lang w:eastAsia="zh-CN"/>
        </w:rPr>
      </w:pPr>
      <w:r>
        <w:rPr>
          <w:rFonts w:hint="eastAsia" w:cs="仿宋_GB2312" w:asciiTheme="minorEastAsia" w:hAnsiTheme="minorEastAsia" w:eastAsiaTheme="minorEastAsia"/>
          <w:b/>
          <w:bCs/>
          <w:color w:val="auto"/>
          <w:sz w:val="20"/>
          <w:szCs w:val="21"/>
          <w:highlight w:val="none"/>
          <w:lang w:val="en-US" w:eastAsia="zh-CN" w:bidi="ar-SA"/>
        </w:rPr>
        <w:t>十四、本合同未尽事宜</w:t>
      </w:r>
      <w:r>
        <w:rPr>
          <w:rFonts w:hint="eastAsia" w:cs="仿宋" w:asciiTheme="minorEastAsia" w:hAnsiTheme="minorEastAsia" w:eastAsiaTheme="minorEastAsia"/>
          <w:color w:val="auto"/>
          <w:szCs w:val="21"/>
          <w:highlight w:val="none"/>
        </w:rPr>
        <w:t>，</w:t>
      </w:r>
      <w:r>
        <w:rPr>
          <w:rFonts w:hint="eastAsia" w:cs="仿宋" w:asciiTheme="minorEastAsia" w:hAnsiTheme="minorEastAsia" w:eastAsiaTheme="minorEastAsia"/>
          <w:color w:val="auto"/>
          <w:sz w:val="20"/>
          <w:szCs w:val="21"/>
          <w:highlight w:val="none"/>
          <w:lang w:val="en-US" w:eastAsia="zh-CN" w:bidi="ar-SA"/>
        </w:rPr>
        <w:t>由双方协商约定补充协议，补充协议与本合同具有同等效力。</w:t>
      </w:r>
    </w:p>
    <w:p w14:paraId="0E966DB8">
      <w:pPr>
        <w:rPr>
          <w:rFonts w:ascii="宋体" w:hAnsi="宋体"/>
          <w:color w:val="auto"/>
          <w:sz w:val="24"/>
          <w:highlight w:val="none"/>
        </w:rPr>
      </w:pPr>
      <w:r>
        <w:rPr>
          <w:rFonts w:ascii="宋体" w:hAnsi="宋体"/>
          <w:color w:val="auto"/>
          <w:sz w:val="24"/>
          <w:highlight w:val="none"/>
        </w:rPr>
        <w:br w:type="page"/>
      </w:r>
    </w:p>
    <w:p w14:paraId="0DC3F0A0">
      <w:pPr>
        <w:pStyle w:val="19"/>
        <w:ind w:left="0" w:leftChars="0" w:firstLine="0" w:firstLineChars="0"/>
        <w:rPr>
          <w:rFonts w:ascii="宋体" w:hAnsi="宋体"/>
          <w:color w:val="auto"/>
          <w:sz w:val="24"/>
          <w:highlight w:val="none"/>
        </w:rPr>
      </w:pPr>
    </w:p>
    <w:p w14:paraId="652A3D6F">
      <w:pPr>
        <w:pStyle w:val="3"/>
        <w:jc w:val="center"/>
        <w:rPr>
          <w:rFonts w:ascii="黑体" w:hAnsi="黑体" w:eastAsia="黑体" w:cs="黑体"/>
          <w:color w:val="auto"/>
          <w:sz w:val="36"/>
          <w:szCs w:val="36"/>
          <w:highlight w:val="none"/>
        </w:rPr>
      </w:pPr>
      <w:bookmarkStart w:id="404" w:name="_Toc14860"/>
      <w:bookmarkStart w:id="405" w:name="_Toc11675"/>
      <w:bookmarkStart w:id="406" w:name="_Toc15147"/>
      <w:bookmarkStart w:id="407" w:name="_Toc414014536"/>
      <w:bookmarkStart w:id="408" w:name="_Toc3988"/>
      <w:r>
        <w:rPr>
          <w:rFonts w:hint="eastAsia" w:ascii="黑体" w:hAnsi="黑体" w:eastAsia="黑体" w:cs="黑体"/>
          <w:color w:val="auto"/>
          <w:sz w:val="36"/>
          <w:szCs w:val="36"/>
          <w:highlight w:val="none"/>
        </w:rPr>
        <w:t>第六章 响应文件格式</w:t>
      </w:r>
      <w:bookmarkEnd w:id="404"/>
      <w:bookmarkEnd w:id="405"/>
      <w:bookmarkEnd w:id="406"/>
      <w:bookmarkEnd w:id="407"/>
      <w:bookmarkEnd w:id="408"/>
    </w:p>
    <w:p w14:paraId="0BAB64C7">
      <w:pPr>
        <w:pStyle w:val="19"/>
        <w:ind w:left="0" w:leftChars="0" w:firstLine="0" w:firstLineChars="0"/>
        <w:rPr>
          <w:rFonts w:ascii="宋体" w:hAnsi="宋体"/>
          <w:color w:val="auto"/>
          <w:sz w:val="24"/>
          <w:highlight w:val="none"/>
        </w:rPr>
      </w:pPr>
    </w:p>
    <w:p w14:paraId="71B0244F">
      <w:pPr>
        <w:spacing w:line="360" w:lineRule="auto"/>
        <w:jc w:val="center"/>
        <w:rPr>
          <w:rFonts w:hint="eastAsia" w:asciiTheme="majorEastAsia" w:hAnsiTheme="majorEastAsia" w:eastAsiaTheme="majorEastAsia"/>
          <w:b/>
          <w:color w:val="auto"/>
          <w:sz w:val="52"/>
          <w:szCs w:val="52"/>
          <w:highlight w:val="none"/>
          <w:lang w:eastAsia="zh-CN"/>
        </w:rPr>
      </w:pPr>
      <w:r>
        <w:rPr>
          <w:rFonts w:hint="eastAsia" w:asciiTheme="majorEastAsia" w:hAnsiTheme="majorEastAsia" w:eastAsiaTheme="majorEastAsia"/>
          <w:b/>
          <w:color w:val="auto"/>
          <w:sz w:val="48"/>
          <w:szCs w:val="48"/>
          <w:highlight w:val="none"/>
          <w:lang w:eastAsia="zh-CN"/>
        </w:rPr>
        <w:t>昆明市盘龙区滇源中心学校采购2026年保安服务</w:t>
      </w:r>
    </w:p>
    <w:p w14:paraId="0182A626">
      <w:pPr>
        <w:spacing w:line="360" w:lineRule="auto"/>
        <w:rPr>
          <w:rFonts w:asciiTheme="majorEastAsia" w:hAnsiTheme="majorEastAsia" w:eastAsiaTheme="majorEastAsia"/>
          <w:b/>
          <w:color w:val="auto"/>
          <w:sz w:val="32"/>
          <w:szCs w:val="32"/>
          <w:highlight w:val="none"/>
        </w:rPr>
      </w:pPr>
    </w:p>
    <w:p w14:paraId="2E3D3914">
      <w:pPr>
        <w:spacing w:line="360" w:lineRule="auto"/>
        <w:rPr>
          <w:rFonts w:asciiTheme="majorEastAsia" w:hAnsiTheme="majorEastAsia" w:eastAsiaTheme="majorEastAsia"/>
          <w:b/>
          <w:color w:val="auto"/>
          <w:sz w:val="32"/>
          <w:szCs w:val="32"/>
          <w:highlight w:val="none"/>
        </w:rPr>
      </w:pPr>
    </w:p>
    <w:p w14:paraId="3304BF3A">
      <w:pPr>
        <w:pStyle w:val="19"/>
        <w:ind w:left="0" w:leftChars="0" w:firstLine="0" w:firstLineChars="0"/>
        <w:rPr>
          <w:rFonts w:asciiTheme="majorEastAsia" w:hAnsiTheme="majorEastAsia" w:eastAsiaTheme="majorEastAsia"/>
          <w:b/>
          <w:color w:val="auto"/>
          <w:sz w:val="32"/>
          <w:szCs w:val="32"/>
          <w:highlight w:val="none"/>
        </w:rPr>
      </w:pPr>
    </w:p>
    <w:p w14:paraId="720A4B3E">
      <w:pPr>
        <w:spacing w:line="360" w:lineRule="auto"/>
        <w:rPr>
          <w:rFonts w:asciiTheme="majorEastAsia" w:hAnsiTheme="majorEastAsia" w:eastAsiaTheme="majorEastAsia"/>
          <w:b/>
          <w:color w:val="auto"/>
          <w:sz w:val="32"/>
          <w:szCs w:val="32"/>
          <w:highlight w:val="none"/>
        </w:rPr>
      </w:pPr>
    </w:p>
    <w:p w14:paraId="1166E34A">
      <w:pPr>
        <w:spacing w:line="360" w:lineRule="auto"/>
        <w:rPr>
          <w:rFonts w:asciiTheme="majorEastAsia" w:hAnsiTheme="majorEastAsia" w:eastAsiaTheme="majorEastAsia"/>
          <w:b/>
          <w:color w:val="auto"/>
          <w:sz w:val="32"/>
          <w:szCs w:val="32"/>
          <w:highlight w:val="none"/>
        </w:rPr>
      </w:pPr>
    </w:p>
    <w:p w14:paraId="15D2B341">
      <w:pPr>
        <w:pStyle w:val="7"/>
        <w:rPr>
          <w:color w:val="auto"/>
          <w:highlight w:val="none"/>
        </w:rPr>
      </w:pPr>
    </w:p>
    <w:p w14:paraId="592DCF4F">
      <w:pPr>
        <w:spacing w:line="360" w:lineRule="auto"/>
        <w:jc w:val="center"/>
        <w:rPr>
          <w:rFonts w:asciiTheme="majorEastAsia" w:hAnsiTheme="majorEastAsia" w:eastAsiaTheme="majorEastAsia"/>
          <w:b/>
          <w:color w:val="auto"/>
          <w:sz w:val="72"/>
          <w:szCs w:val="72"/>
          <w:highlight w:val="none"/>
        </w:rPr>
      </w:pPr>
      <w:r>
        <w:rPr>
          <w:rFonts w:hint="eastAsia" w:asciiTheme="majorEastAsia" w:hAnsiTheme="majorEastAsia" w:eastAsiaTheme="majorEastAsia"/>
          <w:b/>
          <w:color w:val="auto"/>
          <w:sz w:val="56"/>
          <w:szCs w:val="56"/>
          <w:highlight w:val="none"/>
        </w:rPr>
        <w:t>响应文件</w:t>
      </w:r>
    </w:p>
    <w:p w14:paraId="5860B35A">
      <w:pPr>
        <w:spacing w:line="360" w:lineRule="auto"/>
        <w:jc w:val="center"/>
        <w:rPr>
          <w:rFonts w:asciiTheme="majorEastAsia" w:hAnsiTheme="majorEastAsia"/>
          <w:b/>
          <w:color w:val="auto"/>
          <w:sz w:val="32"/>
          <w:szCs w:val="32"/>
          <w:highlight w:val="none"/>
        </w:rPr>
      </w:pPr>
      <w:r>
        <w:rPr>
          <w:rFonts w:hint="eastAsia" w:asciiTheme="majorEastAsia" w:hAnsiTheme="majorEastAsia" w:eastAsiaTheme="majorEastAsia"/>
          <w:b/>
          <w:color w:val="auto"/>
          <w:sz w:val="28"/>
          <w:highlight w:val="none"/>
        </w:rPr>
        <w:t>项目编号：</w:t>
      </w:r>
      <w:r>
        <w:rPr>
          <w:rFonts w:hint="eastAsia" w:eastAsiaTheme="majorEastAsia"/>
          <w:b/>
          <w:color w:val="auto"/>
          <w:sz w:val="28"/>
          <w:highlight w:val="none"/>
          <w:lang w:eastAsia="zh-CN"/>
        </w:rPr>
        <w:t>YNYX-2026-0293</w:t>
      </w:r>
      <w:r>
        <w:rPr>
          <w:rFonts w:hint="eastAsia"/>
          <w:b/>
          <w:color w:val="auto"/>
          <w:sz w:val="28"/>
          <w:highlight w:val="none"/>
        </w:rPr>
        <w:t xml:space="preserve"> </w:t>
      </w:r>
    </w:p>
    <w:p w14:paraId="4DCF3880">
      <w:pPr>
        <w:spacing w:line="360" w:lineRule="auto"/>
        <w:rPr>
          <w:rFonts w:asciiTheme="majorEastAsia" w:hAnsiTheme="majorEastAsia" w:eastAsiaTheme="majorEastAsia"/>
          <w:b/>
          <w:color w:val="auto"/>
          <w:sz w:val="32"/>
          <w:szCs w:val="32"/>
          <w:highlight w:val="none"/>
        </w:rPr>
      </w:pPr>
    </w:p>
    <w:p w14:paraId="25BDE0EF">
      <w:pPr>
        <w:spacing w:line="360" w:lineRule="auto"/>
        <w:rPr>
          <w:rFonts w:asciiTheme="majorEastAsia" w:hAnsiTheme="majorEastAsia" w:eastAsiaTheme="majorEastAsia"/>
          <w:b/>
          <w:color w:val="auto"/>
          <w:sz w:val="32"/>
          <w:szCs w:val="32"/>
          <w:highlight w:val="none"/>
        </w:rPr>
      </w:pPr>
    </w:p>
    <w:p w14:paraId="28FB8E41">
      <w:pPr>
        <w:pStyle w:val="7"/>
        <w:rPr>
          <w:rFonts w:asciiTheme="majorEastAsia" w:hAnsiTheme="majorEastAsia" w:eastAsiaTheme="majorEastAsia"/>
          <w:b/>
          <w:color w:val="auto"/>
          <w:sz w:val="32"/>
          <w:szCs w:val="32"/>
          <w:highlight w:val="none"/>
        </w:rPr>
      </w:pPr>
    </w:p>
    <w:p w14:paraId="7C28D6CC">
      <w:pPr>
        <w:pStyle w:val="7"/>
        <w:rPr>
          <w:rFonts w:asciiTheme="majorEastAsia" w:hAnsiTheme="majorEastAsia" w:eastAsiaTheme="majorEastAsia"/>
          <w:b/>
          <w:color w:val="auto"/>
          <w:sz w:val="32"/>
          <w:szCs w:val="32"/>
          <w:highlight w:val="none"/>
        </w:rPr>
      </w:pPr>
    </w:p>
    <w:p w14:paraId="19593194">
      <w:pPr>
        <w:spacing w:line="360" w:lineRule="auto"/>
        <w:rPr>
          <w:rFonts w:asciiTheme="majorEastAsia" w:hAnsiTheme="majorEastAsia" w:eastAsiaTheme="majorEastAsia"/>
          <w:color w:val="auto"/>
          <w:sz w:val="30"/>
          <w:szCs w:val="30"/>
          <w:highlight w:val="none"/>
          <w:u w:val="single"/>
        </w:rPr>
      </w:pPr>
      <w:r>
        <w:rPr>
          <w:rFonts w:hint="eastAsia" w:asciiTheme="majorEastAsia" w:hAnsiTheme="majorEastAsia" w:eastAsiaTheme="majorEastAsia"/>
          <w:color w:val="auto"/>
          <w:sz w:val="30"/>
          <w:szCs w:val="30"/>
          <w:highlight w:val="none"/>
        </w:rPr>
        <w:t>供应商名称：（电子签章）</w:t>
      </w:r>
    </w:p>
    <w:p w14:paraId="03A944A4">
      <w:pPr>
        <w:spacing w:line="360" w:lineRule="auto"/>
        <w:rPr>
          <w:rFonts w:asciiTheme="majorEastAsia" w:hAnsiTheme="majorEastAsia" w:eastAsiaTheme="majorEastAsia"/>
          <w:color w:val="auto"/>
          <w:sz w:val="30"/>
          <w:szCs w:val="30"/>
          <w:highlight w:val="none"/>
          <w:u w:val="single"/>
        </w:rPr>
      </w:pPr>
      <w:r>
        <w:rPr>
          <w:rFonts w:hint="eastAsia" w:asciiTheme="majorEastAsia" w:hAnsiTheme="majorEastAsia" w:eastAsiaTheme="majorEastAsia"/>
          <w:color w:val="auto"/>
          <w:sz w:val="30"/>
          <w:szCs w:val="30"/>
          <w:highlight w:val="none"/>
        </w:rPr>
        <w:t>法定代表人</w:t>
      </w:r>
      <w:r>
        <w:rPr>
          <w:rFonts w:hint="eastAsia" w:asciiTheme="majorEastAsia" w:hAnsiTheme="majorEastAsia" w:eastAsiaTheme="majorEastAsia"/>
          <w:color w:val="auto"/>
          <w:sz w:val="30"/>
          <w:szCs w:val="30"/>
          <w:highlight w:val="none"/>
          <w:lang w:val="en-US" w:eastAsia="zh-CN"/>
        </w:rPr>
        <w:t>或授权委托人</w:t>
      </w:r>
      <w:r>
        <w:rPr>
          <w:rFonts w:hint="eastAsia" w:asciiTheme="majorEastAsia" w:hAnsiTheme="majorEastAsia" w:eastAsiaTheme="majorEastAsia"/>
          <w:color w:val="auto"/>
          <w:sz w:val="30"/>
          <w:szCs w:val="30"/>
          <w:highlight w:val="none"/>
        </w:rPr>
        <w:t>：（电子签章）</w:t>
      </w:r>
    </w:p>
    <w:p w14:paraId="5E8BB4FE">
      <w:pPr>
        <w:spacing w:line="360" w:lineRule="auto"/>
        <w:rPr>
          <w:rFonts w:ascii="新宋体" w:hAnsi="新宋体" w:eastAsia="新宋体"/>
          <w:color w:val="auto"/>
          <w:highlight w:val="none"/>
        </w:rPr>
      </w:pPr>
      <w:r>
        <w:rPr>
          <w:rFonts w:hint="eastAsia" w:asciiTheme="majorEastAsia" w:hAnsiTheme="majorEastAsia" w:eastAsiaTheme="majorEastAsia"/>
          <w:color w:val="auto"/>
          <w:sz w:val="30"/>
          <w:szCs w:val="30"/>
          <w:highlight w:val="none"/>
        </w:rPr>
        <w:t>日期：   年   月   日</w:t>
      </w:r>
      <w:r>
        <w:rPr>
          <w:rFonts w:ascii="新宋体" w:hAnsi="新宋体" w:eastAsia="新宋体"/>
          <w:color w:val="auto"/>
          <w:highlight w:val="none"/>
        </w:rPr>
        <w:br w:type="page"/>
      </w:r>
    </w:p>
    <w:p w14:paraId="48CA8E40">
      <w:pPr>
        <w:pStyle w:val="4"/>
        <w:spacing w:before="156" w:after="156"/>
        <w:jc w:val="center"/>
        <w:rPr>
          <w:rFonts w:ascii="新宋体" w:hAnsi="新宋体" w:eastAsia="新宋体"/>
          <w:color w:val="auto"/>
          <w:highlight w:val="none"/>
        </w:rPr>
      </w:pPr>
      <w:bookmarkStart w:id="409" w:name="_Toc24595"/>
      <w:bookmarkStart w:id="410" w:name="_Toc1843"/>
      <w:bookmarkStart w:id="411" w:name="_Toc3293"/>
      <w:r>
        <w:rPr>
          <w:rFonts w:hint="eastAsia" w:ascii="新宋体" w:hAnsi="新宋体" w:eastAsia="新宋体"/>
          <w:color w:val="auto"/>
          <w:highlight w:val="none"/>
        </w:rPr>
        <w:t>（一）资格</w:t>
      </w:r>
      <w:r>
        <w:rPr>
          <w:rFonts w:hint="eastAsia" w:ascii="新宋体" w:hAnsi="新宋体" w:eastAsia="新宋体"/>
          <w:color w:val="auto"/>
          <w:highlight w:val="none"/>
          <w:lang w:val="en-US" w:eastAsia="zh-CN"/>
        </w:rPr>
        <w:t>审查</w:t>
      </w:r>
      <w:r>
        <w:rPr>
          <w:rFonts w:hint="eastAsia" w:ascii="新宋体" w:hAnsi="新宋体" w:eastAsia="新宋体"/>
          <w:color w:val="auto"/>
          <w:highlight w:val="none"/>
        </w:rPr>
        <w:t>部分</w:t>
      </w:r>
      <w:bookmarkEnd w:id="409"/>
      <w:bookmarkEnd w:id="410"/>
      <w:bookmarkEnd w:id="411"/>
    </w:p>
    <w:p w14:paraId="7FA002AF">
      <w:pPr>
        <w:pStyle w:val="19"/>
        <w:ind w:left="0" w:leftChars="0" w:firstLine="0" w:firstLineChars="0"/>
        <w:rPr>
          <w:rFonts w:ascii="宋体" w:hAnsi="宋体"/>
          <w:color w:val="auto"/>
          <w:sz w:val="24"/>
          <w:highlight w:val="none"/>
        </w:rPr>
      </w:pPr>
    </w:p>
    <w:p w14:paraId="4780F830">
      <w:pPr>
        <w:pStyle w:val="4"/>
        <w:spacing w:before="156" w:after="156"/>
        <w:jc w:val="center"/>
        <w:rPr>
          <w:rFonts w:ascii="新宋体" w:hAnsi="新宋体" w:eastAsia="新宋体"/>
          <w:color w:val="auto"/>
          <w:highlight w:val="none"/>
        </w:rPr>
      </w:pPr>
      <w:bookmarkStart w:id="412" w:name="_Toc30017"/>
      <w:bookmarkStart w:id="413" w:name="_Toc1873"/>
      <w:r>
        <w:rPr>
          <w:rFonts w:hint="eastAsia" w:ascii="新宋体" w:hAnsi="新宋体" w:eastAsia="新宋体"/>
          <w:color w:val="auto"/>
          <w:highlight w:val="none"/>
        </w:rPr>
        <w:t>一、</w:t>
      </w:r>
      <w:bookmarkEnd w:id="412"/>
      <w:r>
        <w:rPr>
          <w:rFonts w:hint="eastAsia" w:ascii="新宋体" w:hAnsi="新宋体" w:eastAsia="新宋体"/>
          <w:color w:val="auto"/>
          <w:highlight w:val="none"/>
        </w:rPr>
        <w:t>营业执照或其他类似法定凭证</w:t>
      </w:r>
      <w:bookmarkEnd w:id="413"/>
    </w:p>
    <w:p w14:paraId="4CAFD88D">
      <w:pPr>
        <w:spacing w:line="360" w:lineRule="auto"/>
        <w:ind w:firstLine="420" w:firstLineChars="200"/>
        <w:rPr>
          <w:rFonts w:ascii="新宋体" w:hAnsi="新宋体" w:eastAsia="新宋体"/>
          <w:color w:val="auto"/>
          <w:highlight w:val="none"/>
        </w:rPr>
      </w:pPr>
    </w:p>
    <w:p w14:paraId="57CFFD91">
      <w:pPr>
        <w:spacing w:line="360" w:lineRule="auto"/>
        <w:jc w:val="center"/>
        <w:rPr>
          <w:rFonts w:ascii="新宋体" w:hAnsi="新宋体" w:eastAsia="新宋体"/>
          <w:b/>
          <w:bCs/>
          <w:color w:val="auto"/>
          <w:highlight w:val="none"/>
        </w:rPr>
      </w:pPr>
      <w:r>
        <w:rPr>
          <w:rFonts w:hint="eastAsia" w:ascii="新宋体" w:hAnsi="新宋体" w:eastAsia="新宋体"/>
          <w:b/>
          <w:bCs/>
          <w:color w:val="auto"/>
          <w:highlight w:val="none"/>
        </w:rPr>
        <w:t>附有效的营业执照或其他类似法定凭证原件扫描件。</w:t>
      </w:r>
    </w:p>
    <w:p w14:paraId="414DDAA4">
      <w:pPr>
        <w:pStyle w:val="7"/>
        <w:rPr>
          <w:rFonts w:ascii="新宋体" w:hAnsi="新宋体" w:eastAsia="新宋体"/>
          <w:color w:val="auto"/>
          <w:szCs w:val="21"/>
          <w:highlight w:val="none"/>
        </w:rPr>
      </w:pPr>
    </w:p>
    <w:p w14:paraId="0810DC50">
      <w:pPr>
        <w:pStyle w:val="7"/>
        <w:rPr>
          <w:rFonts w:ascii="新宋体" w:hAnsi="新宋体" w:eastAsia="新宋体"/>
          <w:color w:val="auto"/>
          <w:szCs w:val="21"/>
          <w:highlight w:val="none"/>
        </w:rPr>
      </w:pPr>
    </w:p>
    <w:p w14:paraId="09A1EBF8">
      <w:pPr>
        <w:pStyle w:val="7"/>
        <w:rPr>
          <w:rFonts w:ascii="新宋体" w:hAnsi="新宋体" w:eastAsia="新宋体"/>
          <w:color w:val="auto"/>
          <w:szCs w:val="21"/>
          <w:highlight w:val="none"/>
        </w:rPr>
      </w:pPr>
    </w:p>
    <w:p w14:paraId="0BDF0E01">
      <w:pPr>
        <w:rPr>
          <w:rFonts w:ascii="新宋体" w:hAnsi="新宋体" w:eastAsia="新宋体"/>
          <w:color w:val="auto"/>
          <w:highlight w:val="none"/>
        </w:rPr>
      </w:pPr>
      <w:bookmarkStart w:id="414" w:name="_Toc13601"/>
      <w:bookmarkStart w:id="415" w:name="_Toc21840"/>
      <w:r>
        <w:rPr>
          <w:rFonts w:hint="eastAsia" w:ascii="新宋体" w:hAnsi="新宋体" w:eastAsia="新宋体"/>
          <w:color w:val="auto"/>
          <w:highlight w:val="none"/>
        </w:rPr>
        <w:br w:type="page"/>
      </w:r>
    </w:p>
    <w:p w14:paraId="20B99397">
      <w:pPr>
        <w:pStyle w:val="4"/>
        <w:spacing w:before="156" w:after="156"/>
        <w:jc w:val="center"/>
        <w:rPr>
          <w:rFonts w:hint="eastAsia" w:ascii="新宋体" w:hAnsi="新宋体" w:eastAsia="新宋体"/>
          <w:color w:val="auto"/>
          <w:highlight w:val="none"/>
        </w:rPr>
        <w:sectPr>
          <w:footerReference r:id="rId3" w:type="default"/>
          <w:pgSz w:w="11906" w:h="16838"/>
          <w:pgMar w:top="1440" w:right="1803" w:bottom="1440" w:left="1803" w:header="851" w:footer="992" w:gutter="0"/>
          <w:cols w:space="425" w:num="1"/>
          <w:docGrid w:type="lines" w:linePitch="312" w:charSpace="0"/>
        </w:sectPr>
      </w:pPr>
      <w:bookmarkStart w:id="416" w:name="_Toc27997"/>
    </w:p>
    <w:p w14:paraId="641D47A8">
      <w:pPr>
        <w:pStyle w:val="4"/>
        <w:spacing w:before="156" w:after="156"/>
        <w:jc w:val="center"/>
        <w:rPr>
          <w:rFonts w:hint="eastAsia" w:ascii="新宋体" w:hAnsi="新宋体" w:eastAsia="新宋体"/>
          <w:color w:val="auto"/>
          <w:highlight w:val="none"/>
          <w:lang w:eastAsia="zh-CN"/>
        </w:rPr>
      </w:pPr>
      <w:r>
        <w:rPr>
          <w:rFonts w:hint="eastAsia" w:ascii="新宋体" w:hAnsi="新宋体" w:eastAsia="新宋体"/>
          <w:color w:val="auto"/>
          <w:highlight w:val="none"/>
          <w:lang w:val="en-US" w:eastAsia="zh-CN"/>
        </w:rPr>
        <w:t>二</w:t>
      </w:r>
      <w:r>
        <w:rPr>
          <w:rFonts w:hint="eastAsia" w:ascii="新宋体" w:hAnsi="新宋体" w:eastAsia="新宋体"/>
          <w:color w:val="auto"/>
          <w:highlight w:val="none"/>
        </w:rPr>
        <w:t>、</w:t>
      </w:r>
      <w:r>
        <w:rPr>
          <w:rFonts w:hint="eastAsia" w:ascii="新宋体" w:hAnsi="新宋体" w:eastAsia="新宋体"/>
          <w:color w:val="auto"/>
          <w:highlight w:val="none"/>
          <w:lang w:val="en-US" w:eastAsia="zh-CN"/>
        </w:rPr>
        <w:t>资质要求</w:t>
      </w:r>
    </w:p>
    <w:p w14:paraId="6B921A53">
      <w:pPr>
        <w:spacing w:line="360" w:lineRule="auto"/>
        <w:ind w:firstLine="420" w:firstLineChars="200"/>
        <w:rPr>
          <w:rFonts w:ascii="新宋体" w:hAnsi="新宋体" w:eastAsia="新宋体"/>
          <w:color w:val="auto"/>
          <w:highlight w:val="none"/>
        </w:rPr>
      </w:pPr>
    </w:p>
    <w:p w14:paraId="2990E49D">
      <w:pPr>
        <w:spacing w:line="360" w:lineRule="auto"/>
        <w:jc w:val="center"/>
        <w:rPr>
          <w:rFonts w:ascii="新宋体" w:hAnsi="新宋体" w:eastAsia="新宋体"/>
          <w:b/>
          <w:bCs/>
          <w:color w:val="auto"/>
          <w:highlight w:val="none"/>
        </w:rPr>
      </w:pPr>
      <w:r>
        <w:rPr>
          <w:rFonts w:hint="eastAsia" w:ascii="宋体" w:hAnsi="宋体"/>
          <w:color w:val="auto"/>
          <w:sz w:val="21"/>
          <w:szCs w:val="21"/>
          <w:highlight w:val="none"/>
          <w:lang w:val="en-US" w:eastAsia="zh-CN"/>
        </w:rPr>
        <w:t>投标人须具备行政主管部门核发有效的《保安服务许可证》；附相关证书原件扫描件。</w:t>
      </w:r>
    </w:p>
    <w:p w14:paraId="3C0AD4BE">
      <w:pPr>
        <w:pStyle w:val="7"/>
        <w:rPr>
          <w:rFonts w:ascii="新宋体" w:hAnsi="新宋体" w:eastAsia="新宋体"/>
          <w:color w:val="auto"/>
          <w:szCs w:val="21"/>
          <w:highlight w:val="none"/>
        </w:rPr>
      </w:pPr>
    </w:p>
    <w:p w14:paraId="657DF4EE">
      <w:pPr>
        <w:pStyle w:val="7"/>
        <w:rPr>
          <w:rFonts w:ascii="新宋体" w:hAnsi="新宋体" w:eastAsia="新宋体"/>
          <w:color w:val="auto"/>
          <w:szCs w:val="21"/>
          <w:highlight w:val="none"/>
        </w:rPr>
      </w:pPr>
    </w:p>
    <w:p w14:paraId="4E13665D">
      <w:pPr>
        <w:pStyle w:val="7"/>
        <w:rPr>
          <w:rFonts w:ascii="新宋体" w:hAnsi="新宋体" w:eastAsia="新宋体"/>
          <w:color w:val="auto"/>
          <w:szCs w:val="21"/>
          <w:highlight w:val="none"/>
        </w:rPr>
      </w:pPr>
    </w:p>
    <w:p w14:paraId="33ABD986">
      <w:pPr>
        <w:pStyle w:val="7"/>
        <w:rPr>
          <w:rFonts w:hint="eastAsia" w:asciiTheme="majorEastAsia" w:hAnsiTheme="majorEastAsia" w:eastAsiaTheme="majorEastAsia" w:cstheme="majorEastAsia"/>
          <w:color w:val="auto"/>
          <w:sz w:val="21"/>
          <w:szCs w:val="24"/>
          <w:highlight w:val="none"/>
        </w:rPr>
        <w:sectPr>
          <w:pgSz w:w="11906" w:h="16838"/>
          <w:pgMar w:top="1440" w:right="1803" w:bottom="1440" w:left="1803" w:header="851" w:footer="992" w:gutter="0"/>
          <w:cols w:space="425" w:num="1"/>
          <w:docGrid w:type="lines" w:linePitch="312" w:charSpace="0"/>
        </w:sectPr>
      </w:pPr>
    </w:p>
    <w:p w14:paraId="23DC782A">
      <w:pPr>
        <w:pStyle w:val="4"/>
        <w:spacing w:before="156" w:after="156"/>
        <w:jc w:val="center"/>
        <w:rPr>
          <w:rFonts w:ascii="新宋体" w:hAnsi="新宋体" w:eastAsia="新宋体"/>
          <w:color w:val="auto"/>
          <w:szCs w:val="21"/>
          <w:highlight w:val="none"/>
        </w:rPr>
      </w:pPr>
      <w:r>
        <w:rPr>
          <w:rFonts w:hint="eastAsia" w:ascii="新宋体" w:hAnsi="新宋体" w:eastAsia="新宋体"/>
          <w:color w:val="auto"/>
          <w:highlight w:val="none"/>
          <w:lang w:val="en-US" w:eastAsia="zh-CN"/>
        </w:rPr>
        <w:t>三</w:t>
      </w:r>
      <w:r>
        <w:rPr>
          <w:rFonts w:hint="eastAsia" w:ascii="新宋体" w:hAnsi="新宋体" w:eastAsia="新宋体"/>
          <w:color w:val="auto"/>
          <w:highlight w:val="none"/>
        </w:rPr>
        <w:t>、</w:t>
      </w:r>
      <w:bookmarkEnd w:id="414"/>
      <w:bookmarkEnd w:id="415"/>
      <w:r>
        <w:rPr>
          <w:rFonts w:hint="eastAsia" w:ascii="新宋体" w:hAnsi="新宋体" w:eastAsia="新宋体"/>
          <w:color w:val="auto"/>
          <w:highlight w:val="none"/>
          <w:lang w:val="en-US" w:eastAsia="zh-CN"/>
        </w:rPr>
        <w:t>财务要求</w:t>
      </w:r>
      <w:bookmarkEnd w:id="416"/>
    </w:p>
    <w:p w14:paraId="54AD616C">
      <w:pPr>
        <w:spacing w:line="360" w:lineRule="auto"/>
        <w:ind w:firstLine="420" w:firstLineChars="200"/>
        <w:jc w:val="center"/>
        <w:rPr>
          <w:rFonts w:ascii="新宋体" w:hAnsi="新宋体" w:eastAsia="新宋体"/>
          <w:color w:val="auto"/>
          <w:highlight w:val="none"/>
        </w:rPr>
      </w:pPr>
      <w:r>
        <w:rPr>
          <w:rFonts w:hint="eastAsia" w:ascii="新宋体" w:hAnsi="新宋体" w:eastAsia="新宋体"/>
          <w:color w:val="auto"/>
          <w:highlight w:val="none"/>
          <w:lang w:val="en-US" w:eastAsia="zh-CN"/>
        </w:rPr>
        <w:t>具有良好的商业信誉和健全的财务会计制度</w:t>
      </w:r>
      <w:r>
        <w:rPr>
          <w:rFonts w:hint="eastAsia" w:ascii="新宋体" w:hAnsi="新宋体" w:eastAsia="新宋体"/>
          <w:color w:val="auto"/>
          <w:highlight w:val="none"/>
        </w:rPr>
        <w:t>（提供证明材料或书面声明）</w:t>
      </w:r>
      <w:r>
        <w:rPr>
          <w:rFonts w:hint="eastAsia" w:ascii="新宋体" w:hAnsi="新宋体" w:eastAsia="新宋体"/>
          <w:color w:val="auto"/>
          <w:highlight w:val="none"/>
          <w:lang w:eastAsia="zh-CN"/>
        </w:rPr>
        <w:t>，</w:t>
      </w:r>
      <w:r>
        <w:rPr>
          <w:rFonts w:hint="eastAsia" w:ascii="新宋体" w:hAnsi="新宋体" w:eastAsia="新宋体"/>
          <w:color w:val="auto"/>
          <w:highlight w:val="none"/>
          <w:lang w:val="en-US" w:eastAsia="zh-CN"/>
        </w:rPr>
        <w:t>格式自拟。</w:t>
      </w:r>
    </w:p>
    <w:p w14:paraId="070241B5">
      <w:pPr>
        <w:rPr>
          <w:rFonts w:asciiTheme="majorEastAsia" w:hAnsiTheme="majorEastAsia" w:eastAsiaTheme="majorEastAsia" w:cstheme="majorEastAsia"/>
          <w:color w:val="auto"/>
          <w:szCs w:val="24"/>
          <w:highlight w:val="none"/>
        </w:rPr>
      </w:pPr>
      <w:bookmarkStart w:id="417" w:name="_Toc13966"/>
      <w:bookmarkStart w:id="418" w:name="_Toc5708"/>
    </w:p>
    <w:p w14:paraId="1192FD43">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供应商名称（电子签章）：</w:t>
      </w:r>
    </w:p>
    <w:p w14:paraId="68AACB90">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法定代表人</w:t>
      </w:r>
      <w:r>
        <w:rPr>
          <w:rFonts w:hint="eastAsia" w:asciiTheme="majorEastAsia" w:hAnsiTheme="majorEastAsia" w:eastAsiaTheme="majorEastAsia" w:cstheme="majorEastAsia"/>
          <w:color w:val="auto"/>
          <w:sz w:val="21"/>
          <w:szCs w:val="24"/>
          <w:highlight w:val="none"/>
          <w:lang w:val="en-US" w:eastAsia="zh-CN"/>
        </w:rPr>
        <w:t>或授权委托人</w:t>
      </w:r>
      <w:r>
        <w:rPr>
          <w:rFonts w:hint="eastAsia" w:asciiTheme="majorEastAsia" w:hAnsiTheme="majorEastAsia" w:eastAsiaTheme="majorEastAsia" w:cstheme="majorEastAsia"/>
          <w:color w:val="auto"/>
          <w:sz w:val="21"/>
          <w:szCs w:val="24"/>
          <w:highlight w:val="none"/>
        </w:rPr>
        <w:t>（电子签章）：</w:t>
      </w:r>
    </w:p>
    <w:p w14:paraId="314459E2">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日期：年月日</w:t>
      </w:r>
    </w:p>
    <w:p w14:paraId="52945301">
      <w:pPr>
        <w:pStyle w:val="7"/>
        <w:rPr>
          <w:color w:val="auto"/>
          <w:highlight w:val="none"/>
        </w:rPr>
      </w:pPr>
    </w:p>
    <w:p w14:paraId="51753DDC">
      <w:pPr>
        <w:pStyle w:val="7"/>
        <w:rPr>
          <w:color w:val="auto"/>
          <w:highlight w:val="none"/>
        </w:rPr>
      </w:pPr>
    </w:p>
    <w:p w14:paraId="76CF8D2D">
      <w:pPr>
        <w:spacing w:line="360" w:lineRule="auto"/>
        <w:jc w:val="center"/>
        <w:outlineLvl w:val="2"/>
        <w:rPr>
          <w:rFonts w:ascii="新宋体" w:hAnsi="新宋体" w:eastAsia="新宋体"/>
          <w:color w:val="auto"/>
          <w:highlight w:val="none"/>
        </w:rPr>
      </w:pPr>
      <w:bookmarkStart w:id="419" w:name="_Toc27957"/>
      <w:r>
        <w:rPr>
          <w:rFonts w:hint="eastAsia" w:ascii="新宋体" w:hAnsi="新宋体" w:eastAsia="新宋体"/>
          <w:b/>
          <w:color w:val="auto"/>
          <w:kern w:val="0"/>
          <w:sz w:val="32"/>
          <w:szCs w:val="22"/>
          <w:highlight w:val="none"/>
          <w:lang w:val="en-US" w:eastAsia="zh-CN"/>
        </w:rPr>
        <w:t>四</w:t>
      </w:r>
      <w:r>
        <w:rPr>
          <w:rFonts w:hint="eastAsia" w:ascii="新宋体" w:hAnsi="新宋体" w:eastAsia="新宋体"/>
          <w:b/>
          <w:color w:val="auto"/>
          <w:kern w:val="0"/>
          <w:sz w:val="32"/>
          <w:szCs w:val="22"/>
          <w:highlight w:val="none"/>
        </w:rPr>
        <w:t>、</w:t>
      </w:r>
      <w:bookmarkEnd w:id="417"/>
      <w:bookmarkEnd w:id="418"/>
      <w:r>
        <w:rPr>
          <w:rFonts w:hint="eastAsia" w:ascii="新宋体" w:hAnsi="新宋体" w:eastAsia="新宋体"/>
          <w:b/>
          <w:color w:val="auto"/>
          <w:kern w:val="0"/>
          <w:sz w:val="32"/>
          <w:szCs w:val="22"/>
          <w:highlight w:val="none"/>
        </w:rPr>
        <w:t>具有履行合同所必需的设备和专业技术能力</w:t>
      </w:r>
      <w:bookmarkEnd w:id="419"/>
    </w:p>
    <w:p w14:paraId="5CF963C1">
      <w:pPr>
        <w:spacing w:line="360" w:lineRule="auto"/>
        <w:ind w:firstLine="420" w:firstLineChars="200"/>
        <w:jc w:val="center"/>
        <w:rPr>
          <w:rFonts w:ascii="新宋体" w:hAnsi="新宋体" w:eastAsia="新宋体"/>
          <w:color w:val="auto"/>
          <w:highlight w:val="none"/>
        </w:rPr>
      </w:pPr>
      <w:r>
        <w:rPr>
          <w:rFonts w:hint="eastAsia" w:asciiTheme="majorEastAsia" w:hAnsiTheme="majorEastAsia" w:eastAsiaTheme="majorEastAsia" w:cstheme="majorEastAsia"/>
          <w:color w:val="auto"/>
          <w:szCs w:val="24"/>
          <w:highlight w:val="none"/>
        </w:rPr>
        <w:t>（提供证明材料或书面声明，自拟格式）</w:t>
      </w:r>
    </w:p>
    <w:p w14:paraId="0A7B0F15">
      <w:pPr>
        <w:rPr>
          <w:rFonts w:asciiTheme="majorEastAsia" w:hAnsiTheme="majorEastAsia" w:eastAsiaTheme="majorEastAsia" w:cstheme="majorEastAsia"/>
          <w:color w:val="auto"/>
          <w:szCs w:val="24"/>
          <w:highlight w:val="none"/>
        </w:rPr>
      </w:pPr>
    </w:p>
    <w:p w14:paraId="33639FCE">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供应商名称（电子签章）：</w:t>
      </w:r>
    </w:p>
    <w:p w14:paraId="44D5BB1C">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法定代表人</w:t>
      </w:r>
      <w:r>
        <w:rPr>
          <w:rFonts w:hint="eastAsia" w:asciiTheme="majorEastAsia" w:hAnsiTheme="majorEastAsia" w:eastAsiaTheme="majorEastAsia" w:cstheme="majorEastAsia"/>
          <w:color w:val="auto"/>
          <w:sz w:val="21"/>
          <w:szCs w:val="24"/>
          <w:highlight w:val="none"/>
          <w:lang w:val="en-US" w:eastAsia="zh-CN"/>
        </w:rPr>
        <w:t>或授权委托人</w:t>
      </w:r>
      <w:r>
        <w:rPr>
          <w:rFonts w:hint="eastAsia" w:asciiTheme="majorEastAsia" w:hAnsiTheme="majorEastAsia" w:eastAsiaTheme="majorEastAsia" w:cstheme="majorEastAsia"/>
          <w:color w:val="auto"/>
          <w:sz w:val="21"/>
          <w:szCs w:val="24"/>
          <w:highlight w:val="none"/>
        </w:rPr>
        <w:t>（电子签章）：</w:t>
      </w:r>
    </w:p>
    <w:p w14:paraId="2D00ED51">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日期：年月日</w:t>
      </w:r>
    </w:p>
    <w:p w14:paraId="7B697C7A">
      <w:pPr>
        <w:pStyle w:val="19"/>
        <w:spacing w:line="360" w:lineRule="auto"/>
        <w:rPr>
          <w:rFonts w:ascii="新宋体" w:hAnsi="新宋体" w:eastAsia="新宋体"/>
          <w:color w:val="auto"/>
          <w:szCs w:val="21"/>
          <w:highlight w:val="none"/>
        </w:rPr>
      </w:pPr>
    </w:p>
    <w:p w14:paraId="0F17530B">
      <w:pPr>
        <w:spacing w:line="360" w:lineRule="auto"/>
        <w:rPr>
          <w:rFonts w:ascii="新宋体" w:hAnsi="新宋体" w:eastAsia="新宋体"/>
          <w:color w:val="auto"/>
          <w:highlight w:val="none"/>
        </w:rPr>
      </w:pPr>
    </w:p>
    <w:p w14:paraId="206DB9A6">
      <w:pPr>
        <w:pStyle w:val="7"/>
        <w:rPr>
          <w:rFonts w:ascii="新宋体" w:hAnsi="新宋体" w:eastAsia="新宋体"/>
          <w:color w:val="auto"/>
          <w:szCs w:val="21"/>
          <w:highlight w:val="none"/>
        </w:rPr>
      </w:pPr>
    </w:p>
    <w:p w14:paraId="6F6D625D">
      <w:pPr>
        <w:pStyle w:val="7"/>
        <w:rPr>
          <w:rFonts w:ascii="新宋体" w:hAnsi="新宋体" w:eastAsia="新宋体"/>
          <w:color w:val="auto"/>
          <w:szCs w:val="21"/>
          <w:highlight w:val="none"/>
        </w:rPr>
      </w:pPr>
    </w:p>
    <w:p w14:paraId="59823661">
      <w:pPr>
        <w:pStyle w:val="7"/>
        <w:rPr>
          <w:rFonts w:ascii="新宋体" w:hAnsi="新宋体" w:eastAsia="新宋体"/>
          <w:color w:val="auto"/>
          <w:szCs w:val="21"/>
          <w:highlight w:val="none"/>
        </w:rPr>
      </w:pPr>
    </w:p>
    <w:p w14:paraId="5082957C">
      <w:pPr>
        <w:pStyle w:val="4"/>
        <w:spacing w:before="156" w:after="156"/>
        <w:jc w:val="center"/>
        <w:rPr>
          <w:rFonts w:ascii="新宋体" w:hAnsi="新宋体" w:eastAsia="新宋体"/>
          <w:color w:val="auto"/>
          <w:highlight w:val="none"/>
        </w:rPr>
      </w:pPr>
      <w:bookmarkStart w:id="420" w:name="_Toc25458"/>
      <w:bookmarkStart w:id="421" w:name="_Toc19844"/>
      <w:bookmarkStart w:id="422" w:name="_Toc297"/>
      <w:r>
        <w:rPr>
          <w:rFonts w:hint="eastAsia" w:ascii="新宋体" w:hAnsi="新宋体" w:eastAsia="新宋体"/>
          <w:color w:val="auto"/>
          <w:highlight w:val="none"/>
          <w:lang w:val="en-US" w:eastAsia="zh-CN"/>
        </w:rPr>
        <w:t>五</w:t>
      </w:r>
      <w:r>
        <w:rPr>
          <w:rFonts w:hint="eastAsia" w:ascii="新宋体" w:hAnsi="新宋体" w:eastAsia="新宋体"/>
          <w:color w:val="auto"/>
          <w:highlight w:val="none"/>
        </w:rPr>
        <w:t>、</w:t>
      </w:r>
      <w:bookmarkEnd w:id="420"/>
      <w:bookmarkEnd w:id="421"/>
      <w:r>
        <w:rPr>
          <w:rFonts w:hint="eastAsia" w:ascii="新宋体" w:hAnsi="新宋体" w:eastAsia="新宋体"/>
          <w:color w:val="auto"/>
          <w:highlight w:val="none"/>
        </w:rPr>
        <w:t>有依法缴纳税收和社会保障资金的良好记录</w:t>
      </w:r>
      <w:bookmarkEnd w:id="422"/>
    </w:p>
    <w:p w14:paraId="7808869B">
      <w:pPr>
        <w:spacing w:line="360" w:lineRule="auto"/>
        <w:ind w:firstLine="420" w:firstLineChars="200"/>
        <w:jc w:val="center"/>
        <w:rPr>
          <w:rFonts w:ascii="新宋体" w:hAnsi="新宋体" w:eastAsia="新宋体"/>
          <w:color w:val="auto"/>
          <w:highlight w:val="none"/>
        </w:rPr>
      </w:pPr>
      <w:r>
        <w:rPr>
          <w:rFonts w:hint="eastAsia" w:asciiTheme="majorEastAsia" w:hAnsiTheme="majorEastAsia" w:eastAsiaTheme="majorEastAsia" w:cstheme="majorEastAsia"/>
          <w:color w:val="auto"/>
          <w:szCs w:val="24"/>
          <w:highlight w:val="none"/>
        </w:rPr>
        <w:t>提供证明材料或书面声明</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rPr>
        <w:t>依法免税或不需要缴纳社会保障资金的投标人应提供相应文件证明其依法免税或不需要缴纳社会保障资金</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rPr>
        <w:t>格式自拟</w:t>
      </w:r>
      <w:r>
        <w:rPr>
          <w:rFonts w:hint="eastAsia" w:asciiTheme="majorEastAsia" w:hAnsiTheme="majorEastAsia" w:eastAsiaTheme="majorEastAsia" w:cstheme="majorEastAsia"/>
          <w:color w:val="auto"/>
          <w:szCs w:val="24"/>
          <w:highlight w:val="none"/>
          <w:lang w:eastAsia="zh-CN"/>
        </w:rPr>
        <w:t>。</w:t>
      </w:r>
    </w:p>
    <w:p w14:paraId="67F630E1">
      <w:pPr>
        <w:rPr>
          <w:rFonts w:asciiTheme="majorEastAsia" w:hAnsiTheme="majorEastAsia" w:eastAsiaTheme="majorEastAsia" w:cstheme="majorEastAsia"/>
          <w:color w:val="auto"/>
          <w:szCs w:val="24"/>
          <w:highlight w:val="none"/>
        </w:rPr>
      </w:pPr>
    </w:p>
    <w:p w14:paraId="3F7DDFC8">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供应商名称（电子签章）：</w:t>
      </w:r>
    </w:p>
    <w:p w14:paraId="40ED7875">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法定代表人</w:t>
      </w:r>
      <w:r>
        <w:rPr>
          <w:rFonts w:hint="eastAsia" w:asciiTheme="majorEastAsia" w:hAnsiTheme="majorEastAsia" w:eastAsiaTheme="majorEastAsia" w:cstheme="majorEastAsia"/>
          <w:color w:val="auto"/>
          <w:sz w:val="21"/>
          <w:szCs w:val="24"/>
          <w:highlight w:val="none"/>
          <w:lang w:val="en-US" w:eastAsia="zh-CN"/>
        </w:rPr>
        <w:t>或授权委托人</w:t>
      </w:r>
      <w:r>
        <w:rPr>
          <w:rFonts w:hint="eastAsia" w:asciiTheme="majorEastAsia" w:hAnsiTheme="majorEastAsia" w:eastAsiaTheme="majorEastAsia" w:cstheme="majorEastAsia"/>
          <w:color w:val="auto"/>
          <w:sz w:val="21"/>
          <w:szCs w:val="24"/>
          <w:highlight w:val="none"/>
        </w:rPr>
        <w:t>（电子签章）：</w:t>
      </w:r>
    </w:p>
    <w:p w14:paraId="4F3F9FB0">
      <w:pPr>
        <w:pStyle w:val="7"/>
        <w:rPr>
          <w:rFonts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日期：年月日</w:t>
      </w:r>
    </w:p>
    <w:p w14:paraId="06506C79">
      <w:pPr>
        <w:pStyle w:val="7"/>
        <w:rPr>
          <w:rFonts w:asciiTheme="majorEastAsia" w:hAnsiTheme="majorEastAsia" w:eastAsiaTheme="majorEastAsia" w:cstheme="majorEastAsia"/>
          <w:color w:val="auto"/>
          <w:sz w:val="21"/>
          <w:szCs w:val="21"/>
          <w:highlight w:val="none"/>
        </w:rPr>
      </w:pPr>
    </w:p>
    <w:p w14:paraId="52D4BECE">
      <w:pPr>
        <w:pStyle w:val="7"/>
        <w:rPr>
          <w:rFonts w:asciiTheme="majorEastAsia" w:hAnsiTheme="majorEastAsia" w:eastAsiaTheme="majorEastAsia" w:cstheme="majorEastAsia"/>
          <w:color w:val="auto"/>
          <w:sz w:val="21"/>
          <w:szCs w:val="21"/>
          <w:highlight w:val="none"/>
        </w:rPr>
      </w:pPr>
    </w:p>
    <w:p w14:paraId="35A3D65C">
      <w:pPr>
        <w:pStyle w:val="7"/>
        <w:rPr>
          <w:rFonts w:asciiTheme="majorEastAsia" w:hAnsiTheme="majorEastAsia" w:eastAsiaTheme="majorEastAsia" w:cstheme="majorEastAsia"/>
          <w:color w:val="auto"/>
          <w:sz w:val="21"/>
          <w:szCs w:val="21"/>
          <w:highlight w:val="none"/>
        </w:rPr>
      </w:pPr>
    </w:p>
    <w:p w14:paraId="38DCB809">
      <w:pPr>
        <w:pStyle w:val="7"/>
        <w:rPr>
          <w:rFonts w:asciiTheme="majorEastAsia" w:hAnsiTheme="majorEastAsia" w:eastAsiaTheme="majorEastAsia" w:cstheme="majorEastAsia"/>
          <w:color w:val="auto"/>
          <w:sz w:val="21"/>
          <w:szCs w:val="21"/>
          <w:highlight w:val="none"/>
        </w:rPr>
      </w:pPr>
    </w:p>
    <w:p w14:paraId="5A3434F7">
      <w:pPr>
        <w:pStyle w:val="26"/>
        <w:rPr>
          <w:color w:val="auto"/>
          <w:highlight w:val="none"/>
        </w:rPr>
      </w:pPr>
      <w:bookmarkStart w:id="423" w:name="_Toc27694"/>
      <w:bookmarkStart w:id="424" w:name="_Toc29379"/>
    </w:p>
    <w:p w14:paraId="11177A44">
      <w:pPr>
        <w:rPr>
          <w:rFonts w:ascii="新宋体" w:hAnsi="新宋体" w:eastAsia="新宋体"/>
          <w:color w:val="auto"/>
          <w:highlight w:val="none"/>
        </w:rPr>
      </w:pPr>
      <w:r>
        <w:rPr>
          <w:rFonts w:hint="eastAsia" w:ascii="新宋体" w:hAnsi="新宋体" w:eastAsia="新宋体"/>
          <w:color w:val="auto"/>
          <w:highlight w:val="none"/>
        </w:rPr>
        <w:br w:type="page"/>
      </w:r>
    </w:p>
    <w:p w14:paraId="3A9F3015">
      <w:pPr>
        <w:pStyle w:val="4"/>
        <w:spacing w:before="156" w:after="156"/>
        <w:jc w:val="center"/>
        <w:rPr>
          <w:rFonts w:ascii="新宋体" w:hAnsi="新宋体" w:eastAsia="新宋体"/>
          <w:color w:val="auto"/>
          <w:highlight w:val="none"/>
        </w:rPr>
      </w:pPr>
      <w:bookmarkStart w:id="425" w:name="_Toc20102"/>
      <w:r>
        <w:rPr>
          <w:rFonts w:hint="eastAsia" w:ascii="新宋体" w:hAnsi="新宋体" w:eastAsia="新宋体"/>
          <w:color w:val="auto"/>
          <w:highlight w:val="none"/>
          <w:lang w:val="en-US" w:eastAsia="zh-CN"/>
        </w:rPr>
        <w:t>六</w:t>
      </w:r>
      <w:r>
        <w:rPr>
          <w:rFonts w:hint="eastAsia" w:ascii="新宋体" w:hAnsi="新宋体" w:eastAsia="新宋体"/>
          <w:color w:val="auto"/>
          <w:highlight w:val="none"/>
        </w:rPr>
        <w:t>、</w:t>
      </w:r>
      <w:bookmarkEnd w:id="423"/>
      <w:bookmarkEnd w:id="424"/>
      <w:r>
        <w:rPr>
          <w:rFonts w:hint="eastAsia"/>
          <w:color w:val="auto"/>
          <w:highlight w:val="none"/>
        </w:rPr>
        <w:t>近三年经营活动中没有重大违法记录</w:t>
      </w:r>
      <w:bookmarkEnd w:id="425"/>
    </w:p>
    <w:p w14:paraId="4227E058">
      <w:pPr>
        <w:pStyle w:val="19"/>
        <w:spacing w:line="360" w:lineRule="auto"/>
        <w:ind w:left="0" w:leftChars="0" w:firstLine="0" w:firstLineChars="0"/>
        <w:jc w:val="left"/>
        <w:rPr>
          <w:rFonts w:hint="eastAsia" w:hAnsi="宋体"/>
          <w:color w:val="auto"/>
          <w:szCs w:val="21"/>
          <w:highlight w:val="none"/>
          <w:lang w:eastAsia="zh-CN"/>
        </w:rPr>
      </w:pPr>
      <w:r>
        <w:rPr>
          <w:rFonts w:hint="eastAsia" w:hAnsi="宋体"/>
          <w:color w:val="auto"/>
          <w:szCs w:val="21"/>
          <w:highlight w:val="none"/>
          <w:lang w:eastAsia="zh-CN"/>
        </w:rPr>
        <w:t>参加政府采购活动前三年内，在经营活动中没有重大违法记录（重大违法记录，是指投标人因违法经营受到刑事处罚或者责令停产停业、吊销许可证或者执照、较大数额罚款等行政处罚）</w:t>
      </w:r>
    </w:p>
    <w:p w14:paraId="78F7E6C8">
      <w:pPr>
        <w:pStyle w:val="19"/>
        <w:ind w:left="0" w:leftChars="0" w:firstLine="0" w:firstLineChars="0"/>
        <w:jc w:val="center"/>
        <w:rPr>
          <w:rFonts w:ascii="新宋体" w:hAnsi="新宋体" w:eastAsia="新宋体"/>
          <w:color w:val="auto"/>
          <w:szCs w:val="21"/>
          <w:highlight w:val="none"/>
        </w:rPr>
      </w:pPr>
      <w:r>
        <w:rPr>
          <w:rFonts w:hint="eastAsia" w:hAnsi="宋体"/>
          <w:color w:val="auto"/>
          <w:szCs w:val="21"/>
          <w:highlight w:val="none"/>
        </w:rPr>
        <w:t>（提供书面声明，自拟格式）</w:t>
      </w:r>
    </w:p>
    <w:p w14:paraId="1F7F3F68">
      <w:pPr>
        <w:rPr>
          <w:color w:val="auto"/>
          <w:highlight w:val="none"/>
        </w:rPr>
      </w:pPr>
    </w:p>
    <w:p w14:paraId="7ED655CE">
      <w:pPr>
        <w:adjustRightInd w:val="0"/>
        <w:snapToGrid w:val="0"/>
        <w:spacing w:line="360" w:lineRule="auto"/>
        <w:jc w:val="left"/>
        <w:rPr>
          <w:color w:val="auto"/>
          <w:sz w:val="24"/>
          <w:szCs w:val="24"/>
          <w:highlight w:val="none"/>
        </w:rPr>
      </w:pPr>
    </w:p>
    <w:p w14:paraId="3B74841A">
      <w:pPr>
        <w:adjustRightInd w:val="0"/>
        <w:snapToGrid w:val="0"/>
        <w:spacing w:line="360" w:lineRule="auto"/>
        <w:ind w:firstLine="465"/>
        <w:jc w:val="left"/>
        <w:rPr>
          <w:color w:val="auto"/>
          <w:sz w:val="24"/>
          <w:szCs w:val="24"/>
          <w:highlight w:val="none"/>
        </w:rPr>
      </w:pPr>
    </w:p>
    <w:p w14:paraId="7B785582">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5247AC5C">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4B7F91F4">
      <w:pPr>
        <w:spacing w:line="360" w:lineRule="auto"/>
        <w:rPr>
          <w:rFonts w:ascii="宋体" w:hAnsi="宋体"/>
          <w:b/>
          <w:color w:val="auto"/>
          <w:sz w:val="24"/>
          <w:highlight w:val="none"/>
        </w:rPr>
      </w:pPr>
      <w:r>
        <w:rPr>
          <w:rFonts w:hint="eastAsia" w:ascii="新宋体" w:hAnsi="新宋体" w:eastAsia="新宋体"/>
          <w:color w:val="auto"/>
          <w:highlight w:val="none"/>
        </w:rPr>
        <w:t>日期：年月日</w:t>
      </w:r>
    </w:p>
    <w:p w14:paraId="5C5445D7">
      <w:pPr>
        <w:adjustRightInd w:val="0"/>
        <w:snapToGrid w:val="0"/>
        <w:spacing w:line="360" w:lineRule="auto"/>
        <w:ind w:firstLine="465"/>
        <w:jc w:val="left"/>
        <w:rPr>
          <w:color w:val="auto"/>
          <w:sz w:val="24"/>
          <w:szCs w:val="24"/>
          <w:highlight w:val="none"/>
        </w:rPr>
      </w:pPr>
    </w:p>
    <w:p w14:paraId="34D6EF70">
      <w:pPr>
        <w:spacing w:line="360" w:lineRule="auto"/>
        <w:ind w:firstLine="420" w:firstLineChars="200"/>
        <w:rPr>
          <w:rFonts w:ascii="新宋体" w:hAnsi="新宋体" w:eastAsia="新宋体"/>
          <w:color w:val="auto"/>
          <w:highlight w:val="none"/>
        </w:rPr>
      </w:pPr>
    </w:p>
    <w:p w14:paraId="09B82305">
      <w:pPr>
        <w:pStyle w:val="7"/>
        <w:rPr>
          <w:rFonts w:asciiTheme="majorEastAsia" w:hAnsiTheme="majorEastAsia" w:eastAsiaTheme="majorEastAsia" w:cstheme="majorEastAsia"/>
          <w:color w:val="auto"/>
          <w:sz w:val="21"/>
          <w:szCs w:val="21"/>
          <w:highlight w:val="none"/>
        </w:rPr>
      </w:pPr>
    </w:p>
    <w:p w14:paraId="69480B23">
      <w:pPr>
        <w:pStyle w:val="19"/>
        <w:ind w:left="0" w:leftChars="0" w:firstLine="0" w:firstLineChars="0"/>
        <w:jc w:val="center"/>
        <w:outlineLvl w:val="2"/>
        <w:rPr>
          <w:rFonts w:ascii="新宋体" w:hAnsi="新宋体" w:eastAsia="新宋体"/>
          <w:b/>
          <w:color w:val="auto"/>
          <w:kern w:val="0"/>
          <w:sz w:val="32"/>
          <w:szCs w:val="32"/>
          <w:highlight w:val="none"/>
        </w:rPr>
      </w:pPr>
      <w:bookmarkStart w:id="426" w:name="_Toc16308"/>
      <w:r>
        <w:rPr>
          <w:rFonts w:hint="eastAsia" w:ascii="新宋体" w:hAnsi="新宋体" w:eastAsia="新宋体"/>
          <w:b/>
          <w:color w:val="auto"/>
          <w:kern w:val="0"/>
          <w:sz w:val="32"/>
          <w:szCs w:val="32"/>
          <w:highlight w:val="none"/>
          <w:lang w:val="en-US" w:eastAsia="zh-CN"/>
        </w:rPr>
        <w:t>七</w:t>
      </w:r>
      <w:r>
        <w:rPr>
          <w:rFonts w:hint="eastAsia" w:ascii="新宋体" w:hAnsi="新宋体" w:eastAsia="新宋体"/>
          <w:b/>
          <w:color w:val="auto"/>
          <w:kern w:val="0"/>
          <w:sz w:val="32"/>
          <w:szCs w:val="32"/>
          <w:highlight w:val="none"/>
        </w:rPr>
        <w:t>、法律、行政法规规定的其他条件</w:t>
      </w:r>
      <w:bookmarkEnd w:id="426"/>
    </w:p>
    <w:p w14:paraId="4E233D87">
      <w:pPr>
        <w:pStyle w:val="19"/>
        <w:rPr>
          <w:rFonts w:ascii="新宋体" w:hAnsi="新宋体" w:eastAsia="新宋体"/>
          <w:color w:val="auto"/>
          <w:szCs w:val="21"/>
          <w:highlight w:val="none"/>
        </w:rPr>
      </w:pPr>
    </w:p>
    <w:p w14:paraId="74F9F4BE">
      <w:pPr>
        <w:pStyle w:val="19"/>
        <w:ind w:left="0" w:leftChars="0" w:firstLine="0" w:firstLineChars="0"/>
        <w:jc w:val="center"/>
        <w:rPr>
          <w:rFonts w:ascii="新宋体" w:hAnsi="新宋体" w:eastAsia="新宋体"/>
          <w:color w:val="auto"/>
          <w:szCs w:val="21"/>
          <w:highlight w:val="none"/>
        </w:rPr>
      </w:pPr>
      <w:r>
        <w:rPr>
          <w:rFonts w:hint="eastAsia" w:hAnsi="宋体"/>
          <w:color w:val="auto"/>
          <w:szCs w:val="21"/>
          <w:highlight w:val="none"/>
        </w:rPr>
        <w:t>（提供书面声明，自拟格式）</w:t>
      </w:r>
    </w:p>
    <w:p w14:paraId="6BF1D625">
      <w:pPr>
        <w:pStyle w:val="7"/>
        <w:rPr>
          <w:rFonts w:asciiTheme="majorEastAsia" w:hAnsiTheme="majorEastAsia" w:eastAsiaTheme="majorEastAsia" w:cstheme="majorEastAsia"/>
          <w:color w:val="auto"/>
          <w:sz w:val="21"/>
          <w:szCs w:val="21"/>
          <w:highlight w:val="none"/>
        </w:rPr>
      </w:pPr>
    </w:p>
    <w:p w14:paraId="391B26A9">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135A3ADF">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422FED92">
      <w:pPr>
        <w:spacing w:line="360" w:lineRule="auto"/>
        <w:rPr>
          <w:rFonts w:ascii="宋体" w:hAnsi="宋体"/>
          <w:b/>
          <w:color w:val="auto"/>
          <w:sz w:val="24"/>
          <w:highlight w:val="none"/>
        </w:rPr>
      </w:pPr>
      <w:r>
        <w:rPr>
          <w:rFonts w:hint="eastAsia" w:ascii="新宋体" w:hAnsi="新宋体" w:eastAsia="新宋体"/>
          <w:color w:val="auto"/>
          <w:highlight w:val="none"/>
        </w:rPr>
        <w:t>日期：年月日</w:t>
      </w:r>
    </w:p>
    <w:p w14:paraId="7E5A98A4">
      <w:pPr>
        <w:pStyle w:val="7"/>
        <w:rPr>
          <w:rFonts w:asciiTheme="majorEastAsia" w:hAnsiTheme="majorEastAsia" w:eastAsiaTheme="majorEastAsia" w:cstheme="majorEastAsia"/>
          <w:color w:val="auto"/>
          <w:sz w:val="21"/>
          <w:szCs w:val="21"/>
          <w:highlight w:val="none"/>
        </w:rPr>
      </w:pPr>
    </w:p>
    <w:p w14:paraId="7CDC1FF4">
      <w:pPr>
        <w:pStyle w:val="7"/>
        <w:rPr>
          <w:rFonts w:asciiTheme="majorEastAsia" w:hAnsiTheme="majorEastAsia" w:eastAsiaTheme="majorEastAsia" w:cstheme="majorEastAsia"/>
          <w:color w:val="auto"/>
          <w:sz w:val="21"/>
          <w:szCs w:val="21"/>
          <w:highlight w:val="none"/>
        </w:rPr>
      </w:pPr>
    </w:p>
    <w:p w14:paraId="37520D1D">
      <w:pPr>
        <w:pStyle w:val="7"/>
        <w:rPr>
          <w:rFonts w:asciiTheme="majorEastAsia" w:hAnsiTheme="majorEastAsia" w:eastAsiaTheme="majorEastAsia" w:cstheme="majorEastAsia"/>
          <w:color w:val="auto"/>
          <w:sz w:val="21"/>
          <w:szCs w:val="21"/>
          <w:highlight w:val="none"/>
        </w:rPr>
      </w:pPr>
    </w:p>
    <w:p w14:paraId="547C555C">
      <w:pPr>
        <w:pStyle w:val="9"/>
        <w:rPr>
          <w:color w:val="auto"/>
          <w:highlight w:val="none"/>
        </w:rPr>
      </w:pPr>
      <w:r>
        <w:rPr>
          <w:color w:val="auto"/>
          <w:highlight w:val="none"/>
        </w:rPr>
        <w:br w:type="page"/>
      </w:r>
    </w:p>
    <w:p w14:paraId="4B0336E4">
      <w:pPr>
        <w:pStyle w:val="7"/>
        <w:rPr>
          <w:rFonts w:asciiTheme="majorEastAsia" w:hAnsiTheme="majorEastAsia" w:eastAsiaTheme="majorEastAsia" w:cstheme="majorEastAsia"/>
          <w:color w:val="auto"/>
          <w:sz w:val="21"/>
          <w:szCs w:val="21"/>
          <w:highlight w:val="none"/>
        </w:rPr>
      </w:pPr>
    </w:p>
    <w:p w14:paraId="2BD06C8E">
      <w:pPr>
        <w:pStyle w:val="9"/>
        <w:rPr>
          <w:color w:val="auto"/>
          <w:highlight w:val="none"/>
        </w:rPr>
      </w:pPr>
    </w:p>
    <w:p w14:paraId="1307897E">
      <w:pPr>
        <w:rPr>
          <w:rFonts w:asciiTheme="majorEastAsia" w:hAnsiTheme="majorEastAsia" w:eastAsiaTheme="majorEastAsia" w:cstheme="majorEastAsia"/>
          <w:color w:val="auto"/>
          <w:highlight w:val="none"/>
        </w:rPr>
      </w:pPr>
      <w:bookmarkStart w:id="427" w:name="_Toc11348"/>
      <w:bookmarkStart w:id="428" w:name="_Toc1527"/>
    </w:p>
    <w:p w14:paraId="65F61DC4">
      <w:pPr>
        <w:pStyle w:val="19"/>
        <w:ind w:left="0" w:leftChars="0" w:firstLine="0" w:firstLineChars="0"/>
        <w:jc w:val="center"/>
        <w:outlineLvl w:val="2"/>
        <w:rPr>
          <w:rFonts w:ascii="新宋体" w:hAnsi="新宋体" w:eastAsia="新宋体"/>
          <w:b/>
          <w:color w:val="auto"/>
          <w:kern w:val="0"/>
          <w:sz w:val="32"/>
          <w:szCs w:val="32"/>
          <w:highlight w:val="none"/>
        </w:rPr>
      </w:pPr>
      <w:bookmarkStart w:id="429" w:name="_Toc16775"/>
      <w:r>
        <w:rPr>
          <w:rFonts w:hint="eastAsia" w:ascii="新宋体" w:hAnsi="新宋体" w:eastAsia="新宋体"/>
          <w:b/>
          <w:color w:val="auto"/>
          <w:kern w:val="0"/>
          <w:sz w:val="32"/>
          <w:szCs w:val="32"/>
          <w:highlight w:val="none"/>
          <w:lang w:val="en-US" w:eastAsia="zh-CN"/>
        </w:rPr>
        <w:t>八</w:t>
      </w:r>
      <w:r>
        <w:rPr>
          <w:rFonts w:hint="eastAsia" w:ascii="新宋体" w:hAnsi="新宋体" w:eastAsia="新宋体"/>
          <w:b/>
          <w:color w:val="auto"/>
          <w:kern w:val="0"/>
          <w:sz w:val="32"/>
          <w:szCs w:val="32"/>
          <w:highlight w:val="none"/>
        </w:rPr>
        <w:t>、其他承诺</w:t>
      </w:r>
      <w:bookmarkEnd w:id="429"/>
    </w:p>
    <w:p w14:paraId="1EB4A153">
      <w:pPr>
        <w:pStyle w:val="19"/>
        <w:ind w:left="0" w:leftChars="0" w:firstLine="0" w:firstLineChars="0"/>
        <w:jc w:val="center"/>
        <w:rPr>
          <w:rFonts w:hAnsi="宋体"/>
          <w:color w:val="auto"/>
          <w:szCs w:val="21"/>
          <w:highlight w:val="none"/>
        </w:rPr>
      </w:pPr>
      <w:r>
        <w:rPr>
          <w:rFonts w:hint="eastAsia" w:hAnsi="宋体"/>
          <w:color w:val="auto"/>
          <w:szCs w:val="21"/>
          <w:highlight w:val="none"/>
        </w:rPr>
        <w:t>（1）法定代表人为同一人或者存在控股、管理关系的不同单位，不得同时参加本项目投标，否则相关投标均无效</w:t>
      </w:r>
    </w:p>
    <w:p w14:paraId="240275A4">
      <w:pPr>
        <w:pStyle w:val="19"/>
        <w:ind w:left="0" w:leftChars="0" w:firstLine="0" w:firstLineChars="0"/>
        <w:jc w:val="center"/>
        <w:rPr>
          <w:rFonts w:hAnsi="宋体"/>
          <w:color w:val="auto"/>
          <w:szCs w:val="21"/>
          <w:highlight w:val="none"/>
        </w:rPr>
      </w:pPr>
      <w:r>
        <w:rPr>
          <w:rFonts w:hint="eastAsia" w:hAnsi="宋体"/>
          <w:color w:val="auto"/>
          <w:szCs w:val="21"/>
          <w:highlight w:val="none"/>
        </w:rPr>
        <w:t>（提供承诺书，自拟格式）</w:t>
      </w:r>
    </w:p>
    <w:p w14:paraId="3C14E3F5">
      <w:pPr>
        <w:spacing w:line="360" w:lineRule="auto"/>
        <w:rPr>
          <w:rFonts w:ascii="新宋体" w:hAnsi="新宋体" w:eastAsia="新宋体"/>
          <w:color w:val="auto"/>
          <w:highlight w:val="none"/>
        </w:rPr>
      </w:pPr>
    </w:p>
    <w:p w14:paraId="0487A960">
      <w:pPr>
        <w:spacing w:line="360" w:lineRule="auto"/>
        <w:rPr>
          <w:rFonts w:ascii="新宋体" w:hAnsi="新宋体" w:eastAsia="新宋体"/>
          <w:color w:val="auto"/>
          <w:highlight w:val="none"/>
        </w:rPr>
      </w:pPr>
    </w:p>
    <w:p w14:paraId="62C1952E">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5DB94B25">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492EC99C">
      <w:pPr>
        <w:spacing w:line="360" w:lineRule="auto"/>
        <w:rPr>
          <w:rFonts w:ascii="宋体" w:hAnsi="宋体"/>
          <w:b/>
          <w:color w:val="auto"/>
          <w:sz w:val="24"/>
          <w:highlight w:val="none"/>
        </w:rPr>
      </w:pPr>
      <w:r>
        <w:rPr>
          <w:rFonts w:hint="eastAsia" w:ascii="新宋体" w:hAnsi="新宋体" w:eastAsia="新宋体"/>
          <w:color w:val="auto"/>
          <w:highlight w:val="none"/>
        </w:rPr>
        <w:t>日期：年月日</w:t>
      </w:r>
    </w:p>
    <w:p w14:paraId="62D808F9">
      <w:pPr>
        <w:pStyle w:val="19"/>
        <w:ind w:left="0" w:leftChars="0" w:firstLine="0" w:firstLineChars="0"/>
        <w:jc w:val="center"/>
        <w:rPr>
          <w:rFonts w:hAnsi="宋体"/>
          <w:color w:val="auto"/>
          <w:szCs w:val="21"/>
          <w:highlight w:val="none"/>
        </w:rPr>
      </w:pPr>
    </w:p>
    <w:p w14:paraId="52C9999B">
      <w:pPr>
        <w:pStyle w:val="19"/>
        <w:ind w:left="0" w:leftChars="0" w:firstLine="0" w:firstLineChars="0"/>
        <w:jc w:val="center"/>
        <w:rPr>
          <w:rFonts w:hAnsi="宋体"/>
          <w:color w:val="auto"/>
          <w:szCs w:val="21"/>
          <w:highlight w:val="none"/>
        </w:rPr>
      </w:pPr>
    </w:p>
    <w:p w14:paraId="1BA36F08">
      <w:pPr>
        <w:pStyle w:val="19"/>
        <w:ind w:left="0" w:leftChars="0" w:firstLine="0" w:firstLineChars="0"/>
        <w:jc w:val="center"/>
        <w:rPr>
          <w:rFonts w:hAnsi="宋体"/>
          <w:color w:val="auto"/>
          <w:szCs w:val="21"/>
          <w:highlight w:val="none"/>
        </w:rPr>
      </w:pPr>
    </w:p>
    <w:p w14:paraId="35C6A6C7">
      <w:pPr>
        <w:pStyle w:val="19"/>
        <w:ind w:left="0" w:leftChars="0" w:firstLine="0" w:firstLineChars="0"/>
        <w:jc w:val="center"/>
        <w:rPr>
          <w:rFonts w:hAnsi="宋体"/>
          <w:color w:val="auto"/>
          <w:szCs w:val="21"/>
          <w:highlight w:val="none"/>
        </w:rPr>
      </w:pPr>
      <w:r>
        <w:rPr>
          <w:rFonts w:hint="eastAsia" w:hAnsi="宋体"/>
          <w:color w:val="auto"/>
          <w:szCs w:val="21"/>
          <w:highlight w:val="none"/>
        </w:rPr>
        <w:t>（2）供应商不得为采购项目提供整体设计、规范编制或者项目管理、监理、检测等服务的供应商</w:t>
      </w:r>
    </w:p>
    <w:p w14:paraId="35FBCF3C">
      <w:pPr>
        <w:pStyle w:val="19"/>
        <w:ind w:left="0" w:leftChars="0" w:firstLine="0" w:firstLineChars="0"/>
        <w:jc w:val="center"/>
        <w:rPr>
          <w:rFonts w:hAnsi="宋体"/>
          <w:color w:val="auto"/>
          <w:szCs w:val="21"/>
          <w:highlight w:val="none"/>
        </w:rPr>
      </w:pPr>
      <w:r>
        <w:rPr>
          <w:rFonts w:hint="eastAsia" w:hAnsi="宋体"/>
          <w:color w:val="auto"/>
          <w:szCs w:val="21"/>
          <w:highlight w:val="none"/>
        </w:rPr>
        <w:t>（提供承诺书，自拟格式）</w:t>
      </w:r>
    </w:p>
    <w:p w14:paraId="4BF84DD3">
      <w:pPr>
        <w:spacing w:line="360" w:lineRule="auto"/>
        <w:rPr>
          <w:rFonts w:ascii="新宋体" w:hAnsi="新宋体" w:eastAsia="新宋体"/>
          <w:color w:val="auto"/>
          <w:highlight w:val="none"/>
        </w:rPr>
      </w:pPr>
    </w:p>
    <w:p w14:paraId="6C393E52">
      <w:pPr>
        <w:spacing w:line="360" w:lineRule="auto"/>
        <w:rPr>
          <w:rFonts w:ascii="新宋体" w:hAnsi="新宋体" w:eastAsia="新宋体"/>
          <w:color w:val="auto"/>
          <w:highlight w:val="none"/>
        </w:rPr>
      </w:pPr>
    </w:p>
    <w:p w14:paraId="5CA91C3E">
      <w:pPr>
        <w:spacing w:line="360" w:lineRule="auto"/>
        <w:rPr>
          <w:rFonts w:ascii="新宋体" w:hAnsi="新宋体" w:eastAsia="新宋体"/>
          <w:color w:val="auto"/>
          <w:highlight w:val="none"/>
        </w:rPr>
      </w:pPr>
    </w:p>
    <w:p w14:paraId="34247FE0">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26696E87">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315F2FAF">
      <w:pPr>
        <w:spacing w:line="360" w:lineRule="auto"/>
        <w:rPr>
          <w:rFonts w:ascii="宋体" w:hAnsi="宋体"/>
          <w:b/>
          <w:color w:val="auto"/>
          <w:sz w:val="24"/>
          <w:highlight w:val="none"/>
        </w:rPr>
      </w:pPr>
      <w:r>
        <w:rPr>
          <w:rFonts w:hint="eastAsia" w:ascii="新宋体" w:hAnsi="新宋体" w:eastAsia="新宋体"/>
          <w:color w:val="auto"/>
          <w:highlight w:val="none"/>
        </w:rPr>
        <w:t>日期：年月日</w:t>
      </w:r>
    </w:p>
    <w:p w14:paraId="40118244">
      <w:pPr>
        <w:pStyle w:val="19"/>
        <w:ind w:left="0" w:leftChars="0" w:firstLine="0" w:firstLineChars="0"/>
        <w:jc w:val="center"/>
        <w:rPr>
          <w:rFonts w:hAnsi="宋体"/>
          <w:color w:val="auto"/>
          <w:szCs w:val="21"/>
          <w:highlight w:val="none"/>
        </w:rPr>
      </w:pPr>
    </w:p>
    <w:p w14:paraId="7DAC7BB4">
      <w:pPr>
        <w:pStyle w:val="9"/>
        <w:rPr>
          <w:color w:val="auto"/>
          <w:highlight w:val="none"/>
        </w:rPr>
      </w:pPr>
    </w:p>
    <w:p w14:paraId="06ED61DC">
      <w:pPr>
        <w:pStyle w:val="9"/>
        <w:rPr>
          <w:color w:val="auto"/>
          <w:highlight w:val="none"/>
        </w:rPr>
      </w:pPr>
      <w:r>
        <w:rPr>
          <w:color w:val="auto"/>
          <w:highlight w:val="none"/>
        </w:rPr>
        <w:br w:type="page"/>
      </w:r>
    </w:p>
    <w:p w14:paraId="7AF45408">
      <w:pPr>
        <w:pStyle w:val="19"/>
        <w:numPr>
          <w:ilvl w:val="0"/>
          <w:numId w:val="1"/>
        </w:numPr>
        <w:ind w:left="0" w:leftChars="0" w:firstLine="0" w:firstLineChars="0"/>
        <w:jc w:val="center"/>
        <w:outlineLvl w:val="2"/>
        <w:rPr>
          <w:rFonts w:hint="eastAsia" w:ascii="新宋体" w:hAnsi="新宋体" w:eastAsia="新宋体"/>
          <w:b/>
          <w:color w:val="auto"/>
          <w:kern w:val="0"/>
          <w:sz w:val="32"/>
          <w:szCs w:val="32"/>
          <w:highlight w:val="none"/>
          <w:lang w:val="en-US" w:eastAsia="zh-CN"/>
        </w:rPr>
      </w:pPr>
      <w:r>
        <w:rPr>
          <w:rFonts w:hint="eastAsia" w:ascii="新宋体" w:hAnsi="新宋体" w:eastAsia="新宋体"/>
          <w:b/>
          <w:color w:val="auto"/>
          <w:kern w:val="0"/>
          <w:sz w:val="32"/>
          <w:szCs w:val="32"/>
          <w:highlight w:val="none"/>
          <w:lang w:val="en-US" w:eastAsia="zh-CN"/>
        </w:rPr>
        <w:t>落实政府采购政策需满足的资格要求</w:t>
      </w:r>
    </w:p>
    <w:p w14:paraId="3121BD18">
      <w:pPr>
        <w:spacing w:line="360" w:lineRule="auto"/>
        <w:ind w:firstLine="610"/>
        <w:jc w:val="center"/>
        <w:rPr>
          <w:rFonts w:ascii="宋体" w:hAnsi="宋体"/>
          <w:color w:val="auto"/>
          <w:sz w:val="21"/>
          <w:szCs w:val="21"/>
          <w:highlight w:val="none"/>
        </w:rPr>
      </w:pPr>
      <w:r>
        <w:rPr>
          <w:rFonts w:hint="eastAsia" w:ascii="宋体" w:hAnsi="宋体"/>
          <w:color w:val="auto"/>
          <w:sz w:val="21"/>
          <w:szCs w:val="21"/>
          <w:highlight w:val="none"/>
        </w:rPr>
        <w:t>（一）中小企业声明函</w:t>
      </w:r>
      <w:r>
        <w:rPr>
          <w:rFonts w:ascii="宋体" w:hAnsi="宋体"/>
          <w:color w:val="auto"/>
          <w:sz w:val="21"/>
          <w:szCs w:val="21"/>
          <w:highlight w:val="none"/>
        </w:rPr>
        <w:t>（</w:t>
      </w:r>
      <w:r>
        <w:rPr>
          <w:rFonts w:hint="eastAsia" w:ascii="宋体" w:hAnsi="宋体"/>
          <w:color w:val="auto"/>
          <w:sz w:val="21"/>
          <w:szCs w:val="21"/>
          <w:highlight w:val="none"/>
          <w:lang w:val="en-US" w:eastAsia="zh-CN"/>
        </w:rPr>
        <w:t>服务</w:t>
      </w:r>
      <w:r>
        <w:rPr>
          <w:rFonts w:ascii="宋体" w:hAnsi="宋体"/>
          <w:color w:val="auto"/>
          <w:sz w:val="21"/>
          <w:szCs w:val="21"/>
          <w:highlight w:val="none"/>
        </w:rPr>
        <w:t>）</w:t>
      </w:r>
    </w:p>
    <w:p w14:paraId="60E4A45E">
      <w:pPr>
        <w:spacing w:line="360" w:lineRule="auto"/>
        <w:jc w:val="both"/>
        <w:rPr>
          <w:rFonts w:ascii="宋体" w:hAnsi="宋体"/>
          <w:color w:val="auto"/>
          <w:sz w:val="21"/>
          <w:szCs w:val="21"/>
          <w:highlight w:val="none"/>
        </w:rPr>
      </w:pPr>
    </w:p>
    <w:p w14:paraId="13BB50CE">
      <w:pPr>
        <w:spacing w:line="360" w:lineRule="auto"/>
        <w:ind w:firstLine="6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本公司郑重声明，根据《政府采购促进中小企业发展暂行办法》（财库〔2020〕46号）的规定，本公司参加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5AB6BE90">
      <w:pPr>
        <w:spacing w:line="360" w:lineRule="auto"/>
        <w:ind w:firstLine="6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（租赁和商务服务业）</w:t>
      </w:r>
      <w:r>
        <w:rPr>
          <w:rFonts w:hint="eastAsia" w:ascii="宋体" w:hAnsi="宋体" w:eastAsia="宋体" w:cs="宋体"/>
          <w:color w:val="auto"/>
          <w:sz w:val="21"/>
          <w:szCs w:val="21"/>
          <w:highlight w:val="none"/>
        </w:rPr>
        <w:t>行业；承接企业为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7A8B54D">
      <w:pPr>
        <w:spacing w:line="360" w:lineRule="auto"/>
        <w:ind w:firstLine="6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（租赁和商务服务业）</w:t>
      </w:r>
      <w:r>
        <w:rPr>
          <w:rFonts w:hint="eastAsia" w:ascii="宋体" w:hAnsi="宋体" w:eastAsia="宋体" w:cs="宋体"/>
          <w:color w:val="auto"/>
          <w:sz w:val="21"/>
          <w:szCs w:val="21"/>
          <w:highlight w:val="none"/>
        </w:rPr>
        <w:t>行业；承接企业为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6470285">
      <w:pPr>
        <w:spacing w:line="360" w:lineRule="auto"/>
        <w:ind w:firstLine="6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50722DF">
      <w:pPr>
        <w:spacing w:line="360" w:lineRule="auto"/>
        <w:ind w:firstLine="6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3FD23E39">
      <w:pPr>
        <w:spacing w:line="360" w:lineRule="auto"/>
        <w:ind w:firstLine="610"/>
        <w:rPr>
          <w:rFonts w:ascii="宋体" w:hAnsi="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AF77DB7">
      <w:pPr>
        <w:spacing w:line="360" w:lineRule="auto"/>
        <w:ind w:firstLine="610"/>
        <w:rPr>
          <w:rFonts w:ascii="宋体" w:hAnsi="宋体"/>
          <w:color w:val="auto"/>
          <w:sz w:val="21"/>
          <w:szCs w:val="21"/>
          <w:highlight w:val="none"/>
        </w:rPr>
      </w:pPr>
    </w:p>
    <w:p w14:paraId="2F918727">
      <w:pPr>
        <w:spacing w:line="360" w:lineRule="auto"/>
        <w:ind w:firstLine="610"/>
        <w:rPr>
          <w:rFonts w:ascii="宋体" w:hAnsi="宋体"/>
          <w:color w:val="auto"/>
          <w:sz w:val="21"/>
          <w:szCs w:val="21"/>
          <w:highlight w:val="none"/>
        </w:rPr>
      </w:pPr>
    </w:p>
    <w:p w14:paraId="3379EE06">
      <w:pPr>
        <w:spacing w:line="360" w:lineRule="auto"/>
        <w:ind w:firstLine="610"/>
        <w:rPr>
          <w:rFonts w:ascii="宋体" w:hAnsi="宋体"/>
          <w:color w:val="auto"/>
          <w:sz w:val="21"/>
          <w:szCs w:val="21"/>
          <w:highlight w:val="none"/>
        </w:rPr>
      </w:pPr>
      <w:r>
        <w:rPr>
          <w:rFonts w:hint="eastAsia" w:ascii="宋体" w:hAnsi="宋体"/>
          <w:color w:val="auto"/>
          <w:sz w:val="21"/>
          <w:szCs w:val="21"/>
          <w:highlight w:val="none"/>
        </w:rPr>
        <w:t>企业名称</w:t>
      </w:r>
      <w:r>
        <w:rPr>
          <w:rFonts w:ascii="宋体" w:hAnsi="宋体"/>
          <w:color w:val="auto"/>
          <w:sz w:val="21"/>
          <w:szCs w:val="21"/>
          <w:highlight w:val="none"/>
        </w:rPr>
        <w:t>(</w:t>
      </w:r>
      <w:r>
        <w:rPr>
          <w:rFonts w:hint="eastAsia" w:ascii="宋体" w:hAnsi="宋体"/>
          <w:color w:val="auto"/>
          <w:sz w:val="21"/>
          <w:szCs w:val="21"/>
          <w:highlight w:val="none"/>
        </w:rPr>
        <w:t>电子签章</w:t>
      </w:r>
      <w:r>
        <w:rPr>
          <w:rFonts w:ascii="宋体" w:hAnsi="宋体"/>
          <w:color w:val="auto"/>
          <w:sz w:val="21"/>
          <w:szCs w:val="21"/>
          <w:highlight w:val="none"/>
        </w:rPr>
        <w:t>)：</w:t>
      </w:r>
    </w:p>
    <w:p w14:paraId="4B781BFB">
      <w:pPr>
        <w:bidi w:val="0"/>
        <w:spacing w:line="360" w:lineRule="auto"/>
        <w:ind w:firstLine="630" w:firstLineChars="300"/>
        <w:rPr>
          <w:rFonts w:hint="eastAsia" w:ascii="宋体" w:hAnsi="宋体"/>
          <w:color w:val="auto"/>
          <w:sz w:val="21"/>
          <w:szCs w:val="21"/>
          <w:highlight w:val="none"/>
        </w:rPr>
      </w:pPr>
      <w:r>
        <w:rPr>
          <w:rFonts w:hint="eastAsia" w:ascii="宋体" w:hAnsi="宋体"/>
          <w:color w:val="auto"/>
          <w:sz w:val="21"/>
          <w:szCs w:val="21"/>
          <w:highlight w:val="none"/>
        </w:rPr>
        <w:t>日期：年月日</w:t>
      </w:r>
    </w:p>
    <w:p w14:paraId="465D0E3A">
      <w:pPr>
        <w:pStyle w:val="2"/>
        <w:rPr>
          <w:rFonts w:hint="eastAsia" w:ascii="宋体" w:hAnsi="宋体"/>
          <w:color w:val="auto"/>
          <w:sz w:val="21"/>
          <w:szCs w:val="21"/>
          <w:highlight w:val="none"/>
        </w:rPr>
      </w:pPr>
    </w:p>
    <w:p w14:paraId="7BBC76D0">
      <w:pPr>
        <w:rPr>
          <w:rFonts w:hint="eastAsia" w:ascii="宋体" w:hAnsi="宋体"/>
          <w:color w:val="auto"/>
          <w:sz w:val="21"/>
          <w:szCs w:val="21"/>
          <w:highlight w:val="none"/>
        </w:rPr>
      </w:pPr>
    </w:p>
    <w:p w14:paraId="059AB1AF">
      <w:pPr>
        <w:spacing w:line="360" w:lineRule="auto"/>
        <w:rPr>
          <w:rFonts w:ascii="宋体" w:hAnsi="宋体" w:cs="宋体"/>
          <w:color w:val="auto"/>
          <w:sz w:val="21"/>
          <w:szCs w:val="21"/>
          <w:highlight w:val="none"/>
        </w:rPr>
      </w:pPr>
      <w:r>
        <w:rPr>
          <w:rFonts w:hint="eastAsia" w:ascii="宋体" w:hAnsi="宋体"/>
          <w:color w:val="auto"/>
          <w:sz w:val="21"/>
          <w:szCs w:val="21"/>
          <w:highlight w:val="none"/>
        </w:rPr>
        <w:t>注：</w:t>
      </w:r>
      <w:r>
        <w:rPr>
          <w:rFonts w:ascii="宋体" w:hAnsi="宋体"/>
          <w:color w:val="auto"/>
          <w:sz w:val="21"/>
          <w:szCs w:val="21"/>
          <w:highlight w:val="none"/>
        </w:rPr>
        <w:t>1、从业人员、营业收入、资产总额填报上一年度数据，无上一年度数据的新成立企业可不填报。</w:t>
      </w:r>
    </w:p>
    <w:p w14:paraId="76CF7C1D">
      <w:pPr>
        <w:pStyle w:val="2"/>
        <w:rPr>
          <w:rFonts w:hint="eastAsia" w:eastAsiaTheme="minorEastAsia"/>
          <w:color w:val="auto"/>
          <w:highlight w:val="none"/>
          <w:lang w:eastAsia="zh-CN"/>
        </w:rPr>
      </w:pPr>
      <w:r>
        <w:rPr>
          <w:rFonts w:hint="eastAsia" w:ascii="宋体" w:hAnsi="宋体" w:cs="宋体"/>
          <w:color w:val="auto"/>
          <w:spacing w:val="6"/>
          <w:sz w:val="21"/>
          <w:szCs w:val="21"/>
          <w:highlight w:val="none"/>
        </w:rPr>
        <w:t>2、投标人根据自身情况在本声明函下划线中填写</w:t>
      </w:r>
      <w:r>
        <w:rPr>
          <w:rFonts w:hint="eastAsia" w:hAnsi="宋体" w:cs="宋体"/>
          <w:color w:val="auto"/>
          <w:spacing w:val="6"/>
          <w:sz w:val="21"/>
          <w:szCs w:val="21"/>
          <w:highlight w:val="none"/>
          <w:lang w:eastAsia="zh-CN"/>
        </w:rPr>
        <w:t>。</w:t>
      </w:r>
    </w:p>
    <w:p w14:paraId="2BB75736">
      <w:pPr>
        <w:rPr>
          <w:rFonts w:hint="eastAsia" w:ascii="宋体" w:hAnsi="宋体"/>
          <w:color w:val="auto"/>
          <w:sz w:val="21"/>
          <w:szCs w:val="21"/>
          <w:highlight w:val="none"/>
        </w:rPr>
      </w:pPr>
      <w:r>
        <w:rPr>
          <w:rFonts w:hint="eastAsia" w:ascii="宋体" w:hAnsi="宋体"/>
          <w:color w:val="auto"/>
          <w:sz w:val="21"/>
          <w:szCs w:val="21"/>
          <w:highlight w:val="none"/>
        </w:rPr>
        <w:br w:type="page"/>
      </w:r>
    </w:p>
    <w:p w14:paraId="02B7AD37">
      <w:pPr>
        <w:pStyle w:val="2"/>
        <w:numPr>
          <w:ilvl w:val="0"/>
          <w:numId w:val="0"/>
        </w:numPr>
        <w:spacing w:line="360" w:lineRule="auto"/>
        <w:jc w:val="center"/>
        <w:rPr>
          <w:rFonts w:hint="eastAsia" w:ascii="宋体" w:hAnsi="宋体"/>
          <w:color w:val="auto"/>
          <w:sz w:val="21"/>
          <w:szCs w:val="21"/>
          <w:highlight w:val="none"/>
        </w:rPr>
      </w:pPr>
      <w:bookmarkStart w:id="430" w:name="_Toc5860"/>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lang w:eastAsia="zh-CN"/>
        </w:rPr>
        <w:t>）</w:t>
      </w:r>
      <w:r>
        <w:rPr>
          <w:rFonts w:hint="eastAsia" w:ascii="宋体" w:hAnsi="宋体"/>
          <w:color w:val="auto"/>
          <w:sz w:val="21"/>
          <w:szCs w:val="21"/>
          <w:highlight w:val="none"/>
        </w:rPr>
        <w:t>残疾人福利性单位声明函</w:t>
      </w:r>
      <w:bookmarkEnd w:id="430"/>
    </w:p>
    <w:p w14:paraId="16B6E7E8">
      <w:pPr>
        <w:numPr>
          <w:ilvl w:val="0"/>
          <w:numId w:val="0"/>
        </w:numPr>
        <w:spacing w:line="360" w:lineRule="auto"/>
        <w:jc w:val="center"/>
        <w:rPr>
          <w:rFonts w:hint="eastAsia"/>
          <w:color w:val="auto"/>
          <w:highlight w:val="none"/>
          <w:lang w:val="en-US" w:eastAsia="zh-CN"/>
        </w:rPr>
      </w:pPr>
      <w:r>
        <w:rPr>
          <w:rFonts w:hint="eastAsia"/>
          <w:color w:val="auto"/>
          <w:highlight w:val="none"/>
          <w:lang w:val="en-US" w:eastAsia="zh-CN"/>
        </w:rPr>
        <w:t>（不属于残疾人福利性单位的无需填写）</w:t>
      </w:r>
    </w:p>
    <w:p w14:paraId="3C3EC342">
      <w:pPr>
        <w:numPr>
          <w:ilvl w:val="0"/>
          <w:numId w:val="0"/>
        </w:numPr>
        <w:rPr>
          <w:rFonts w:hint="eastAsia"/>
          <w:color w:val="auto"/>
          <w:highlight w:val="none"/>
          <w:lang w:val="en-US" w:eastAsia="zh-CN"/>
        </w:rPr>
      </w:pPr>
    </w:p>
    <w:p w14:paraId="0C936D46">
      <w:pPr>
        <w:numPr>
          <w:ilvl w:val="0"/>
          <w:numId w:val="0"/>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2599F937">
      <w:pPr>
        <w:numPr>
          <w:ilvl w:val="0"/>
          <w:numId w:val="0"/>
        </w:numPr>
        <w:spacing w:line="360" w:lineRule="auto"/>
        <w:ind w:firstLine="420" w:firstLineChars="200"/>
        <w:rPr>
          <w:rFonts w:hint="eastAsia"/>
          <w:color w:val="auto"/>
          <w:highlight w:val="none"/>
          <w:lang w:val="en-US" w:eastAsia="zh-CN"/>
        </w:rPr>
      </w:pPr>
      <w:r>
        <w:rPr>
          <w:rFonts w:hint="eastAsia" w:ascii="宋体" w:hAnsi="宋体" w:eastAsia="宋体" w:cs="宋体"/>
          <w:color w:val="auto"/>
          <w:highlight w:val="none"/>
          <w:lang w:val="en-US" w:eastAsia="zh-CN"/>
        </w:rPr>
        <w:t>本单位对上述声明的真实性负责。如有虚假，将依法承担相应责任。</w:t>
      </w:r>
    </w:p>
    <w:p w14:paraId="22F77BA1">
      <w:pPr>
        <w:numPr>
          <w:ilvl w:val="0"/>
          <w:numId w:val="0"/>
        </w:numPr>
        <w:rPr>
          <w:rFonts w:hint="eastAsia"/>
          <w:color w:val="auto"/>
          <w:highlight w:val="none"/>
          <w:lang w:val="en-US" w:eastAsia="zh-CN"/>
        </w:rPr>
      </w:pPr>
    </w:p>
    <w:p w14:paraId="4E6CAEE3">
      <w:pPr>
        <w:numPr>
          <w:ilvl w:val="0"/>
          <w:numId w:val="0"/>
        </w:numPr>
        <w:spacing w:line="360" w:lineRule="auto"/>
        <w:ind w:firstLine="422" w:firstLineChars="200"/>
        <w:rPr>
          <w:rFonts w:hint="eastAsia"/>
          <w:color w:val="auto"/>
          <w:highlight w:val="none"/>
          <w:lang w:val="en-US" w:eastAsia="zh-CN"/>
        </w:rPr>
      </w:pPr>
      <w:r>
        <w:rPr>
          <w:rFonts w:hint="eastAsia"/>
          <w:b/>
          <w:bCs/>
          <w:color w:val="auto"/>
          <w:highlight w:val="none"/>
          <w:lang w:val="en-US" w:eastAsia="zh-CN"/>
        </w:rPr>
        <w:t>注：符合条件的残疾人福利性单位在参加政府采购活动时，应当提供本通知规定的《残疾人福利性单位声明函》，并对声明的真实性负责。采购代理机构在随中标结果同时公告其《残疾人福利性单位声明函》，接受社会监督。供应商提供的《残疾人福利性单位声明函》与事实不符的，依照《政府采购法》第七十七条第一款的规定追究法律责任。</w:t>
      </w:r>
    </w:p>
    <w:p w14:paraId="2943C32D">
      <w:pPr>
        <w:numPr>
          <w:ilvl w:val="0"/>
          <w:numId w:val="0"/>
        </w:numPr>
        <w:rPr>
          <w:rFonts w:hint="eastAsia"/>
          <w:color w:val="auto"/>
          <w:highlight w:val="none"/>
          <w:lang w:val="en-US" w:eastAsia="zh-CN"/>
        </w:rPr>
      </w:pPr>
    </w:p>
    <w:p w14:paraId="2B424F04">
      <w:pPr>
        <w:pStyle w:val="19"/>
        <w:ind w:left="0" w:leftChars="0" w:firstLine="0" w:firstLineChars="0"/>
        <w:rPr>
          <w:rFonts w:hint="eastAsia"/>
          <w:color w:val="auto"/>
          <w:highlight w:val="none"/>
          <w:lang w:val="en-US" w:eastAsia="zh-CN"/>
        </w:rPr>
      </w:pPr>
    </w:p>
    <w:p w14:paraId="33A1884B">
      <w:pPr>
        <w:pStyle w:val="19"/>
        <w:ind w:left="0" w:leftChars="0" w:firstLine="0" w:firstLineChars="0"/>
        <w:rPr>
          <w:rFonts w:hint="eastAsia"/>
          <w:color w:val="auto"/>
          <w:highlight w:val="none"/>
          <w:lang w:val="en-US" w:eastAsia="zh-CN"/>
        </w:rPr>
      </w:pPr>
    </w:p>
    <w:p w14:paraId="356E6851">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0D2131E3">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0AD86A38">
      <w:pPr>
        <w:numPr>
          <w:ilvl w:val="0"/>
          <w:numId w:val="0"/>
        </w:numPr>
        <w:spacing w:line="360" w:lineRule="auto"/>
        <w:rPr>
          <w:rFonts w:hint="eastAsia" w:ascii="新宋体" w:hAnsi="新宋体" w:eastAsia="新宋体"/>
          <w:color w:val="auto"/>
          <w:highlight w:val="none"/>
        </w:rPr>
      </w:pPr>
      <w:r>
        <w:rPr>
          <w:rFonts w:hint="eastAsia" w:ascii="新宋体" w:hAnsi="新宋体" w:eastAsia="新宋体"/>
          <w:color w:val="auto"/>
          <w:highlight w:val="none"/>
        </w:rPr>
        <w:t>日期：年月日</w:t>
      </w:r>
    </w:p>
    <w:p w14:paraId="430F3A5C">
      <w:pPr>
        <w:rPr>
          <w:rFonts w:hint="eastAsia" w:ascii="新宋体" w:hAnsi="新宋体" w:eastAsia="新宋体"/>
          <w:color w:val="auto"/>
          <w:highlight w:val="none"/>
        </w:rPr>
      </w:pPr>
      <w:r>
        <w:rPr>
          <w:rFonts w:hint="eastAsia" w:ascii="新宋体" w:hAnsi="新宋体" w:eastAsia="新宋体"/>
          <w:color w:val="auto"/>
          <w:highlight w:val="none"/>
        </w:rPr>
        <w:br w:type="page"/>
      </w:r>
    </w:p>
    <w:p w14:paraId="5A62FAEE">
      <w:pPr>
        <w:pStyle w:val="2"/>
        <w:numPr>
          <w:ilvl w:val="0"/>
          <w:numId w:val="0"/>
        </w:numPr>
        <w:jc w:val="center"/>
        <w:rPr>
          <w:rFonts w:hint="eastAsia" w:ascii="宋体" w:hAnsi="宋体"/>
          <w:color w:val="auto"/>
          <w:sz w:val="21"/>
          <w:szCs w:val="21"/>
          <w:highlight w:val="none"/>
          <w:lang w:eastAsia="zh-CN"/>
        </w:rPr>
      </w:pPr>
      <w:bookmarkStart w:id="431" w:name="_Toc10980"/>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lang w:eastAsia="zh-CN"/>
        </w:rPr>
        <w:t>）监狱企业声明函</w:t>
      </w:r>
      <w:bookmarkEnd w:id="431"/>
    </w:p>
    <w:p w14:paraId="24B54F95">
      <w:pPr>
        <w:numPr>
          <w:ilvl w:val="0"/>
          <w:numId w:val="0"/>
        </w:numPr>
        <w:jc w:val="center"/>
        <w:rPr>
          <w:rFonts w:hint="eastAsia"/>
          <w:color w:val="auto"/>
          <w:highlight w:val="none"/>
        </w:rPr>
      </w:pPr>
      <w:r>
        <w:rPr>
          <w:rFonts w:hint="eastAsia"/>
          <w:color w:val="auto"/>
          <w:highlight w:val="none"/>
        </w:rPr>
        <w:t>（不属于监狱企业的无需填写）</w:t>
      </w:r>
    </w:p>
    <w:p w14:paraId="5CC4F816">
      <w:pPr>
        <w:pStyle w:val="19"/>
        <w:rPr>
          <w:rFonts w:hint="eastAsia"/>
          <w:color w:val="auto"/>
          <w:highlight w:val="none"/>
        </w:rPr>
      </w:pPr>
    </w:p>
    <w:p w14:paraId="03A32F86">
      <w:pPr>
        <w:pStyle w:val="19"/>
        <w:spacing w:line="360" w:lineRule="auto"/>
        <w:ind w:left="0" w:leftChars="0" w:firstLine="420" w:firstLineChars="200"/>
        <w:rPr>
          <w:rFonts w:hint="eastAsia"/>
          <w:color w:val="auto"/>
          <w:highlight w:val="none"/>
        </w:rPr>
      </w:pPr>
      <w:r>
        <w:rPr>
          <w:rFonts w:hint="eastAsia"/>
          <w:color w:val="auto"/>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1347B">
      <w:pPr>
        <w:pStyle w:val="19"/>
        <w:spacing w:line="360" w:lineRule="auto"/>
        <w:ind w:left="0" w:leftChars="0" w:firstLine="420" w:firstLineChars="200"/>
        <w:rPr>
          <w:rFonts w:hint="eastAsia"/>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6F84EF26">
      <w:pPr>
        <w:pStyle w:val="19"/>
        <w:spacing w:line="360" w:lineRule="auto"/>
        <w:ind w:left="0" w:leftChars="0" w:firstLine="420" w:firstLineChars="200"/>
        <w:rPr>
          <w:rFonts w:hint="eastAsia"/>
          <w:color w:val="auto"/>
          <w:highlight w:val="none"/>
        </w:rPr>
      </w:pPr>
    </w:p>
    <w:p w14:paraId="57D86898">
      <w:pPr>
        <w:pStyle w:val="19"/>
        <w:spacing w:line="360" w:lineRule="auto"/>
        <w:ind w:left="0" w:leftChars="0" w:firstLine="422" w:firstLineChars="200"/>
        <w:rPr>
          <w:rFonts w:hint="eastAsia"/>
          <w:color w:val="auto"/>
          <w:highlight w:val="none"/>
        </w:rPr>
      </w:pPr>
      <w:r>
        <w:rPr>
          <w:rFonts w:hint="eastAsia" w:ascii="宋体" w:hAnsi="宋体" w:eastAsia="宋体" w:cs="宋体"/>
          <w:b/>
          <w:bCs/>
          <w:color w:val="auto"/>
          <w:szCs w:val="21"/>
          <w:highlight w:val="none"/>
        </w:rPr>
        <w:t>注：符合条件的监狱企业在参加政府采购活动时，应当按《财政部 司法部关于政府采购支持监狱企业发展有关问题的通知》（财库[2014]68号）提供规定的《监狱企业证明文件》，并对声明的真实性负责，如不为监狱企业可不需填写。</w:t>
      </w:r>
    </w:p>
    <w:p w14:paraId="53D2BF77">
      <w:pPr>
        <w:pStyle w:val="19"/>
        <w:rPr>
          <w:rFonts w:hint="eastAsia"/>
          <w:color w:val="auto"/>
          <w:highlight w:val="none"/>
          <w:lang w:val="en-US" w:eastAsia="zh-CN"/>
        </w:rPr>
      </w:pPr>
    </w:p>
    <w:p w14:paraId="6405E87A">
      <w:pPr>
        <w:pStyle w:val="19"/>
        <w:rPr>
          <w:rFonts w:hint="eastAsia"/>
          <w:color w:val="auto"/>
          <w:highlight w:val="none"/>
          <w:lang w:val="en-US" w:eastAsia="zh-CN"/>
        </w:rPr>
      </w:pPr>
    </w:p>
    <w:p w14:paraId="06AF278A">
      <w:pPr>
        <w:pStyle w:val="19"/>
        <w:rPr>
          <w:rFonts w:hint="eastAsia"/>
          <w:color w:val="auto"/>
          <w:highlight w:val="none"/>
          <w:lang w:val="en-US" w:eastAsia="zh-CN"/>
        </w:rPr>
      </w:pPr>
    </w:p>
    <w:p w14:paraId="366A0535">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供应商名称（电子签章）：</w:t>
      </w:r>
    </w:p>
    <w:p w14:paraId="664AC341">
      <w:pPr>
        <w:spacing w:line="360" w:lineRule="auto"/>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0E8E79AB">
      <w:pPr>
        <w:pStyle w:val="19"/>
        <w:spacing w:line="360" w:lineRule="auto"/>
        <w:ind w:left="0" w:leftChars="0" w:firstLine="0" w:firstLineChars="0"/>
        <w:rPr>
          <w:rFonts w:hint="eastAsia"/>
          <w:color w:val="auto"/>
          <w:highlight w:val="none"/>
          <w:lang w:val="en-US" w:eastAsia="zh-CN"/>
        </w:rPr>
      </w:pPr>
      <w:r>
        <w:rPr>
          <w:rFonts w:hint="eastAsia" w:ascii="新宋体" w:hAnsi="新宋体" w:eastAsia="新宋体"/>
          <w:color w:val="auto"/>
          <w:highlight w:val="none"/>
        </w:rPr>
        <w:t>日期：年月日</w:t>
      </w:r>
    </w:p>
    <w:p w14:paraId="25A56116">
      <w:pPr>
        <w:rPr>
          <w:color w:val="auto"/>
          <w:highlight w:val="none"/>
        </w:rPr>
      </w:pPr>
      <w:r>
        <w:rPr>
          <w:color w:val="auto"/>
          <w:highlight w:val="none"/>
        </w:rPr>
        <w:br w:type="page"/>
      </w:r>
    </w:p>
    <w:p w14:paraId="112A1FCE">
      <w:pPr>
        <w:rPr>
          <w:color w:val="auto"/>
          <w:highlight w:val="none"/>
        </w:rPr>
      </w:pPr>
    </w:p>
    <w:p w14:paraId="7771FE14">
      <w:pPr>
        <w:pStyle w:val="19"/>
        <w:ind w:left="0" w:leftChars="0" w:firstLine="0" w:firstLineChars="0"/>
        <w:jc w:val="center"/>
        <w:outlineLvl w:val="2"/>
        <w:rPr>
          <w:rFonts w:ascii="新宋体" w:hAnsi="新宋体" w:eastAsia="新宋体"/>
          <w:b/>
          <w:color w:val="auto"/>
          <w:kern w:val="0"/>
          <w:sz w:val="32"/>
          <w:szCs w:val="32"/>
          <w:highlight w:val="none"/>
        </w:rPr>
      </w:pPr>
      <w:bookmarkStart w:id="432" w:name="_Toc22632"/>
      <w:r>
        <w:rPr>
          <w:rFonts w:hint="eastAsia" w:ascii="新宋体" w:hAnsi="新宋体" w:eastAsia="新宋体"/>
          <w:b/>
          <w:color w:val="auto"/>
          <w:kern w:val="0"/>
          <w:sz w:val="32"/>
          <w:szCs w:val="32"/>
          <w:highlight w:val="none"/>
          <w:lang w:val="en-US" w:eastAsia="zh-CN"/>
        </w:rPr>
        <w:t>十</w:t>
      </w:r>
      <w:r>
        <w:rPr>
          <w:rFonts w:hint="eastAsia" w:ascii="新宋体" w:hAnsi="新宋体" w:eastAsia="新宋体"/>
          <w:b/>
          <w:color w:val="auto"/>
          <w:kern w:val="0"/>
          <w:sz w:val="32"/>
          <w:szCs w:val="32"/>
          <w:highlight w:val="none"/>
        </w:rPr>
        <w:t>、其他资料（供应商认为需要提交的其他资料）</w:t>
      </w:r>
      <w:bookmarkEnd w:id="432"/>
    </w:p>
    <w:p w14:paraId="7E1CBFD0">
      <w:pPr>
        <w:jc w:val="center"/>
        <w:rPr>
          <w:color w:val="auto"/>
          <w:highlight w:val="none"/>
        </w:rPr>
      </w:pPr>
      <w:r>
        <w:rPr>
          <w:rFonts w:hint="eastAsia"/>
          <w:color w:val="auto"/>
          <w:highlight w:val="none"/>
        </w:rPr>
        <w:t>（格式自拟）</w:t>
      </w:r>
    </w:p>
    <w:p w14:paraId="4CA796DF">
      <w:pPr>
        <w:rPr>
          <w:rFonts w:ascii="新宋体" w:hAnsi="新宋体" w:eastAsia="新宋体"/>
          <w:b/>
          <w:bCs/>
          <w:color w:val="auto"/>
          <w:sz w:val="32"/>
          <w:szCs w:val="32"/>
          <w:highlight w:val="none"/>
        </w:rPr>
      </w:pPr>
    </w:p>
    <w:p w14:paraId="78C07F70">
      <w:pPr>
        <w:pStyle w:val="9"/>
        <w:rPr>
          <w:rFonts w:ascii="新宋体" w:hAnsi="新宋体" w:eastAsia="新宋体"/>
          <w:b/>
          <w:bCs/>
          <w:color w:val="auto"/>
          <w:sz w:val="32"/>
          <w:szCs w:val="32"/>
          <w:highlight w:val="none"/>
        </w:rPr>
      </w:pPr>
    </w:p>
    <w:p w14:paraId="216BC4B8">
      <w:pPr>
        <w:pStyle w:val="9"/>
        <w:rPr>
          <w:rFonts w:ascii="新宋体" w:hAnsi="新宋体" w:eastAsia="新宋体"/>
          <w:b/>
          <w:bCs/>
          <w:color w:val="auto"/>
          <w:sz w:val="32"/>
          <w:szCs w:val="32"/>
          <w:highlight w:val="none"/>
        </w:rPr>
      </w:pPr>
    </w:p>
    <w:p w14:paraId="1FAC194C">
      <w:pPr>
        <w:rPr>
          <w:rFonts w:ascii="新宋体" w:hAnsi="新宋体" w:eastAsia="新宋体"/>
          <w:b/>
          <w:bCs/>
          <w:color w:val="auto"/>
          <w:sz w:val="32"/>
          <w:szCs w:val="32"/>
          <w:highlight w:val="none"/>
        </w:rPr>
      </w:pPr>
    </w:p>
    <w:p w14:paraId="6568063F">
      <w:pPr>
        <w:pStyle w:val="9"/>
        <w:rPr>
          <w:rFonts w:ascii="新宋体" w:hAnsi="新宋体" w:eastAsia="新宋体"/>
          <w:b/>
          <w:bCs/>
          <w:color w:val="auto"/>
          <w:sz w:val="32"/>
          <w:szCs w:val="32"/>
          <w:highlight w:val="none"/>
        </w:rPr>
      </w:pPr>
    </w:p>
    <w:p w14:paraId="324D2BB9">
      <w:pPr>
        <w:rPr>
          <w:rFonts w:ascii="新宋体" w:hAnsi="新宋体" w:eastAsia="新宋体"/>
          <w:b/>
          <w:bCs/>
          <w:color w:val="auto"/>
          <w:sz w:val="32"/>
          <w:szCs w:val="32"/>
          <w:highlight w:val="none"/>
        </w:rPr>
      </w:pPr>
    </w:p>
    <w:p w14:paraId="4630AE09">
      <w:pPr>
        <w:pStyle w:val="9"/>
        <w:rPr>
          <w:rFonts w:ascii="新宋体" w:hAnsi="新宋体" w:eastAsia="新宋体"/>
          <w:b/>
          <w:bCs/>
          <w:color w:val="auto"/>
          <w:sz w:val="32"/>
          <w:szCs w:val="32"/>
          <w:highlight w:val="none"/>
        </w:rPr>
      </w:pPr>
    </w:p>
    <w:p w14:paraId="357ABE81">
      <w:pPr>
        <w:rPr>
          <w:rFonts w:ascii="新宋体" w:hAnsi="新宋体" w:eastAsia="新宋体"/>
          <w:b/>
          <w:bCs/>
          <w:color w:val="auto"/>
          <w:sz w:val="32"/>
          <w:szCs w:val="32"/>
          <w:highlight w:val="none"/>
        </w:rPr>
      </w:pPr>
    </w:p>
    <w:p w14:paraId="58B467CB">
      <w:pPr>
        <w:pStyle w:val="9"/>
        <w:rPr>
          <w:rFonts w:ascii="新宋体" w:hAnsi="新宋体" w:eastAsia="新宋体"/>
          <w:b/>
          <w:bCs/>
          <w:color w:val="auto"/>
          <w:sz w:val="32"/>
          <w:szCs w:val="32"/>
          <w:highlight w:val="none"/>
        </w:rPr>
      </w:pPr>
    </w:p>
    <w:p w14:paraId="1DF6902E">
      <w:pPr>
        <w:rPr>
          <w:rFonts w:ascii="新宋体" w:hAnsi="新宋体" w:eastAsia="新宋体"/>
          <w:b/>
          <w:bCs/>
          <w:color w:val="auto"/>
          <w:sz w:val="32"/>
          <w:szCs w:val="32"/>
          <w:highlight w:val="none"/>
        </w:rPr>
      </w:pPr>
    </w:p>
    <w:p w14:paraId="17873DB2">
      <w:pPr>
        <w:pStyle w:val="9"/>
        <w:rPr>
          <w:rFonts w:ascii="新宋体" w:hAnsi="新宋体" w:eastAsia="新宋体"/>
          <w:b/>
          <w:bCs/>
          <w:color w:val="auto"/>
          <w:sz w:val="32"/>
          <w:szCs w:val="32"/>
          <w:highlight w:val="none"/>
        </w:rPr>
      </w:pPr>
    </w:p>
    <w:p w14:paraId="63EE6342">
      <w:pPr>
        <w:rPr>
          <w:rFonts w:ascii="新宋体" w:hAnsi="新宋体" w:eastAsia="新宋体"/>
          <w:b/>
          <w:bCs/>
          <w:color w:val="auto"/>
          <w:sz w:val="32"/>
          <w:szCs w:val="32"/>
          <w:highlight w:val="none"/>
        </w:rPr>
      </w:pPr>
    </w:p>
    <w:p w14:paraId="435D2EAF">
      <w:pPr>
        <w:pStyle w:val="9"/>
        <w:rPr>
          <w:color w:val="auto"/>
          <w:highlight w:val="none"/>
        </w:rPr>
      </w:pPr>
    </w:p>
    <w:p w14:paraId="2C488111">
      <w:pPr>
        <w:pStyle w:val="9"/>
        <w:rPr>
          <w:color w:val="auto"/>
          <w:highlight w:val="none"/>
        </w:rPr>
      </w:pPr>
    </w:p>
    <w:bookmarkEnd w:id="427"/>
    <w:bookmarkEnd w:id="428"/>
    <w:p w14:paraId="120F36EE">
      <w:pPr>
        <w:pStyle w:val="7"/>
        <w:ind w:firstLine="420" w:firstLineChars="200"/>
        <w:rPr>
          <w:rFonts w:asciiTheme="majorEastAsia" w:hAnsiTheme="majorEastAsia" w:eastAsiaTheme="majorEastAsia" w:cstheme="majorEastAsia"/>
          <w:color w:val="auto"/>
          <w:sz w:val="21"/>
          <w:szCs w:val="21"/>
          <w:highlight w:val="none"/>
        </w:rPr>
      </w:pPr>
    </w:p>
    <w:p w14:paraId="4138DC91">
      <w:pPr>
        <w:rPr>
          <w:color w:val="auto"/>
          <w:kern w:val="0"/>
          <w:sz w:val="30"/>
          <w:szCs w:val="30"/>
          <w:highlight w:val="none"/>
        </w:rPr>
        <w:sectPr>
          <w:pgSz w:w="11906" w:h="16838"/>
          <w:pgMar w:top="1440" w:right="1803" w:bottom="1440" w:left="1803" w:header="851" w:footer="992" w:gutter="0"/>
          <w:cols w:space="425" w:num="1"/>
          <w:docGrid w:type="lines" w:linePitch="312" w:charSpace="0"/>
        </w:sectPr>
      </w:pPr>
      <w:bookmarkStart w:id="433" w:name="_Toc20330"/>
      <w:bookmarkStart w:id="434" w:name="_Toc31835"/>
    </w:p>
    <w:p w14:paraId="328A23EC">
      <w:pPr>
        <w:pStyle w:val="4"/>
        <w:spacing w:before="156" w:after="156"/>
        <w:jc w:val="center"/>
        <w:rPr>
          <w:color w:val="auto"/>
          <w:kern w:val="0"/>
          <w:sz w:val="30"/>
          <w:szCs w:val="30"/>
          <w:highlight w:val="none"/>
        </w:rPr>
      </w:pPr>
      <w:bookmarkStart w:id="435" w:name="_Toc413838408"/>
      <w:bookmarkStart w:id="436" w:name="_Toc16804"/>
      <w:bookmarkStart w:id="437" w:name="_Toc6423"/>
      <w:bookmarkStart w:id="438" w:name="_Toc10599"/>
      <w:bookmarkStart w:id="439" w:name="_Toc435966543"/>
      <w:bookmarkStart w:id="440" w:name="_Toc414014551"/>
      <w:r>
        <w:rPr>
          <w:rFonts w:hint="eastAsia" w:ascii="新宋体" w:hAnsi="新宋体" w:eastAsia="新宋体"/>
          <w:color w:val="auto"/>
          <w:highlight w:val="none"/>
        </w:rPr>
        <w:t>（二）商务部分</w:t>
      </w:r>
      <w:bookmarkEnd w:id="435"/>
      <w:bookmarkEnd w:id="436"/>
      <w:bookmarkEnd w:id="437"/>
      <w:bookmarkEnd w:id="438"/>
      <w:bookmarkEnd w:id="439"/>
      <w:bookmarkEnd w:id="440"/>
    </w:p>
    <w:p w14:paraId="256100F1">
      <w:pPr>
        <w:pStyle w:val="4"/>
        <w:spacing w:before="156" w:after="156"/>
        <w:jc w:val="center"/>
        <w:rPr>
          <w:rFonts w:ascii="新宋体" w:hAnsi="新宋体" w:eastAsia="新宋体"/>
          <w:color w:val="auto"/>
          <w:highlight w:val="none"/>
        </w:rPr>
      </w:pPr>
      <w:bookmarkStart w:id="441" w:name="_Toc30076"/>
      <w:bookmarkStart w:id="442" w:name="_Toc14664"/>
      <w:bookmarkStart w:id="443" w:name="_Toc9936"/>
      <w:r>
        <w:rPr>
          <w:rFonts w:hint="eastAsia" w:ascii="新宋体" w:hAnsi="新宋体" w:eastAsia="新宋体"/>
          <w:color w:val="auto"/>
          <w:highlight w:val="none"/>
        </w:rPr>
        <w:t>一、法定代表人身份证明书及授权委托书</w:t>
      </w:r>
      <w:bookmarkEnd w:id="441"/>
      <w:bookmarkEnd w:id="442"/>
      <w:bookmarkEnd w:id="443"/>
    </w:p>
    <w:p w14:paraId="50FD3A13">
      <w:pPr>
        <w:spacing w:line="360" w:lineRule="auto"/>
        <w:jc w:val="center"/>
        <w:rPr>
          <w:rFonts w:ascii="新宋体" w:hAnsi="新宋体" w:eastAsia="新宋体"/>
          <w:b/>
          <w:color w:val="auto"/>
          <w:sz w:val="30"/>
          <w:szCs w:val="30"/>
          <w:highlight w:val="none"/>
        </w:rPr>
      </w:pPr>
      <w:r>
        <w:rPr>
          <w:rFonts w:hint="eastAsia" w:ascii="新宋体" w:hAnsi="新宋体" w:eastAsia="新宋体"/>
          <w:b/>
          <w:color w:val="auto"/>
          <w:sz w:val="30"/>
          <w:szCs w:val="30"/>
          <w:highlight w:val="none"/>
        </w:rPr>
        <w:t>1.法定代表人身份证明书</w:t>
      </w:r>
    </w:p>
    <w:p w14:paraId="4B8432D8">
      <w:pPr>
        <w:spacing w:line="700" w:lineRule="exact"/>
        <w:ind w:firstLine="612"/>
        <w:rPr>
          <w:rFonts w:ascii="宋体" w:hAnsi="宋体" w:cs="宋体"/>
          <w:color w:val="auto"/>
          <w:highlight w:val="none"/>
        </w:rPr>
      </w:pPr>
      <w:r>
        <w:rPr>
          <w:rFonts w:hint="eastAsia" w:ascii="宋体" w:hAnsi="宋体" w:cs="宋体"/>
          <w:color w:val="auto"/>
          <w:highlight w:val="none"/>
        </w:rPr>
        <w:t>单位名称：</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597F09C6">
      <w:pPr>
        <w:spacing w:line="700" w:lineRule="exact"/>
        <w:ind w:firstLine="610"/>
        <w:rPr>
          <w:rFonts w:ascii="宋体" w:hAnsi="宋体" w:cs="宋体"/>
          <w:color w:val="auto"/>
          <w:highlight w:val="none"/>
          <w:u w:val="single"/>
        </w:rPr>
      </w:pPr>
      <w:r>
        <w:rPr>
          <w:rFonts w:hint="eastAsia" w:ascii="宋体" w:hAnsi="宋体" w:cs="宋体"/>
          <w:color w:val="auto"/>
          <w:highlight w:val="none"/>
        </w:rPr>
        <w:t>单位性质：</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4EF5ECB6">
      <w:pPr>
        <w:spacing w:line="700" w:lineRule="exact"/>
        <w:ind w:firstLine="61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45DC7327">
      <w:pPr>
        <w:spacing w:line="700" w:lineRule="exact"/>
        <w:ind w:firstLine="610"/>
        <w:rPr>
          <w:rFonts w:ascii="宋体" w:hAnsi="宋体" w:cs="宋体"/>
          <w:color w:val="auto"/>
          <w:highlight w:val="none"/>
        </w:rPr>
      </w:pPr>
      <w:r>
        <w:rPr>
          <w:rFonts w:hint="eastAsia" w:ascii="宋体" w:hAnsi="宋体" w:cs="宋体"/>
          <w:color w:val="auto"/>
          <w:highlight w:val="none"/>
        </w:rPr>
        <w:t>成立时间：年月日</w:t>
      </w:r>
    </w:p>
    <w:p w14:paraId="009A02E9">
      <w:pPr>
        <w:spacing w:line="700" w:lineRule="exact"/>
        <w:ind w:firstLine="610"/>
        <w:rPr>
          <w:rFonts w:ascii="宋体" w:hAnsi="宋体" w:cs="宋体"/>
          <w:color w:val="auto"/>
          <w:highlight w:val="none"/>
          <w:u w:val="single"/>
        </w:rPr>
      </w:pPr>
      <w:r>
        <w:rPr>
          <w:rFonts w:hint="eastAsia" w:ascii="宋体" w:hAnsi="宋体" w:cs="宋体"/>
          <w:color w:val="auto"/>
          <w:highlight w:val="none"/>
        </w:rPr>
        <w:t>经营期限：</w:t>
      </w:r>
      <w:r>
        <w:rPr>
          <w:rFonts w:hint="eastAsia" w:ascii="宋体" w:hAnsi="宋体" w:cs="宋体"/>
          <w:color w:val="auto"/>
          <w:highlight w:val="none"/>
          <w:u w:val="single"/>
        </w:rPr>
        <w:tab/>
      </w:r>
      <w:r>
        <w:rPr>
          <w:rFonts w:hint="eastAsia" w:ascii="宋体" w:hAnsi="宋体" w:cs="宋体"/>
          <w:color w:val="auto"/>
          <w:highlight w:val="none"/>
          <w:u w:val="single"/>
        </w:rPr>
        <w:tab/>
      </w:r>
    </w:p>
    <w:p w14:paraId="3FE4E478">
      <w:pPr>
        <w:spacing w:line="700" w:lineRule="exact"/>
        <w:ind w:firstLine="610"/>
        <w:rPr>
          <w:rFonts w:ascii="宋体" w:hAnsi="宋体" w:cs="宋体"/>
          <w:color w:val="auto"/>
          <w:highlight w:val="none"/>
          <w:u w:val="single"/>
        </w:rPr>
      </w:pPr>
      <w:r>
        <w:rPr>
          <w:rFonts w:hint="eastAsia" w:ascii="宋体" w:hAnsi="宋体" w:cs="宋体"/>
          <w:color w:val="auto"/>
          <w:highlight w:val="none"/>
        </w:rPr>
        <w:t>姓    名： 性别：年龄：职务：</w:t>
      </w:r>
      <w:r>
        <w:rPr>
          <w:rFonts w:hint="eastAsia" w:ascii="宋体" w:hAnsi="宋体" w:cs="宋体"/>
          <w:color w:val="auto"/>
          <w:highlight w:val="none"/>
          <w:u w:val="single"/>
        </w:rPr>
        <w:tab/>
      </w:r>
      <w:r>
        <w:rPr>
          <w:rFonts w:hint="eastAsia" w:ascii="宋体" w:hAnsi="宋体" w:cs="宋体"/>
          <w:color w:val="auto"/>
          <w:highlight w:val="none"/>
          <w:u w:val="single"/>
        </w:rPr>
        <w:tab/>
      </w:r>
    </w:p>
    <w:p w14:paraId="50D09528">
      <w:pPr>
        <w:spacing w:line="700" w:lineRule="exact"/>
        <w:ind w:firstLine="61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（供应商单位名称）         </w:t>
      </w:r>
      <w:r>
        <w:rPr>
          <w:rFonts w:hint="eastAsia" w:ascii="宋体" w:hAnsi="宋体" w:cs="宋体"/>
          <w:color w:val="auto"/>
          <w:highlight w:val="none"/>
        </w:rPr>
        <w:t>的法定代表人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负责人</w:t>
      </w:r>
      <w:r>
        <w:rPr>
          <w:rFonts w:hint="eastAsia" w:ascii="宋体" w:hAnsi="宋体" w:cs="宋体"/>
          <w:color w:val="auto"/>
          <w:highlight w:val="none"/>
          <w:lang w:eastAsia="zh-CN"/>
        </w:rPr>
        <w:t>）</w:t>
      </w:r>
      <w:r>
        <w:rPr>
          <w:rFonts w:hint="eastAsia" w:ascii="宋体" w:hAnsi="宋体" w:cs="宋体"/>
          <w:color w:val="auto"/>
          <w:highlight w:val="none"/>
        </w:rPr>
        <w:t>。</w:t>
      </w:r>
    </w:p>
    <w:p w14:paraId="15F8545E">
      <w:pPr>
        <w:spacing w:line="700" w:lineRule="exact"/>
        <w:ind w:firstLine="610"/>
        <w:rPr>
          <w:rFonts w:ascii="宋体" w:hAnsi="宋体" w:cs="宋体"/>
          <w:color w:val="auto"/>
          <w:highlight w:val="none"/>
        </w:rPr>
      </w:pPr>
      <w:r>
        <w:rPr>
          <w:rFonts w:hint="eastAsia" w:ascii="宋体" w:hAnsi="宋体" w:cs="宋体"/>
          <w:color w:val="auto"/>
          <w:highlight w:val="none"/>
        </w:rPr>
        <w:t>特此证明。</w:t>
      </w:r>
    </w:p>
    <w:p w14:paraId="3084AEFC">
      <w:pPr>
        <w:spacing w:line="700" w:lineRule="exact"/>
        <w:ind w:firstLine="610"/>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257175</wp:posOffset>
                </wp:positionV>
                <wp:extent cx="3886200" cy="2179320"/>
                <wp:effectExtent l="5080" t="4445" r="7620" b="1333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886200" cy="2179320"/>
                        </a:xfrm>
                        <a:prstGeom prst="rect">
                          <a:avLst/>
                        </a:prstGeom>
                        <a:solidFill>
                          <a:srgbClr val="FFFFFF"/>
                        </a:solidFill>
                        <a:ln w="9525">
                          <a:solidFill>
                            <a:srgbClr val="000000"/>
                          </a:solidFill>
                          <a:miter lim="800000"/>
                        </a:ln>
                      </wps:spPr>
                      <wps:txbx>
                        <w:txbxContent>
                          <w:p w14:paraId="219F7446">
                            <w:pPr>
                              <w:rPr>
                                <w:rFonts w:ascii="黑体" w:hAnsi="宋体" w:eastAsia="黑体"/>
                                <w:b/>
                                <w:szCs w:val="32"/>
                              </w:rPr>
                            </w:pPr>
                          </w:p>
                          <w:p w14:paraId="0CF8A96B">
                            <w:pPr>
                              <w:rPr>
                                <w:rFonts w:ascii="宋体" w:hAnsi="宋体"/>
                                <w:b/>
                                <w:szCs w:val="32"/>
                              </w:rPr>
                            </w:pPr>
                          </w:p>
                          <w:p w14:paraId="5156AE09">
                            <w:pPr>
                              <w:rPr>
                                <w:rFonts w:ascii="宋体" w:hAnsi="宋体"/>
                                <w:b/>
                                <w:szCs w:val="32"/>
                              </w:rPr>
                            </w:pPr>
                          </w:p>
                          <w:p w14:paraId="0DE5F98B">
                            <w:pPr>
                              <w:rPr>
                                <w:rFonts w:ascii="宋体" w:hAnsi="宋体"/>
                                <w:b/>
                                <w:szCs w:val="32"/>
                              </w:rPr>
                            </w:pPr>
                          </w:p>
                          <w:p w14:paraId="31042876">
                            <w:pPr>
                              <w:rPr>
                                <w:rFonts w:ascii="宋体" w:hAnsi="宋体"/>
                                <w:b/>
                                <w:szCs w:val="32"/>
                              </w:rPr>
                            </w:pPr>
                          </w:p>
                          <w:p w14:paraId="6818BFFD">
                            <w:pPr>
                              <w:ind w:firstLine="1424" w:firstLineChars="591"/>
                              <w:rPr>
                                <w:rFonts w:ascii="宋体" w:hAnsi="宋体"/>
                                <w:sz w:val="24"/>
                              </w:rPr>
                            </w:pPr>
                            <w:r>
                              <w:rPr>
                                <w:rFonts w:hint="eastAsia" w:ascii="宋体" w:hAnsi="宋体"/>
                                <w:b/>
                                <w:sz w:val="24"/>
                              </w:rPr>
                              <w:t>附法定代表人身份证扫描件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20.25pt;height:171.6pt;width:306pt;z-index:251660288;mso-width-relative:page;mso-height-relative:page;" fillcolor="#FFFFFF" filled="t" stroked="t" coordsize="21600,21600" o:gfxdata="UEsDBAoAAAAAAIdO4kAAAAAAAAAAAAAAAAAEAAAAZHJzL1BLAwQUAAAACACHTuJABSJVgNgAAAAK&#10;AQAADwAAAGRycy9kb3ducmV2LnhtbE2PQU+DQBCF7yb+h82YeLO7BW2RsvSgqYnHll68LTAClZ0l&#10;7NKiv97xVI/vzcub72Xb2fbijKPvHGlYLhQIpMrVHTUajsXuIQHhg6Ha9I5Qwzd62Oa3N5lJa3eh&#10;PZ4PoRFcQj41GtoQhlRKX7VojV+4AYlvn260JrAcG1mP5sLltpeRUitpTUf8oTUDvrRYfR0mq6Hs&#10;oqP52Rdvyj7v4vA+F6fp41Xr+7ul2oAIOIdrGP7wGR1yZirdRLUXPetoxVuChkf1BIID6zhho9QQ&#10;J/EaZJ7J/xPyX1BLAwQUAAAACACHTuJAVpqJDzoCAAB7BAAADgAAAGRycy9lMm9Eb2MueG1srVTN&#10;bhMxEL4j8Q6W72Tz2yarbKoqURBSgUqFB3C83qyF7TFjJ5vyMkjceAgeB/EazHrTkBYOPbAHy+MZ&#10;f57vm5mdXx2sYXuFQYMr+KDX50w5CaV224J//LB+NeUsROFKYcCpgt+rwK8WL1/MG5+rIdRgSoWM&#10;QFzIG1/wOkafZ1mQtbIi9MArR84K0IpIJm6zEkVD6NZkw37/ImsAS48gVQh0uuqc/IiIzwGEqtJS&#10;rUDurHKxQ0VlRCRKodY+8EXKtqqUjO+rKqjITMGJaUwrPUL7Tbtmi7nItyh8reUxBfGcFJ5wskI7&#10;evQEtRJRsB3qv6CslggBqtiTYLOOSFKEWAz6T7S5q4VXiQtJHfxJ9PD/YOW7/S0yXRZ8xJkTlgr+&#10;6+v3nz++sVGrTeNDTiF3/hZbdsHfgPwUmINlLdxWXSNCUytRUkaDNj57dKE1Al1lm+YtlAQtdhGS&#10;TIcKbQtIArBDqsb9qRrqEJmkw9F0ekENw5kk33BwORsNU70ykT9c9xjiawWWtZuCI5U7wYv9TYht&#10;OiJ/CEnpg9HlWhuTDNxulgbZXlBrrNOXGBDL8zDjWFPw2WQ4SciPfOEcop++f0FYHWlijLYFn54H&#10;GXcUrNWo0zoeNoej7Bso70k6hK5naWJpUwN+4ayhfi14+LwTqDgzbxzJPxuMx22DJ2M8uSStGJ57&#10;Nuce4SRBFTxy1m2XsRuKnUe9remlQaLr4JpKVukkZlvOLqtj3tSTSePj/LRNf26nqD//jM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JVgNgAAAAKAQAADwAAAAAAAAABACAAAAAiAAAAZHJzL2Rv&#10;d25yZXYueG1sUEsBAhQAFAAAAAgAh07iQFaaiQ86AgAAewQAAA4AAAAAAAAAAQAgAAAAJwEAAGRy&#10;cy9lMm9Eb2MueG1sUEsFBgAAAAAGAAYAWQEAANMFAAAAAA==&#10;">
                <v:fill on="t" focussize="0,0"/>
                <v:stroke color="#000000" miterlimit="8" joinstyle="miter"/>
                <v:imagedata o:title=""/>
                <o:lock v:ext="edit" aspectratio="f"/>
                <v:textbox>
                  <w:txbxContent>
                    <w:p w14:paraId="219F7446">
                      <w:pPr>
                        <w:rPr>
                          <w:rFonts w:ascii="黑体" w:hAnsi="宋体" w:eastAsia="黑体"/>
                          <w:b/>
                          <w:szCs w:val="32"/>
                        </w:rPr>
                      </w:pPr>
                    </w:p>
                    <w:p w14:paraId="0CF8A96B">
                      <w:pPr>
                        <w:rPr>
                          <w:rFonts w:ascii="宋体" w:hAnsi="宋体"/>
                          <w:b/>
                          <w:szCs w:val="32"/>
                        </w:rPr>
                      </w:pPr>
                    </w:p>
                    <w:p w14:paraId="5156AE09">
                      <w:pPr>
                        <w:rPr>
                          <w:rFonts w:ascii="宋体" w:hAnsi="宋体"/>
                          <w:b/>
                          <w:szCs w:val="32"/>
                        </w:rPr>
                      </w:pPr>
                    </w:p>
                    <w:p w14:paraId="0DE5F98B">
                      <w:pPr>
                        <w:rPr>
                          <w:rFonts w:ascii="宋体" w:hAnsi="宋体"/>
                          <w:b/>
                          <w:szCs w:val="32"/>
                        </w:rPr>
                      </w:pPr>
                    </w:p>
                    <w:p w14:paraId="31042876">
                      <w:pPr>
                        <w:rPr>
                          <w:rFonts w:ascii="宋体" w:hAnsi="宋体"/>
                          <w:b/>
                          <w:szCs w:val="32"/>
                        </w:rPr>
                      </w:pPr>
                    </w:p>
                    <w:p w14:paraId="6818BFFD">
                      <w:pPr>
                        <w:ind w:firstLine="1424" w:firstLineChars="591"/>
                        <w:rPr>
                          <w:rFonts w:ascii="宋体" w:hAnsi="宋体"/>
                          <w:sz w:val="24"/>
                        </w:rPr>
                      </w:pPr>
                      <w:r>
                        <w:rPr>
                          <w:rFonts w:hint="eastAsia" w:ascii="宋体" w:hAnsi="宋体"/>
                          <w:b/>
                          <w:sz w:val="24"/>
                        </w:rPr>
                        <w:t>附法定代表人身份证扫描件</w:t>
                      </w:r>
                    </w:p>
                  </w:txbxContent>
                </v:textbox>
              </v:rect>
            </w:pict>
          </mc:Fallback>
        </mc:AlternateContent>
      </w:r>
    </w:p>
    <w:p w14:paraId="44E98E2E">
      <w:pPr>
        <w:spacing w:line="700" w:lineRule="exact"/>
        <w:ind w:firstLine="610"/>
        <w:rPr>
          <w:rFonts w:ascii="宋体" w:hAnsi="宋体" w:cs="宋体"/>
          <w:color w:val="auto"/>
          <w:highlight w:val="none"/>
        </w:rPr>
      </w:pPr>
    </w:p>
    <w:p w14:paraId="2F82AB55">
      <w:pPr>
        <w:spacing w:line="700" w:lineRule="exact"/>
        <w:ind w:firstLine="610"/>
        <w:rPr>
          <w:rFonts w:ascii="宋体" w:hAnsi="宋体" w:cs="宋体"/>
          <w:color w:val="auto"/>
          <w:highlight w:val="none"/>
        </w:rPr>
      </w:pPr>
    </w:p>
    <w:p w14:paraId="4012B89F">
      <w:pPr>
        <w:spacing w:line="700" w:lineRule="exact"/>
        <w:ind w:firstLine="610"/>
        <w:rPr>
          <w:rFonts w:ascii="宋体" w:hAnsi="宋体" w:cs="宋体"/>
          <w:color w:val="auto"/>
          <w:highlight w:val="none"/>
        </w:rPr>
      </w:pPr>
    </w:p>
    <w:p w14:paraId="5A0ABC5C">
      <w:pPr>
        <w:tabs>
          <w:tab w:val="left" w:pos="720"/>
          <w:tab w:val="left" w:pos="900"/>
        </w:tabs>
        <w:spacing w:line="360" w:lineRule="auto"/>
        <w:rPr>
          <w:rFonts w:ascii="宋体" w:hAnsi="宋体" w:cs="宋体"/>
          <w:color w:val="auto"/>
          <w:highlight w:val="none"/>
        </w:rPr>
      </w:pPr>
    </w:p>
    <w:p w14:paraId="36158D77">
      <w:pPr>
        <w:spacing w:line="700" w:lineRule="exact"/>
        <w:rPr>
          <w:rFonts w:ascii="宋体" w:hAnsi="宋体" w:cs="宋体"/>
          <w:color w:val="auto"/>
          <w:highlight w:val="none"/>
        </w:rPr>
      </w:pPr>
    </w:p>
    <w:p w14:paraId="382256B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供应商名称（电子签章）：</w:t>
      </w:r>
    </w:p>
    <w:p w14:paraId="1F83099A">
      <w:pPr>
        <w:spacing w:line="360" w:lineRule="auto"/>
        <w:rPr>
          <w:rFonts w:ascii="宋体" w:hAnsi="宋体" w:cs="宋体"/>
          <w:color w:val="auto"/>
          <w:highlight w:val="none"/>
          <w:u w:val="single"/>
        </w:rPr>
      </w:pPr>
    </w:p>
    <w:p w14:paraId="7CD9BC1A">
      <w:pPr>
        <w:spacing w:line="360" w:lineRule="auto"/>
        <w:ind w:firstLine="420" w:firstLineChars="200"/>
        <w:rPr>
          <w:rFonts w:ascii="新宋体" w:hAnsi="新宋体" w:eastAsia="新宋体"/>
          <w:color w:val="auto"/>
          <w:highlight w:val="none"/>
        </w:rPr>
      </w:pPr>
      <w:r>
        <w:rPr>
          <w:rFonts w:hint="eastAsia" w:ascii="宋体" w:hAnsi="宋体" w:cs="宋体"/>
          <w:color w:val="auto"/>
          <w:highlight w:val="none"/>
        </w:rPr>
        <w:t>日期：  年   月    日</w:t>
      </w:r>
    </w:p>
    <w:p w14:paraId="1B512FFB">
      <w:pPr>
        <w:spacing w:line="360" w:lineRule="auto"/>
        <w:rPr>
          <w:rFonts w:ascii="新宋体" w:hAnsi="新宋体" w:eastAsia="新宋体"/>
          <w:color w:val="auto"/>
          <w:highlight w:val="none"/>
        </w:rPr>
      </w:pPr>
    </w:p>
    <w:p w14:paraId="042124A6">
      <w:pPr>
        <w:spacing w:line="360" w:lineRule="auto"/>
        <w:ind w:firstLine="247" w:firstLineChars="118"/>
        <w:rPr>
          <w:rFonts w:ascii="新宋体" w:hAnsi="新宋体" w:eastAsia="新宋体"/>
          <w:color w:val="auto"/>
          <w:highlight w:val="none"/>
        </w:rPr>
      </w:pPr>
    </w:p>
    <w:p w14:paraId="4535FA9C">
      <w:pPr>
        <w:pStyle w:val="19"/>
        <w:rPr>
          <w:color w:val="auto"/>
          <w:highlight w:val="none"/>
        </w:rPr>
      </w:pPr>
    </w:p>
    <w:p w14:paraId="0F709AE4">
      <w:pPr>
        <w:spacing w:line="360" w:lineRule="auto"/>
        <w:jc w:val="center"/>
        <w:rPr>
          <w:rFonts w:ascii="新宋体" w:hAnsi="新宋体" w:eastAsia="新宋体"/>
          <w:b/>
          <w:color w:val="auto"/>
          <w:sz w:val="30"/>
          <w:szCs w:val="30"/>
          <w:highlight w:val="none"/>
        </w:rPr>
      </w:pPr>
      <w:r>
        <w:rPr>
          <w:rFonts w:hint="eastAsia" w:ascii="新宋体" w:hAnsi="新宋体" w:eastAsia="新宋体"/>
          <w:b/>
          <w:color w:val="auto"/>
          <w:sz w:val="30"/>
          <w:szCs w:val="30"/>
          <w:highlight w:val="none"/>
        </w:rPr>
        <w:t>2.授权委托书</w:t>
      </w:r>
    </w:p>
    <w:p w14:paraId="0564DC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（姓名）</w:t>
      </w:r>
      <w:r>
        <w:rPr>
          <w:rFonts w:hint="eastAsia" w:ascii="宋体" w:hAnsi="宋体" w:cs="宋体"/>
          <w:color w:val="auto"/>
          <w:highlight w:val="none"/>
        </w:rPr>
        <w:t>系</w:t>
      </w:r>
      <w:r>
        <w:rPr>
          <w:rFonts w:hint="eastAsia" w:ascii="宋体" w:hAnsi="宋体" w:cs="宋体"/>
          <w:color w:val="auto"/>
          <w:highlight w:val="none"/>
          <w:u w:val="single"/>
        </w:rPr>
        <w:t>（供应商名称）</w:t>
      </w:r>
      <w:r>
        <w:rPr>
          <w:rFonts w:hint="eastAsia" w:ascii="宋体" w:hAnsi="宋体" w:cs="宋体"/>
          <w:color w:val="auto"/>
          <w:highlight w:val="none"/>
        </w:rPr>
        <w:t>的法定代表人，现委托</w:t>
      </w:r>
      <w:r>
        <w:rPr>
          <w:rFonts w:hint="eastAsia" w:ascii="宋体" w:hAnsi="宋体" w:cs="宋体"/>
          <w:color w:val="auto"/>
          <w:highlight w:val="none"/>
          <w:u w:val="single"/>
        </w:rPr>
        <w:t>（姓名）</w:t>
      </w:r>
      <w:r>
        <w:rPr>
          <w:rFonts w:hint="eastAsia" w:ascii="宋体" w:hAnsi="宋体" w:cs="宋体"/>
          <w:color w:val="auto"/>
          <w:highlight w:val="none"/>
        </w:rPr>
        <w:t>为我方代理人。代理人根据授权，以我方名义签署、澄清、说明、补正、递交、撤回、修改</w:t>
      </w:r>
      <w:r>
        <w:rPr>
          <w:rFonts w:hint="eastAsia" w:ascii="宋体" w:hAnsi="宋体" w:cs="宋体"/>
          <w:color w:val="auto"/>
          <w:highlight w:val="none"/>
          <w:u w:val="single"/>
        </w:rPr>
        <w:t>（项目名称）</w:t>
      </w:r>
      <w:r>
        <w:rPr>
          <w:rFonts w:hint="eastAsia" w:ascii="宋体" w:hAnsi="宋体" w:cs="宋体"/>
          <w:color w:val="auto"/>
          <w:highlight w:val="none"/>
        </w:rPr>
        <w:t>响应文件、签订合同和处理有关事宜，其法律后果由我方承担。</w:t>
      </w:r>
    </w:p>
    <w:p w14:paraId="717CFE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委托期限：</w:t>
      </w:r>
    </w:p>
    <w:p w14:paraId="7BB591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代理人无转委托权。</w:t>
      </w:r>
    </w:p>
    <w:p w14:paraId="061412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附：附授权委托人身份证</w:t>
      </w:r>
    </w:p>
    <w:p w14:paraId="52AE01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199390</wp:posOffset>
                </wp:positionV>
                <wp:extent cx="3886200" cy="2179320"/>
                <wp:effectExtent l="5080" t="4445" r="7620" b="1333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886200" cy="2179320"/>
                        </a:xfrm>
                        <a:prstGeom prst="rect">
                          <a:avLst/>
                        </a:prstGeom>
                        <a:solidFill>
                          <a:srgbClr val="FFFFFF"/>
                        </a:solidFill>
                        <a:ln w="9525">
                          <a:solidFill>
                            <a:srgbClr val="000000"/>
                          </a:solidFill>
                          <a:miter lim="800000"/>
                        </a:ln>
                      </wps:spPr>
                      <wps:txbx>
                        <w:txbxContent>
                          <w:p w14:paraId="4A145688">
                            <w:pPr>
                              <w:rPr>
                                <w:rFonts w:ascii="黑体" w:hAnsi="宋体" w:eastAsia="黑体"/>
                                <w:b/>
                                <w:szCs w:val="32"/>
                              </w:rPr>
                            </w:pPr>
                          </w:p>
                          <w:p w14:paraId="2EEF7FB7">
                            <w:pPr>
                              <w:rPr>
                                <w:rFonts w:ascii="黑体" w:hAnsi="宋体" w:eastAsia="黑体"/>
                                <w:b/>
                                <w:szCs w:val="32"/>
                              </w:rPr>
                            </w:pPr>
                          </w:p>
                          <w:p w14:paraId="56AFA4A3">
                            <w:pPr>
                              <w:rPr>
                                <w:rFonts w:ascii="黑体" w:hAnsi="宋体" w:eastAsia="黑体"/>
                                <w:b/>
                                <w:szCs w:val="32"/>
                              </w:rPr>
                            </w:pPr>
                          </w:p>
                          <w:p w14:paraId="5E0014E2">
                            <w:pPr>
                              <w:rPr>
                                <w:rFonts w:ascii="黑体" w:hAnsi="宋体" w:eastAsia="黑体"/>
                                <w:b/>
                                <w:szCs w:val="32"/>
                              </w:rPr>
                            </w:pPr>
                          </w:p>
                          <w:p w14:paraId="2A201220">
                            <w:pPr>
                              <w:ind w:firstLine="1424" w:firstLineChars="591"/>
                              <w:rPr>
                                <w:rFonts w:ascii="宋体" w:hAnsi="宋体"/>
                                <w:sz w:val="24"/>
                              </w:rPr>
                            </w:pPr>
                            <w:r>
                              <w:rPr>
                                <w:rFonts w:hint="eastAsia" w:ascii="宋体" w:hAnsi="宋体"/>
                                <w:b/>
                                <w:sz w:val="24"/>
                              </w:rPr>
                              <w:t>附授权委托人身份证扫描件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15.7pt;height:171.6pt;width:306pt;z-index:251661312;mso-width-relative:page;mso-height-relative:page;" fillcolor="#FFFFFF" filled="t" stroked="t" coordsize="21600,21600" o:gfxdata="UEsDBAoAAAAAAIdO4kAAAAAAAAAAAAAAAAAEAAAAZHJzL1BLAwQUAAAACACHTuJAA1VQxdgAAAAK&#10;AQAADwAAAGRycy9kb3ducmV2LnhtbE2PzU7DMBCE70i8g7VI3KjzU6UlxOkBVCSObXrhtomXJBDb&#10;Uey0gadnOdHjzI5mvyl2ixnEmSbfO6sgXkUgyDZO97ZVcKr2D1sQPqDVODhLCr7Jw668vSkw1+5i&#10;D3Q+hlZwifU5KuhCGHMpfdORQb9yI1m+fbjJYGA5tVJPeOFyM8gkijJpsLf8ocORnjtqvo6zUVD3&#10;yQl/DtVrZB73aXhbqs/5/UWp+7s4egIRaAn/YfjDZ3Qomal2s9VeDKyTjLcEBWm8BsGBTbplo2Zj&#10;s85AloW8nlD+AlBLAwQUAAAACACHTuJA7znA2zsCAAB7BAAADgAAAGRycy9lMm9Eb2MueG1srVTB&#10;bhMxEL0j8Q+W72STNEmTVTZVlSgIqUClwgc4Xm/WwvaYsZNN+RkkbnwEn4P4DWa9aUgLhx7Yg+Xx&#10;jJ/nvZnZ+dXBGrZXGDS4gg96fc6Uk1Bqty34xw/rV1POQhSuFAacKvi9Cvxq8fLFvPG5GkINplTI&#10;CMSFvPEFr2P0eZYFWSsrQg+8cuSsAK2IZOI2K1E0hG5NNuz3J1kDWHoEqUKg01Xn5EdEfA4gVJWW&#10;agVyZ5WLHSoqIyJRCrX2gS9StlWlZHxfVUFFZgpOTGNa6RHab9o1W8xFvkXhay2PKYjnpPCEkxXa&#10;0aMnqJWIgu1Q/wVltUQIUMWeBJt1RJIixGLQf6LNXS28SlxI6uBPoof/Byvf7W+R6bLgE86csFTw&#10;X1+///zxjU1abRofcgq587fYsgv+BuSnwBwsa+G26hoRmlqJkjIatPHZowutEegq2zRvoSRosYuQ&#10;ZDpUaFtAEoAdUjXuT9VQh8gkHV5MpxNqGM4k+YaDy9nFMNUrE/nDdY8hvlZgWbspOFK5E7zY34TY&#10;piPyh5CUPhhdrrUxycDtZmmQ7QW1xjp9iQGxPA8zjjUFn42H44T8yBfOIfrp+xeE1ZEmxmhb8Ol5&#10;kHFHwVqNOq3jYXM4yr6B8p6kQ+h6liaWNjXgF84a6teCh887gYoz88aR/LPBaNQ2eDJG40vSiuG5&#10;Z3PuEU4SVMEjZ912Gbuh2HnU25peGiS6Dq6pZJVOYrbl7LI65k09mTQ+zk/b9Od2ivrzz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VUMXYAAAACgEAAA8AAAAAAAAAAQAgAAAAIgAAAGRycy9k&#10;b3ducmV2LnhtbFBLAQIUABQAAAAIAIdO4kDvOcDbOwIAAHsEAAAOAAAAAAAAAAEAIAAAACcBAABk&#10;cnMvZTJvRG9jLnhtbFBLBQYAAAAABgAGAFkBAADUBQAAAAA=&#10;">
                <v:fill on="t" focussize="0,0"/>
                <v:stroke color="#000000" miterlimit="8" joinstyle="miter"/>
                <v:imagedata o:title=""/>
                <o:lock v:ext="edit" aspectratio="f"/>
                <v:textbox>
                  <w:txbxContent>
                    <w:p w14:paraId="4A145688">
                      <w:pPr>
                        <w:rPr>
                          <w:rFonts w:ascii="黑体" w:hAnsi="宋体" w:eastAsia="黑体"/>
                          <w:b/>
                          <w:szCs w:val="32"/>
                        </w:rPr>
                      </w:pPr>
                    </w:p>
                    <w:p w14:paraId="2EEF7FB7">
                      <w:pPr>
                        <w:rPr>
                          <w:rFonts w:ascii="黑体" w:hAnsi="宋体" w:eastAsia="黑体"/>
                          <w:b/>
                          <w:szCs w:val="32"/>
                        </w:rPr>
                      </w:pPr>
                    </w:p>
                    <w:p w14:paraId="56AFA4A3">
                      <w:pPr>
                        <w:rPr>
                          <w:rFonts w:ascii="黑体" w:hAnsi="宋体" w:eastAsia="黑体"/>
                          <w:b/>
                          <w:szCs w:val="32"/>
                        </w:rPr>
                      </w:pPr>
                    </w:p>
                    <w:p w14:paraId="5E0014E2">
                      <w:pPr>
                        <w:rPr>
                          <w:rFonts w:ascii="黑体" w:hAnsi="宋体" w:eastAsia="黑体"/>
                          <w:b/>
                          <w:szCs w:val="32"/>
                        </w:rPr>
                      </w:pPr>
                    </w:p>
                    <w:p w14:paraId="2A201220">
                      <w:pPr>
                        <w:ind w:firstLine="1424" w:firstLineChars="591"/>
                        <w:rPr>
                          <w:rFonts w:ascii="宋体" w:hAnsi="宋体"/>
                          <w:sz w:val="24"/>
                        </w:rPr>
                      </w:pPr>
                      <w:r>
                        <w:rPr>
                          <w:rFonts w:hint="eastAsia" w:ascii="宋体" w:hAnsi="宋体"/>
                          <w:b/>
                          <w:sz w:val="24"/>
                        </w:rPr>
                        <w:t>附授权委托人身份证扫描件</w:t>
                      </w:r>
                    </w:p>
                  </w:txbxContent>
                </v:textbox>
              </v:rect>
            </w:pict>
          </mc:Fallback>
        </mc:AlternateContent>
      </w:r>
    </w:p>
    <w:p w14:paraId="5F8E0032">
      <w:pPr>
        <w:spacing w:line="360" w:lineRule="auto"/>
        <w:ind w:firstLine="420" w:firstLineChars="200"/>
        <w:rPr>
          <w:rFonts w:ascii="宋体" w:hAnsi="宋体" w:cs="宋体"/>
          <w:color w:val="auto"/>
          <w:highlight w:val="none"/>
        </w:rPr>
      </w:pPr>
    </w:p>
    <w:p w14:paraId="58065D73">
      <w:pPr>
        <w:spacing w:line="360" w:lineRule="auto"/>
        <w:ind w:firstLine="4725" w:firstLineChars="2250"/>
        <w:rPr>
          <w:rFonts w:ascii="宋体" w:hAnsi="宋体" w:cs="宋体"/>
          <w:color w:val="auto"/>
          <w:highlight w:val="none"/>
        </w:rPr>
      </w:pPr>
    </w:p>
    <w:p w14:paraId="747E61E3">
      <w:pPr>
        <w:spacing w:line="360" w:lineRule="auto"/>
        <w:ind w:firstLine="4725" w:firstLineChars="2250"/>
        <w:rPr>
          <w:rFonts w:ascii="宋体" w:hAnsi="宋体" w:cs="宋体"/>
          <w:color w:val="auto"/>
          <w:highlight w:val="none"/>
        </w:rPr>
      </w:pPr>
    </w:p>
    <w:p w14:paraId="2DACD0F6">
      <w:pPr>
        <w:spacing w:line="360" w:lineRule="auto"/>
        <w:ind w:firstLine="4725" w:firstLineChars="2250"/>
        <w:rPr>
          <w:rFonts w:ascii="宋体" w:hAnsi="宋体" w:cs="宋体"/>
          <w:color w:val="auto"/>
          <w:highlight w:val="none"/>
        </w:rPr>
      </w:pPr>
    </w:p>
    <w:p w14:paraId="11E25E5E">
      <w:pPr>
        <w:spacing w:line="360" w:lineRule="auto"/>
        <w:ind w:firstLine="4725" w:firstLineChars="2250"/>
        <w:rPr>
          <w:rFonts w:ascii="宋体" w:hAnsi="宋体" w:cs="宋体"/>
          <w:color w:val="auto"/>
          <w:highlight w:val="none"/>
        </w:rPr>
      </w:pPr>
    </w:p>
    <w:p w14:paraId="20F5A06F">
      <w:pPr>
        <w:spacing w:line="360" w:lineRule="auto"/>
        <w:ind w:firstLine="4725" w:firstLineChars="2250"/>
        <w:rPr>
          <w:rFonts w:ascii="宋体" w:hAnsi="宋体" w:cs="宋体"/>
          <w:color w:val="auto"/>
          <w:highlight w:val="none"/>
        </w:rPr>
      </w:pPr>
    </w:p>
    <w:p w14:paraId="07CCDB49">
      <w:pPr>
        <w:spacing w:line="360" w:lineRule="auto"/>
        <w:ind w:firstLine="4725" w:firstLineChars="2250"/>
        <w:rPr>
          <w:rFonts w:ascii="宋体" w:hAnsi="宋体" w:cs="宋体"/>
          <w:color w:val="auto"/>
          <w:highlight w:val="none"/>
        </w:rPr>
      </w:pPr>
    </w:p>
    <w:p w14:paraId="34282D00">
      <w:pPr>
        <w:spacing w:line="360" w:lineRule="auto"/>
        <w:rPr>
          <w:rFonts w:ascii="宋体" w:hAnsi="宋体" w:cs="宋体"/>
          <w:color w:val="auto"/>
          <w:highlight w:val="none"/>
        </w:rPr>
      </w:pPr>
    </w:p>
    <w:p w14:paraId="6C598EE6">
      <w:pPr>
        <w:spacing w:line="360" w:lineRule="auto"/>
        <w:ind w:firstLine="4498" w:firstLineChars="2142"/>
        <w:rPr>
          <w:rFonts w:ascii="宋体" w:hAnsi="宋体" w:cs="宋体"/>
          <w:color w:val="auto"/>
          <w:highlight w:val="none"/>
        </w:rPr>
      </w:pPr>
      <w:r>
        <w:rPr>
          <w:rFonts w:hint="eastAsia" w:ascii="宋体" w:hAnsi="宋体" w:cs="宋体"/>
          <w:color w:val="auto"/>
          <w:highlight w:val="none"/>
        </w:rPr>
        <w:t>供应商名称：（电子签章）</w:t>
      </w:r>
    </w:p>
    <w:p w14:paraId="753C219E">
      <w:pPr>
        <w:spacing w:line="360" w:lineRule="auto"/>
        <w:ind w:firstLine="4498" w:firstLineChars="2142"/>
        <w:rPr>
          <w:rFonts w:ascii="宋体" w:hAnsi="宋体" w:cs="宋体"/>
          <w:color w:val="auto"/>
          <w:highlight w:val="none"/>
        </w:rPr>
      </w:pPr>
      <w:r>
        <w:rPr>
          <w:rFonts w:hint="eastAsia" w:ascii="新宋体" w:hAnsi="新宋体" w:eastAsia="新宋体"/>
          <w:color w:val="auto"/>
          <w:highlight w:val="none"/>
        </w:rPr>
        <w:t>法定代表人</w:t>
      </w:r>
      <w:r>
        <w:rPr>
          <w:rFonts w:hint="eastAsia" w:ascii="宋体" w:hAnsi="宋体" w:cs="宋体"/>
          <w:color w:val="auto"/>
          <w:highlight w:val="none"/>
        </w:rPr>
        <w:t>：（电子签章）</w:t>
      </w:r>
    </w:p>
    <w:p w14:paraId="2AED7D02">
      <w:pPr>
        <w:spacing w:line="360" w:lineRule="auto"/>
        <w:ind w:firstLine="4498" w:firstLineChars="2142"/>
        <w:rPr>
          <w:rFonts w:ascii="宋体" w:hAnsi="宋体" w:cs="宋体"/>
          <w:color w:val="auto"/>
          <w:highlight w:val="none"/>
        </w:rPr>
      </w:pPr>
      <w:r>
        <w:rPr>
          <w:rFonts w:hint="eastAsia" w:ascii="宋体" w:hAnsi="宋体" w:cs="宋体"/>
          <w:color w:val="auto"/>
          <w:highlight w:val="none"/>
        </w:rPr>
        <w:t>身份证号码：</w:t>
      </w:r>
    </w:p>
    <w:p w14:paraId="42C84DEF">
      <w:pPr>
        <w:spacing w:line="360" w:lineRule="auto"/>
        <w:ind w:firstLine="4498" w:firstLineChars="2142"/>
        <w:rPr>
          <w:rFonts w:ascii="宋体" w:hAnsi="宋体" w:cs="宋体"/>
          <w:color w:val="auto"/>
          <w:highlight w:val="none"/>
        </w:rPr>
      </w:pPr>
      <w:r>
        <w:rPr>
          <w:rFonts w:hint="eastAsia" w:ascii="宋体" w:hAnsi="宋体" w:cs="宋体"/>
          <w:color w:val="auto"/>
          <w:highlight w:val="none"/>
        </w:rPr>
        <w:t>委托代理人：</w:t>
      </w:r>
    </w:p>
    <w:p w14:paraId="14FA661C">
      <w:pPr>
        <w:spacing w:line="360" w:lineRule="auto"/>
        <w:ind w:firstLine="4498" w:firstLineChars="2142"/>
        <w:rPr>
          <w:rFonts w:ascii="宋体" w:hAnsi="宋体" w:cs="宋体"/>
          <w:color w:val="auto"/>
          <w:highlight w:val="none"/>
        </w:rPr>
      </w:pPr>
      <w:r>
        <w:rPr>
          <w:rFonts w:hint="eastAsia" w:ascii="宋体" w:hAnsi="宋体" w:cs="宋体"/>
          <w:color w:val="auto"/>
          <w:highlight w:val="none"/>
        </w:rPr>
        <w:t>身份证号码：</w:t>
      </w:r>
    </w:p>
    <w:p w14:paraId="5AF5C785">
      <w:pPr>
        <w:spacing w:line="360" w:lineRule="auto"/>
        <w:ind w:right="420" w:firstLine="4515" w:firstLineChars="2150"/>
        <w:rPr>
          <w:rFonts w:ascii="宋体" w:hAnsi="宋体" w:cs="宋体"/>
          <w:color w:val="auto"/>
          <w:highlight w:val="none"/>
        </w:rPr>
      </w:pPr>
      <w:r>
        <w:rPr>
          <w:rFonts w:hint="eastAsia" w:ascii="宋体" w:hAnsi="宋体" w:cs="宋体"/>
          <w:color w:val="auto"/>
          <w:highlight w:val="none"/>
        </w:rPr>
        <w:t>日期：年月日</w:t>
      </w:r>
    </w:p>
    <w:p w14:paraId="30CD35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附授权委托人身份证扫描件，如申请人由法定代表人亲自签署响应文件并参与相关活动，则不需要办理授权。如有被授权的代理人签署上述文件，则必须按本格式规定填报并提交授权书，否则被授权的代理人将不被认可。</w:t>
      </w:r>
    </w:p>
    <w:p w14:paraId="697AF7C7">
      <w:pPr>
        <w:rPr>
          <w:rFonts w:ascii="宋体" w:hAnsi="宋体" w:cs="宋体"/>
          <w:color w:val="auto"/>
          <w:highlight w:val="none"/>
        </w:rPr>
      </w:pPr>
    </w:p>
    <w:p w14:paraId="31F2340A">
      <w:pPr>
        <w:pStyle w:val="9"/>
        <w:rPr>
          <w:rFonts w:ascii="宋体" w:hAnsi="宋体" w:cs="宋体"/>
          <w:color w:val="auto"/>
          <w:highlight w:val="none"/>
        </w:rPr>
      </w:pPr>
    </w:p>
    <w:p w14:paraId="7D504FB2">
      <w:pPr>
        <w:rPr>
          <w:rFonts w:ascii="宋体" w:hAnsi="宋体" w:cs="宋体"/>
          <w:color w:val="auto"/>
          <w:highlight w:val="none"/>
        </w:rPr>
      </w:pPr>
    </w:p>
    <w:p w14:paraId="71AFE234">
      <w:pPr>
        <w:pStyle w:val="9"/>
        <w:rPr>
          <w:color w:val="auto"/>
          <w:highlight w:val="none"/>
        </w:rPr>
      </w:pPr>
    </w:p>
    <w:p w14:paraId="034ADC59">
      <w:pPr>
        <w:pStyle w:val="19"/>
        <w:ind w:left="0" w:leftChars="0" w:firstLine="0" w:firstLineChars="0"/>
        <w:rPr>
          <w:color w:val="auto"/>
          <w:highlight w:val="none"/>
        </w:rPr>
      </w:pPr>
    </w:p>
    <w:p w14:paraId="354A17AC">
      <w:pPr>
        <w:pStyle w:val="4"/>
        <w:spacing w:before="156" w:after="156"/>
        <w:jc w:val="center"/>
        <w:rPr>
          <w:rFonts w:ascii="新宋体" w:hAnsi="新宋体" w:eastAsia="新宋体"/>
          <w:color w:val="auto"/>
          <w:highlight w:val="none"/>
        </w:rPr>
      </w:pPr>
      <w:bookmarkStart w:id="444" w:name="_Toc5174"/>
      <w:r>
        <w:rPr>
          <w:rFonts w:hint="eastAsia"/>
          <w:color w:val="auto"/>
          <w:kern w:val="0"/>
          <w:sz w:val="30"/>
          <w:szCs w:val="30"/>
          <w:highlight w:val="none"/>
        </w:rPr>
        <w:t>二、磋商报价一览表</w:t>
      </w:r>
      <w:bookmarkEnd w:id="444"/>
    </w:p>
    <w:p w14:paraId="53120720">
      <w:pPr>
        <w:spacing w:line="360" w:lineRule="auto"/>
        <w:rPr>
          <w:rFonts w:hint="eastAsia" w:ascii="新宋体" w:hAnsi="新宋体" w:eastAsia="新宋体"/>
          <w:bCs/>
          <w:color w:val="auto"/>
          <w:highlight w:val="none"/>
          <w:lang w:eastAsia="zh-CN"/>
        </w:rPr>
      </w:pPr>
      <w:r>
        <w:rPr>
          <w:rFonts w:hint="eastAsia" w:ascii="新宋体" w:hAnsi="新宋体" w:eastAsia="新宋体"/>
          <w:b/>
          <w:color w:val="auto"/>
          <w:highlight w:val="none"/>
        </w:rPr>
        <w:t>项目名称：</w:t>
      </w:r>
      <w:r>
        <w:rPr>
          <w:rFonts w:hint="eastAsia" w:ascii="新宋体" w:hAnsi="新宋体" w:eastAsia="新宋体"/>
          <w:bCs/>
          <w:color w:val="auto"/>
          <w:highlight w:val="none"/>
          <w:lang w:eastAsia="zh-CN"/>
        </w:rPr>
        <w:t>昆明市盘龙区滇源中心学校采购2026年保安服务</w:t>
      </w:r>
    </w:p>
    <w:p w14:paraId="70542B7D">
      <w:pPr>
        <w:spacing w:line="360" w:lineRule="auto"/>
        <w:rPr>
          <w:rFonts w:ascii="新宋体" w:hAnsi="新宋体" w:eastAsia="新宋体"/>
          <w:b/>
          <w:color w:val="auto"/>
          <w:highlight w:val="none"/>
        </w:rPr>
      </w:pPr>
      <w:r>
        <w:rPr>
          <w:rFonts w:hint="eastAsia" w:ascii="新宋体" w:hAnsi="新宋体" w:eastAsia="新宋体"/>
          <w:b/>
          <w:color w:val="auto"/>
          <w:highlight w:val="none"/>
        </w:rPr>
        <w:t>项目编号：</w:t>
      </w:r>
      <w:r>
        <w:rPr>
          <w:rFonts w:hint="eastAsia" w:ascii="新宋体" w:hAnsi="新宋体" w:eastAsia="新宋体"/>
          <w:b/>
          <w:color w:val="auto"/>
          <w:highlight w:val="none"/>
          <w:lang w:eastAsia="zh-CN"/>
        </w:rPr>
        <w:t>YNYX-2026-0293</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8"/>
        <w:gridCol w:w="2268"/>
        <w:gridCol w:w="2268"/>
      </w:tblGrid>
      <w:tr w14:paraId="4AA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6FB17F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A3831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2D42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A66C1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A46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02D087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6C7A23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c>
          <w:tcPr>
            <w:tcW w:w="2268" w:type="dxa"/>
            <w:tcBorders>
              <w:top w:val="single" w:color="auto" w:sz="4" w:space="0"/>
              <w:left w:val="single" w:color="auto" w:sz="4" w:space="0"/>
              <w:bottom w:val="single" w:color="auto" w:sz="4" w:space="0"/>
            </w:tcBorders>
            <w:noWrap w:val="0"/>
            <w:vAlign w:val="center"/>
          </w:tcPr>
          <w:p w14:paraId="5A29391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元</w:t>
            </w:r>
            <w:r>
              <w:rPr>
                <w:rFonts w:hint="eastAsia" w:ascii="宋体" w:hAnsi="宋体" w:cs="宋体"/>
                <w:color w:val="auto"/>
                <w:sz w:val="21"/>
                <w:szCs w:val="21"/>
                <w:highlight w:val="none"/>
                <w:lang w:val="en-US" w:eastAsia="zh-CN"/>
              </w:rPr>
              <w:t>/年</w:t>
            </w:r>
          </w:p>
        </w:tc>
        <w:tc>
          <w:tcPr>
            <w:tcW w:w="2268" w:type="dxa"/>
            <w:tcBorders>
              <w:top w:val="single" w:color="auto" w:sz="4" w:space="0"/>
              <w:left w:val="single" w:color="auto" w:sz="4" w:space="0"/>
              <w:bottom w:val="single" w:color="auto" w:sz="4" w:space="0"/>
            </w:tcBorders>
            <w:noWrap w:val="0"/>
            <w:vAlign w:val="center"/>
          </w:tcPr>
          <w:p w14:paraId="675D8A68">
            <w:pPr>
              <w:jc w:val="both"/>
              <w:rPr>
                <w:rFonts w:hint="eastAsia" w:ascii="宋体" w:hAnsi="宋体" w:eastAsia="宋体" w:cs="宋体"/>
                <w:color w:val="auto"/>
                <w:sz w:val="21"/>
                <w:szCs w:val="21"/>
                <w:highlight w:val="none"/>
                <w:u w:val="single"/>
              </w:rPr>
            </w:pPr>
          </w:p>
        </w:tc>
      </w:tr>
      <w:tr w14:paraId="48D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49555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784DB99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A0EDB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元/人/月</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5A021074">
            <w:pPr>
              <w:spacing w:line="360" w:lineRule="auto"/>
              <w:rPr>
                <w:rFonts w:hint="eastAsia" w:ascii="宋体" w:hAnsi="宋体" w:eastAsia="宋体" w:cs="宋体"/>
                <w:color w:val="auto"/>
                <w:sz w:val="21"/>
                <w:szCs w:val="21"/>
                <w:highlight w:val="none"/>
              </w:rPr>
            </w:pPr>
          </w:p>
        </w:tc>
      </w:tr>
      <w:tr w14:paraId="2200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9D37B0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0603D9E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服务周期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C8C48A">
            <w:pPr>
              <w:spacing w:line="36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CF2FDCF">
            <w:pPr>
              <w:spacing w:line="360" w:lineRule="auto"/>
              <w:rPr>
                <w:rFonts w:hint="eastAsia" w:ascii="宋体" w:hAnsi="宋体" w:eastAsia="宋体" w:cs="宋体"/>
                <w:color w:val="auto"/>
                <w:sz w:val="21"/>
                <w:szCs w:val="21"/>
                <w:highlight w:val="none"/>
              </w:rPr>
            </w:pPr>
          </w:p>
        </w:tc>
      </w:tr>
      <w:tr w14:paraId="4B16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B66B8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13130D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A7F539">
            <w:pPr>
              <w:spacing w:line="360" w:lineRule="auto"/>
              <w:ind w:left="207"/>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B99DF25">
            <w:pPr>
              <w:spacing w:line="360" w:lineRule="auto"/>
              <w:ind w:left="207"/>
              <w:jc w:val="center"/>
              <w:rPr>
                <w:rFonts w:hint="eastAsia" w:ascii="宋体" w:hAnsi="宋体" w:eastAsia="宋体" w:cs="宋体"/>
                <w:color w:val="auto"/>
                <w:sz w:val="21"/>
                <w:szCs w:val="21"/>
                <w:highlight w:val="none"/>
              </w:rPr>
            </w:pPr>
          </w:p>
        </w:tc>
      </w:tr>
      <w:tr w14:paraId="2002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5ED68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7A2793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16E18F">
            <w:pPr>
              <w:spacing w:line="360" w:lineRule="auto"/>
              <w:ind w:firstLine="2625" w:firstLineChars="1250"/>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1452455">
            <w:pPr>
              <w:spacing w:line="360" w:lineRule="auto"/>
              <w:ind w:firstLine="2625" w:firstLineChars="1250"/>
              <w:jc w:val="center"/>
              <w:rPr>
                <w:rFonts w:hint="eastAsia" w:ascii="宋体" w:hAnsi="宋体" w:eastAsia="宋体" w:cs="宋体"/>
                <w:color w:val="auto"/>
                <w:sz w:val="21"/>
                <w:szCs w:val="21"/>
                <w:highlight w:val="none"/>
              </w:rPr>
            </w:pPr>
          </w:p>
        </w:tc>
      </w:tr>
      <w:tr w14:paraId="344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A3D350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18" w:type="dxa"/>
            <w:tcBorders>
              <w:top w:val="single" w:color="auto" w:sz="4" w:space="0"/>
              <w:left w:val="single" w:color="auto" w:sz="4" w:space="0"/>
              <w:bottom w:val="single" w:color="auto" w:sz="4" w:space="0"/>
              <w:right w:val="single" w:color="auto" w:sz="4" w:space="0"/>
            </w:tcBorders>
            <w:noWrap w:val="0"/>
            <w:vAlign w:val="bottom"/>
          </w:tcPr>
          <w:p w14:paraId="6EF23D4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060738">
            <w:pPr>
              <w:spacing w:line="360" w:lineRule="auto"/>
              <w:ind w:firstLine="2625" w:firstLineChars="1250"/>
              <w:jc w:val="center"/>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5F2C24C">
            <w:pPr>
              <w:spacing w:line="360" w:lineRule="auto"/>
              <w:ind w:firstLine="2625" w:firstLineChars="1250"/>
              <w:jc w:val="center"/>
              <w:rPr>
                <w:rFonts w:hint="eastAsia" w:ascii="宋体" w:hAnsi="宋体" w:eastAsia="宋体" w:cs="宋体"/>
                <w:color w:val="auto"/>
                <w:sz w:val="21"/>
                <w:szCs w:val="21"/>
                <w:highlight w:val="none"/>
              </w:rPr>
            </w:pPr>
          </w:p>
        </w:tc>
      </w:tr>
    </w:tbl>
    <w:p w14:paraId="720E1079">
      <w:pPr>
        <w:spacing w:line="360" w:lineRule="auto"/>
        <w:rPr>
          <w:rFonts w:ascii="新宋体" w:hAnsi="新宋体" w:eastAsia="新宋体"/>
          <w:b/>
          <w:color w:val="auto"/>
          <w:highlight w:val="none"/>
        </w:rPr>
      </w:pPr>
    </w:p>
    <w:p w14:paraId="487FD640">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供应商名称（电子签章）：</w:t>
      </w:r>
    </w:p>
    <w:p w14:paraId="53B81500">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08968A79">
      <w:pPr>
        <w:spacing w:line="360" w:lineRule="auto"/>
        <w:ind w:firstLine="420" w:firstLineChars="200"/>
        <w:rPr>
          <w:rFonts w:ascii="新宋体" w:hAnsi="新宋体" w:eastAsia="新宋体"/>
          <w:color w:val="auto"/>
          <w:highlight w:val="none"/>
        </w:rPr>
        <w:sectPr>
          <w:pgSz w:w="11906" w:h="16838"/>
          <w:pgMar w:top="1440" w:right="1803" w:bottom="1440" w:left="1803" w:header="851" w:footer="992" w:gutter="0"/>
          <w:cols w:space="425" w:num="1"/>
          <w:docGrid w:type="lines" w:linePitch="312" w:charSpace="0"/>
        </w:sectPr>
      </w:pPr>
      <w:r>
        <w:rPr>
          <w:rFonts w:hint="eastAsia" w:ascii="新宋体" w:hAnsi="新宋体" w:eastAsia="新宋体"/>
          <w:color w:val="auto"/>
          <w:highlight w:val="none"/>
        </w:rPr>
        <w:t>日期：  年   月   日</w:t>
      </w:r>
    </w:p>
    <w:p w14:paraId="1F7B9DBA">
      <w:pPr>
        <w:pStyle w:val="4"/>
        <w:spacing w:before="156" w:after="156"/>
        <w:jc w:val="center"/>
        <w:rPr>
          <w:rFonts w:ascii="新宋体" w:hAnsi="新宋体" w:eastAsia="新宋体"/>
          <w:color w:val="auto"/>
          <w:highlight w:val="none"/>
        </w:rPr>
      </w:pPr>
      <w:bookmarkStart w:id="445" w:name="_Toc11915"/>
      <w:r>
        <w:rPr>
          <w:rFonts w:hint="eastAsia"/>
          <w:color w:val="auto"/>
          <w:kern w:val="0"/>
          <w:sz w:val="30"/>
          <w:szCs w:val="30"/>
          <w:highlight w:val="none"/>
        </w:rPr>
        <w:t>三、报价说明</w:t>
      </w:r>
      <w:bookmarkEnd w:id="445"/>
    </w:p>
    <w:p w14:paraId="0A1D458F">
      <w:pPr>
        <w:pStyle w:val="26"/>
        <w:ind w:firstLine="0" w:firstLineChars="0"/>
        <w:rPr>
          <w:color w:val="auto"/>
          <w:highlight w:val="none"/>
        </w:rPr>
      </w:pPr>
    </w:p>
    <w:p w14:paraId="25C37E77">
      <w:pPr>
        <w:pStyle w:val="26"/>
        <w:ind w:firstLine="0" w:firstLineChars="0"/>
        <w:rPr>
          <w:color w:val="auto"/>
          <w:highlight w:val="none"/>
        </w:rPr>
      </w:pPr>
    </w:p>
    <w:p w14:paraId="75F51344">
      <w:pPr>
        <w:pStyle w:val="26"/>
        <w:ind w:firstLine="0" w:firstLineChars="0"/>
        <w:rPr>
          <w:color w:val="auto"/>
          <w:highlight w:val="none"/>
        </w:rPr>
      </w:pPr>
    </w:p>
    <w:p w14:paraId="7EA8605D">
      <w:pPr>
        <w:pStyle w:val="26"/>
        <w:ind w:firstLine="0" w:firstLineChars="0"/>
        <w:rPr>
          <w:color w:val="auto"/>
          <w:highlight w:val="none"/>
        </w:rPr>
      </w:pPr>
    </w:p>
    <w:p w14:paraId="1A11F0BA">
      <w:pPr>
        <w:spacing w:line="360" w:lineRule="auto"/>
        <w:ind w:firstLine="420" w:firstLineChars="200"/>
        <w:jc w:val="left"/>
        <w:rPr>
          <w:rFonts w:ascii="宋体" w:hAnsi="宋体"/>
          <w:color w:val="auto"/>
          <w:highlight w:val="none"/>
        </w:rPr>
      </w:pPr>
      <w:bookmarkStart w:id="446" w:name="_Toc132535912"/>
      <w:bookmarkStart w:id="447" w:name="_Toc111370474"/>
      <w:bookmarkStart w:id="448" w:name="_Toc111370256"/>
      <w:bookmarkStart w:id="449" w:name="_Toc111370038"/>
      <w:bookmarkStart w:id="450" w:name="_Toc111369910"/>
      <w:r>
        <w:rPr>
          <w:rFonts w:hint="eastAsia" w:ascii="宋体" w:hAnsi="宋体"/>
          <w:color w:val="auto"/>
          <w:highlight w:val="none"/>
        </w:rPr>
        <w:t>1、响应文件报价均以人民币报价。</w:t>
      </w:r>
      <w:bookmarkEnd w:id="446"/>
      <w:bookmarkEnd w:id="447"/>
      <w:bookmarkEnd w:id="448"/>
      <w:bookmarkEnd w:id="449"/>
      <w:bookmarkEnd w:id="450"/>
    </w:p>
    <w:p w14:paraId="1A0539D7">
      <w:pPr>
        <w:spacing w:line="360" w:lineRule="auto"/>
        <w:ind w:firstLine="420" w:firstLineChars="200"/>
        <w:jc w:val="left"/>
        <w:rPr>
          <w:rFonts w:ascii="宋体" w:hAnsi="宋体"/>
          <w:color w:val="auto"/>
          <w:highlight w:val="none"/>
        </w:rPr>
      </w:pPr>
      <w:r>
        <w:rPr>
          <w:rFonts w:hint="eastAsia" w:ascii="宋体" w:hAnsi="宋体"/>
          <w:color w:val="auto"/>
          <w:highlight w:val="none"/>
        </w:rPr>
        <w:t>2、供应商自行编写，格式自拟</w:t>
      </w:r>
    </w:p>
    <w:p w14:paraId="4A99E1D4">
      <w:pPr>
        <w:autoSpaceDE w:val="0"/>
        <w:autoSpaceDN w:val="0"/>
        <w:adjustRightInd w:val="0"/>
        <w:snapToGrid w:val="0"/>
        <w:spacing w:line="440" w:lineRule="atLeast"/>
        <w:ind w:firstLine="420"/>
        <w:textAlignment w:val="bottom"/>
        <w:rPr>
          <w:rFonts w:ascii="宋体" w:hAnsi="宋体"/>
          <w:b/>
          <w:color w:val="auto"/>
          <w:sz w:val="24"/>
          <w:highlight w:val="none"/>
        </w:rPr>
      </w:pPr>
    </w:p>
    <w:p w14:paraId="22E21BF9">
      <w:pPr>
        <w:pStyle w:val="7"/>
        <w:rPr>
          <w:rFonts w:hAnsi="宋体"/>
          <w:b/>
          <w:color w:val="auto"/>
          <w:sz w:val="24"/>
          <w:highlight w:val="none"/>
        </w:rPr>
      </w:pPr>
    </w:p>
    <w:p w14:paraId="309087B6">
      <w:pPr>
        <w:pStyle w:val="7"/>
        <w:rPr>
          <w:rFonts w:hAnsi="宋体"/>
          <w:b/>
          <w:color w:val="auto"/>
          <w:sz w:val="24"/>
          <w:highlight w:val="none"/>
        </w:rPr>
      </w:pPr>
    </w:p>
    <w:p w14:paraId="138E9F29">
      <w:pPr>
        <w:autoSpaceDE w:val="0"/>
        <w:autoSpaceDN w:val="0"/>
        <w:adjustRightInd w:val="0"/>
        <w:snapToGrid w:val="0"/>
        <w:spacing w:line="440" w:lineRule="atLeast"/>
        <w:ind w:firstLine="420"/>
        <w:textAlignment w:val="bottom"/>
        <w:rPr>
          <w:rFonts w:ascii="宋体" w:hAnsi="宋体"/>
          <w:b/>
          <w:color w:val="auto"/>
          <w:sz w:val="24"/>
          <w:highlight w:val="none"/>
        </w:rPr>
      </w:pPr>
    </w:p>
    <w:p w14:paraId="72926012">
      <w:pPr>
        <w:spacing w:line="360" w:lineRule="auto"/>
        <w:ind w:firstLine="420" w:firstLineChars="200"/>
        <w:rPr>
          <w:color w:val="auto"/>
          <w:highlight w:val="none"/>
        </w:rPr>
      </w:pPr>
      <w:r>
        <w:rPr>
          <w:rFonts w:hint="eastAsia" w:ascii="新宋体" w:hAnsi="新宋体" w:eastAsia="新宋体"/>
          <w:color w:val="auto"/>
          <w:highlight w:val="none"/>
        </w:rPr>
        <w:t>供应商名称（电子签章）：</w:t>
      </w:r>
    </w:p>
    <w:p w14:paraId="4ABEBED7">
      <w:pPr>
        <w:spacing w:line="360" w:lineRule="auto"/>
        <w:ind w:firstLine="420" w:firstLineChars="200"/>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46F5CA42">
      <w:pPr>
        <w:pStyle w:val="26"/>
        <w:ind w:firstLine="420"/>
        <w:rPr>
          <w:rFonts w:asciiTheme="minorEastAsia" w:hAnsiTheme="minorEastAsia" w:eastAsiaTheme="minorEastAsia"/>
          <w:color w:val="auto"/>
          <w:sz w:val="21"/>
          <w:szCs w:val="21"/>
          <w:highlight w:val="none"/>
        </w:rPr>
        <w:sectPr>
          <w:pgSz w:w="11906" w:h="16838"/>
          <w:pgMar w:top="1440" w:right="1803" w:bottom="1440" w:left="1803" w:header="851" w:footer="992" w:gutter="0"/>
          <w:cols w:space="425" w:num="1"/>
          <w:docGrid w:type="lines" w:linePitch="312" w:charSpace="0"/>
        </w:sectPr>
      </w:pPr>
      <w:r>
        <w:rPr>
          <w:rFonts w:hint="eastAsia" w:asciiTheme="minorEastAsia" w:hAnsiTheme="minorEastAsia" w:eastAsiaTheme="minorEastAsia"/>
          <w:color w:val="auto"/>
          <w:sz w:val="21"/>
          <w:szCs w:val="21"/>
          <w:highlight w:val="none"/>
        </w:rPr>
        <w:t>日期：  年   月   日</w:t>
      </w:r>
    </w:p>
    <w:bookmarkEnd w:id="433"/>
    <w:bookmarkEnd w:id="434"/>
    <w:p w14:paraId="772551D6">
      <w:pPr>
        <w:pStyle w:val="4"/>
        <w:spacing w:before="156" w:after="156"/>
        <w:jc w:val="center"/>
        <w:rPr>
          <w:rFonts w:ascii="新宋体" w:hAnsi="新宋体" w:eastAsia="新宋体"/>
          <w:color w:val="auto"/>
          <w:highlight w:val="none"/>
        </w:rPr>
      </w:pPr>
      <w:bookmarkStart w:id="451" w:name="_Toc28878"/>
      <w:bookmarkStart w:id="452" w:name="_Toc10526"/>
      <w:bookmarkStart w:id="453" w:name="_Toc530392268"/>
      <w:bookmarkStart w:id="454" w:name="_Toc517646399"/>
      <w:bookmarkStart w:id="455" w:name="_Toc20255409"/>
      <w:bookmarkStart w:id="456" w:name="_Toc527481946"/>
      <w:r>
        <w:rPr>
          <w:rFonts w:hint="eastAsia"/>
          <w:color w:val="auto"/>
          <w:kern w:val="0"/>
          <w:sz w:val="30"/>
          <w:szCs w:val="30"/>
          <w:highlight w:val="none"/>
          <w:lang w:val="en-US" w:eastAsia="zh-CN"/>
        </w:rPr>
        <w:t>四</w:t>
      </w:r>
      <w:r>
        <w:rPr>
          <w:rFonts w:hint="eastAsia"/>
          <w:color w:val="auto"/>
          <w:kern w:val="0"/>
          <w:sz w:val="30"/>
          <w:szCs w:val="30"/>
          <w:highlight w:val="none"/>
        </w:rPr>
        <w:t>、</w:t>
      </w:r>
      <w:bookmarkStart w:id="457" w:name="_Toc29239"/>
      <w:bookmarkStart w:id="458" w:name="_Toc17893"/>
      <w:r>
        <w:rPr>
          <w:rFonts w:hint="eastAsia" w:ascii="新宋体" w:hAnsi="新宋体" w:eastAsia="新宋体"/>
          <w:color w:val="auto"/>
          <w:highlight w:val="none"/>
        </w:rPr>
        <w:t>磋商函</w:t>
      </w:r>
      <w:bookmarkEnd w:id="451"/>
      <w:bookmarkEnd w:id="457"/>
      <w:bookmarkEnd w:id="458"/>
    </w:p>
    <w:p w14:paraId="0E5BBA73">
      <w:pPr>
        <w:spacing w:line="360" w:lineRule="auto"/>
        <w:rPr>
          <w:rFonts w:ascii="宋体" w:hAnsi="宋体" w:cs="宋体"/>
          <w:b/>
          <w:color w:val="auto"/>
          <w:highlight w:val="none"/>
        </w:rPr>
      </w:pPr>
      <w:r>
        <w:rPr>
          <w:rFonts w:hint="eastAsia" w:ascii="宋体" w:hAnsi="宋体" w:cs="宋体"/>
          <w:b/>
          <w:color w:val="auto"/>
          <w:highlight w:val="none"/>
        </w:rPr>
        <w:t>致</w:t>
      </w:r>
      <w:r>
        <w:rPr>
          <w:rFonts w:hint="eastAsia" w:ascii="宋体" w:hAnsi="宋体" w:cs="宋体"/>
          <w:b/>
          <w:color w:val="auto"/>
          <w:highlight w:val="none"/>
          <w:u w:val="single"/>
        </w:rPr>
        <w:t xml:space="preserve">        （采购人）             </w:t>
      </w:r>
      <w:r>
        <w:rPr>
          <w:rFonts w:hint="eastAsia" w:ascii="宋体" w:hAnsi="宋体" w:cs="宋体"/>
          <w:b/>
          <w:color w:val="auto"/>
          <w:highlight w:val="none"/>
        </w:rPr>
        <w:t>：</w:t>
      </w:r>
    </w:p>
    <w:p w14:paraId="2C88B3FA">
      <w:pPr>
        <w:spacing w:line="360" w:lineRule="auto"/>
        <w:ind w:firstLine="490"/>
        <w:rPr>
          <w:rFonts w:ascii="宋体" w:hAnsi="宋体" w:cs="宋体"/>
          <w:color w:val="auto"/>
          <w:highlight w:val="none"/>
        </w:rPr>
      </w:pPr>
      <w:r>
        <w:rPr>
          <w:rFonts w:hint="eastAsia" w:ascii="宋体" w:hAnsi="宋体" w:cs="宋体"/>
          <w:color w:val="auto"/>
          <w:highlight w:val="none"/>
        </w:rPr>
        <w:t>1、根据你方项目编号为</w:t>
      </w:r>
      <w:r>
        <w:rPr>
          <w:rFonts w:hint="eastAsia" w:ascii="宋体" w:hAnsi="宋体" w:cs="宋体"/>
          <w:color w:val="auto"/>
          <w:highlight w:val="none"/>
          <w:u w:val="single"/>
        </w:rPr>
        <w:t xml:space="preserve">  {项目编号}  </w:t>
      </w:r>
      <w:r>
        <w:rPr>
          <w:rFonts w:hint="eastAsia" w:ascii="宋体" w:hAnsi="宋体" w:cs="宋体"/>
          <w:color w:val="auto"/>
          <w:highlight w:val="none"/>
        </w:rPr>
        <w:t>的</w:t>
      </w:r>
      <w:r>
        <w:rPr>
          <w:rFonts w:hint="eastAsia" w:ascii="宋体" w:hAnsi="宋体" w:cs="宋体"/>
          <w:color w:val="auto"/>
          <w:highlight w:val="none"/>
          <w:u w:val="single"/>
        </w:rPr>
        <w:t xml:space="preserve">  {项目名称}  </w:t>
      </w:r>
      <w:r>
        <w:rPr>
          <w:rFonts w:hint="eastAsia" w:ascii="宋体" w:hAnsi="宋体" w:cs="宋体"/>
          <w:color w:val="auto"/>
          <w:highlight w:val="none"/>
        </w:rPr>
        <w:t>竞争性磋商文件，遵照相关法律法规等有关规定，经踏勘项目现场和研究上述竞争性磋商文件的须知、编制要求及其他有关文件资料后，我方愿以竞争性磋商最终报价为我方的磋商报价，并按磋商文件的规定、合同条款的要求和我方响应文件的承诺履行合同责任和义务，保证按合同约定完成本项目工作。</w:t>
      </w:r>
    </w:p>
    <w:p w14:paraId="27660F56">
      <w:pPr>
        <w:spacing w:line="360" w:lineRule="auto"/>
        <w:ind w:firstLine="490"/>
        <w:rPr>
          <w:rFonts w:ascii="宋体" w:hAnsi="宋体" w:cs="宋体"/>
          <w:color w:val="auto"/>
          <w:highlight w:val="none"/>
        </w:rPr>
      </w:pPr>
      <w:r>
        <w:rPr>
          <w:rFonts w:hint="eastAsia" w:ascii="宋体" w:hAnsi="宋体" w:cs="宋体"/>
          <w:color w:val="auto"/>
          <w:highlight w:val="none"/>
        </w:rPr>
        <w:t>2、我方承诺我们的磋商报价不低于我们自身的成本。</w:t>
      </w:r>
    </w:p>
    <w:p w14:paraId="0D5569ED">
      <w:pPr>
        <w:spacing w:line="360" w:lineRule="auto"/>
        <w:ind w:firstLine="490"/>
        <w:rPr>
          <w:rFonts w:ascii="宋体" w:hAnsi="宋体" w:cs="宋体"/>
          <w:color w:val="auto"/>
          <w:highlight w:val="none"/>
        </w:rPr>
      </w:pPr>
      <w:r>
        <w:rPr>
          <w:rFonts w:hint="eastAsia" w:ascii="宋体" w:hAnsi="宋体" w:cs="宋体"/>
          <w:color w:val="auto"/>
          <w:highlight w:val="none"/>
        </w:rPr>
        <w:t>3、我方已详细审核全部竞争性磋商文件，包括修改文件（如有时）及有关附件。</w:t>
      </w:r>
    </w:p>
    <w:p w14:paraId="46F96E49">
      <w:pPr>
        <w:spacing w:line="360" w:lineRule="auto"/>
        <w:ind w:firstLine="490"/>
        <w:rPr>
          <w:rFonts w:ascii="宋体" w:hAnsi="宋体" w:cs="宋体"/>
          <w:color w:val="auto"/>
          <w:highlight w:val="none"/>
        </w:rPr>
      </w:pPr>
      <w:r>
        <w:rPr>
          <w:rFonts w:hint="eastAsia" w:ascii="宋体" w:hAnsi="宋体" w:cs="宋体"/>
          <w:color w:val="auto"/>
          <w:highlight w:val="none"/>
        </w:rPr>
        <w:t>4、一旦我方成为成交人，我方将按照行业标准以及科学、规范、严格的工作程序，从项目开始实施、</w:t>
      </w:r>
      <w:r>
        <w:rPr>
          <w:rFonts w:hint="eastAsia" w:ascii="宋体" w:hAnsi="宋体" w:cs="宋体"/>
          <w:bCs/>
          <w:color w:val="auto"/>
          <w:highlight w:val="none"/>
        </w:rPr>
        <w:t>至项目验收移交及审计完成</w:t>
      </w:r>
      <w:r>
        <w:rPr>
          <w:rFonts w:hint="eastAsia" w:ascii="宋体" w:hAnsi="宋体" w:cs="宋体"/>
          <w:color w:val="auto"/>
          <w:highlight w:val="none"/>
        </w:rPr>
        <w:t>。</w:t>
      </w:r>
    </w:p>
    <w:p w14:paraId="4873A8EE">
      <w:pPr>
        <w:spacing w:line="360" w:lineRule="auto"/>
        <w:ind w:firstLine="490"/>
        <w:rPr>
          <w:rFonts w:ascii="宋体" w:hAnsi="宋体" w:cs="宋体"/>
          <w:color w:val="auto"/>
          <w:highlight w:val="none"/>
        </w:rPr>
      </w:pPr>
      <w:r>
        <w:rPr>
          <w:rFonts w:hint="eastAsia" w:ascii="宋体" w:hAnsi="宋体" w:cs="宋体"/>
          <w:color w:val="auto"/>
          <w:highlight w:val="none"/>
        </w:rPr>
        <w:t>5、除非另外达成协议并生效，你方的中标通知书和本磋商响应文件将成为约束双方的合同文件的组成部分。</w:t>
      </w:r>
    </w:p>
    <w:p w14:paraId="43B6F2CD">
      <w:pPr>
        <w:spacing w:line="360" w:lineRule="auto"/>
        <w:ind w:firstLine="490"/>
        <w:rPr>
          <w:rFonts w:ascii="宋体" w:hAnsi="宋体" w:cs="宋体"/>
          <w:color w:val="auto"/>
          <w:highlight w:val="none"/>
        </w:rPr>
      </w:pPr>
      <w:r>
        <w:rPr>
          <w:rFonts w:hint="eastAsia" w:ascii="宋体" w:hAnsi="宋体" w:cs="宋体"/>
          <w:color w:val="auto"/>
          <w:highlight w:val="none"/>
        </w:rPr>
        <w:t>6、本磋商申请书自贵方收到之日生效，有效期至开标后90日，在此期间本磋商申请书之规定对我方具有约束力；</w:t>
      </w:r>
    </w:p>
    <w:p w14:paraId="2EE2070B">
      <w:pPr>
        <w:spacing w:line="360" w:lineRule="auto"/>
        <w:ind w:firstLine="490"/>
        <w:rPr>
          <w:rFonts w:ascii="宋体" w:hAnsi="宋体"/>
          <w:color w:val="auto"/>
          <w:highlight w:val="none"/>
        </w:rPr>
      </w:pPr>
      <w:r>
        <w:rPr>
          <w:rFonts w:hint="eastAsia" w:ascii="宋体" w:hAnsi="宋体" w:cs="宋体"/>
          <w:color w:val="auto"/>
          <w:highlight w:val="none"/>
        </w:rPr>
        <w:t>7、如果我方磋商申请被接受，则至合同履行完成和质量保证期满为止，本磋商申请书保持有效。</w:t>
      </w:r>
    </w:p>
    <w:p w14:paraId="7FC0B4A0">
      <w:pPr>
        <w:spacing w:line="360" w:lineRule="auto"/>
        <w:rPr>
          <w:rFonts w:ascii="宋体" w:hAnsi="宋体" w:cs="宋体"/>
          <w:color w:val="auto"/>
          <w:highlight w:val="none"/>
        </w:rPr>
      </w:pPr>
    </w:p>
    <w:p w14:paraId="0462A25F">
      <w:pPr>
        <w:spacing w:line="360" w:lineRule="auto"/>
        <w:rPr>
          <w:rFonts w:ascii="宋体" w:hAnsi="宋体" w:cs="宋体"/>
          <w:color w:val="auto"/>
          <w:highlight w:val="none"/>
        </w:rPr>
      </w:pPr>
    </w:p>
    <w:p w14:paraId="71814D84">
      <w:pPr>
        <w:spacing w:line="360" w:lineRule="auto"/>
        <w:ind w:firstLine="840" w:firstLineChars="400"/>
        <w:rPr>
          <w:rFonts w:ascii="宋体" w:hAnsi="宋体" w:cs="宋体"/>
          <w:color w:val="auto"/>
          <w:highlight w:val="none"/>
          <w:u w:val="single"/>
        </w:rPr>
      </w:pPr>
      <w:r>
        <w:rPr>
          <w:rFonts w:hint="eastAsia" w:ascii="宋体" w:hAnsi="宋体" w:cs="宋体"/>
          <w:color w:val="auto"/>
          <w:highlight w:val="none"/>
        </w:rPr>
        <w:t>供应商名称：</w:t>
      </w:r>
      <w:r>
        <w:rPr>
          <w:rFonts w:hint="eastAsia" w:ascii="宋体" w:hAnsi="宋体" w:cs="宋体"/>
          <w:color w:val="auto"/>
          <w:highlight w:val="none"/>
          <w:u w:val="single"/>
        </w:rPr>
        <w:t xml:space="preserve">（电子签章）   </w:t>
      </w:r>
    </w:p>
    <w:p w14:paraId="10D65ADD">
      <w:pPr>
        <w:spacing w:line="360" w:lineRule="auto"/>
        <w:ind w:leftChars="-47" w:hanging="98" w:hangingChars="47"/>
        <w:rPr>
          <w:rFonts w:ascii="宋体" w:hAnsi="宋体" w:cs="宋体"/>
          <w:color w:val="auto"/>
          <w:highlight w:val="none"/>
          <w:u w:val="single"/>
        </w:rPr>
      </w:pPr>
      <w:r>
        <w:rPr>
          <w:rFonts w:hint="eastAsia" w:ascii="宋体" w:hAnsi="宋体" w:cs="宋体"/>
          <w:color w:val="auto"/>
          <w:highlight w:val="none"/>
        </w:rPr>
        <w:t xml:space="preserve">         单位地址：</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0A755589">
      <w:pPr>
        <w:spacing w:line="360" w:lineRule="auto"/>
        <w:ind w:firstLine="840" w:firstLineChars="400"/>
        <w:rPr>
          <w:rFonts w:ascii="宋体" w:hAnsi="宋体" w:cs="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宋体" w:hAnsi="宋体" w:cs="宋体"/>
          <w:color w:val="auto"/>
          <w:highlight w:val="none"/>
        </w:rPr>
        <w:t>：</w:t>
      </w:r>
      <w:r>
        <w:rPr>
          <w:rFonts w:hint="eastAsia" w:ascii="宋体" w:hAnsi="宋体" w:cs="宋体"/>
          <w:color w:val="auto"/>
          <w:highlight w:val="none"/>
          <w:u w:val="single"/>
        </w:rPr>
        <w:t>（电子签章）</w:t>
      </w:r>
    </w:p>
    <w:p w14:paraId="3C2BD640">
      <w:pPr>
        <w:spacing w:line="360" w:lineRule="auto"/>
        <w:ind w:leftChars="-47" w:hanging="98" w:hangingChars="47"/>
        <w:rPr>
          <w:rFonts w:ascii="宋体" w:hAnsi="宋体" w:cs="宋体"/>
          <w:color w:val="auto"/>
          <w:highlight w:val="none"/>
        </w:rPr>
      </w:pPr>
      <w:r>
        <w:rPr>
          <w:rFonts w:hint="eastAsia" w:ascii="宋体" w:hAnsi="宋体" w:cs="宋体"/>
          <w:color w:val="auto"/>
          <w:highlight w:val="none"/>
        </w:rPr>
        <w:t xml:space="preserve">         联系电话：</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rPr>
        <w:t xml:space="preserve"> </w:t>
      </w:r>
    </w:p>
    <w:p w14:paraId="2B390D7E">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开户银行名称：</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021DC3A0">
      <w:pPr>
        <w:spacing w:line="360" w:lineRule="auto"/>
        <w:ind w:firstLine="840" w:firstLineChars="400"/>
        <w:rPr>
          <w:rFonts w:ascii="宋体" w:hAnsi="宋体" w:cs="宋体"/>
          <w:color w:val="auto"/>
          <w:highlight w:val="none"/>
          <w:u w:val="single"/>
        </w:rPr>
        <w:sectPr>
          <w:pgSz w:w="11906" w:h="16838"/>
          <w:pgMar w:top="1440" w:right="1803" w:bottom="1440" w:left="1803" w:header="851" w:footer="992" w:gutter="0"/>
          <w:cols w:space="425" w:num="1"/>
          <w:docGrid w:type="lines" w:linePitch="312" w:charSpace="0"/>
        </w:sectPr>
      </w:pPr>
      <w:r>
        <w:rPr>
          <w:rFonts w:hint="eastAsia" w:ascii="宋体" w:hAnsi="宋体" w:cs="宋体"/>
          <w:color w:val="auto"/>
          <w:highlight w:val="none"/>
        </w:rPr>
        <w:t>开户银行账号：</w:t>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r>
        <w:rPr>
          <w:rFonts w:hint="eastAsia" w:ascii="宋体" w:hAnsi="宋体" w:cs="宋体"/>
          <w:color w:val="auto"/>
          <w:highlight w:val="none"/>
          <w:u w:val="single"/>
        </w:rPr>
        <w:tab/>
      </w:r>
    </w:p>
    <w:p w14:paraId="77CE9807">
      <w:pPr>
        <w:pStyle w:val="4"/>
        <w:spacing w:before="156" w:after="156"/>
        <w:jc w:val="center"/>
        <w:rPr>
          <w:rFonts w:ascii="新宋体" w:hAnsi="新宋体" w:eastAsia="新宋体"/>
          <w:color w:val="auto"/>
          <w:highlight w:val="none"/>
        </w:rPr>
      </w:pPr>
      <w:bookmarkStart w:id="459" w:name="_Toc1282"/>
      <w:r>
        <w:rPr>
          <w:rFonts w:hint="eastAsia" w:ascii="新宋体" w:hAnsi="新宋体" w:eastAsia="新宋体"/>
          <w:color w:val="auto"/>
          <w:highlight w:val="none"/>
        </w:rPr>
        <w:t>五、</w:t>
      </w:r>
      <w:r>
        <w:rPr>
          <w:rFonts w:hint="eastAsia" w:ascii="新宋体" w:hAnsi="新宋体" w:eastAsia="新宋体"/>
          <w:color w:val="auto"/>
          <w:highlight w:val="none"/>
          <w:lang w:val="en-US" w:eastAsia="zh-CN"/>
        </w:rPr>
        <w:t>磋商</w:t>
      </w:r>
      <w:r>
        <w:rPr>
          <w:rFonts w:hint="eastAsia" w:ascii="新宋体" w:hAnsi="新宋体" w:eastAsia="新宋体"/>
          <w:color w:val="auto"/>
          <w:highlight w:val="none"/>
        </w:rPr>
        <w:t>保证金诚信承诺书</w:t>
      </w:r>
      <w:bookmarkEnd w:id="459"/>
    </w:p>
    <w:p w14:paraId="68269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人名称：</w:t>
      </w:r>
      <w:r>
        <w:rPr>
          <w:rFonts w:hint="eastAsia" w:ascii="宋体" w:hAnsi="宋体" w:cs="宋体"/>
          <w:color w:val="auto"/>
          <w:sz w:val="21"/>
          <w:szCs w:val="21"/>
          <w:highlight w:val="none"/>
          <w:u w:val="single"/>
        </w:rPr>
        <w:t xml:space="preserve">                     </w:t>
      </w:r>
    </w:p>
    <w:p w14:paraId="48693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我公司非常荣幸参与贵单位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项目名称的招标投标活动，该项目取消</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保证金切实降低了我公司资金压力、减少了交易成本，鉴于此情况，我公司做出诚信承诺如下：</w:t>
      </w:r>
    </w:p>
    <w:p w14:paraId="1C684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一、如若我公司在参与本项目招投标活动过程中出现弄虚作假、围标、串标等违法违规行为，自愿接受项目招标人、行政监督单位的不良行为记录、行政处罚。</w:t>
      </w:r>
    </w:p>
    <w:p w14:paraId="3298F40C">
      <w:pPr>
        <w:spacing w:line="360" w:lineRule="auto"/>
        <w:ind w:firstLine="279" w:firstLineChars="133"/>
        <w:jc w:val="left"/>
        <w:rPr>
          <w:rFonts w:ascii="新宋体" w:hAnsi="新宋体" w:eastAsia="新宋体"/>
          <w:color w:val="auto"/>
          <w:highlight w:val="none"/>
        </w:rPr>
      </w:pPr>
      <w:r>
        <w:rPr>
          <w:rFonts w:hint="eastAsia" w:ascii="宋体" w:hAnsi="宋体" w:cs="宋体"/>
          <w:color w:val="auto"/>
          <w:sz w:val="21"/>
          <w:szCs w:val="21"/>
          <w:highlight w:val="none"/>
        </w:rPr>
        <w:t>二、如我公司中标，出现无故放弃中标资格、不按期缴纳提供履约保证金或保函（如有）、不按照招标文件及投标文件内容签订合同等情况，视为我公司未按诚信履约，自愿接受行业管理部门对我公司信用评价认定及其他相关法律责任。</w:t>
      </w:r>
    </w:p>
    <w:p w14:paraId="6E63A42D">
      <w:pPr>
        <w:spacing w:line="360" w:lineRule="auto"/>
        <w:ind w:firstLine="279" w:firstLineChars="133"/>
        <w:rPr>
          <w:rFonts w:ascii="新宋体" w:hAnsi="新宋体" w:eastAsia="新宋体"/>
          <w:color w:val="auto"/>
          <w:highlight w:val="none"/>
        </w:rPr>
      </w:pPr>
    </w:p>
    <w:p w14:paraId="50AF0340">
      <w:pPr>
        <w:spacing w:line="360" w:lineRule="auto"/>
        <w:ind w:firstLine="279" w:firstLineChars="133"/>
        <w:rPr>
          <w:rFonts w:ascii="新宋体" w:hAnsi="新宋体" w:eastAsia="新宋体"/>
          <w:color w:val="auto"/>
          <w:highlight w:val="none"/>
        </w:rPr>
      </w:pPr>
    </w:p>
    <w:p w14:paraId="0B031B7A">
      <w:pPr>
        <w:spacing w:line="360" w:lineRule="auto"/>
        <w:ind w:firstLine="279" w:firstLineChars="133"/>
        <w:rPr>
          <w:rFonts w:ascii="新宋体" w:hAnsi="新宋体" w:eastAsia="新宋体"/>
          <w:color w:val="auto"/>
          <w:highlight w:val="none"/>
        </w:rPr>
      </w:pPr>
    </w:p>
    <w:p w14:paraId="193760F2">
      <w:pPr>
        <w:spacing w:line="360" w:lineRule="auto"/>
        <w:ind w:firstLine="420" w:firstLineChars="200"/>
        <w:rPr>
          <w:color w:val="auto"/>
          <w:highlight w:val="none"/>
        </w:rPr>
      </w:pPr>
      <w:r>
        <w:rPr>
          <w:rFonts w:hint="eastAsia" w:ascii="新宋体" w:hAnsi="新宋体" w:eastAsia="新宋体"/>
          <w:color w:val="auto"/>
          <w:highlight w:val="none"/>
        </w:rPr>
        <w:t>供应商名称（电子签章）：</w:t>
      </w:r>
    </w:p>
    <w:p w14:paraId="43DC4734">
      <w:pPr>
        <w:spacing w:line="360" w:lineRule="auto"/>
        <w:ind w:firstLine="420" w:firstLineChars="200"/>
        <w:rPr>
          <w:rFonts w:ascii="新宋体" w:hAnsi="新宋体" w:eastAsia="新宋体"/>
          <w:color w:val="auto"/>
          <w:highlight w:val="none"/>
          <w:u w:val="single"/>
        </w:rPr>
      </w:pPr>
      <w:r>
        <w:rPr>
          <w:rFonts w:hint="eastAsia" w:ascii="新宋体" w:hAnsi="新宋体" w:eastAsia="新宋体"/>
          <w:color w:val="auto"/>
          <w:highlight w:val="none"/>
        </w:rPr>
        <w:t>法定代表人</w:t>
      </w:r>
      <w:r>
        <w:rPr>
          <w:rFonts w:hint="eastAsia" w:ascii="新宋体" w:hAnsi="新宋体" w:eastAsia="新宋体"/>
          <w:color w:val="auto"/>
          <w:highlight w:val="none"/>
          <w:lang w:val="en-US" w:eastAsia="zh-CN"/>
        </w:rPr>
        <w:t>或授权委托人</w:t>
      </w:r>
      <w:r>
        <w:rPr>
          <w:rFonts w:hint="eastAsia" w:ascii="新宋体" w:hAnsi="新宋体" w:eastAsia="新宋体"/>
          <w:color w:val="auto"/>
          <w:highlight w:val="none"/>
        </w:rPr>
        <w:t>（电子签章）：</w:t>
      </w:r>
    </w:p>
    <w:p w14:paraId="38F36778">
      <w:pPr>
        <w:spacing w:line="360" w:lineRule="auto"/>
        <w:ind w:firstLine="420" w:firstLineChars="200"/>
        <w:rPr>
          <w:rFonts w:ascii="新宋体" w:hAnsi="新宋体" w:eastAsia="新宋体"/>
          <w:color w:val="auto"/>
          <w:highlight w:val="none"/>
        </w:rPr>
      </w:pPr>
      <w:r>
        <w:rPr>
          <w:rFonts w:hint="eastAsia" w:ascii="新宋体" w:hAnsi="新宋体" w:eastAsia="新宋体"/>
          <w:color w:val="auto"/>
          <w:highlight w:val="none"/>
        </w:rPr>
        <w:t>日期：  年   月    日</w:t>
      </w:r>
    </w:p>
    <w:p w14:paraId="55F5944F">
      <w:pPr>
        <w:pStyle w:val="4"/>
        <w:spacing w:before="156" w:after="156"/>
        <w:jc w:val="center"/>
        <w:rPr>
          <w:color w:val="auto"/>
          <w:kern w:val="0"/>
          <w:sz w:val="30"/>
          <w:szCs w:val="30"/>
          <w:highlight w:val="none"/>
        </w:rPr>
        <w:sectPr>
          <w:pgSz w:w="11906" w:h="16838"/>
          <w:pgMar w:top="1440" w:right="1803" w:bottom="1440" w:left="1803" w:header="851" w:footer="992" w:gutter="0"/>
          <w:cols w:space="425" w:num="1"/>
          <w:docGrid w:type="lines" w:linePitch="312" w:charSpace="0"/>
        </w:sectPr>
      </w:pPr>
    </w:p>
    <w:p w14:paraId="337630F6">
      <w:pPr>
        <w:pStyle w:val="4"/>
        <w:spacing w:before="156" w:after="156"/>
        <w:jc w:val="center"/>
        <w:rPr>
          <w:color w:val="auto"/>
          <w:kern w:val="0"/>
          <w:sz w:val="30"/>
          <w:szCs w:val="30"/>
          <w:highlight w:val="none"/>
        </w:rPr>
      </w:pPr>
      <w:bookmarkStart w:id="460" w:name="_Toc4639"/>
      <w:r>
        <w:rPr>
          <w:rFonts w:hint="eastAsia"/>
          <w:color w:val="auto"/>
          <w:kern w:val="0"/>
          <w:sz w:val="30"/>
          <w:szCs w:val="30"/>
          <w:highlight w:val="none"/>
        </w:rPr>
        <w:t>六、廉洁承诺书</w:t>
      </w:r>
      <w:bookmarkEnd w:id="460"/>
    </w:p>
    <w:p w14:paraId="617D52E7">
      <w:pPr>
        <w:rPr>
          <w:color w:val="auto"/>
          <w:highlight w:val="none"/>
        </w:rPr>
      </w:pPr>
    </w:p>
    <w:p w14:paraId="2623B330">
      <w:pPr>
        <w:spacing w:line="360" w:lineRule="auto"/>
        <w:ind w:firstLine="480"/>
        <w:rPr>
          <w:rFonts w:ascii="宋体" w:hAnsi="宋体" w:cs="宋体"/>
          <w:color w:val="auto"/>
          <w:highlight w:val="none"/>
        </w:rPr>
      </w:pPr>
      <w:r>
        <w:rPr>
          <w:rFonts w:hint="eastAsia" w:ascii="宋体" w:hAnsi="宋体" w:cs="宋体"/>
          <w:color w:val="auto"/>
          <w:highlight w:val="none"/>
        </w:rPr>
        <w:t>本企业参与</w:t>
      </w:r>
      <w:r>
        <w:rPr>
          <w:rFonts w:hint="eastAsia" w:ascii="宋体" w:hAnsi="宋体" w:cs="宋体"/>
          <w:color w:val="auto"/>
          <w:highlight w:val="none"/>
          <w:u w:val="single"/>
        </w:rPr>
        <w:t xml:space="preserve">   （项目名称）</w:t>
      </w:r>
      <w:r>
        <w:rPr>
          <w:rFonts w:hint="eastAsia" w:ascii="宋体" w:hAnsi="宋体" w:cs="宋体"/>
          <w:color w:val="auto"/>
          <w:highlight w:val="none"/>
        </w:rPr>
        <w:t>的供应商，现作如下承诺：</w:t>
      </w:r>
    </w:p>
    <w:p w14:paraId="1F5140DC">
      <w:pPr>
        <w:spacing w:line="360" w:lineRule="auto"/>
        <w:ind w:firstLine="480"/>
        <w:rPr>
          <w:rFonts w:ascii="宋体" w:hAnsi="宋体" w:cs="宋体"/>
          <w:color w:val="auto"/>
          <w:highlight w:val="none"/>
        </w:rPr>
      </w:pPr>
      <w:r>
        <w:rPr>
          <w:rFonts w:hint="eastAsia" w:ascii="宋体" w:hAnsi="宋体" w:cs="宋体"/>
          <w:color w:val="auto"/>
          <w:highlight w:val="none"/>
        </w:rPr>
        <w:t>1、我公司参与此次竞争性磋商活动所提交的所有资料都是合法、真实、有效的。</w:t>
      </w:r>
    </w:p>
    <w:p w14:paraId="3D7E3BF3">
      <w:pPr>
        <w:spacing w:line="360" w:lineRule="auto"/>
        <w:ind w:firstLine="480"/>
        <w:rPr>
          <w:rFonts w:ascii="宋体" w:hAnsi="宋体" w:cs="宋体"/>
          <w:color w:val="auto"/>
          <w:highlight w:val="none"/>
        </w:rPr>
      </w:pPr>
      <w:r>
        <w:rPr>
          <w:rFonts w:hint="eastAsia" w:ascii="宋体" w:hAnsi="宋体" w:cs="宋体"/>
          <w:color w:val="auto"/>
          <w:highlight w:val="none"/>
        </w:rPr>
        <w:t>2、不与其他供应商串通投标、围标，依法、依规公平竞争，不得损害采购人或其他供应商的合法权益。</w:t>
      </w:r>
    </w:p>
    <w:p w14:paraId="046141B2">
      <w:pPr>
        <w:spacing w:line="360" w:lineRule="auto"/>
        <w:ind w:firstLine="480"/>
        <w:rPr>
          <w:rFonts w:ascii="宋体" w:hAnsi="宋体" w:cs="宋体"/>
          <w:color w:val="auto"/>
          <w:highlight w:val="none"/>
        </w:rPr>
      </w:pPr>
      <w:r>
        <w:rPr>
          <w:rFonts w:hint="eastAsia" w:ascii="宋体" w:hAnsi="宋体" w:cs="宋体"/>
          <w:color w:val="auto"/>
          <w:highlight w:val="none"/>
        </w:rPr>
        <w:t>3、不转让、出租、出借资质证书、人员岗位证书，不以法律、法规禁止的方式投标。</w:t>
      </w:r>
    </w:p>
    <w:p w14:paraId="1EC50B89">
      <w:pPr>
        <w:spacing w:line="360" w:lineRule="auto"/>
        <w:ind w:firstLine="480"/>
        <w:rPr>
          <w:rFonts w:ascii="宋体" w:hAnsi="宋体" w:cs="宋体"/>
          <w:color w:val="auto"/>
          <w:highlight w:val="none"/>
        </w:rPr>
      </w:pPr>
      <w:r>
        <w:rPr>
          <w:rFonts w:hint="eastAsia" w:ascii="宋体" w:hAnsi="宋体" w:cs="宋体"/>
          <w:color w:val="auto"/>
          <w:highlight w:val="none"/>
        </w:rPr>
        <w:t>4、不与采购人或采购代理机构串通投标，不损害国家利益、社会公共利益或者他当事人的合法权益。</w:t>
      </w:r>
    </w:p>
    <w:p w14:paraId="178993E9">
      <w:pPr>
        <w:spacing w:line="360" w:lineRule="auto"/>
        <w:ind w:firstLine="480"/>
        <w:rPr>
          <w:rFonts w:ascii="宋体" w:hAnsi="宋体" w:cs="宋体"/>
          <w:color w:val="auto"/>
          <w:highlight w:val="none"/>
        </w:rPr>
      </w:pPr>
      <w:r>
        <w:rPr>
          <w:rFonts w:hint="eastAsia" w:ascii="宋体" w:hAnsi="宋体" w:cs="宋体"/>
          <w:color w:val="auto"/>
          <w:highlight w:val="none"/>
        </w:rPr>
        <w:t>5、不向采购人、磋商小组成员、监督人员行贿。</w:t>
      </w:r>
    </w:p>
    <w:p w14:paraId="541CFBD6">
      <w:pPr>
        <w:spacing w:line="360" w:lineRule="auto"/>
        <w:ind w:firstLine="480"/>
        <w:rPr>
          <w:rFonts w:ascii="宋体" w:hAnsi="宋体" w:cs="宋体"/>
          <w:color w:val="auto"/>
          <w:highlight w:val="none"/>
        </w:rPr>
      </w:pPr>
      <w:r>
        <w:rPr>
          <w:rFonts w:hint="eastAsia" w:ascii="宋体" w:hAnsi="宋体" w:cs="宋体"/>
          <w:color w:val="auto"/>
          <w:highlight w:val="none"/>
        </w:rPr>
        <w:t>6、不进行虚假恶意投诉。</w:t>
      </w:r>
    </w:p>
    <w:p w14:paraId="45FD79E7">
      <w:pPr>
        <w:spacing w:line="360" w:lineRule="auto"/>
        <w:ind w:firstLine="480"/>
        <w:rPr>
          <w:rFonts w:ascii="宋体" w:hAnsi="宋体" w:cs="宋体"/>
          <w:color w:val="auto"/>
          <w:highlight w:val="none"/>
        </w:rPr>
      </w:pPr>
      <w:r>
        <w:rPr>
          <w:rFonts w:hint="eastAsia" w:ascii="宋体" w:hAnsi="宋体" w:cs="宋体"/>
          <w:color w:val="auto"/>
          <w:highlight w:val="none"/>
        </w:rPr>
        <w:t>7、因违反法律、法规或相关规定被查处的，不干预案件查处。</w:t>
      </w:r>
    </w:p>
    <w:p w14:paraId="5AEA5C02">
      <w:pPr>
        <w:spacing w:line="360" w:lineRule="auto"/>
        <w:ind w:firstLine="480"/>
        <w:rPr>
          <w:rFonts w:ascii="宋体" w:hAnsi="宋体" w:cs="宋体"/>
          <w:color w:val="auto"/>
          <w:highlight w:val="none"/>
        </w:rPr>
      </w:pPr>
      <w:r>
        <w:rPr>
          <w:rFonts w:hint="eastAsia" w:ascii="宋体" w:hAnsi="宋体" w:cs="宋体"/>
          <w:color w:val="auto"/>
          <w:highlight w:val="none"/>
        </w:rPr>
        <w:t>8、我方一旦参加本项目磋商即视同我公司理解并认同竞争性磋商文件全部内容。</w:t>
      </w:r>
    </w:p>
    <w:p w14:paraId="32C634A7">
      <w:pPr>
        <w:pStyle w:val="26"/>
        <w:ind w:firstLine="420"/>
        <w:rPr>
          <w:rFonts w:cs="宋体"/>
          <w:color w:val="auto"/>
          <w:sz w:val="21"/>
          <w:szCs w:val="21"/>
          <w:highlight w:val="none"/>
        </w:rPr>
      </w:pPr>
      <w:r>
        <w:rPr>
          <w:rFonts w:hint="eastAsia" w:cs="宋体"/>
          <w:color w:val="auto"/>
          <w:sz w:val="21"/>
          <w:szCs w:val="21"/>
          <w:highlight w:val="none"/>
        </w:rPr>
        <w:t>如违反以上承诺，甘愿接受公共资源交易监督管理部门、纪检监督或司法机关调查处理。违法、违规或不良行为事实成立的，本供应商不再要求退还磋商时的磋商保证金，并承担相关责任。给采购人造成损失的，依法承担赔偿责任。</w:t>
      </w:r>
    </w:p>
    <w:p w14:paraId="74C3C1D4">
      <w:pPr>
        <w:pStyle w:val="26"/>
        <w:ind w:firstLine="420"/>
        <w:rPr>
          <w:rFonts w:cs="宋体"/>
          <w:color w:val="auto"/>
          <w:sz w:val="21"/>
          <w:szCs w:val="21"/>
          <w:highlight w:val="none"/>
        </w:rPr>
      </w:pPr>
    </w:p>
    <w:p w14:paraId="057563AD">
      <w:pPr>
        <w:pStyle w:val="26"/>
        <w:ind w:firstLine="420"/>
        <w:rPr>
          <w:rFonts w:cs="宋体"/>
          <w:color w:val="auto"/>
          <w:sz w:val="21"/>
          <w:szCs w:val="21"/>
          <w:highlight w:val="none"/>
        </w:rPr>
      </w:pPr>
    </w:p>
    <w:p w14:paraId="1081DAE7">
      <w:pPr>
        <w:pStyle w:val="26"/>
        <w:ind w:firstLine="420"/>
        <w:rPr>
          <w:rFonts w:cs="宋体"/>
          <w:color w:val="auto"/>
          <w:sz w:val="21"/>
          <w:szCs w:val="21"/>
          <w:highlight w:val="none"/>
        </w:rPr>
      </w:pPr>
    </w:p>
    <w:p w14:paraId="7266974F">
      <w:pPr>
        <w:spacing w:line="360" w:lineRule="auto"/>
        <w:ind w:firstLine="420" w:firstLineChars="200"/>
        <w:rPr>
          <w:color w:val="auto"/>
          <w:highlight w:val="none"/>
        </w:rPr>
      </w:pPr>
      <w:r>
        <w:rPr>
          <w:rFonts w:hint="eastAsia" w:ascii="新宋体" w:hAnsi="新宋体" w:eastAsia="新宋体"/>
          <w:color w:val="auto"/>
          <w:highlight w:val="none"/>
        </w:rPr>
        <w:t>供应商名称（电子签章）：</w:t>
      </w:r>
    </w:p>
    <w:p w14:paraId="15181C1F">
      <w:pPr>
        <w:pStyle w:val="26"/>
        <w:ind w:firstLine="42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lang w:val="en-US" w:eastAsia="zh-CN"/>
        </w:rPr>
        <w:t>或授权委托人</w:t>
      </w:r>
      <w:r>
        <w:rPr>
          <w:rFonts w:hint="eastAsia" w:asciiTheme="minorEastAsia" w:hAnsiTheme="minorEastAsia" w:eastAsiaTheme="minorEastAsia"/>
          <w:color w:val="auto"/>
          <w:sz w:val="21"/>
          <w:szCs w:val="21"/>
          <w:highlight w:val="none"/>
        </w:rPr>
        <w:t>（电子签章）：</w:t>
      </w:r>
    </w:p>
    <w:p w14:paraId="41EDE775">
      <w:pPr>
        <w:pStyle w:val="26"/>
        <w:ind w:firstLine="420"/>
        <w:rPr>
          <w:rFonts w:ascii="新宋体" w:hAnsi="新宋体" w:eastAsia="新宋体"/>
          <w:color w:val="auto"/>
          <w:highlight w:val="none"/>
        </w:rPr>
        <w:sectPr>
          <w:pgSz w:w="11906" w:h="16838"/>
          <w:pgMar w:top="1440" w:right="1803" w:bottom="1440" w:left="1803" w:header="851" w:footer="992" w:gutter="0"/>
          <w:cols w:space="425" w:num="1"/>
          <w:docGrid w:type="lines" w:linePitch="312" w:charSpace="0"/>
        </w:sectPr>
      </w:pPr>
      <w:r>
        <w:rPr>
          <w:rFonts w:hint="eastAsia" w:asciiTheme="minorEastAsia" w:hAnsiTheme="minorEastAsia" w:eastAsiaTheme="minorEastAsia"/>
          <w:color w:val="auto"/>
          <w:sz w:val="21"/>
          <w:szCs w:val="21"/>
          <w:highlight w:val="none"/>
        </w:rPr>
        <w:t xml:space="preserve">日期：  年   月   日 </w:t>
      </w:r>
    </w:p>
    <w:bookmarkEnd w:id="452"/>
    <w:bookmarkEnd w:id="453"/>
    <w:bookmarkEnd w:id="454"/>
    <w:bookmarkEnd w:id="455"/>
    <w:bookmarkEnd w:id="456"/>
    <w:p w14:paraId="7A7B9632">
      <w:pPr>
        <w:pStyle w:val="9"/>
        <w:rPr>
          <w:color w:val="auto"/>
          <w:highlight w:val="none"/>
        </w:rPr>
      </w:pPr>
    </w:p>
    <w:p w14:paraId="2361C675">
      <w:pPr>
        <w:pStyle w:val="19"/>
        <w:ind w:left="0" w:leftChars="0" w:firstLine="0" w:firstLineChars="0"/>
        <w:jc w:val="center"/>
        <w:outlineLvl w:val="2"/>
        <w:rPr>
          <w:rFonts w:ascii="新宋体" w:hAnsi="新宋体" w:eastAsia="新宋体"/>
          <w:b/>
          <w:color w:val="auto"/>
          <w:kern w:val="0"/>
          <w:sz w:val="32"/>
          <w:szCs w:val="32"/>
          <w:highlight w:val="none"/>
        </w:rPr>
      </w:pPr>
      <w:bookmarkStart w:id="461" w:name="_Toc6352"/>
      <w:r>
        <w:rPr>
          <w:rFonts w:hint="eastAsia" w:ascii="新宋体" w:hAnsi="新宋体" w:eastAsia="新宋体"/>
          <w:b/>
          <w:bCs/>
          <w:color w:val="auto"/>
          <w:sz w:val="32"/>
          <w:szCs w:val="32"/>
          <w:highlight w:val="none"/>
          <w:lang w:val="en-US" w:eastAsia="zh-CN"/>
        </w:rPr>
        <w:t>七</w:t>
      </w:r>
      <w:r>
        <w:rPr>
          <w:rFonts w:hint="eastAsia" w:ascii="新宋体" w:hAnsi="新宋体" w:eastAsia="新宋体"/>
          <w:b/>
          <w:bCs/>
          <w:color w:val="auto"/>
          <w:sz w:val="32"/>
          <w:szCs w:val="32"/>
          <w:highlight w:val="none"/>
        </w:rPr>
        <w:t>、其他</w:t>
      </w:r>
      <w:r>
        <w:rPr>
          <w:rFonts w:hint="eastAsia" w:ascii="新宋体" w:hAnsi="新宋体" w:eastAsia="新宋体"/>
          <w:b/>
          <w:color w:val="auto"/>
          <w:kern w:val="0"/>
          <w:sz w:val="32"/>
          <w:szCs w:val="32"/>
          <w:highlight w:val="none"/>
        </w:rPr>
        <w:t>资料（供应商认为需要提交的其他资料）</w:t>
      </w:r>
      <w:bookmarkEnd w:id="461"/>
    </w:p>
    <w:p w14:paraId="68609BBA">
      <w:pPr>
        <w:jc w:val="center"/>
        <w:rPr>
          <w:color w:val="auto"/>
          <w:highlight w:val="none"/>
        </w:rPr>
      </w:pPr>
      <w:r>
        <w:rPr>
          <w:rFonts w:hint="eastAsia"/>
          <w:color w:val="auto"/>
          <w:highlight w:val="none"/>
        </w:rPr>
        <w:t>（格式自拟）</w:t>
      </w:r>
    </w:p>
    <w:p w14:paraId="37B22060">
      <w:pPr>
        <w:rPr>
          <w:color w:val="auto"/>
          <w:highlight w:val="none"/>
        </w:rPr>
        <w:sectPr>
          <w:pgSz w:w="11906" w:h="16838"/>
          <w:pgMar w:top="1440" w:right="1803" w:bottom="1440" w:left="1803" w:header="851" w:footer="992" w:gutter="0"/>
          <w:cols w:space="425" w:num="1"/>
          <w:docGrid w:type="lines" w:linePitch="312" w:charSpace="0"/>
        </w:sectPr>
      </w:pPr>
    </w:p>
    <w:p w14:paraId="25434CFF">
      <w:pPr>
        <w:pStyle w:val="26"/>
        <w:rPr>
          <w:color w:val="auto"/>
          <w:highlight w:val="none"/>
        </w:rPr>
      </w:pPr>
    </w:p>
    <w:p w14:paraId="5F0A47DC">
      <w:pPr>
        <w:pStyle w:val="7"/>
        <w:jc w:val="center"/>
        <w:outlineLvl w:val="2"/>
        <w:rPr>
          <w:rFonts w:asciiTheme="majorEastAsia" w:hAnsiTheme="majorEastAsia" w:eastAsiaTheme="majorEastAsia" w:cstheme="majorEastAsia"/>
          <w:color w:val="auto"/>
          <w:sz w:val="21"/>
          <w:szCs w:val="21"/>
          <w:highlight w:val="none"/>
        </w:rPr>
      </w:pPr>
      <w:bookmarkStart w:id="462" w:name="_Toc13762"/>
      <w:r>
        <w:rPr>
          <w:rFonts w:ascii="新宋体" w:hAnsi="新宋体" w:eastAsia="新宋体"/>
          <w:b/>
          <w:bCs/>
          <w:color w:val="auto"/>
          <w:sz w:val="32"/>
          <w:szCs w:val="32"/>
          <w:highlight w:val="none"/>
        </w:rPr>
        <w:t>（三）技术部分</w:t>
      </w:r>
      <w:bookmarkEnd w:id="462"/>
    </w:p>
    <w:p w14:paraId="55B77C41">
      <w:pPr>
        <w:spacing w:line="360" w:lineRule="auto"/>
        <w:ind w:firstLine="743" w:firstLineChars="354"/>
        <w:jc w:val="center"/>
        <w:rPr>
          <w:rFonts w:ascii="宋体" w:hAnsi="宋体"/>
          <w:color w:val="auto"/>
          <w:highlight w:val="none"/>
        </w:rPr>
      </w:pPr>
      <w:r>
        <w:rPr>
          <w:rFonts w:hint="eastAsia" w:ascii="宋体" w:hAnsi="宋体"/>
          <w:color w:val="auto"/>
          <w:highlight w:val="none"/>
        </w:rPr>
        <w:t>注：格式及内容由供应商</w:t>
      </w:r>
      <w:r>
        <w:rPr>
          <w:rFonts w:hint="eastAsia" w:ascii="宋体" w:hAnsi="宋体"/>
          <w:color w:val="auto"/>
          <w:highlight w:val="none"/>
          <w:lang w:val="en-US" w:eastAsia="zh-CN"/>
        </w:rPr>
        <w:t>自拟</w:t>
      </w:r>
      <w:r>
        <w:rPr>
          <w:rFonts w:hint="eastAsia" w:ascii="宋体" w:hAnsi="宋体"/>
          <w:color w:val="auto"/>
          <w:highlight w:val="none"/>
        </w:rPr>
        <w:t>。</w:t>
      </w:r>
    </w:p>
    <w:p w14:paraId="3C3FF5F6">
      <w:pPr>
        <w:spacing w:line="360" w:lineRule="auto"/>
        <w:ind w:firstLine="849" w:firstLineChars="354"/>
        <w:jc w:val="center"/>
        <w:rPr>
          <w:rFonts w:ascii="宋体" w:hAnsi="宋体"/>
          <w:color w:val="auto"/>
          <w:sz w:val="24"/>
          <w:szCs w:val="24"/>
          <w:highlight w:val="none"/>
        </w:rPr>
      </w:pPr>
    </w:p>
    <w:p w14:paraId="28861C87">
      <w:pPr>
        <w:spacing w:line="480" w:lineRule="exact"/>
        <w:ind w:firstLine="840" w:firstLineChars="400"/>
        <w:jc w:val="left"/>
        <w:rPr>
          <w:rFonts w:hAnsi="宋体" w:cs="宋体"/>
          <w:color w:val="auto"/>
          <w:highlight w:val="none"/>
        </w:rPr>
      </w:pPr>
      <w:r>
        <w:rPr>
          <w:rFonts w:hint="eastAsia" w:ascii="宋体" w:hAnsi="宋体" w:cs="宋体"/>
          <w:color w:val="auto"/>
          <w:highlight w:val="none"/>
        </w:rPr>
        <w:t>技术方案中应包括但不限于以下内容：</w:t>
      </w:r>
    </w:p>
    <w:p w14:paraId="57525DAD">
      <w:pPr>
        <w:pStyle w:val="19"/>
        <w:spacing w:line="48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1、服务方案</w:t>
      </w:r>
    </w:p>
    <w:p w14:paraId="66B0C934">
      <w:pPr>
        <w:pStyle w:val="19"/>
        <w:spacing w:line="480" w:lineRule="exact"/>
        <w:jc w:val="left"/>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、人力资源和物资设备配置</w:t>
      </w:r>
    </w:p>
    <w:p w14:paraId="2C6F4206">
      <w:pPr>
        <w:pStyle w:val="19"/>
        <w:spacing w:line="480" w:lineRule="exact"/>
        <w:jc w:val="lef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、安全管理制度及应急处理方（预）案</w:t>
      </w:r>
    </w:p>
    <w:p w14:paraId="7D2DBD9E">
      <w:pPr>
        <w:pStyle w:val="19"/>
        <w:spacing w:line="480" w:lineRule="exact"/>
        <w:jc w:val="left"/>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服务质量承诺及保障</w:t>
      </w:r>
    </w:p>
    <w:p w14:paraId="335A28B4">
      <w:pPr>
        <w:pStyle w:val="19"/>
        <w:spacing w:line="48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w:t>
      </w:r>
    </w:p>
    <w:p w14:paraId="6092B687">
      <w:pPr>
        <w:pStyle w:val="26"/>
        <w:ind w:firstLine="0" w:firstLineChars="0"/>
        <w:rPr>
          <w:color w:val="auto"/>
          <w:highlight w:val="none"/>
        </w:rPr>
      </w:pPr>
    </w:p>
    <w:p w14:paraId="1E2DE5A2">
      <w:pPr>
        <w:rPr>
          <w:color w:val="auto"/>
          <w:highlight w:val="none"/>
        </w:rPr>
        <w:sectPr>
          <w:pgSz w:w="11906" w:h="16838"/>
          <w:pgMar w:top="1440" w:right="1803" w:bottom="1440" w:left="1803" w:header="851" w:footer="992" w:gutter="0"/>
          <w:cols w:space="425" w:num="1"/>
          <w:docGrid w:type="lines" w:linePitch="312" w:charSpace="0"/>
        </w:sectPr>
      </w:pPr>
    </w:p>
    <w:p w14:paraId="64D6E026">
      <w:pPr>
        <w:spacing w:line="480" w:lineRule="exact"/>
        <w:jc w:val="center"/>
        <w:rPr>
          <w:rFonts w:hint="eastAsia"/>
          <w:color w:val="auto"/>
          <w:highlight w:val="none"/>
        </w:rPr>
      </w:pPr>
      <w:r>
        <w:rPr>
          <w:color w:val="auto"/>
          <w:sz w:val="32"/>
          <w:szCs w:val="32"/>
          <w:highlight w:val="none"/>
        </w:rPr>
        <w:t>磋商申请人认为需要提交的其</w:t>
      </w:r>
      <w:r>
        <w:rPr>
          <w:rFonts w:hint="eastAsia"/>
          <w:color w:val="auto"/>
          <w:sz w:val="32"/>
          <w:szCs w:val="32"/>
          <w:highlight w:val="none"/>
        </w:rPr>
        <w:t>它</w:t>
      </w:r>
      <w:r>
        <w:rPr>
          <w:color w:val="auto"/>
          <w:sz w:val="32"/>
          <w:szCs w:val="32"/>
          <w:highlight w:val="none"/>
        </w:rPr>
        <w:t>资料</w:t>
      </w:r>
    </w:p>
    <w:p w14:paraId="43D1A676">
      <w:pPr>
        <w:spacing w:line="480" w:lineRule="exact"/>
        <w:jc w:val="center"/>
        <w:rPr>
          <w:rFonts w:hint="eastAsia"/>
          <w:color w:val="auto"/>
          <w:highlight w:val="none"/>
        </w:rPr>
      </w:pPr>
      <w:r>
        <w:rPr>
          <w:rFonts w:hint="eastAsia"/>
          <w:color w:val="auto"/>
          <w:highlight w:val="none"/>
        </w:rPr>
        <w:t>（格式自拟）</w:t>
      </w:r>
    </w:p>
    <w:p w14:paraId="501737FA">
      <w:pPr>
        <w:rPr>
          <w:color w:val="auto"/>
          <w:highlight w:val="none"/>
        </w:rPr>
      </w:pPr>
      <w:r>
        <w:rPr>
          <w:rFonts w:hint="eastAsia"/>
          <w:color w:val="auto"/>
          <w:highlight w:val="none"/>
        </w:rPr>
        <w:br w:type="page"/>
      </w:r>
    </w:p>
    <w:p w14:paraId="743F77A5">
      <w:pPr>
        <w:rPr>
          <w:rFonts w:hint="eastAsia"/>
          <w:color w:val="auto"/>
          <w:highlight w:val="none"/>
          <w:lang w:val="en-US" w:eastAsia="zh-CN"/>
        </w:rPr>
      </w:pPr>
      <w:r>
        <w:rPr>
          <w:rFonts w:hint="eastAsia"/>
          <w:color w:val="auto"/>
          <w:highlight w:val="none"/>
          <w:lang w:val="en-US" w:eastAsia="zh-CN"/>
        </w:rPr>
        <w:t>附表一</w:t>
      </w:r>
    </w:p>
    <w:p w14:paraId="70C91976">
      <w:pPr>
        <w:spacing w:line="480" w:lineRule="exact"/>
        <w:jc w:val="center"/>
        <w:rPr>
          <w:rFonts w:ascii="宋体" w:hAnsi="宋体" w:cs="宋体"/>
          <w:color w:val="auto"/>
          <w:highlight w:val="none"/>
        </w:rPr>
      </w:pPr>
      <w:r>
        <w:rPr>
          <w:rFonts w:hint="eastAsia" w:ascii="宋体" w:hAnsi="宋体" w:cs="宋体"/>
          <w:color w:val="auto"/>
          <w:highlight w:val="none"/>
          <w:lang w:val="en-US" w:eastAsia="zh-CN"/>
        </w:rPr>
        <w:t>人员配备</w:t>
      </w:r>
      <w:r>
        <w:rPr>
          <w:rFonts w:hint="eastAsia" w:ascii="宋体" w:hAnsi="宋体" w:cs="宋体"/>
          <w:color w:val="auto"/>
          <w:highlight w:val="none"/>
        </w:rPr>
        <w:t>情况表</w:t>
      </w:r>
    </w:p>
    <w:p w14:paraId="1A2E9A81">
      <w:pPr>
        <w:spacing w:line="360" w:lineRule="auto"/>
        <w:jc w:val="center"/>
        <w:rPr>
          <w:rFonts w:ascii="楷体_GB2312"/>
          <w:b/>
          <w:color w:val="auto"/>
          <w:sz w:val="24"/>
          <w:highlight w:val="none"/>
        </w:rPr>
      </w:pPr>
      <w:r>
        <w:rPr>
          <w:rFonts w:hint="eastAsia" w:ascii="宋体" w:hAnsi="宋体" w:cs="宋体"/>
          <w:color w:val="auto"/>
          <w:highlight w:val="none"/>
        </w:rPr>
        <w:t xml:space="preserve">     </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84"/>
        <w:gridCol w:w="876"/>
        <w:gridCol w:w="811"/>
        <w:gridCol w:w="1353"/>
        <w:gridCol w:w="1311"/>
        <w:gridCol w:w="1099"/>
        <w:gridCol w:w="1265"/>
      </w:tblGrid>
      <w:tr w14:paraId="3ED6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24" w:type="pct"/>
            <w:vMerge w:val="restart"/>
            <w:vAlign w:val="center"/>
          </w:tcPr>
          <w:p w14:paraId="2D98CAF6">
            <w:pPr>
              <w:spacing w:line="500" w:lineRule="exact"/>
              <w:rPr>
                <w:rFonts w:ascii="宋体" w:hAnsi="宋体"/>
                <w:color w:val="auto"/>
                <w:highlight w:val="none"/>
              </w:rPr>
            </w:pPr>
            <w:r>
              <w:rPr>
                <w:rFonts w:hint="eastAsia" w:ascii="宋体" w:hAnsi="宋体"/>
                <w:color w:val="auto"/>
                <w:highlight w:val="none"/>
              </w:rPr>
              <w:t>序号</w:t>
            </w:r>
          </w:p>
        </w:tc>
        <w:tc>
          <w:tcPr>
            <w:tcW w:w="636" w:type="pct"/>
            <w:vMerge w:val="restart"/>
            <w:vAlign w:val="center"/>
          </w:tcPr>
          <w:p w14:paraId="050CC025">
            <w:pPr>
              <w:spacing w:line="500" w:lineRule="exact"/>
              <w:ind w:firstLine="105" w:firstLineChars="50"/>
              <w:rPr>
                <w:rFonts w:ascii="宋体" w:hAnsi="宋体"/>
                <w:color w:val="auto"/>
                <w:highlight w:val="none"/>
              </w:rPr>
            </w:pPr>
            <w:r>
              <w:rPr>
                <w:rFonts w:hint="eastAsia" w:ascii="宋体" w:hAnsi="宋体"/>
                <w:color w:val="auto"/>
                <w:highlight w:val="none"/>
              </w:rPr>
              <w:t>姓名</w:t>
            </w:r>
          </w:p>
        </w:tc>
        <w:tc>
          <w:tcPr>
            <w:tcW w:w="514" w:type="pct"/>
            <w:vMerge w:val="restart"/>
            <w:vAlign w:val="center"/>
          </w:tcPr>
          <w:p w14:paraId="0326289A">
            <w:pPr>
              <w:spacing w:line="500" w:lineRule="exact"/>
              <w:rPr>
                <w:rFonts w:ascii="宋体" w:hAnsi="宋体"/>
                <w:color w:val="auto"/>
                <w:highlight w:val="none"/>
              </w:rPr>
            </w:pPr>
            <w:r>
              <w:rPr>
                <w:rFonts w:hint="eastAsia" w:ascii="宋体" w:hAnsi="宋体"/>
                <w:color w:val="auto"/>
                <w:highlight w:val="none"/>
              </w:rPr>
              <w:t>性别</w:t>
            </w:r>
          </w:p>
        </w:tc>
        <w:tc>
          <w:tcPr>
            <w:tcW w:w="476" w:type="pct"/>
            <w:vMerge w:val="restart"/>
            <w:vAlign w:val="center"/>
          </w:tcPr>
          <w:p w14:paraId="2F0B295F">
            <w:pPr>
              <w:spacing w:line="500" w:lineRule="exact"/>
              <w:rPr>
                <w:rFonts w:ascii="宋体" w:hAnsi="宋体"/>
                <w:color w:val="auto"/>
                <w:highlight w:val="none"/>
              </w:rPr>
            </w:pPr>
            <w:r>
              <w:rPr>
                <w:rFonts w:hint="eastAsia" w:ascii="宋体" w:hAnsi="宋体"/>
                <w:color w:val="auto"/>
                <w:highlight w:val="none"/>
              </w:rPr>
              <w:t>年龄</w:t>
            </w:r>
          </w:p>
        </w:tc>
        <w:tc>
          <w:tcPr>
            <w:tcW w:w="794" w:type="pct"/>
            <w:vMerge w:val="restart"/>
            <w:vAlign w:val="center"/>
          </w:tcPr>
          <w:p w14:paraId="323BC27B">
            <w:pPr>
              <w:spacing w:line="500" w:lineRule="exact"/>
              <w:ind w:firstLine="105" w:firstLineChars="50"/>
              <w:rPr>
                <w:rFonts w:ascii="宋体" w:hAnsi="宋体"/>
                <w:color w:val="auto"/>
                <w:highlight w:val="none"/>
              </w:rPr>
            </w:pPr>
            <w:r>
              <w:rPr>
                <w:rFonts w:hint="eastAsia" w:ascii="宋体" w:hAnsi="宋体"/>
                <w:color w:val="auto"/>
                <w:highlight w:val="none"/>
              </w:rPr>
              <w:t>身份证号</w:t>
            </w:r>
          </w:p>
        </w:tc>
        <w:tc>
          <w:tcPr>
            <w:tcW w:w="1414" w:type="pct"/>
            <w:gridSpan w:val="2"/>
            <w:vAlign w:val="center"/>
          </w:tcPr>
          <w:p w14:paraId="71E0C931">
            <w:pPr>
              <w:spacing w:line="500" w:lineRule="exact"/>
              <w:ind w:firstLine="105" w:firstLineChars="50"/>
              <w:jc w:val="center"/>
              <w:rPr>
                <w:rFonts w:ascii="宋体" w:hAnsi="宋体"/>
                <w:color w:val="auto"/>
                <w:highlight w:val="none"/>
              </w:rPr>
            </w:pPr>
            <w:r>
              <w:rPr>
                <w:rFonts w:hint="eastAsia" w:ascii="宋体" w:hAnsi="宋体"/>
                <w:color w:val="auto"/>
                <w:highlight w:val="none"/>
              </w:rPr>
              <w:t>职业资格证明</w:t>
            </w:r>
          </w:p>
        </w:tc>
        <w:tc>
          <w:tcPr>
            <w:tcW w:w="743" w:type="pct"/>
            <w:vMerge w:val="restart"/>
            <w:vAlign w:val="center"/>
          </w:tcPr>
          <w:p w14:paraId="5F2ECD3B">
            <w:pPr>
              <w:jc w:val="center"/>
              <w:rPr>
                <w:rFonts w:ascii="宋体" w:hAnsi="宋体"/>
                <w:color w:val="auto"/>
                <w:highlight w:val="none"/>
              </w:rPr>
            </w:pPr>
            <w:r>
              <w:rPr>
                <w:rFonts w:hint="eastAsia" w:ascii="宋体" w:hAnsi="宋体"/>
                <w:color w:val="auto"/>
                <w:highlight w:val="none"/>
              </w:rPr>
              <w:t>在本项目拟任职务</w:t>
            </w:r>
          </w:p>
        </w:tc>
      </w:tr>
      <w:tr w14:paraId="5BC2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24" w:type="pct"/>
            <w:vMerge w:val="continue"/>
            <w:vAlign w:val="center"/>
          </w:tcPr>
          <w:p w14:paraId="01E8C0D7">
            <w:pPr>
              <w:spacing w:line="500" w:lineRule="exact"/>
              <w:ind w:firstLine="120" w:firstLineChars="50"/>
              <w:rPr>
                <w:rFonts w:ascii="黑体" w:hAnsi="黑体" w:eastAsia="黑体"/>
                <w:color w:val="auto"/>
                <w:sz w:val="24"/>
                <w:highlight w:val="none"/>
              </w:rPr>
            </w:pPr>
          </w:p>
        </w:tc>
        <w:tc>
          <w:tcPr>
            <w:tcW w:w="636" w:type="pct"/>
            <w:vMerge w:val="continue"/>
            <w:vAlign w:val="center"/>
          </w:tcPr>
          <w:p w14:paraId="34EC318B">
            <w:pPr>
              <w:spacing w:line="500" w:lineRule="exact"/>
              <w:ind w:firstLine="120" w:firstLineChars="50"/>
              <w:rPr>
                <w:rFonts w:ascii="黑体" w:hAnsi="黑体" w:eastAsia="黑体"/>
                <w:color w:val="auto"/>
                <w:sz w:val="24"/>
                <w:highlight w:val="none"/>
              </w:rPr>
            </w:pPr>
          </w:p>
        </w:tc>
        <w:tc>
          <w:tcPr>
            <w:tcW w:w="514" w:type="pct"/>
            <w:vMerge w:val="continue"/>
            <w:vAlign w:val="center"/>
          </w:tcPr>
          <w:p w14:paraId="61ADAB11">
            <w:pPr>
              <w:spacing w:line="500" w:lineRule="exact"/>
              <w:ind w:firstLine="120" w:firstLineChars="50"/>
              <w:rPr>
                <w:rFonts w:ascii="黑体" w:hAnsi="黑体" w:eastAsia="黑体"/>
                <w:color w:val="auto"/>
                <w:sz w:val="24"/>
                <w:highlight w:val="none"/>
              </w:rPr>
            </w:pPr>
          </w:p>
        </w:tc>
        <w:tc>
          <w:tcPr>
            <w:tcW w:w="476" w:type="pct"/>
            <w:vMerge w:val="continue"/>
            <w:vAlign w:val="center"/>
          </w:tcPr>
          <w:p w14:paraId="4088E469">
            <w:pPr>
              <w:spacing w:line="500" w:lineRule="exact"/>
              <w:ind w:firstLine="120" w:firstLineChars="50"/>
              <w:rPr>
                <w:rFonts w:ascii="黑体" w:hAnsi="黑体" w:eastAsia="黑体"/>
                <w:color w:val="auto"/>
                <w:sz w:val="24"/>
                <w:highlight w:val="none"/>
              </w:rPr>
            </w:pPr>
          </w:p>
        </w:tc>
        <w:tc>
          <w:tcPr>
            <w:tcW w:w="794" w:type="pct"/>
            <w:vMerge w:val="continue"/>
            <w:vAlign w:val="center"/>
          </w:tcPr>
          <w:p w14:paraId="0F8A7DC3">
            <w:pPr>
              <w:spacing w:line="500" w:lineRule="exact"/>
              <w:ind w:firstLine="120" w:firstLineChars="50"/>
              <w:rPr>
                <w:rFonts w:ascii="黑体" w:hAnsi="黑体" w:eastAsia="黑体"/>
                <w:color w:val="auto"/>
                <w:sz w:val="24"/>
                <w:highlight w:val="none"/>
              </w:rPr>
            </w:pPr>
          </w:p>
        </w:tc>
        <w:tc>
          <w:tcPr>
            <w:tcW w:w="769" w:type="pct"/>
            <w:vAlign w:val="center"/>
          </w:tcPr>
          <w:p w14:paraId="0EC9547A">
            <w:pPr>
              <w:ind w:firstLine="105" w:firstLineChars="50"/>
              <w:jc w:val="center"/>
              <w:rPr>
                <w:rFonts w:ascii="宋体" w:hAnsi="宋体"/>
                <w:color w:val="auto"/>
                <w:highlight w:val="none"/>
              </w:rPr>
            </w:pPr>
            <w:r>
              <w:rPr>
                <w:rFonts w:hint="eastAsia" w:ascii="宋体" w:hAnsi="宋体"/>
                <w:color w:val="auto"/>
                <w:highlight w:val="none"/>
              </w:rPr>
              <w:t>证书名称</w:t>
            </w:r>
          </w:p>
          <w:p w14:paraId="0ADD1182">
            <w:pPr>
              <w:ind w:firstLine="105" w:firstLineChars="50"/>
              <w:jc w:val="center"/>
              <w:rPr>
                <w:rFonts w:ascii="宋体" w:hAnsi="宋体"/>
                <w:color w:val="auto"/>
                <w:highlight w:val="none"/>
              </w:rPr>
            </w:pPr>
            <w:r>
              <w:rPr>
                <w:rFonts w:hint="eastAsia" w:ascii="宋体" w:hAnsi="宋体"/>
                <w:color w:val="auto"/>
                <w:highlight w:val="none"/>
              </w:rPr>
              <w:t>或级别</w:t>
            </w:r>
          </w:p>
        </w:tc>
        <w:tc>
          <w:tcPr>
            <w:tcW w:w="644" w:type="pct"/>
            <w:vAlign w:val="center"/>
          </w:tcPr>
          <w:p w14:paraId="5692CF5F">
            <w:pPr>
              <w:spacing w:line="500" w:lineRule="exact"/>
              <w:ind w:firstLine="105" w:firstLineChars="50"/>
              <w:jc w:val="center"/>
              <w:rPr>
                <w:rFonts w:ascii="宋体" w:hAnsi="宋体"/>
                <w:color w:val="auto"/>
                <w:highlight w:val="none"/>
              </w:rPr>
            </w:pPr>
            <w:r>
              <w:rPr>
                <w:rFonts w:hint="eastAsia" w:ascii="宋体" w:hAnsi="宋体"/>
                <w:color w:val="auto"/>
                <w:highlight w:val="none"/>
              </w:rPr>
              <w:t>专业</w:t>
            </w:r>
          </w:p>
        </w:tc>
        <w:tc>
          <w:tcPr>
            <w:tcW w:w="743" w:type="pct"/>
            <w:vMerge w:val="continue"/>
            <w:vAlign w:val="center"/>
          </w:tcPr>
          <w:p w14:paraId="1B422FEF">
            <w:pPr>
              <w:spacing w:line="500" w:lineRule="exact"/>
              <w:ind w:firstLine="120" w:firstLineChars="50"/>
              <w:rPr>
                <w:rFonts w:ascii="黑体" w:hAnsi="黑体" w:eastAsia="黑体"/>
                <w:color w:val="auto"/>
                <w:sz w:val="24"/>
                <w:highlight w:val="none"/>
              </w:rPr>
            </w:pPr>
          </w:p>
        </w:tc>
      </w:tr>
      <w:tr w14:paraId="0BEF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69FFB6D1">
            <w:pPr>
              <w:spacing w:line="500" w:lineRule="exact"/>
              <w:ind w:firstLine="120" w:firstLineChars="50"/>
              <w:rPr>
                <w:rFonts w:ascii="黑体" w:hAnsi="黑体" w:eastAsia="黑体"/>
                <w:color w:val="auto"/>
                <w:sz w:val="24"/>
                <w:highlight w:val="none"/>
              </w:rPr>
            </w:pPr>
          </w:p>
        </w:tc>
        <w:tc>
          <w:tcPr>
            <w:tcW w:w="636" w:type="pct"/>
            <w:vAlign w:val="center"/>
          </w:tcPr>
          <w:p w14:paraId="1CA0BF20">
            <w:pPr>
              <w:spacing w:line="500" w:lineRule="exact"/>
              <w:ind w:firstLine="120" w:firstLineChars="50"/>
              <w:rPr>
                <w:rFonts w:ascii="黑体" w:hAnsi="黑体" w:eastAsia="黑体"/>
                <w:color w:val="auto"/>
                <w:sz w:val="24"/>
                <w:highlight w:val="none"/>
              </w:rPr>
            </w:pPr>
          </w:p>
        </w:tc>
        <w:tc>
          <w:tcPr>
            <w:tcW w:w="514" w:type="pct"/>
            <w:vAlign w:val="center"/>
          </w:tcPr>
          <w:p w14:paraId="547CD743">
            <w:pPr>
              <w:spacing w:line="500" w:lineRule="exact"/>
              <w:ind w:firstLine="120" w:firstLineChars="50"/>
              <w:rPr>
                <w:rFonts w:ascii="黑体" w:hAnsi="黑体" w:eastAsia="黑体"/>
                <w:color w:val="auto"/>
                <w:sz w:val="24"/>
                <w:highlight w:val="none"/>
              </w:rPr>
            </w:pPr>
          </w:p>
        </w:tc>
        <w:tc>
          <w:tcPr>
            <w:tcW w:w="476" w:type="pct"/>
            <w:vAlign w:val="center"/>
          </w:tcPr>
          <w:p w14:paraId="615F7193">
            <w:pPr>
              <w:spacing w:line="500" w:lineRule="exact"/>
              <w:ind w:firstLine="120" w:firstLineChars="50"/>
              <w:rPr>
                <w:rFonts w:ascii="黑体" w:hAnsi="黑体" w:eastAsia="黑体"/>
                <w:color w:val="auto"/>
                <w:sz w:val="24"/>
                <w:highlight w:val="none"/>
              </w:rPr>
            </w:pPr>
          </w:p>
        </w:tc>
        <w:tc>
          <w:tcPr>
            <w:tcW w:w="794" w:type="pct"/>
            <w:vAlign w:val="center"/>
          </w:tcPr>
          <w:p w14:paraId="11ED5B2E">
            <w:pPr>
              <w:spacing w:line="500" w:lineRule="exact"/>
              <w:ind w:firstLine="120" w:firstLineChars="50"/>
              <w:rPr>
                <w:rFonts w:ascii="黑体" w:hAnsi="黑体" w:eastAsia="黑体"/>
                <w:color w:val="auto"/>
                <w:sz w:val="24"/>
                <w:highlight w:val="none"/>
              </w:rPr>
            </w:pPr>
          </w:p>
        </w:tc>
        <w:tc>
          <w:tcPr>
            <w:tcW w:w="769" w:type="pct"/>
            <w:vAlign w:val="center"/>
          </w:tcPr>
          <w:p w14:paraId="3A7E338D">
            <w:pPr>
              <w:spacing w:line="500" w:lineRule="exact"/>
              <w:ind w:firstLine="120" w:firstLineChars="50"/>
              <w:rPr>
                <w:rFonts w:ascii="黑体" w:hAnsi="黑体" w:eastAsia="黑体"/>
                <w:color w:val="auto"/>
                <w:sz w:val="24"/>
                <w:highlight w:val="none"/>
              </w:rPr>
            </w:pPr>
          </w:p>
        </w:tc>
        <w:tc>
          <w:tcPr>
            <w:tcW w:w="644" w:type="pct"/>
            <w:vAlign w:val="center"/>
          </w:tcPr>
          <w:p w14:paraId="3351CD34">
            <w:pPr>
              <w:spacing w:line="500" w:lineRule="exact"/>
              <w:ind w:firstLine="120" w:firstLineChars="50"/>
              <w:rPr>
                <w:rFonts w:ascii="黑体" w:hAnsi="黑体" w:eastAsia="黑体"/>
                <w:color w:val="auto"/>
                <w:sz w:val="24"/>
                <w:highlight w:val="none"/>
              </w:rPr>
            </w:pPr>
          </w:p>
        </w:tc>
        <w:tc>
          <w:tcPr>
            <w:tcW w:w="743" w:type="pct"/>
            <w:vAlign w:val="center"/>
          </w:tcPr>
          <w:p w14:paraId="16A7DBBA">
            <w:pPr>
              <w:spacing w:line="500" w:lineRule="exact"/>
              <w:ind w:firstLine="120" w:firstLineChars="50"/>
              <w:rPr>
                <w:rFonts w:ascii="黑体" w:hAnsi="黑体" w:eastAsia="黑体"/>
                <w:color w:val="auto"/>
                <w:sz w:val="24"/>
                <w:highlight w:val="none"/>
              </w:rPr>
            </w:pPr>
          </w:p>
        </w:tc>
      </w:tr>
      <w:tr w14:paraId="30DB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7E707347">
            <w:pPr>
              <w:spacing w:line="500" w:lineRule="exact"/>
              <w:ind w:firstLine="120" w:firstLineChars="50"/>
              <w:rPr>
                <w:rFonts w:ascii="黑体" w:hAnsi="黑体" w:eastAsia="黑体"/>
                <w:color w:val="auto"/>
                <w:sz w:val="24"/>
                <w:highlight w:val="none"/>
              </w:rPr>
            </w:pPr>
          </w:p>
        </w:tc>
        <w:tc>
          <w:tcPr>
            <w:tcW w:w="636" w:type="pct"/>
            <w:vAlign w:val="center"/>
          </w:tcPr>
          <w:p w14:paraId="3396924A">
            <w:pPr>
              <w:spacing w:line="500" w:lineRule="exact"/>
              <w:ind w:firstLine="120" w:firstLineChars="50"/>
              <w:rPr>
                <w:rFonts w:ascii="黑体" w:hAnsi="黑体" w:eastAsia="黑体"/>
                <w:color w:val="auto"/>
                <w:sz w:val="24"/>
                <w:highlight w:val="none"/>
              </w:rPr>
            </w:pPr>
          </w:p>
        </w:tc>
        <w:tc>
          <w:tcPr>
            <w:tcW w:w="514" w:type="pct"/>
            <w:vAlign w:val="center"/>
          </w:tcPr>
          <w:p w14:paraId="0EB2CF02">
            <w:pPr>
              <w:spacing w:line="500" w:lineRule="exact"/>
              <w:ind w:firstLine="120" w:firstLineChars="50"/>
              <w:rPr>
                <w:rFonts w:ascii="黑体" w:hAnsi="黑体" w:eastAsia="黑体"/>
                <w:color w:val="auto"/>
                <w:sz w:val="24"/>
                <w:highlight w:val="none"/>
              </w:rPr>
            </w:pPr>
          </w:p>
        </w:tc>
        <w:tc>
          <w:tcPr>
            <w:tcW w:w="476" w:type="pct"/>
            <w:vAlign w:val="center"/>
          </w:tcPr>
          <w:p w14:paraId="133863BD">
            <w:pPr>
              <w:spacing w:line="500" w:lineRule="exact"/>
              <w:ind w:firstLine="120" w:firstLineChars="50"/>
              <w:rPr>
                <w:rFonts w:ascii="黑体" w:hAnsi="黑体" w:eastAsia="黑体"/>
                <w:color w:val="auto"/>
                <w:sz w:val="24"/>
                <w:highlight w:val="none"/>
              </w:rPr>
            </w:pPr>
          </w:p>
        </w:tc>
        <w:tc>
          <w:tcPr>
            <w:tcW w:w="794" w:type="pct"/>
            <w:vAlign w:val="center"/>
          </w:tcPr>
          <w:p w14:paraId="1229AC68">
            <w:pPr>
              <w:spacing w:line="500" w:lineRule="exact"/>
              <w:ind w:firstLine="120" w:firstLineChars="50"/>
              <w:rPr>
                <w:rFonts w:ascii="黑体" w:hAnsi="黑体" w:eastAsia="黑体"/>
                <w:color w:val="auto"/>
                <w:sz w:val="24"/>
                <w:highlight w:val="none"/>
              </w:rPr>
            </w:pPr>
          </w:p>
        </w:tc>
        <w:tc>
          <w:tcPr>
            <w:tcW w:w="769" w:type="pct"/>
            <w:vAlign w:val="center"/>
          </w:tcPr>
          <w:p w14:paraId="48F778D2">
            <w:pPr>
              <w:spacing w:line="500" w:lineRule="exact"/>
              <w:ind w:firstLine="120" w:firstLineChars="50"/>
              <w:rPr>
                <w:rFonts w:ascii="黑体" w:hAnsi="黑体" w:eastAsia="黑体"/>
                <w:color w:val="auto"/>
                <w:sz w:val="24"/>
                <w:highlight w:val="none"/>
              </w:rPr>
            </w:pPr>
          </w:p>
        </w:tc>
        <w:tc>
          <w:tcPr>
            <w:tcW w:w="644" w:type="pct"/>
            <w:vAlign w:val="center"/>
          </w:tcPr>
          <w:p w14:paraId="308C17FB">
            <w:pPr>
              <w:spacing w:line="500" w:lineRule="exact"/>
              <w:ind w:firstLine="120" w:firstLineChars="50"/>
              <w:rPr>
                <w:rFonts w:ascii="黑体" w:hAnsi="黑体" w:eastAsia="黑体"/>
                <w:color w:val="auto"/>
                <w:sz w:val="24"/>
                <w:highlight w:val="none"/>
              </w:rPr>
            </w:pPr>
          </w:p>
        </w:tc>
        <w:tc>
          <w:tcPr>
            <w:tcW w:w="743" w:type="pct"/>
            <w:vAlign w:val="center"/>
          </w:tcPr>
          <w:p w14:paraId="2ABC9A73">
            <w:pPr>
              <w:spacing w:line="500" w:lineRule="exact"/>
              <w:ind w:firstLine="120" w:firstLineChars="50"/>
              <w:rPr>
                <w:rFonts w:ascii="黑体" w:hAnsi="黑体" w:eastAsia="黑体"/>
                <w:color w:val="auto"/>
                <w:sz w:val="24"/>
                <w:highlight w:val="none"/>
              </w:rPr>
            </w:pPr>
          </w:p>
        </w:tc>
      </w:tr>
      <w:tr w14:paraId="3080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55F261A5">
            <w:pPr>
              <w:spacing w:line="500" w:lineRule="exact"/>
              <w:ind w:firstLine="120" w:firstLineChars="50"/>
              <w:rPr>
                <w:rFonts w:ascii="黑体" w:hAnsi="黑体" w:eastAsia="黑体"/>
                <w:color w:val="auto"/>
                <w:sz w:val="24"/>
                <w:highlight w:val="none"/>
              </w:rPr>
            </w:pPr>
          </w:p>
        </w:tc>
        <w:tc>
          <w:tcPr>
            <w:tcW w:w="636" w:type="pct"/>
            <w:vAlign w:val="center"/>
          </w:tcPr>
          <w:p w14:paraId="2C9D1C7B">
            <w:pPr>
              <w:spacing w:line="500" w:lineRule="exact"/>
              <w:ind w:firstLine="120" w:firstLineChars="50"/>
              <w:rPr>
                <w:rFonts w:ascii="黑体" w:hAnsi="黑体" w:eastAsia="黑体"/>
                <w:color w:val="auto"/>
                <w:sz w:val="24"/>
                <w:highlight w:val="none"/>
              </w:rPr>
            </w:pPr>
          </w:p>
        </w:tc>
        <w:tc>
          <w:tcPr>
            <w:tcW w:w="514" w:type="pct"/>
            <w:vAlign w:val="center"/>
          </w:tcPr>
          <w:p w14:paraId="0BDFCC14">
            <w:pPr>
              <w:spacing w:line="500" w:lineRule="exact"/>
              <w:ind w:firstLine="120" w:firstLineChars="50"/>
              <w:rPr>
                <w:rFonts w:ascii="黑体" w:hAnsi="黑体" w:eastAsia="黑体"/>
                <w:color w:val="auto"/>
                <w:sz w:val="24"/>
                <w:highlight w:val="none"/>
              </w:rPr>
            </w:pPr>
          </w:p>
        </w:tc>
        <w:tc>
          <w:tcPr>
            <w:tcW w:w="476" w:type="pct"/>
            <w:vAlign w:val="center"/>
          </w:tcPr>
          <w:p w14:paraId="1ECEF98B">
            <w:pPr>
              <w:spacing w:line="500" w:lineRule="exact"/>
              <w:ind w:firstLine="120" w:firstLineChars="50"/>
              <w:rPr>
                <w:rFonts w:ascii="黑体" w:hAnsi="黑体" w:eastAsia="黑体"/>
                <w:color w:val="auto"/>
                <w:sz w:val="24"/>
                <w:highlight w:val="none"/>
              </w:rPr>
            </w:pPr>
          </w:p>
        </w:tc>
        <w:tc>
          <w:tcPr>
            <w:tcW w:w="794" w:type="pct"/>
            <w:vAlign w:val="center"/>
          </w:tcPr>
          <w:p w14:paraId="7BF8D7EB">
            <w:pPr>
              <w:spacing w:line="500" w:lineRule="exact"/>
              <w:ind w:firstLine="120" w:firstLineChars="50"/>
              <w:rPr>
                <w:rFonts w:ascii="黑体" w:hAnsi="黑体" w:eastAsia="黑体"/>
                <w:color w:val="auto"/>
                <w:sz w:val="24"/>
                <w:highlight w:val="none"/>
              </w:rPr>
            </w:pPr>
          </w:p>
        </w:tc>
        <w:tc>
          <w:tcPr>
            <w:tcW w:w="769" w:type="pct"/>
            <w:vAlign w:val="center"/>
          </w:tcPr>
          <w:p w14:paraId="66DAD8EA">
            <w:pPr>
              <w:spacing w:line="500" w:lineRule="exact"/>
              <w:ind w:firstLine="120" w:firstLineChars="50"/>
              <w:rPr>
                <w:rFonts w:ascii="黑体" w:hAnsi="黑体" w:eastAsia="黑体"/>
                <w:color w:val="auto"/>
                <w:sz w:val="24"/>
                <w:highlight w:val="none"/>
              </w:rPr>
            </w:pPr>
          </w:p>
        </w:tc>
        <w:tc>
          <w:tcPr>
            <w:tcW w:w="644" w:type="pct"/>
            <w:vAlign w:val="center"/>
          </w:tcPr>
          <w:p w14:paraId="2B62ACE6">
            <w:pPr>
              <w:spacing w:line="500" w:lineRule="exact"/>
              <w:ind w:firstLine="120" w:firstLineChars="50"/>
              <w:rPr>
                <w:rFonts w:ascii="黑体" w:hAnsi="黑体" w:eastAsia="黑体"/>
                <w:color w:val="auto"/>
                <w:sz w:val="24"/>
                <w:highlight w:val="none"/>
              </w:rPr>
            </w:pPr>
          </w:p>
        </w:tc>
        <w:tc>
          <w:tcPr>
            <w:tcW w:w="743" w:type="pct"/>
            <w:vAlign w:val="center"/>
          </w:tcPr>
          <w:p w14:paraId="50BF08D5">
            <w:pPr>
              <w:spacing w:line="500" w:lineRule="exact"/>
              <w:ind w:firstLine="120" w:firstLineChars="50"/>
              <w:rPr>
                <w:rFonts w:ascii="黑体" w:hAnsi="黑体" w:eastAsia="黑体"/>
                <w:color w:val="auto"/>
                <w:sz w:val="24"/>
                <w:highlight w:val="none"/>
              </w:rPr>
            </w:pPr>
          </w:p>
        </w:tc>
      </w:tr>
      <w:tr w14:paraId="0058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25BF3DE0">
            <w:pPr>
              <w:spacing w:line="500" w:lineRule="exact"/>
              <w:ind w:firstLine="120" w:firstLineChars="50"/>
              <w:rPr>
                <w:rFonts w:ascii="黑体" w:hAnsi="黑体" w:eastAsia="黑体"/>
                <w:color w:val="auto"/>
                <w:sz w:val="24"/>
                <w:highlight w:val="none"/>
              </w:rPr>
            </w:pPr>
          </w:p>
        </w:tc>
        <w:tc>
          <w:tcPr>
            <w:tcW w:w="636" w:type="pct"/>
            <w:vAlign w:val="center"/>
          </w:tcPr>
          <w:p w14:paraId="68EF1848">
            <w:pPr>
              <w:spacing w:line="500" w:lineRule="exact"/>
              <w:ind w:firstLine="120" w:firstLineChars="50"/>
              <w:rPr>
                <w:rFonts w:ascii="黑体" w:hAnsi="黑体" w:eastAsia="黑体"/>
                <w:color w:val="auto"/>
                <w:sz w:val="24"/>
                <w:highlight w:val="none"/>
              </w:rPr>
            </w:pPr>
          </w:p>
        </w:tc>
        <w:tc>
          <w:tcPr>
            <w:tcW w:w="514" w:type="pct"/>
            <w:vAlign w:val="center"/>
          </w:tcPr>
          <w:p w14:paraId="24BCEF89">
            <w:pPr>
              <w:spacing w:line="500" w:lineRule="exact"/>
              <w:ind w:firstLine="120" w:firstLineChars="50"/>
              <w:rPr>
                <w:rFonts w:ascii="黑体" w:hAnsi="黑体" w:eastAsia="黑体"/>
                <w:color w:val="auto"/>
                <w:sz w:val="24"/>
                <w:highlight w:val="none"/>
              </w:rPr>
            </w:pPr>
          </w:p>
        </w:tc>
        <w:tc>
          <w:tcPr>
            <w:tcW w:w="476" w:type="pct"/>
            <w:vAlign w:val="center"/>
          </w:tcPr>
          <w:p w14:paraId="34F6A4DD">
            <w:pPr>
              <w:spacing w:line="500" w:lineRule="exact"/>
              <w:ind w:firstLine="120" w:firstLineChars="50"/>
              <w:rPr>
                <w:rFonts w:ascii="黑体" w:hAnsi="黑体" w:eastAsia="黑体"/>
                <w:color w:val="auto"/>
                <w:sz w:val="24"/>
                <w:highlight w:val="none"/>
              </w:rPr>
            </w:pPr>
          </w:p>
        </w:tc>
        <w:tc>
          <w:tcPr>
            <w:tcW w:w="794" w:type="pct"/>
            <w:vAlign w:val="center"/>
          </w:tcPr>
          <w:p w14:paraId="3A7D3AF1">
            <w:pPr>
              <w:spacing w:line="500" w:lineRule="exact"/>
              <w:ind w:firstLine="120" w:firstLineChars="50"/>
              <w:rPr>
                <w:rFonts w:ascii="黑体" w:hAnsi="黑体" w:eastAsia="黑体"/>
                <w:color w:val="auto"/>
                <w:sz w:val="24"/>
                <w:highlight w:val="none"/>
              </w:rPr>
            </w:pPr>
          </w:p>
        </w:tc>
        <w:tc>
          <w:tcPr>
            <w:tcW w:w="769" w:type="pct"/>
            <w:vAlign w:val="center"/>
          </w:tcPr>
          <w:p w14:paraId="695125A2">
            <w:pPr>
              <w:spacing w:line="500" w:lineRule="exact"/>
              <w:ind w:firstLine="120" w:firstLineChars="50"/>
              <w:rPr>
                <w:rFonts w:ascii="黑体" w:hAnsi="黑体" w:eastAsia="黑体"/>
                <w:color w:val="auto"/>
                <w:sz w:val="24"/>
                <w:highlight w:val="none"/>
              </w:rPr>
            </w:pPr>
          </w:p>
        </w:tc>
        <w:tc>
          <w:tcPr>
            <w:tcW w:w="644" w:type="pct"/>
            <w:vAlign w:val="center"/>
          </w:tcPr>
          <w:p w14:paraId="531255B8">
            <w:pPr>
              <w:spacing w:line="500" w:lineRule="exact"/>
              <w:ind w:firstLine="120" w:firstLineChars="50"/>
              <w:rPr>
                <w:rFonts w:ascii="黑体" w:hAnsi="黑体" w:eastAsia="黑体"/>
                <w:color w:val="auto"/>
                <w:sz w:val="24"/>
                <w:highlight w:val="none"/>
              </w:rPr>
            </w:pPr>
          </w:p>
        </w:tc>
        <w:tc>
          <w:tcPr>
            <w:tcW w:w="743" w:type="pct"/>
            <w:vAlign w:val="center"/>
          </w:tcPr>
          <w:p w14:paraId="2DDB9A42">
            <w:pPr>
              <w:spacing w:line="500" w:lineRule="exact"/>
              <w:ind w:firstLine="120" w:firstLineChars="50"/>
              <w:rPr>
                <w:rFonts w:ascii="黑体" w:hAnsi="黑体" w:eastAsia="黑体"/>
                <w:color w:val="auto"/>
                <w:sz w:val="24"/>
                <w:highlight w:val="none"/>
              </w:rPr>
            </w:pPr>
          </w:p>
        </w:tc>
      </w:tr>
      <w:tr w14:paraId="07BD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36FF6529">
            <w:pPr>
              <w:spacing w:line="500" w:lineRule="exact"/>
              <w:ind w:firstLine="120" w:firstLineChars="50"/>
              <w:rPr>
                <w:rFonts w:ascii="黑体" w:hAnsi="黑体" w:eastAsia="黑体"/>
                <w:color w:val="auto"/>
                <w:sz w:val="24"/>
                <w:highlight w:val="none"/>
              </w:rPr>
            </w:pPr>
          </w:p>
        </w:tc>
        <w:tc>
          <w:tcPr>
            <w:tcW w:w="636" w:type="pct"/>
            <w:vAlign w:val="center"/>
          </w:tcPr>
          <w:p w14:paraId="5A7135BF">
            <w:pPr>
              <w:spacing w:line="500" w:lineRule="exact"/>
              <w:ind w:firstLine="120" w:firstLineChars="50"/>
              <w:rPr>
                <w:rFonts w:ascii="黑体" w:hAnsi="黑体" w:eastAsia="黑体"/>
                <w:color w:val="auto"/>
                <w:sz w:val="24"/>
                <w:highlight w:val="none"/>
              </w:rPr>
            </w:pPr>
          </w:p>
        </w:tc>
        <w:tc>
          <w:tcPr>
            <w:tcW w:w="514" w:type="pct"/>
            <w:vAlign w:val="center"/>
          </w:tcPr>
          <w:p w14:paraId="2E2B628D">
            <w:pPr>
              <w:spacing w:line="500" w:lineRule="exact"/>
              <w:ind w:firstLine="120" w:firstLineChars="50"/>
              <w:rPr>
                <w:rFonts w:ascii="黑体" w:hAnsi="黑体" w:eastAsia="黑体"/>
                <w:color w:val="auto"/>
                <w:sz w:val="24"/>
                <w:highlight w:val="none"/>
              </w:rPr>
            </w:pPr>
          </w:p>
        </w:tc>
        <w:tc>
          <w:tcPr>
            <w:tcW w:w="476" w:type="pct"/>
            <w:vAlign w:val="center"/>
          </w:tcPr>
          <w:p w14:paraId="4731F37A">
            <w:pPr>
              <w:spacing w:line="500" w:lineRule="exact"/>
              <w:ind w:firstLine="120" w:firstLineChars="50"/>
              <w:rPr>
                <w:rFonts w:ascii="黑体" w:hAnsi="黑体" w:eastAsia="黑体"/>
                <w:color w:val="auto"/>
                <w:sz w:val="24"/>
                <w:highlight w:val="none"/>
              </w:rPr>
            </w:pPr>
          </w:p>
        </w:tc>
        <w:tc>
          <w:tcPr>
            <w:tcW w:w="794" w:type="pct"/>
            <w:vAlign w:val="center"/>
          </w:tcPr>
          <w:p w14:paraId="0A2807DD">
            <w:pPr>
              <w:spacing w:line="500" w:lineRule="exact"/>
              <w:ind w:firstLine="120" w:firstLineChars="50"/>
              <w:rPr>
                <w:rFonts w:ascii="黑体" w:hAnsi="黑体" w:eastAsia="黑体"/>
                <w:color w:val="auto"/>
                <w:sz w:val="24"/>
                <w:highlight w:val="none"/>
              </w:rPr>
            </w:pPr>
          </w:p>
        </w:tc>
        <w:tc>
          <w:tcPr>
            <w:tcW w:w="769" w:type="pct"/>
            <w:vAlign w:val="center"/>
          </w:tcPr>
          <w:p w14:paraId="5B17CA7C">
            <w:pPr>
              <w:spacing w:line="500" w:lineRule="exact"/>
              <w:ind w:firstLine="120" w:firstLineChars="50"/>
              <w:rPr>
                <w:rFonts w:ascii="黑体" w:hAnsi="黑体" w:eastAsia="黑体"/>
                <w:color w:val="auto"/>
                <w:sz w:val="24"/>
                <w:highlight w:val="none"/>
              </w:rPr>
            </w:pPr>
          </w:p>
        </w:tc>
        <w:tc>
          <w:tcPr>
            <w:tcW w:w="644" w:type="pct"/>
            <w:vAlign w:val="center"/>
          </w:tcPr>
          <w:p w14:paraId="1C96A9E5">
            <w:pPr>
              <w:spacing w:line="500" w:lineRule="exact"/>
              <w:ind w:firstLine="120" w:firstLineChars="50"/>
              <w:rPr>
                <w:rFonts w:ascii="黑体" w:hAnsi="黑体" w:eastAsia="黑体"/>
                <w:color w:val="auto"/>
                <w:sz w:val="24"/>
                <w:highlight w:val="none"/>
              </w:rPr>
            </w:pPr>
          </w:p>
        </w:tc>
        <w:tc>
          <w:tcPr>
            <w:tcW w:w="743" w:type="pct"/>
            <w:vAlign w:val="center"/>
          </w:tcPr>
          <w:p w14:paraId="5A9E25E0">
            <w:pPr>
              <w:spacing w:line="500" w:lineRule="exact"/>
              <w:ind w:firstLine="120" w:firstLineChars="50"/>
              <w:rPr>
                <w:rFonts w:ascii="黑体" w:hAnsi="黑体" w:eastAsia="黑体"/>
                <w:color w:val="auto"/>
                <w:sz w:val="24"/>
                <w:highlight w:val="none"/>
              </w:rPr>
            </w:pPr>
          </w:p>
        </w:tc>
      </w:tr>
      <w:tr w14:paraId="5A2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1E1920A6">
            <w:pPr>
              <w:spacing w:line="500" w:lineRule="exact"/>
              <w:ind w:firstLine="120" w:firstLineChars="50"/>
              <w:rPr>
                <w:rFonts w:ascii="黑体" w:hAnsi="黑体" w:eastAsia="黑体"/>
                <w:color w:val="auto"/>
                <w:sz w:val="24"/>
                <w:highlight w:val="none"/>
              </w:rPr>
            </w:pPr>
          </w:p>
        </w:tc>
        <w:tc>
          <w:tcPr>
            <w:tcW w:w="636" w:type="pct"/>
            <w:vAlign w:val="center"/>
          </w:tcPr>
          <w:p w14:paraId="3998AE4B">
            <w:pPr>
              <w:spacing w:line="500" w:lineRule="exact"/>
              <w:ind w:firstLine="120" w:firstLineChars="50"/>
              <w:rPr>
                <w:rFonts w:ascii="黑体" w:hAnsi="黑体" w:eastAsia="黑体"/>
                <w:color w:val="auto"/>
                <w:sz w:val="24"/>
                <w:highlight w:val="none"/>
              </w:rPr>
            </w:pPr>
          </w:p>
        </w:tc>
        <w:tc>
          <w:tcPr>
            <w:tcW w:w="514" w:type="pct"/>
            <w:vAlign w:val="center"/>
          </w:tcPr>
          <w:p w14:paraId="3229F547">
            <w:pPr>
              <w:spacing w:line="500" w:lineRule="exact"/>
              <w:ind w:firstLine="120" w:firstLineChars="50"/>
              <w:rPr>
                <w:rFonts w:ascii="黑体" w:hAnsi="黑体" w:eastAsia="黑体"/>
                <w:color w:val="auto"/>
                <w:sz w:val="24"/>
                <w:highlight w:val="none"/>
              </w:rPr>
            </w:pPr>
          </w:p>
        </w:tc>
        <w:tc>
          <w:tcPr>
            <w:tcW w:w="476" w:type="pct"/>
            <w:vAlign w:val="center"/>
          </w:tcPr>
          <w:p w14:paraId="38B2438B">
            <w:pPr>
              <w:spacing w:line="500" w:lineRule="exact"/>
              <w:ind w:firstLine="120" w:firstLineChars="50"/>
              <w:rPr>
                <w:rFonts w:ascii="黑体" w:hAnsi="黑体" w:eastAsia="黑体"/>
                <w:color w:val="auto"/>
                <w:sz w:val="24"/>
                <w:highlight w:val="none"/>
              </w:rPr>
            </w:pPr>
          </w:p>
        </w:tc>
        <w:tc>
          <w:tcPr>
            <w:tcW w:w="794" w:type="pct"/>
            <w:vAlign w:val="center"/>
          </w:tcPr>
          <w:p w14:paraId="75DC0CA9">
            <w:pPr>
              <w:spacing w:line="500" w:lineRule="exact"/>
              <w:ind w:firstLine="120" w:firstLineChars="50"/>
              <w:rPr>
                <w:rFonts w:ascii="黑体" w:hAnsi="黑体" w:eastAsia="黑体"/>
                <w:color w:val="auto"/>
                <w:sz w:val="24"/>
                <w:highlight w:val="none"/>
              </w:rPr>
            </w:pPr>
          </w:p>
        </w:tc>
        <w:tc>
          <w:tcPr>
            <w:tcW w:w="769" w:type="pct"/>
            <w:vAlign w:val="center"/>
          </w:tcPr>
          <w:p w14:paraId="60570AB0">
            <w:pPr>
              <w:spacing w:line="500" w:lineRule="exact"/>
              <w:ind w:firstLine="120" w:firstLineChars="50"/>
              <w:rPr>
                <w:rFonts w:ascii="黑体" w:hAnsi="黑体" w:eastAsia="黑体"/>
                <w:color w:val="auto"/>
                <w:sz w:val="24"/>
                <w:highlight w:val="none"/>
              </w:rPr>
            </w:pPr>
          </w:p>
        </w:tc>
        <w:tc>
          <w:tcPr>
            <w:tcW w:w="644" w:type="pct"/>
            <w:vAlign w:val="center"/>
          </w:tcPr>
          <w:p w14:paraId="67B797CE">
            <w:pPr>
              <w:spacing w:line="500" w:lineRule="exact"/>
              <w:ind w:firstLine="120" w:firstLineChars="50"/>
              <w:rPr>
                <w:rFonts w:ascii="黑体" w:hAnsi="黑体" w:eastAsia="黑体"/>
                <w:color w:val="auto"/>
                <w:sz w:val="24"/>
                <w:highlight w:val="none"/>
              </w:rPr>
            </w:pPr>
          </w:p>
        </w:tc>
        <w:tc>
          <w:tcPr>
            <w:tcW w:w="743" w:type="pct"/>
            <w:vAlign w:val="center"/>
          </w:tcPr>
          <w:p w14:paraId="47E79926">
            <w:pPr>
              <w:spacing w:line="500" w:lineRule="exact"/>
              <w:ind w:firstLine="120" w:firstLineChars="50"/>
              <w:rPr>
                <w:rFonts w:ascii="黑体" w:hAnsi="黑体" w:eastAsia="黑体"/>
                <w:color w:val="auto"/>
                <w:sz w:val="24"/>
                <w:highlight w:val="none"/>
              </w:rPr>
            </w:pPr>
          </w:p>
        </w:tc>
      </w:tr>
      <w:tr w14:paraId="7AE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6A70715F">
            <w:pPr>
              <w:spacing w:line="500" w:lineRule="exact"/>
              <w:ind w:firstLine="120" w:firstLineChars="50"/>
              <w:rPr>
                <w:rFonts w:ascii="黑体" w:hAnsi="黑体" w:eastAsia="黑体"/>
                <w:color w:val="auto"/>
                <w:sz w:val="24"/>
                <w:highlight w:val="none"/>
              </w:rPr>
            </w:pPr>
          </w:p>
        </w:tc>
        <w:tc>
          <w:tcPr>
            <w:tcW w:w="636" w:type="pct"/>
            <w:vAlign w:val="center"/>
          </w:tcPr>
          <w:p w14:paraId="04B39DB6">
            <w:pPr>
              <w:spacing w:line="500" w:lineRule="exact"/>
              <w:ind w:firstLine="120" w:firstLineChars="50"/>
              <w:rPr>
                <w:rFonts w:ascii="黑体" w:hAnsi="黑体" w:eastAsia="黑体"/>
                <w:color w:val="auto"/>
                <w:sz w:val="24"/>
                <w:highlight w:val="none"/>
              </w:rPr>
            </w:pPr>
          </w:p>
        </w:tc>
        <w:tc>
          <w:tcPr>
            <w:tcW w:w="514" w:type="pct"/>
            <w:vAlign w:val="center"/>
          </w:tcPr>
          <w:p w14:paraId="083C6D5C">
            <w:pPr>
              <w:spacing w:line="500" w:lineRule="exact"/>
              <w:ind w:firstLine="120" w:firstLineChars="50"/>
              <w:rPr>
                <w:rFonts w:ascii="黑体" w:hAnsi="黑体" w:eastAsia="黑体"/>
                <w:color w:val="auto"/>
                <w:sz w:val="24"/>
                <w:highlight w:val="none"/>
              </w:rPr>
            </w:pPr>
          </w:p>
        </w:tc>
        <w:tc>
          <w:tcPr>
            <w:tcW w:w="476" w:type="pct"/>
            <w:vAlign w:val="center"/>
          </w:tcPr>
          <w:p w14:paraId="56FE81C9">
            <w:pPr>
              <w:spacing w:line="500" w:lineRule="exact"/>
              <w:ind w:firstLine="120" w:firstLineChars="50"/>
              <w:rPr>
                <w:rFonts w:ascii="黑体" w:hAnsi="黑体" w:eastAsia="黑体"/>
                <w:color w:val="auto"/>
                <w:sz w:val="24"/>
                <w:highlight w:val="none"/>
              </w:rPr>
            </w:pPr>
          </w:p>
        </w:tc>
        <w:tc>
          <w:tcPr>
            <w:tcW w:w="794" w:type="pct"/>
            <w:vAlign w:val="center"/>
          </w:tcPr>
          <w:p w14:paraId="2F4E15DB">
            <w:pPr>
              <w:spacing w:line="500" w:lineRule="exact"/>
              <w:ind w:firstLine="120" w:firstLineChars="50"/>
              <w:rPr>
                <w:rFonts w:ascii="黑体" w:hAnsi="黑体" w:eastAsia="黑体"/>
                <w:color w:val="auto"/>
                <w:sz w:val="24"/>
                <w:highlight w:val="none"/>
              </w:rPr>
            </w:pPr>
          </w:p>
        </w:tc>
        <w:tc>
          <w:tcPr>
            <w:tcW w:w="769" w:type="pct"/>
            <w:vAlign w:val="center"/>
          </w:tcPr>
          <w:p w14:paraId="6579C8ED">
            <w:pPr>
              <w:spacing w:line="500" w:lineRule="exact"/>
              <w:ind w:firstLine="120" w:firstLineChars="50"/>
              <w:rPr>
                <w:rFonts w:ascii="黑体" w:hAnsi="黑体" w:eastAsia="黑体"/>
                <w:color w:val="auto"/>
                <w:sz w:val="24"/>
                <w:highlight w:val="none"/>
              </w:rPr>
            </w:pPr>
          </w:p>
        </w:tc>
        <w:tc>
          <w:tcPr>
            <w:tcW w:w="644" w:type="pct"/>
            <w:vAlign w:val="center"/>
          </w:tcPr>
          <w:p w14:paraId="5E1405FA">
            <w:pPr>
              <w:spacing w:line="500" w:lineRule="exact"/>
              <w:ind w:firstLine="120" w:firstLineChars="50"/>
              <w:rPr>
                <w:rFonts w:ascii="黑体" w:hAnsi="黑体" w:eastAsia="黑体"/>
                <w:color w:val="auto"/>
                <w:sz w:val="24"/>
                <w:highlight w:val="none"/>
              </w:rPr>
            </w:pPr>
          </w:p>
        </w:tc>
        <w:tc>
          <w:tcPr>
            <w:tcW w:w="743" w:type="pct"/>
            <w:vAlign w:val="center"/>
          </w:tcPr>
          <w:p w14:paraId="33BC728C">
            <w:pPr>
              <w:spacing w:line="500" w:lineRule="exact"/>
              <w:ind w:firstLine="120" w:firstLineChars="50"/>
              <w:rPr>
                <w:rFonts w:ascii="黑体" w:hAnsi="黑体" w:eastAsia="黑体"/>
                <w:color w:val="auto"/>
                <w:sz w:val="24"/>
                <w:highlight w:val="none"/>
              </w:rPr>
            </w:pPr>
          </w:p>
        </w:tc>
      </w:tr>
      <w:tr w14:paraId="2C1A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53C38B36">
            <w:pPr>
              <w:spacing w:line="500" w:lineRule="exact"/>
              <w:ind w:firstLine="120" w:firstLineChars="50"/>
              <w:rPr>
                <w:rFonts w:ascii="黑体" w:hAnsi="黑体" w:eastAsia="黑体"/>
                <w:color w:val="auto"/>
                <w:sz w:val="24"/>
                <w:highlight w:val="none"/>
              </w:rPr>
            </w:pPr>
          </w:p>
        </w:tc>
        <w:tc>
          <w:tcPr>
            <w:tcW w:w="636" w:type="pct"/>
            <w:vAlign w:val="center"/>
          </w:tcPr>
          <w:p w14:paraId="10BC2CA6">
            <w:pPr>
              <w:spacing w:line="500" w:lineRule="exact"/>
              <w:ind w:firstLine="120" w:firstLineChars="50"/>
              <w:rPr>
                <w:rFonts w:ascii="黑体" w:hAnsi="黑体" w:eastAsia="黑体"/>
                <w:color w:val="auto"/>
                <w:sz w:val="24"/>
                <w:highlight w:val="none"/>
              </w:rPr>
            </w:pPr>
          </w:p>
        </w:tc>
        <w:tc>
          <w:tcPr>
            <w:tcW w:w="514" w:type="pct"/>
            <w:vAlign w:val="center"/>
          </w:tcPr>
          <w:p w14:paraId="5661C7E3">
            <w:pPr>
              <w:spacing w:line="500" w:lineRule="exact"/>
              <w:ind w:firstLine="120" w:firstLineChars="50"/>
              <w:rPr>
                <w:rFonts w:ascii="黑体" w:hAnsi="黑体" w:eastAsia="黑体"/>
                <w:color w:val="auto"/>
                <w:sz w:val="24"/>
                <w:highlight w:val="none"/>
              </w:rPr>
            </w:pPr>
          </w:p>
        </w:tc>
        <w:tc>
          <w:tcPr>
            <w:tcW w:w="476" w:type="pct"/>
            <w:vAlign w:val="center"/>
          </w:tcPr>
          <w:p w14:paraId="03445887">
            <w:pPr>
              <w:spacing w:line="500" w:lineRule="exact"/>
              <w:ind w:firstLine="120" w:firstLineChars="50"/>
              <w:rPr>
                <w:rFonts w:ascii="黑体" w:hAnsi="黑体" w:eastAsia="黑体"/>
                <w:color w:val="auto"/>
                <w:sz w:val="24"/>
                <w:highlight w:val="none"/>
              </w:rPr>
            </w:pPr>
          </w:p>
        </w:tc>
        <w:tc>
          <w:tcPr>
            <w:tcW w:w="794" w:type="pct"/>
            <w:vAlign w:val="center"/>
          </w:tcPr>
          <w:p w14:paraId="4FB55EF4">
            <w:pPr>
              <w:spacing w:line="500" w:lineRule="exact"/>
              <w:ind w:firstLine="120" w:firstLineChars="50"/>
              <w:rPr>
                <w:rFonts w:ascii="黑体" w:hAnsi="黑体" w:eastAsia="黑体"/>
                <w:color w:val="auto"/>
                <w:sz w:val="24"/>
                <w:highlight w:val="none"/>
              </w:rPr>
            </w:pPr>
          </w:p>
        </w:tc>
        <w:tc>
          <w:tcPr>
            <w:tcW w:w="769" w:type="pct"/>
            <w:vAlign w:val="center"/>
          </w:tcPr>
          <w:p w14:paraId="631C110D">
            <w:pPr>
              <w:spacing w:line="500" w:lineRule="exact"/>
              <w:ind w:firstLine="120" w:firstLineChars="50"/>
              <w:rPr>
                <w:rFonts w:ascii="黑体" w:hAnsi="黑体" w:eastAsia="黑体"/>
                <w:color w:val="auto"/>
                <w:sz w:val="24"/>
                <w:highlight w:val="none"/>
              </w:rPr>
            </w:pPr>
          </w:p>
        </w:tc>
        <w:tc>
          <w:tcPr>
            <w:tcW w:w="644" w:type="pct"/>
            <w:vAlign w:val="center"/>
          </w:tcPr>
          <w:p w14:paraId="1B08BF79">
            <w:pPr>
              <w:spacing w:line="500" w:lineRule="exact"/>
              <w:ind w:firstLine="120" w:firstLineChars="50"/>
              <w:rPr>
                <w:rFonts w:ascii="黑体" w:hAnsi="黑体" w:eastAsia="黑体"/>
                <w:color w:val="auto"/>
                <w:sz w:val="24"/>
                <w:highlight w:val="none"/>
              </w:rPr>
            </w:pPr>
          </w:p>
        </w:tc>
        <w:tc>
          <w:tcPr>
            <w:tcW w:w="743" w:type="pct"/>
            <w:vAlign w:val="center"/>
          </w:tcPr>
          <w:p w14:paraId="11074CE8">
            <w:pPr>
              <w:spacing w:line="500" w:lineRule="exact"/>
              <w:ind w:firstLine="120" w:firstLineChars="50"/>
              <w:rPr>
                <w:rFonts w:ascii="黑体" w:hAnsi="黑体" w:eastAsia="黑体"/>
                <w:color w:val="auto"/>
                <w:sz w:val="24"/>
                <w:highlight w:val="none"/>
              </w:rPr>
            </w:pPr>
          </w:p>
        </w:tc>
      </w:tr>
      <w:tr w14:paraId="1321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28ECFE4C">
            <w:pPr>
              <w:spacing w:line="500" w:lineRule="exact"/>
              <w:ind w:firstLine="120" w:firstLineChars="50"/>
              <w:rPr>
                <w:rFonts w:ascii="黑体" w:hAnsi="黑体" w:eastAsia="黑体"/>
                <w:color w:val="auto"/>
                <w:sz w:val="24"/>
                <w:highlight w:val="none"/>
              </w:rPr>
            </w:pPr>
          </w:p>
        </w:tc>
        <w:tc>
          <w:tcPr>
            <w:tcW w:w="636" w:type="pct"/>
            <w:vAlign w:val="center"/>
          </w:tcPr>
          <w:p w14:paraId="5727FB85">
            <w:pPr>
              <w:spacing w:line="500" w:lineRule="exact"/>
              <w:ind w:firstLine="120" w:firstLineChars="50"/>
              <w:rPr>
                <w:rFonts w:ascii="黑体" w:hAnsi="黑体" w:eastAsia="黑体"/>
                <w:color w:val="auto"/>
                <w:sz w:val="24"/>
                <w:highlight w:val="none"/>
              </w:rPr>
            </w:pPr>
          </w:p>
        </w:tc>
        <w:tc>
          <w:tcPr>
            <w:tcW w:w="514" w:type="pct"/>
            <w:vAlign w:val="center"/>
          </w:tcPr>
          <w:p w14:paraId="43AFA679">
            <w:pPr>
              <w:spacing w:line="500" w:lineRule="exact"/>
              <w:ind w:firstLine="120" w:firstLineChars="50"/>
              <w:rPr>
                <w:rFonts w:ascii="黑体" w:hAnsi="黑体" w:eastAsia="黑体"/>
                <w:color w:val="auto"/>
                <w:sz w:val="24"/>
                <w:highlight w:val="none"/>
              </w:rPr>
            </w:pPr>
          </w:p>
        </w:tc>
        <w:tc>
          <w:tcPr>
            <w:tcW w:w="476" w:type="pct"/>
            <w:vAlign w:val="center"/>
          </w:tcPr>
          <w:p w14:paraId="58E3FB9B">
            <w:pPr>
              <w:spacing w:line="500" w:lineRule="exact"/>
              <w:ind w:firstLine="120" w:firstLineChars="50"/>
              <w:rPr>
                <w:rFonts w:ascii="黑体" w:hAnsi="黑体" w:eastAsia="黑体"/>
                <w:color w:val="auto"/>
                <w:sz w:val="24"/>
                <w:highlight w:val="none"/>
              </w:rPr>
            </w:pPr>
          </w:p>
        </w:tc>
        <w:tc>
          <w:tcPr>
            <w:tcW w:w="794" w:type="pct"/>
            <w:vAlign w:val="center"/>
          </w:tcPr>
          <w:p w14:paraId="3689605A">
            <w:pPr>
              <w:spacing w:line="500" w:lineRule="exact"/>
              <w:ind w:firstLine="120" w:firstLineChars="50"/>
              <w:rPr>
                <w:rFonts w:ascii="黑体" w:hAnsi="黑体" w:eastAsia="黑体"/>
                <w:color w:val="auto"/>
                <w:sz w:val="24"/>
                <w:highlight w:val="none"/>
              </w:rPr>
            </w:pPr>
          </w:p>
        </w:tc>
        <w:tc>
          <w:tcPr>
            <w:tcW w:w="769" w:type="pct"/>
            <w:vAlign w:val="center"/>
          </w:tcPr>
          <w:p w14:paraId="4FF6E328">
            <w:pPr>
              <w:spacing w:line="500" w:lineRule="exact"/>
              <w:ind w:firstLine="120" w:firstLineChars="50"/>
              <w:rPr>
                <w:rFonts w:ascii="黑体" w:hAnsi="黑体" w:eastAsia="黑体"/>
                <w:color w:val="auto"/>
                <w:sz w:val="24"/>
                <w:highlight w:val="none"/>
              </w:rPr>
            </w:pPr>
          </w:p>
        </w:tc>
        <w:tc>
          <w:tcPr>
            <w:tcW w:w="644" w:type="pct"/>
            <w:vAlign w:val="center"/>
          </w:tcPr>
          <w:p w14:paraId="59D2A5EF">
            <w:pPr>
              <w:spacing w:line="500" w:lineRule="exact"/>
              <w:ind w:firstLine="120" w:firstLineChars="50"/>
              <w:rPr>
                <w:rFonts w:ascii="黑体" w:hAnsi="黑体" w:eastAsia="黑体"/>
                <w:color w:val="auto"/>
                <w:sz w:val="24"/>
                <w:highlight w:val="none"/>
              </w:rPr>
            </w:pPr>
          </w:p>
        </w:tc>
        <w:tc>
          <w:tcPr>
            <w:tcW w:w="743" w:type="pct"/>
            <w:vAlign w:val="center"/>
          </w:tcPr>
          <w:p w14:paraId="6CA87CBB">
            <w:pPr>
              <w:spacing w:line="500" w:lineRule="exact"/>
              <w:ind w:firstLine="120" w:firstLineChars="50"/>
              <w:rPr>
                <w:rFonts w:ascii="黑体" w:hAnsi="黑体" w:eastAsia="黑体"/>
                <w:color w:val="auto"/>
                <w:sz w:val="24"/>
                <w:highlight w:val="none"/>
              </w:rPr>
            </w:pPr>
          </w:p>
        </w:tc>
      </w:tr>
      <w:tr w14:paraId="5F3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4" w:type="pct"/>
            <w:vAlign w:val="center"/>
          </w:tcPr>
          <w:p w14:paraId="311FE7A8">
            <w:pPr>
              <w:spacing w:line="500" w:lineRule="exact"/>
              <w:ind w:firstLine="120" w:firstLineChars="50"/>
              <w:rPr>
                <w:rFonts w:ascii="黑体" w:hAnsi="黑体" w:eastAsia="黑体"/>
                <w:color w:val="auto"/>
                <w:sz w:val="24"/>
                <w:highlight w:val="none"/>
              </w:rPr>
            </w:pPr>
          </w:p>
        </w:tc>
        <w:tc>
          <w:tcPr>
            <w:tcW w:w="636" w:type="pct"/>
            <w:vAlign w:val="center"/>
          </w:tcPr>
          <w:p w14:paraId="05AD169A">
            <w:pPr>
              <w:spacing w:line="500" w:lineRule="exact"/>
              <w:ind w:firstLine="120" w:firstLineChars="50"/>
              <w:rPr>
                <w:rFonts w:ascii="黑体" w:hAnsi="黑体" w:eastAsia="黑体"/>
                <w:color w:val="auto"/>
                <w:sz w:val="24"/>
                <w:highlight w:val="none"/>
              </w:rPr>
            </w:pPr>
          </w:p>
        </w:tc>
        <w:tc>
          <w:tcPr>
            <w:tcW w:w="514" w:type="pct"/>
            <w:vAlign w:val="center"/>
          </w:tcPr>
          <w:p w14:paraId="5B9992EC">
            <w:pPr>
              <w:spacing w:line="500" w:lineRule="exact"/>
              <w:ind w:firstLine="120" w:firstLineChars="50"/>
              <w:rPr>
                <w:rFonts w:ascii="黑体" w:hAnsi="黑体" w:eastAsia="黑体"/>
                <w:color w:val="auto"/>
                <w:sz w:val="24"/>
                <w:highlight w:val="none"/>
              </w:rPr>
            </w:pPr>
          </w:p>
        </w:tc>
        <w:tc>
          <w:tcPr>
            <w:tcW w:w="476" w:type="pct"/>
            <w:vAlign w:val="center"/>
          </w:tcPr>
          <w:p w14:paraId="2D74D68F">
            <w:pPr>
              <w:spacing w:line="500" w:lineRule="exact"/>
              <w:ind w:firstLine="120" w:firstLineChars="50"/>
              <w:rPr>
                <w:rFonts w:ascii="黑体" w:hAnsi="黑体" w:eastAsia="黑体"/>
                <w:color w:val="auto"/>
                <w:sz w:val="24"/>
                <w:highlight w:val="none"/>
              </w:rPr>
            </w:pPr>
          </w:p>
        </w:tc>
        <w:tc>
          <w:tcPr>
            <w:tcW w:w="794" w:type="pct"/>
            <w:vAlign w:val="center"/>
          </w:tcPr>
          <w:p w14:paraId="3F03882E">
            <w:pPr>
              <w:spacing w:line="500" w:lineRule="exact"/>
              <w:ind w:firstLine="120" w:firstLineChars="50"/>
              <w:rPr>
                <w:rFonts w:ascii="黑体" w:hAnsi="黑体" w:eastAsia="黑体"/>
                <w:color w:val="auto"/>
                <w:sz w:val="24"/>
                <w:highlight w:val="none"/>
              </w:rPr>
            </w:pPr>
          </w:p>
        </w:tc>
        <w:tc>
          <w:tcPr>
            <w:tcW w:w="769" w:type="pct"/>
            <w:vAlign w:val="center"/>
          </w:tcPr>
          <w:p w14:paraId="2A9EC941">
            <w:pPr>
              <w:spacing w:line="500" w:lineRule="exact"/>
              <w:ind w:firstLine="120" w:firstLineChars="50"/>
              <w:rPr>
                <w:rFonts w:ascii="黑体" w:hAnsi="黑体" w:eastAsia="黑体"/>
                <w:color w:val="auto"/>
                <w:sz w:val="24"/>
                <w:highlight w:val="none"/>
              </w:rPr>
            </w:pPr>
          </w:p>
        </w:tc>
        <w:tc>
          <w:tcPr>
            <w:tcW w:w="644" w:type="pct"/>
            <w:vAlign w:val="center"/>
          </w:tcPr>
          <w:p w14:paraId="69051A3F">
            <w:pPr>
              <w:spacing w:line="500" w:lineRule="exact"/>
              <w:ind w:firstLine="120" w:firstLineChars="50"/>
              <w:rPr>
                <w:rFonts w:ascii="黑体" w:hAnsi="黑体" w:eastAsia="黑体"/>
                <w:color w:val="auto"/>
                <w:sz w:val="24"/>
                <w:highlight w:val="none"/>
              </w:rPr>
            </w:pPr>
          </w:p>
        </w:tc>
        <w:tc>
          <w:tcPr>
            <w:tcW w:w="743" w:type="pct"/>
            <w:vAlign w:val="center"/>
          </w:tcPr>
          <w:p w14:paraId="578783D7">
            <w:pPr>
              <w:spacing w:line="500" w:lineRule="exact"/>
              <w:ind w:firstLine="120" w:firstLineChars="50"/>
              <w:rPr>
                <w:rFonts w:ascii="黑体" w:hAnsi="黑体" w:eastAsia="黑体"/>
                <w:color w:val="auto"/>
                <w:sz w:val="24"/>
                <w:highlight w:val="none"/>
              </w:rPr>
            </w:pPr>
          </w:p>
        </w:tc>
      </w:tr>
    </w:tbl>
    <w:p w14:paraId="5F03B6C9">
      <w:pPr>
        <w:rPr>
          <w:rFonts w:ascii="宋体" w:hAnsi="宋体"/>
          <w:color w:val="auto"/>
          <w:highlight w:val="none"/>
        </w:rPr>
      </w:pPr>
    </w:p>
    <w:p w14:paraId="19F09B9D">
      <w:pPr>
        <w:pStyle w:val="9"/>
        <w:rPr>
          <w:rFonts w:ascii="宋体" w:hAnsi="宋体"/>
          <w:color w:val="auto"/>
          <w:highlight w:val="none"/>
        </w:rPr>
      </w:pPr>
      <w:r>
        <w:rPr>
          <w:rFonts w:hint="eastAsia" w:ascii="宋体" w:hAnsi="宋体"/>
          <w:bCs/>
          <w:color w:val="auto"/>
          <w:highlight w:val="none"/>
        </w:rPr>
        <w:t>注：（</w:t>
      </w:r>
      <w:r>
        <w:rPr>
          <w:rFonts w:hint="eastAsia" w:ascii="宋体" w:hAnsi="宋体"/>
          <w:color w:val="auto"/>
          <w:highlight w:val="none"/>
        </w:rPr>
        <w:t>1）本表可以扩展；</w:t>
      </w:r>
    </w:p>
    <w:p w14:paraId="65380E82">
      <w:pPr>
        <w:pStyle w:val="9"/>
        <w:ind w:firstLine="420" w:firstLineChars="200"/>
        <w:rPr>
          <w:color w:val="auto"/>
          <w:highlight w:val="none"/>
        </w:rPr>
      </w:pPr>
      <w:r>
        <w:rPr>
          <w:rFonts w:hint="eastAsia" w:ascii="宋体" w:hAnsi="宋体"/>
          <w:color w:val="auto"/>
          <w:highlight w:val="none"/>
        </w:rPr>
        <w:t>（2）</w:t>
      </w:r>
      <w:r>
        <w:rPr>
          <w:rFonts w:hint="eastAsia" w:ascii="宋体" w:hAnsi="宋体"/>
          <w:bCs/>
          <w:color w:val="auto"/>
          <w:highlight w:val="none"/>
        </w:rPr>
        <w:t>表后附相关人员的身份证、相关资格证书（如有）材料原件扫描件加盖公章。</w:t>
      </w:r>
    </w:p>
    <w:p w14:paraId="2A83353C">
      <w:pPr>
        <w:rPr>
          <w:rFonts w:hint="eastAsia"/>
          <w:color w:val="auto"/>
          <w:highlight w:val="none"/>
          <w:lang w:val="en-US" w:eastAsia="zh-CN"/>
        </w:rPr>
      </w:pPr>
      <w:r>
        <w:rPr>
          <w:rFonts w:hint="eastAsia"/>
          <w:color w:val="auto"/>
          <w:highlight w:val="none"/>
          <w:lang w:val="en-US" w:eastAsia="zh-CN"/>
        </w:rPr>
        <w:br w:type="page"/>
      </w:r>
    </w:p>
    <w:p w14:paraId="61F8921C">
      <w:pPr>
        <w:pStyle w:val="2"/>
        <w:rPr>
          <w:rFonts w:hint="default"/>
          <w:color w:val="auto"/>
          <w:highlight w:val="none"/>
          <w:lang w:val="en-US" w:eastAsia="zh-CN"/>
        </w:rPr>
      </w:pPr>
      <w:r>
        <w:rPr>
          <w:rFonts w:hint="eastAsia"/>
          <w:color w:val="auto"/>
          <w:highlight w:val="none"/>
          <w:lang w:val="en-US" w:eastAsia="zh-CN"/>
        </w:rPr>
        <w:t>附表二</w:t>
      </w:r>
    </w:p>
    <w:p w14:paraId="45D03C8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b/>
          <w:color w:val="auto"/>
          <w:sz w:val="32"/>
          <w:szCs w:val="32"/>
          <w:highlight w:val="none"/>
          <w:lang w:val="en-US" w:eastAsia="zh-CN"/>
        </w:rPr>
        <w:t>类似项目业绩</w:t>
      </w:r>
    </w:p>
    <w:p w14:paraId="1CC45F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供应商类似业绩情况表</w:t>
      </w:r>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753"/>
        <w:gridCol w:w="1903"/>
        <w:gridCol w:w="1903"/>
        <w:gridCol w:w="2059"/>
      </w:tblGrid>
      <w:tr w14:paraId="0952F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7CC280FD">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28" w:type="pct"/>
            <w:shd w:val="clear" w:color="auto" w:fill="auto"/>
            <w:vAlign w:val="center"/>
          </w:tcPr>
          <w:p w14:paraId="7C6DFFF2">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16" w:type="pct"/>
            <w:shd w:val="clear" w:color="auto" w:fill="auto"/>
            <w:vAlign w:val="center"/>
          </w:tcPr>
          <w:p w14:paraId="1FF4E5C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w:t>
            </w:r>
          </w:p>
          <w:p w14:paraId="3BE70FD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w:t>
            </w:r>
          </w:p>
        </w:tc>
        <w:tc>
          <w:tcPr>
            <w:tcW w:w="1116" w:type="pct"/>
            <w:shd w:val="clear" w:color="auto" w:fill="auto"/>
            <w:vAlign w:val="center"/>
          </w:tcPr>
          <w:p w14:paraId="1D069A5F">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p w14:paraId="70233C6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08" w:type="pct"/>
            <w:shd w:val="clear" w:color="auto" w:fill="auto"/>
            <w:vAlign w:val="center"/>
          </w:tcPr>
          <w:p w14:paraId="3A2A7F17">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完成日期</w:t>
            </w:r>
          </w:p>
          <w:p w14:paraId="56C7598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（年/月/日）</w:t>
            </w:r>
          </w:p>
        </w:tc>
      </w:tr>
      <w:tr w14:paraId="112A0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79BA5344">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4401741F">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164F9EF2">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2F5E7751">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0D106A1D">
            <w:pPr>
              <w:spacing w:line="500" w:lineRule="exact"/>
              <w:rPr>
                <w:rFonts w:hint="eastAsia" w:ascii="宋体" w:hAnsi="宋体" w:eastAsia="宋体" w:cs="宋体"/>
                <w:color w:val="auto"/>
                <w:sz w:val="21"/>
                <w:szCs w:val="21"/>
                <w:highlight w:val="none"/>
              </w:rPr>
            </w:pPr>
          </w:p>
        </w:tc>
      </w:tr>
      <w:tr w14:paraId="4CEF4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04849B10">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5953A8A3">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6A8C957C">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385E6AB4">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070B217B">
            <w:pPr>
              <w:spacing w:line="500" w:lineRule="exact"/>
              <w:rPr>
                <w:rFonts w:hint="eastAsia" w:ascii="宋体" w:hAnsi="宋体" w:eastAsia="宋体" w:cs="宋体"/>
                <w:color w:val="auto"/>
                <w:sz w:val="21"/>
                <w:szCs w:val="21"/>
                <w:highlight w:val="none"/>
              </w:rPr>
            </w:pPr>
          </w:p>
        </w:tc>
      </w:tr>
      <w:tr w14:paraId="2DB65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54D20DA3">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188768F4">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2CCB4D66">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1D444F01">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29155A99">
            <w:pPr>
              <w:spacing w:line="500" w:lineRule="exact"/>
              <w:rPr>
                <w:rFonts w:hint="eastAsia" w:ascii="宋体" w:hAnsi="宋体" w:eastAsia="宋体" w:cs="宋体"/>
                <w:color w:val="auto"/>
                <w:sz w:val="21"/>
                <w:szCs w:val="21"/>
                <w:highlight w:val="none"/>
              </w:rPr>
            </w:pPr>
          </w:p>
        </w:tc>
      </w:tr>
      <w:tr w14:paraId="0CB0C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57B8B8FE">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10A4BF1C">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63C4E76C">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0B523AD8">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609A7A29">
            <w:pPr>
              <w:spacing w:line="500" w:lineRule="exact"/>
              <w:rPr>
                <w:rFonts w:hint="eastAsia" w:ascii="宋体" w:hAnsi="宋体" w:eastAsia="宋体" w:cs="宋体"/>
                <w:color w:val="auto"/>
                <w:sz w:val="21"/>
                <w:szCs w:val="21"/>
                <w:highlight w:val="none"/>
              </w:rPr>
            </w:pPr>
          </w:p>
        </w:tc>
      </w:tr>
      <w:tr w14:paraId="003B6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50E8431C">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2A524FC1">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2F32DEA6">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4E85D4BE">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79ACE00F">
            <w:pPr>
              <w:spacing w:line="500" w:lineRule="exact"/>
              <w:rPr>
                <w:rFonts w:hint="eastAsia" w:ascii="宋体" w:hAnsi="宋体" w:eastAsia="宋体" w:cs="宋体"/>
                <w:color w:val="auto"/>
                <w:sz w:val="21"/>
                <w:szCs w:val="21"/>
                <w:highlight w:val="none"/>
              </w:rPr>
            </w:pPr>
          </w:p>
        </w:tc>
      </w:tr>
      <w:tr w14:paraId="545ED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9" w:type="pct"/>
            <w:shd w:val="clear" w:color="auto" w:fill="auto"/>
            <w:vAlign w:val="center"/>
          </w:tcPr>
          <w:p w14:paraId="5F427636">
            <w:pPr>
              <w:spacing w:line="500" w:lineRule="exact"/>
              <w:rPr>
                <w:rFonts w:hint="eastAsia" w:ascii="宋体" w:hAnsi="宋体" w:eastAsia="宋体" w:cs="宋体"/>
                <w:color w:val="auto"/>
                <w:sz w:val="21"/>
                <w:szCs w:val="21"/>
                <w:highlight w:val="none"/>
              </w:rPr>
            </w:pPr>
          </w:p>
        </w:tc>
        <w:tc>
          <w:tcPr>
            <w:tcW w:w="1028" w:type="pct"/>
            <w:shd w:val="clear" w:color="auto" w:fill="auto"/>
            <w:vAlign w:val="center"/>
          </w:tcPr>
          <w:p w14:paraId="3F74FBCC">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0FF717B8">
            <w:pPr>
              <w:spacing w:line="500" w:lineRule="exact"/>
              <w:rPr>
                <w:rFonts w:hint="eastAsia" w:ascii="宋体" w:hAnsi="宋体" w:eastAsia="宋体" w:cs="宋体"/>
                <w:color w:val="auto"/>
                <w:sz w:val="21"/>
                <w:szCs w:val="21"/>
                <w:highlight w:val="none"/>
              </w:rPr>
            </w:pPr>
          </w:p>
        </w:tc>
        <w:tc>
          <w:tcPr>
            <w:tcW w:w="1116" w:type="pct"/>
            <w:shd w:val="clear" w:color="auto" w:fill="auto"/>
            <w:vAlign w:val="center"/>
          </w:tcPr>
          <w:p w14:paraId="76717C9D">
            <w:pPr>
              <w:spacing w:line="500" w:lineRule="exact"/>
              <w:rPr>
                <w:rFonts w:hint="eastAsia" w:ascii="宋体" w:hAnsi="宋体" w:eastAsia="宋体" w:cs="宋体"/>
                <w:color w:val="auto"/>
                <w:sz w:val="21"/>
                <w:szCs w:val="21"/>
                <w:highlight w:val="none"/>
              </w:rPr>
            </w:pPr>
          </w:p>
        </w:tc>
        <w:tc>
          <w:tcPr>
            <w:tcW w:w="1208" w:type="pct"/>
            <w:shd w:val="clear" w:color="auto" w:fill="auto"/>
            <w:vAlign w:val="center"/>
          </w:tcPr>
          <w:p w14:paraId="555FE5DF">
            <w:pPr>
              <w:spacing w:line="500" w:lineRule="exact"/>
              <w:rPr>
                <w:rFonts w:hint="eastAsia" w:ascii="宋体" w:hAnsi="宋体" w:eastAsia="宋体" w:cs="宋体"/>
                <w:color w:val="auto"/>
                <w:sz w:val="21"/>
                <w:szCs w:val="21"/>
                <w:highlight w:val="none"/>
              </w:rPr>
            </w:pPr>
          </w:p>
        </w:tc>
      </w:tr>
    </w:tbl>
    <w:p w14:paraId="6A55800E">
      <w:pPr>
        <w:spacing w:line="500" w:lineRule="exact"/>
        <w:rPr>
          <w:rFonts w:hint="eastAsia" w:ascii="宋体" w:hAnsi="宋体" w:cs="宋体"/>
          <w:color w:val="auto"/>
          <w:szCs w:val="21"/>
          <w:highlight w:val="none"/>
        </w:rPr>
      </w:pPr>
      <w:r>
        <w:rPr>
          <w:rFonts w:hint="eastAsia" w:ascii="宋体" w:hAnsi="宋体" w:cs="宋体"/>
          <w:b/>
          <w:bCs/>
          <w:color w:val="auto"/>
          <w:sz w:val="21"/>
          <w:szCs w:val="21"/>
          <w:highlight w:val="none"/>
          <w:lang w:val="en-US" w:eastAsia="zh-CN"/>
        </w:rPr>
        <w:t>附</w:t>
      </w:r>
      <w:r>
        <w:rPr>
          <w:rFonts w:hint="eastAsia" w:ascii="宋体" w:hAnsi="宋体" w:cs="宋体"/>
          <w:b/>
          <w:bCs/>
          <w:color w:val="auto"/>
          <w:sz w:val="21"/>
          <w:szCs w:val="21"/>
          <w:highlight w:val="none"/>
        </w:rPr>
        <w:t>中标</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成交</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通知书或合同</w:t>
      </w:r>
      <w:r>
        <w:rPr>
          <w:rFonts w:hint="eastAsia" w:ascii="宋体" w:hAnsi="宋体" w:cs="宋体"/>
          <w:b/>
          <w:bCs/>
          <w:color w:val="auto"/>
          <w:sz w:val="21"/>
          <w:szCs w:val="21"/>
          <w:highlight w:val="none"/>
          <w:lang w:val="en-US" w:eastAsia="zh-CN"/>
        </w:rPr>
        <w:t>协议书或业主证明材料原件扫描件</w:t>
      </w:r>
    </w:p>
    <w:p w14:paraId="4A4E93FE">
      <w:pPr>
        <w:rPr>
          <w:rFonts w:hint="default"/>
          <w:color w:val="auto"/>
          <w:highlight w:val="none"/>
          <w:lang w:val="en-US" w:eastAsia="zh-CN"/>
        </w:rPr>
      </w:pPr>
    </w:p>
    <w:p w14:paraId="666B2848">
      <w:pPr>
        <w:spacing w:line="480" w:lineRule="exact"/>
        <w:rPr>
          <w:color w:val="auto"/>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21193A-B400-4880-B653-BB7A6D7484F6}"/>
  </w:font>
  <w:font w:name="黑体">
    <w:panose1 w:val="02010609060101010101"/>
    <w:charset w:val="86"/>
    <w:family w:val="auto"/>
    <w:pitch w:val="default"/>
    <w:sig w:usb0="800002BF" w:usb1="38CF7CFA" w:usb2="00000016" w:usb3="00000000" w:csb0="00040001" w:csb1="00000000"/>
    <w:embedRegular r:id="rId2" w:fontKey="{EEDDA5AB-9F1A-4C58-8D62-7F6D84042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55D2117E-3257-43C8-9424-CC13B51F1890}"/>
  </w:font>
  <w:font w:name="仿宋">
    <w:panose1 w:val="02010609060101010101"/>
    <w:charset w:val="86"/>
    <w:family w:val="modern"/>
    <w:pitch w:val="default"/>
    <w:sig w:usb0="800002BF" w:usb1="38CF7CFA" w:usb2="00000016" w:usb3="00000000" w:csb0="00040001" w:csb1="00000000"/>
    <w:embedRegular r:id="rId4" w:fontKey="{8EE84078-517A-4E55-816E-10A0A577306D}"/>
  </w:font>
  <w:font w:name="新宋体">
    <w:panose1 w:val="02010609030101010101"/>
    <w:charset w:val="86"/>
    <w:family w:val="modern"/>
    <w:pitch w:val="default"/>
    <w:sig w:usb0="00000203" w:usb1="288F0000" w:usb2="00000006" w:usb3="00000000" w:csb0="00040001" w:csb1="00000000"/>
    <w:embedRegular r:id="rId5" w:fontKey="{A8CCFF4B-09DC-46FD-9FDD-EAFF539C9CE4}"/>
  </w:font>
  <w:font w:name="仿宋_GB2312">
    <w:altName w:val="仿宋"/>
    <w:panose1 w:val="00000000000000000000"/>
    <w:charset w:val="86"/>
    <w:family w:val="modern"/>
    <w:pitch w:val="default"/>
    <w:sig w:usb0="00000000" w:usb1="00000000" w:usb2="00000010" w:usb3="00000000" w:csb0="00040000" w:csb1="00000000"/>
    <w:embedRegular r:id="rId6" w:fontKey="{236308E7-861A-442D-BD16-CC2E3B43E3A4}"/>
  </w:font>
  <w:font w:name="楷体_GB2312">
    <w:altName w:val="楷体"/>
    <w:panose1 w:val="02010609030101010101"/>
    <w:charset w:val="86"/>
    <w:family w:val="modern"/>
    <w:pitch w:val="default"/>
    <w:sig w:usb0="00000000" w:usb1="00000000" w:usb2="00000000" w:usb3="00000000" w:csb0="00040000" w:csb1="00000000"/>
    <w:embedRegular r:id="rId7" w:fontKey="{F962865B-EA46-4F3C-9CA2-4F5F92DD10BA}"/>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6BD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55C69">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155C69">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B57E">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D8F51">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66D8F51">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57ABF"/>
    <w:multiLevelType w:val="singleLevel"/>
    <w:tmpl w:val="25157AB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7F2874EA"/>
    <w:rsid w:val="000732C4"/>
    <w:rsid w:val="000C40BF"/>
    <w:rsid w:val="00101AE8"/>
    <w:rsid w:val="001F7167"/>
    <w:rsid w:val="0027498B"/>
    <w:rsid w:val="00393C9E"/>
    <w:rsid w:val="00420CBD"/>
    <w:rsid w:val="004764DF"/>
    <w:rsid w:val="005142E4"/>
    <w:rsid w:val="00572560"/>
    <w:rsid w:val="005C5DD6"/>
    <w:rsid w:val="005D2020"/>
    <w:rsid w:val="005F5BAD"/>
    <w:rsid w:val="0066577E"/>
    <w:rsid w:val="00674EC0"/>
    <w:rsid w:val="006E49BA"/>
    <w:rsid w:val="00706E30"/>
    <w:rsid w:val="00807300"/>
    <w:rsid w:val="00887A64"/>
    <w:rsid w:val="008E45D3"/>
    <w:rsid w:val="0098483D"/>
    <w:rsid w:val="00A55FEB"/>
    <w:rsid w:val="00BA1A55"/>
    <w:rsid w:val="00BD50BA"/>
    <w:rsid w:val="00C02719"/>
    <w:rsid w:val="00C30791"/>
    <w:rsid w:val="00C46511"/>
    <w:rsid w:val="00CA6E45"/>
    <w:rsid w:val="00D6437F"/>
    <w:rsid w:val="00DB7879"/>
    <w:rsid w:val="00E71F17"/>
    <w:rsid w:val="00ED7F98"/>
    <w:rsid w:val="00FB0735"/>
    <w:rsid w:val="00FC1161"/>
    <w:rsid w:val="00FE36A7"/>
    <w:rsid w:val="00FF7A9D"/>
    <w:rsid w:val="01F471B1"/>
    <w:rsid w:val="027125E7"/>
    <w:rsid w:val="03D07325"/>
    <w:rsid w:val="03DD7F34"/>
    <w:rsid w:val="03EF73F0"/>
    <w:rsid w:val="047C1FE5"/>
    <w:rsid w:val="04C80BE4"/>
    <w:rsid w:val="076F3599"/>
    <w:rsid w:val="07866B35"/>
    <w:rsid w:val="08013B2A"/>
    <w:rsid w:val="09563B0D"/>
    <w:rsid w:val="097906FF"/>
    <w:rsid w:val="09AD448B"/>
    <w:rsid w:val="09C35025"/>
    <w:rsid w:val="0B4C1FB9"/>
    <w:rsid w:val="0D000377"/>
    <w:rsid w:val="0D466B4A"/>
    <w:rsid w:val="0DAC7CB2"/>
    <w:rsid w:val="0E8B67DF"/>
    <w:rsid w:val="0F8001CD"/>
    <w:rsid w:val="0FC85F3C"/>
    <w:rsid w:val="0FE970F3"/>
    <w:rsid w:val="11321F17"/>
    <w:rsid w:val="11494E5B"/>
    <w:rsid w:val="14221993"/>
    <w:rsid w:val="160C273A"/>
    <w:rsid w:val="162653BF"/>
    <w:rsid w:val="16890EFD"/>
    <w:rsid w:val="16A67E33"/>
    <w:rsid w:val="1933536F"/>
    <w:rsid w:val="1A0A6237"/>
    <w:rsid w:val="1A6521FF"/>
    <w:rsid w:val="1A8567D8"/>
    <w:rsid w:val="1B1137E6"/>
    <w:rsid w:val="1B2D1349"/>
    <w:rsid w:val="1B5C3A9A"/>
    <w:rsid w:val="1C3F4E43"/>
    <w:rsid w:val="1D444728"/>
    <w:rsid w:val="1F9F1A13"/>
    <w:rsid w:val="208E2F08"/>
    <w:rsid w:val="212777B8"/>
    <w:rsid w:val="21837F15"/>
    <w:rsid w:val="224B5405"/>
    <w:rsid w:val="233C481F"/>
    <w:rsid w:val="254E75C1"/>
    <w:rsid w:val="257638ED"/>
    <w:rsid w:val="25A246E2"/>
    <w:rsid w:val="26162EAC"/>
    <w:rsid w:val="26854D2D"/>
    <w:rsid w:val="29543F45"/>
    <w:rsid w:val="2A53244F"/>
    <w:rsid w:val="2C9A00CA"/>
    <w:rsid w:val="2E9D0E25"/>
    <w:rsid w:val="3067446C"/>
    <w:rsid w:val="309E2E0B"/>
    <w:rsid w:val="3169725A"/>
    <w:rsid w:val="3259133E"/>
    <w:rsid w:val="32770A74"/>
    <w:rsid w:val="333136A4"/>
    <w:rsid w:val="347D6A46"/>
    <w:rsid w:val="349151CD"/>
    <w:rsid w:val="350E1C30"/>
    <w:rsid w:val="356773AC"/>
    <w:rsid w:val="365E28A7"/>
    <w:rsid w:val="369B431C"/>
    <w:rsid w:val="377D33BE"/>
    <w:rsid w:val="37DE5A4E"/>
    <w:rsid w:val="38113AB2"/>
    <w:rsid w:val="39693A3D"/>
    <w:rsid w:val="39E76710"/>
    <w:rsid w:val="3A4818A4"/>
    <w:rsid w:val="3AED7D56"/>
    <w:rsid w:val="3D040EEA"/>
    <w:rsid w:val="3E6C1561"/>
    <w:rsid w:val="40042483"/>
    <w:rsid w:val="402577A6"/>
    <w:rsid w:val="40510A86"/>
    <w:rsid w:val="407231D7"/>
    <w:rsid w:val="414C32BE"/>
    <w:rsid w:val="42EC0CF5"/>
    <w:rsid w:val="42F223AD"/>
    <w:rsid w:val="44350DAA"/>
    <w:rsid w:val="458E356E"/>
    <w:rsid w:val="459522E9"/>
    <w:rsid w:val="46192347"/>
    <w:rsid w:val="46462FED"/>
    <w:rsid w:val="468D5517"/>
    <w:rsid w:val="479D3352"/>
    <w:rsid w:val="47AA76FA"/>
    <w:rsid w:val="48DA7327"/>
    <w:rsid w:val="491923CA"/>
    <w:rsid w:val="49C41834"/>
    <w:rsid w:val="49D92E20"/>
    <w:rsid w:val="4AF113A3"/>
    <w:rsid w:val="4D021D86"/>
    <w:rsid w:val="4E2754A8"/>
    <w:rsid w:val="4E58386B"/>
    <w:rsid w:val="4FDC68BF"/>
    <w:rsid w:val="50454464"/>
    <w:rsid w:val="50461310"/>
    <w:rsid w:val="51FF0643"/>
    <w:rsid w:val="54C85D9F"/>
    <w:rsid w:val="55CA644D"/>
    <w:rsid w:val="57411DDB"/>
    <w:rsid w:val="57C84784"/>
    <w:rsid w:val="58AC651C"/>
    <w:rsid w:val="58D2248E"/>
    <w:rsid w:val="5A76346C"/>
    <w:rsid w:val="5AB21615"/>
    <w:rsid w:val="5BC77EF7"/>
    <w:rsid w:val="5BD62414"/>
    <w:rsid w:val="5C7C6E29"/>
    <w:rsid w:val="5CB5471F"/>
    <w:rsid w:val="5D094A85"/>
    <w:rsid w:val="5FF506FB"/>
    <w:rsid w:val="602D28F3"/>
    <w:rsid w:val="613572DC"/>
    <w:rsid w:val="61902A62"/>
    <w:rsid w:val="63DE27AE"/>
    <w:rsid w:val="65401246"/>
    <w:rsid w:val="654F57A6"/>
    <w:rsid w:val="66816B08"/>
    <w:rsid w:val="67EC3A87"/>
    <w:rsid w:val="6805064A"/>
    <w:rsid w:val="681A54BD"/>
    <w:rsid w:val="68F97DA9"/>
    <w:rsid w:val="6A276531"/>
    <w:rsid w:val="6A8B2F63"/>
    <w:rsid w:val="6CF7043C"/>
    <w:rsid w:val="6D843734"/>
    <w:rsid w:val="6DC7093C"/>
    <w:rsid w:val="71C8684B"/>
    <w:rsid w:val="740578E3"/>
    <w:rsid w:val="741E14C3"/>
    <w:rsid w:val="75F61BD9"/>
    <w:rsid w:val="7702635B"/>
    <w:rsid w:val="774C33C7"/>
    <w:rsid w:val="78701843"/>
    <w:rsid w:val="78C51B1F"/>
    <w:rsid w:val="79F301DD"/>
    <w:rsid w:val="7B1E128A"/>
    <w:rsid w:val="7D3746FC"/>
    <w:rsid w:val="7D5316BF"/>
    <w:rsid w:val="7DAA5057"/>
    <w:rsid w:val="7E70004F"/>
    <w:rsid w:val="7F28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widowControl/>
      <w:spacing w:line="374" w:lineRule="auto"/>
      <w:jc w:val="left"/>
      <w:outlineLvl w:val="3"/>
    </w:pPr>
    <w:rPr>
      <w:rFonts w:ascii="Arial" w:hAnsi="Arial" w:eastAsia="黑体"/>
      <w:b/>
      <w:bCs/>
      <w:kern w:val="0"/>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autoRedefine/>
    <w:qFormat/>
    <w:uiPriority w:val="0"/>
    <w:rPr>
      <w:rFonts w:ascii="宋体" w:hAnsi="Courier New" w:eastAsiaTheme="minorEastAsia" w:cstheme="minorBidi"/>
      <w:szCs w:val="22"/>
    </w:rPr>
  </w:style>
  <w:style w:type="paragraph" w:styleId="6">
    <w:name w:val="Normal Indent"/>
    <w:basedOn w:val="1"/>
    <w:qFormat/>
    <w:uiPriority w:val="99"/>
    <w:pPr>
      <w:ind w:firstLine="420"/>
    </w:pPr>
  </w:style>
  <w:style w:type="paragraph" w:styleId="7">
    <w:name w:val="Document Map"/>
    <w:basedOn w:val="1"/>
    <w:autoRedefine/>
    <w:unhideWhenUsed/>
    <w:qFormat/>
    <w:uiPriority w:val="99"/>
    <w:rPr>
      <w:rFonts w:ascii="宋体"/>
      <w:sz w:val="18"/>
      <w:szCs w:val="18"/>
    </w:rPr>
  </w:style>
  <w:style w:type="paragraph" w:styleId="8">
    <w:name w:val="annotation text"/>
    <w:basedOn w:val="1"/>
    <w:autoRedefine/>
    <w:qFormat/>
    <w:uiPriority w:val="0"/>
    <w:pPr>
      <w:jc w:val="left"/>
    </w:pPr>
  </w:style>
  <w:style w:type="paragraph" w:styleId="9">
    <w:name w:val="Body Text"/>
    <w:basedOn w:val="1"/>
    <w:next w:val="1"/>
    <w:autoRedefine/>
    <w:qFormat/>
    <w:uiPriority w:val="0"/>
  </w:style>
  <w:style w:type="paragraph" w:styleId="10">
    <w:name w:val="Body Text Indent"/>
    <w:basedOn w:val="1"/>
    <w:autoRedefine/>
    <w:qFormat/>
    <w:uiPriority w:val="0"/>
    <w:pPr>
      <w:ind w:left="420" w:leftChars="200"/>
    </w:pPr>
  </w:style>
  <w:style w:type="paragraph" w:styleId="11">
    <w:name w:val="toc 5"/>
    <w:basedOn w:val="1"/>
    <w:next w:val="1"/>
    <w:unhideWhenUsed/>
    <w:qFormat/>
    <w:uiPriority w:val="39"/>
    <w:pPr>
      <w:spacing w:line="240" w:lineRule="auto"/>
      <w:ind w:left="1680" w:leftChars="800" w:firstLine="0" w:firstLineChars="0"/>
    </w:pPr>
    <w:rPr>
      <w:rFonts w:eastAsiaTheme="minorEastAsia"/>
    </w:rPr>
  </w:style>
  <w:style w:type="paragraph" w:styleId="12">
    <w:name w:val="toc 3"/>
    <w:basedOn w:val="1"/>
    <w:next w:val="1"/>
    <w:qFormat/>
    <w:uiPriority w:val="0"/>
    <w:pPr>
      <w:ind w:left="840" w:leftChars="400"/>
    </w:pPr>
  </w:style>
  <w:style w:type="paragraph" w:styleId="13">
    <w:name w:val="Balloon Text"/>
    <w:basedOn w:val="1"/>
    <w:link w:val="27"/>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style>
  <w:style w:type="paragraph" w:styleId="17">
    <w:name w:val="toc 2"/>
    <w:basedOn w:val="1"/>
    <w:next w:val="1"/>
    <w:autoRedefine/>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0"/>
    <w:autoRedefine/>
    <w:qFormat/>
    <w:uiPriority w:val="0"/>
    <w:pPr>
      <w:ind w:firstLine="420" w:firstLineChars="200"/>
    </w:pPr>
    <w:rPr>
      <w:szCs w:val="24"/>
    </w:rPr>
  </w:style>
  <w:style w:type="table" w:styleId="21">
    <w:name w:val="Table Grid"/>
    <w:basedOn w:val="2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99"/>
    <w:rPr>
      <w:rFonts w:cs="Times New Roman"/>
    </w:rPr>
  </w:style>
  <w:style w:type="paragraph" w:customStyle="1" w:styleId="24">
    <w:name w:val="GP正文(首行缩进)"/>
    <w:basedOn w:val="1"/>
    <w:autoRedefine/>
    <w:qFormat/>
    <w:uiPriority w:val="0"/>
    <w:pPr>
      <w:spacing w:line="360" w:lineRule="auto"/>
      <w:ind w:firstLine="200" w:firstLineChars="200"/>
      <w:jc w:val="left"/>
    </w:pPr>
    <w:rPr>
      <w:sz w:val="24"/>
      <w:szCs w:val="24"/>
    </w:rPr>
  </w:style>
  <w:style w:type="paragraph" w:customStyle="1" w:styleId="25">
    <w:name w:val="Table Paragraph"/>
    <w:basedOn w:val="1"/>
    <w:autoRedefine/>
    <w:qFormat/>
    <w:uiPriority w:val="1"/>
  </w:style>
  <w:style w:type="paragraph" w:customStyle="1" w:styleId="26">
    <w:name w:val="Z正文"/>
    <w:autoRedefine/>
    <w:qFormat/>
    <w:uiPriority w:val="0"/>
    <w:pPr>
      <w:spacing w:line="360" w:lineRule="auto"/>
      <w:ind w:firstLine="480" w:firstLineChars="200"/>
      <w:jc w:val="both"/>
    </w:pPr>
    <w:rPr>
      <w:rFonts w:ascii="宋体" w:hAnsi="宋体" w:eastAsia="宋体" w:cs="Calibri"/>
      <w:sz w:val="24"/>
      <w:lang w:val="en-US" w:eastAsia="zh-CN" w:bidi="ar-SA"/>
    </w:rPr>
  </w:style>
  <w:style w:type="character" w:customStyle="1" w:styleId="27">
    <w:name w:val="批注框文本 Char"/>
    <w:basedOn w:val="22"/>
    <w:link w:val="13"/>
    <w:autoRedefine/>
    <w:qFormat/>
    <w:uiPriority w:val="0"/>
    <w:rPr>
      <w:rFonts w:ascii="Times New Roman" w:hAnsi="Times New Roman" w:eastAsia="宋体" w:cs="Times New Roman"/>
      <w:kern w:val="2"/>
      <w:sz w:val="18"/>
      <w:szCs w:val="18"/>
    </w:rPr>
  </w:style>
  <w:style w:type="paragraph" w:customStyle="1" w:styleId="28">
    <w:name w:val="正文（缩进）"/>
    <w:basedOn w:val="1"/>
    <w:autoRedefine/>
    <w:qFormat/>
    <w:uiPriority w:val="0"/>
    <w:pPr>
      <w:spacing w:before="156" w:after="156"/>
      <w:ind w:firstLine="480"/>
    </w:pPr>
    <w:rPr>
      <w:rFonts w:ascii="Calibri" w:hAnsi="Calibri" w:eastAsia="微软雅黑"/>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宋体" w:hAnsi="宋体" w:eastAsia="宋体" w:cs="宋体"/>
      <w:sz w:val="32"/>
      <w:szCs w:val="32"/>
      <w:lang w:val="en-US" w:eastAsia="en-US" w:bidi="ar-SA"/>
    </w:rPr>
  </w:style>
  <w:style w:type="paragraph" w:styleId="31">
    <w:name w:val="List Paragraph"/>
    <w:basedOn w:val="1"/>
    <w:unhideWhenUsed/>
    <w:qFormat/>
    <w:uiPriority w:val="99"/>
    <w:pPr>
      <w:ind w:firstLine="420" w:firstLineChars="200"/>
    </w:pPr>
  </w:style>
  <w:style w:type="character" w:customStyle="1" w:styleId="32">
    <w:name w:val="NormalCharacter"/>
    <w:qFormat/>
    <w:uiPriority w:val="0"/>
  </w:style>
  <w:style w:type="character" w:customStyle="1" w:styleId="33">
    <w:name w:val="fontstyle01"/>
    <w:qFormat/>
    <w:uiPriority w:val="0"/>
    <w:rPr>
      <w:rFonts w:hint="eastAsia" w:ascii="宋体" w:hAnsi="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10436</Words>
  <Characters>11478</Characters>
  <Lines>220</Lines>
  <Paragraphs>62</Paragraphs>
  <TotalTime>22</TotalTime>
  <ScaleCrop>false</ScaleCrop>
  <LinksUpToDate>false</LinksUpToDate>
  <CharactersWithSpaces>11665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2023-06-01T06:44:00Z</dcterms:created>
  <dc:creator>hhm</dc:creator>
  <cp:lastModifiedBy>hhm</cp:lastModifiedBy>
  <dcterms:modified xsi:type="dcterms:W3CDTF">2026-05-12T01:57:31Z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394744A74FC44C0EA450E6F00C38C686_13</vt:lpwstr>
  </property>
  <property fmtid="{D5CDD505-2E9C-101B-9397-08002B2CF9AE}" pid="4" name="KSOTemplateDocerSaveRecord">
    <vt:lpwstr>eyJoZGlkIjoiNTU0ZmIwYTQ3NzlmZGUxZmU3Zjk0M2IyZTNmM2IxNjAiLCJ1c2VySWQiOiIyMzczMDU2MzkifQ==</vt:lpwstr>
  </property>
</Properties>
</file>