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9C52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阳城县</w:t>
      </w:r>
      <w:r>
        <w:rPr>
          <w:rFonts w:hint="eastAsia" w:ascii="方正小标宋简体" w:hAnsi="方正小标宋简体" w:eastAsia="方正小标宋简体" w:cs="方正小标宋简体"/>
          <w:sz w:val="32"/>
          <w:szCs w:val="32"/>
        </w:rPr>
        <w:t>农村干部人身意外伤害保险项目</w:t>
      </w:r>
    </w:p>
    <w:p w14:paraId="52C4E53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eastAsia="zh-CN"/>
        </w:rPr>
        <w:t>（项目编号：1405222026CCS00033）</w:t>
      </w:r>
      <w:r>
        <w:rPr>
          <w:rFonts w:hint="eastAsia" w:ascii="方正小标宋简体" w:hAnsi="方正小标宋简体" w:eastAsia="方正小标宋简体" w:cs="方正小标宋简体"/>
          <w:sz w:val="32"/>
          <w:szCs w:val="32"/>
          <w:lang w:val="en-US" w:eastAsia="zh-CN"/>
        </w:rPr>
        <w:t>更正文件</w:t>
      </w:r>
    </w:p>
    <w:p w14:paraId="1C2C6AEF">
      <w:pPr>
        <w:pStyle w:val="2"/>
        <w:rPr>
          <w:rFonts w:hint="eastAsia"/>
        </w:rPr>
      </w:pPr>
      <w:bookmarkStart w:id="0" w:name="_GoBack"/>
      <w:bookmarkEnd w:id="0"/>
    </w:p>
    <w:p w14:paraId="5A25E742">
      <w:pPr>
        <w:bidi w:val="0"/>
        <w:rPr>
          <w:rFonts w:hint="default" w:eastAsiaTheme="minorEastAsia"/>
          <w:lang w:val="en-US" w:eastAsia="zh-CN"/>
        </w:rPr>
      </w:pPr>
      <w:r>
        <w:rPr>
          <w:rFonts w:hint="eastAsia"/>
          <w:lang w:val="en-US" w:eastAsia="zh-CN"/>
        </w:rPr>
        <w:t xml:space="preserve">包1的评分方法 </w:t>
      </w:r>
    </w:p>
    <w:tbl>
      <w:tblPr>
        <w:tblStyle w:val="6"/>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615"/>
        <w:gridCol w:w="5310"/>
        <w:gridCol w:w="1021"/>
      </w:tblGrid>
      <w:tr w14:paraId="27B5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394" w:type="pct"/>
            <w:vAlign w:val="center"/>
          </w:tcPr>
          <w:p w14:paraId="0F446200">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序号</w:t>
            </w:r>
          </w:p>
        </w:tc>
        <w:tc>
          <w:tcPr>
            <w:tcW w:w="936" w:type="pct"/>
            <w:vAlign w:val="center"/>
          </w:tcPr>
          <w:p w14:paraId="346FB160">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评分类型</w:t>
            </w:r>
          </w:p>
        </w:tc>
        <w:tc>
          <w:tcPr>
            <w:tcW w:w="3077" w:type="pct"/>
            <w:vAlign w:val="center"/>
          </w:tcPr>
          <w:p w14:paraId="52B68CAF">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评分标准</w:t>
            </w:r>
          </w:p>
        </w:tc>
        <w:tc>
          <w:tcPr>
            <w:tcW w:w="591" w:type="pct"/>
            <w:vAlign w:val="center"/>
          </w:tcPr>
          <w:p w14:paraId="5F1AE2CC">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分值</w:t>
            </w:r>
          </w:p>
        </w:tc>
      </w:tr>
      <w:tr w14:paraId="2433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94" w:type="pct"/>
            <w:vAlign w:val="center"/>
          </w:tcPr>
          <w:p w14:paraId="31C2A069">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1</w:t>
            </w:r>
          </w:p>
        </w:tc>
        <w:tc>
          <w:tcPr>
            <w:tcW w:w="936" w:type="pct"/>
            <w:vAlign w:val="center"/>
          </w:tcPr>
          <w:p w14:paraId="394F5025">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报价</w:t>
            </w:r>
          </w:p>
        </w:tc>
        <w:tc>
          <w:tcPr>
            <w:tcW w:w="3077" w:type="pct"/>
            <w:vAlign w:val="center"/>
          </w:tcPr>
          <w:p w14:paraId="7E22DE99">
            <w:pPr>
              <w:pStyle w:val="8"/>
              <w:keepNext w:val="0"/>
              <w:keepLines w:val="0"/>
              <w:pageBreakBefore w:val="0"/>
              <w:widowControl w:val="0"/>
              <w:kinsoku/>
              <w:wordWrap/>
              <w:overflowPunct/>
              <w:topLinePunct w:val="0"/>
              <w:autoSpaceDE/>
              <w:autoSpaceDN/>
              <w:bidi w:val="0"/>
              <w:adjustRightInd w:val="0"/>
              <w:snapToGrid w:val="0"/>
              <w:spacing w:line="440" w:lineRule="exact"/>
              <w:jc w:val="both"/>
              <w:textAlignment w:val="baseline"/>
              <w:rPr>
                <w:rFonts w:hint="eastAsia" w:ascii="宋体" w:hAnsi="宋体" w:eastAsia="宋体" w:cs="宋体"/>
                <w:vertAlign w:val="baseline"/>
                <w:lang w:eastAsia="zh-CN"/>
              </w:rPr>
            </w:pPr>
            <w:r>
              <w:rPr>
                <w:rFonts w:hint="eastAsia" w:ascii="宋体" w:hAnsi="宋体" w:eastAsia="宋体" w:cs="宋体"/>
                <w:highlight w:val="none"/>
                <w:vertAlign w:val="baseline"/>
                <w:lang w:eastAsia="zh-CN"/>
              </w:rPr>
              <w:t>(评标基准价／有效投标报价)*分值权重</w:t>
            </w:r>
          </w:p>
        </w:tc>
        <w:tc>
          <w:tcPr>
            <w:tcW w:w="591" w:type="pct"/>
            <w:vAlign w:val="center"/>
          </w:tcPr>
          <w:p w14:paraId="0ED63A26">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0-10</w:t>
            </w:r>
          </w:p>
        </w:tc>
      </w:tr>
      <w:tr w14:paraId="51D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trPr>
        <w:tc>
          <w:tcPr>
            <w:tcW w:w="394" w:type="pct"/>
            <w:vAlign w:val="center"/>
          </w:tcPr>
          <w:p w14:paraId="03145661">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2</w:t>
            </w:r>
          </w:p>
        </w:tc>
        <w:tc>
          <w:tcPr>
            <w:tcW w:w="936" w:type="pct"/>
            <w:vAlign w:val="center"/>
          </w:tcPr>
          <w:p w14:paraId="5744BD20">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商务资信</w:t>
            </w:r>
          </w:p>
        </w:tc>
        <w:tc>
          <w:tcPr>
            <w:tcW w:w="3077" w:type="pct"/>
            <w:vAlign w:val="center"/>
          </w:tcPr>
          <w:p w14:paraId="6312E719">
            <w:pPr>
              <w:pStyle w:val="8"/>
              <w:keepNext w:val="0"/>
              <w:keepLines w:val="0"/>
              <w:pageBreakBefore w:val="0"/>
              <w:widowControl w:val="0"/>
              <w:kinsoku/>
              <w:wordWrap/>
              <w:overflowPunct/>
              <w:topLinePunct w:val="0"/>
              <w:autoSpaceDE/>
              <w:autoSpaceDN/>
              <w:bidi w:val="0"/>
              <w:adjustRightInd w:val="0"/>
              <w:snapToGrid w:val="0"/>
              <w:spacing w:line="440" w:lineRule="exact"/>
              <w:jc w:val="both"/>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合同执行能力、投标人业绩：投标人近3年（202</w:t>
            </w:r>
            <w:r>
              <w:rPr>
                <w:rFonts w:hint="eastAsia" w:ascii="宋体" w:hAnsi="宋体" w:eastAsia="宋体" w:cs="宋体"/>
                <w:vertAlign w:val="baseline"/>
                <w:lang w:val="en-US" w:eastAsia="zh-CN"/>
              </w:rPr>
              <w:t>3</w:t>
            </w:r>
            <w:r>
              <w:rPr>
                <w:rFonts w:hint="eastAsia" w:ascii="宋体" w:hAnsi="宋体" w:eastAsia="宋体" w:cs="宋体"/>
                <w:vertAlign w:val="baseline"/>
                <w:lang w:eastAsia="zh-CN"/>
              </w:rPr>
              <w:t>年4月至今）内承担的同类型项目业绩（承保团体意外伤害保险的合同业绩），每提供一项计3分，满分15分；</w:t>
            </w:r>
          </w:p>
          <w:p w14:paraId="4D2C81F5">
            <w:pPr>
              <w:pStyle w:val="8"/>
              <w:keepNext w:val="0"/>
              <w:keepLines w:val="0"/>
              <w:pageBreakBefore w:val="0"/>
              <w:widowControl w:val="0"/>
              <w:kinsoku/>
              <w:wordWrap/>
              <w:overflowPunct/>
              <w:topLinePunct w:val="0"/>
              <w:autoSpaceDE/>
              <w:autoSpaceDN/>
              <w:bidi w:val="0"/>
              <w:adjustRightInd w:val="0"/>
              <w:snapToGrid w:val="0"/>
              <w:spacing w:line="440" w:lineRule="exact"/>
              <w:jc w:val="both"/>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注：须提供中标通知书或合同协议书、保险单扫描件并加盖单位公章。</w:t>
            </w:r>
          </w:p>
        </w:tc>
        <w:tc>
          <w:tcPr>
            <w:tcW w:w="591" w:type="pct"/>
            <w:vAlign w:val="center"/>
          </w:tcPr>
          <w:p w14:paraId="5A5AC40B">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0-15</w:t>
            </w:r>
          </w:p>
        </w:tc>
      </w:tr>
      <w:tr w14:paraId="1E4B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394" w:type="pct"/>
            <w:vAlign w:val="center"/>
          </w:tcPr>
          <w:p w14:paraId="33633B2A">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3</w:t>
            </w:r>
          </w:p>
        </w:tc>
        <w:tc>
          <w:tcPr>
            <w:tcW w:w="936" w:type="pct"/>
            <w:vAlign w:val="center"/>
          </w:tcPr>
          <w:p w14:paraId="69A59D42">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商务资信</w:t>
            </w:r>
          </w:p>
        </w:tc>
        <w:tc>
          <w:tcPr>
            <w:tcW w:w="3077" w:type="pct"/>
            <w:vAlign w:val="center"/>
          </w:tcPr>
          <w:p w14:paraId="1BE67377">
            <w:pPr>
              <w:pStyle w:val="8"/>
              <w:keepNext w:val="0"/>
              <w:keepLines w:val="0"/>
              <w:pageBreakBefore w:val="0"/>
              <w:widowControl w:val="0"/>
              <w:kinsoku/>
              <w:wordWrap/>
              <w:overflowPunct/>
              <w:topLinePunct w:val="0"/>
              <w:autoSpaceDE/>
              <w:autoSpaceDN/>
              <w:bidi w:val="0"/>
              <w:adjustRightInd w:val="0"/>
              <w:snapToGrid w:val="0"/>
              <w:spacing w:line="440" w:lineRule="exact"/>
              <w:jc w:val="both"/>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项目拟定的组织管理机构配置：根据是否设有专门的组织管理机构和专业服务团队为本项目服务进行评分，组织管理机构及人员配备合理、科学、专业性强，根据报价人响应情况进行横向比较，优秀得8-10分，良好得5-7分，一般得1-4分</w:t>
            </w:r>
          </w:p>
        </w:tc>
        <w:tc>
          <w:tcPr>
            <w:tcW w:w="591" w:type="pct"/>
            <w:vAlign w:val="center"/>
          </w:tcPr>
          <w:p w14:paraId="15428E89">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0-10</w:t>
            </w:r>
          </w:p>
        </w:tc>
      </w:tr>
      <w:tr w14:paraId="78A4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50051A5F">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4</w:t>
            </w:r>
          </w:p>
        </w:tc>
        <w:tc>
          <w:tcPr>
            <w:tcW w:w="936" w:type="pct"/>
            <w:vAlign w:val="center"/>
          </w:tcPr>
          <w:p w14:paraId="0D0FAA08">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商务资信</w:t>
            </w:r>
          </w:p>
        </w:tc>
        <w:tc>
          <w:tcPr>
            <w:tcW w:w="3077" w:type="pct"/>
          </w:tcPr>
          <w:p w14:paraId="6DA27ADF">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总公司偿付能力：</w:t>
            </w:r>
          </w:p>
          <w:p w14:paraId="5BBEDA81">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根据投标人所属公司202</w:t>
            </w:r>
            <w:r>
              <w:rPr>
                <w:rFonts w:hint="eastAsia" w:ascii="宋体" w:hAnsi="宋体" w:eastAsia="宋体" w:cs="宋体"/>
                <w:vertAlign w:val="baseline"/>
                <w:lang w:val="en-US" w:eastAsia="zh-CN"/>
              </w:rPr>
              <w:t>5</w:t>
            </w:r>
            <w:r>
              <w:rPr>
                <w:rFonts w:hint="eastAsia" w:ascii="宋体" w:hAnsi="宋体" w:eastAsia="宋体" w:cs="宋体"/>
                <w:vertAlign w:val="baseline"/>
                <w:lang w:eastAsia="zh-CN"/>
              </w:rPr>
              <w:t>年度末综合偿付能力充足率进行评分：</w:t>
            </w:r>
          </w:p>
          <w:p w14:paraId="124874DF">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A.达到</w:t>
            </w:r>
            <w:r>
              <w:rPr>
                <w:rFonts w:hint="eastAsia" w:ascii="宋体" w:hAnsi="宋体" w:eastAsia="宋体" w:cs="宋体"/>
                <w:vertAlign w:val="baseline"/>
                <w:lang w:val="en-US" w:eastAsia="zh-CN"/>
              </w:rPr>
              <w:t>1</w:t>
            </w:r>
            <w:r>
              <w:rPr>
                <w:rFonts w:hint="eastAsia" w:ascii="宋体" w:hAnsi="宋体" w:eastAsia="宋体" w:cs="宋体"/>
                <w:vertAlign w:val="baseline"/>
                <w:lang w:eastAsia="zh-CN"/>
              </w:rPr>
              <w:t>50%及以上得10分；</w:t>
            </w:r>
          </w:p>
          <w:p w14:paraId="31059D95">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B.</w:t>
            </w:r>
            <w:r>
              <w:rPr>
                <w:rFonts w:hint="eastAsia" w:ascii="宋体" w:hAnsi="宋体" w:eastAsia="宋体" w:cs="宋体"/>
                <w:vertAlign w:val="baseline"/>
                <w:lang w:val="en-US" w:eastAsia="zh-CN"/>
              </w:rPr>
              <w:t>1</w:t>
            </w:r>
            <w:r>
              <w:rPr>
                <w:rFonts w:hint="eastAsia" w:ascii="宋体" w:hAnsi="宋体" w:eastAsia="宋体" w:cs="宋体"/>
                <w:vertAlign w:val="baseline"/>
                <w:lang w:eastAsia="zh-CN"/>
              </w:rPr>
              <w:t>50%—</w:t>
            </w:r>
            <w:r>
              <w:rPr>
                <w:rFonts w:hint="eastAsia" w:ascii="宋体" w:hAnsi="宋体" w:eastAsia="宋体" w:cs="宋体"/>
                <w:vertAlign w:val="baseline"/>
                <w:lang w:val="en-US" w:eastAsia="zh-CN"/>
              </w:rPr>
              <w:t>1</w:t>
            </w:r>
            <w:r>
              <w:rPr>
                <w:rFonts w:hint="eastAsia" w:ascii="宋体" w:hAnsi="宋体" w:eastAsia="宋体" w:cs="宋体"/>
                <w:vertAlign w:val="baseline"/>
                <w:lang w:eastAsia="zh-CN"/>
              </w:rPr>
              <w:t>00%得</w:t>
            </w:r>
            <w:r>
              <w:rPr>
                <w:rFonts w:hint="eastAsia" w:ascii="宋体" w:hAnsi="宋体" w:eastAsia="宋体" w:cs="宋体"/>
                <w:vertAlign w:val="baseline"/>
                <w:lang w:val="en-US" w:eastAsia="zh-CN"/>
              </w:rPr>
              <w:t>5</w:t>
            </w:r>
            <w:r>
              <w:rPr>
                <w:rFonts w:hint="eastAsia" w:ascii="宋体" w:hAnsi="宋体" w:eastAsia="宋体" w:cs="宋体"/>
                <w:vertAlign w:val="baseline"/>
                <w:lang w:eastAsia="zh-CN"/>
              </w:rPr>
              <w:t>分；</w:t>
            </w:r>
          </w:p>
          <w:p w14:paraId="286B1AE2">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val="en-US" w:eastAsia="zh-CN"/>
              </w:rPr>
              <w:t>C</w:t>
            </w:r>
            <w:r>
              <w:rPr>
                <w:rFonts w:hint="eastAsia" w:ascii="宋体" w:hAnsi="宋体" w:eastAsia="宋体" w:cs="宋体"/>
                <w:vertAlign w:val="baseline"/>
                <w:lang w:eastAsia="zh-CN"/>
              </w:rPr>
              <w:t>.低于1</w:t>
            </w:r>
            <w:r>
              <w:rPr>
                <w:rFonts w:hint="eastAsia" w:ascii="宋体" w:hAnsi="宋体" w:eastAsia="宋体" w:cs="宋体"/>
                <w:vertAlign w:val="baseline"/>
                <w:lang w:val="en-US" w:eastAsia="zh-CN"/>
              </w:rPr>
              <w:t>0</w:t>
            </w:r>
            <w:r>
              <w:rPr>
                <w:rFonts w:hint="eastAsia" w:ascii="宋体" w:hAnsi="宋体" w:eastAsia="宋体" w:cs="宋体"/>
                <w:vertAlign w:val="baseline"/>
                <w:lang w:eastAsia="zh-CN"/>
              </w:rPr>
              <w:t>0%不得分。</w:t>
            </w:r>
          </w:p>
          <w:p w14:paraId="1F7A26FE">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说明：投标人需提供202</w:t>
            </w:r>
            <w:r>
              <w:rPr>
                <w:rFonts w:hint="eastAsia" w:ascii="宋体" w:hAnsi="宋体" w:eastAsia="宋体" w:cs="宋体"/>
                <w:vertAlign w:val="baseline"/>
                <w:lang w:val="en-US" w:eastAsia="zh-CN"/>
              </w:rPr>
              <w:t>5</w:t>
            </w:r>
            <w:r>
              <w:rPr>
                <w:rFonts w:hint="eastAsia" w:ascii="宋体" w:hAnsi="宋体" w:eastAsia="宋体" w:cs="宋体"/>
                <w:vertAlign w:val="baseline"/>
                <w:lang w:eastAsia="zh-CN"/>
              </w:rPr>
              <w:t>年第4季度偿付能力报告影印件作为评审依据，不提供或提供资料不齐全不得分。</w:t>
            </w:r>
          </w:p>
        </w:tc>
        <w:tc>
          <w:tcPr>
            <w:tcW w:w="591" w:type="pct"/>
            <w:vAlign w:val="center"/>
          </w:tcPr>
          <w:p w14:paraId="458CBB66">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w:t>
            </w:r>
            <w:r>
              <w:rPr>
                <w:rFonts w:hint="eastAsia" w:ascii="宋体" w:hAnsi="宋体" w:eastAsia="宋体" w:cs="宋体"/>
                <w:vertAlign w:val="baseline"/>
                <w:lang w:val="en-US" w:eastAsia="zh-CN"/>
              </w:rPr>
              <w:t>-</w:t>
            </w:r>
            <w:r>
              <w:rPr>
                <w:rFonts w:hint="eastAsia" w:ascii="宋体" w:hAnsi="宋体" w:eastAsia="宋体" w:cs="宋体"/>
                <w:vertAlign w:val="baseline"/>
                <w:lang w:eastAsia="zh-CN"/>
              </w:rPr>
              <w:t>10</w:t>
            </w:r>
          </w:p>
        </w:tc>
      </w:tr>
      <w:tr w14:paraId="5D0F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166C7BD6">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5</w:t>
            </w:r>
          </w:p>
        </w:tc>
        <w:tc>
          <w:tcPr>
            <w:tcW w:w="936" w:type="pct"/>
            <w:vAlign w:val="center"/>
          </w:tcPr>
          <w:p w14:paraId="7961B6FA">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253F3A23">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服务方案：</w:t>
            </w:r>
          </w:p>
          <w:p w14:paraId="25D77A3F">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方案中包括但不限于承保业务流程、组织保障方面的具体实施方案进行评分，项目重点和难点分析及应对措施，保险方案主条款的责任及其他内容。本项分三档，优秀8-10分、良好5-7分、一般1-4分。</w:t>
            </w:r>
          </w:p>
        </w:tc>
        <w:tc>
          <w:tcPr>
            <w:tcW w:w="591" w:type="pct"/>
            <w:vAlign w:val="center"/>
          </w:tcPr>
          <w:p w14:paraId="6510135B">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0-10</w:t>
            </w:r>
          </w:p>
        </w:tc>
      </w:tr>
      <w:tr w14:paraId="584C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3F48A743">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6</w:t>
            </w:r>
          </w:p>
        </w:tc>
        <w:tc>
          <w:tcPr>
            <w:tcW w:w="936" w:type="pct"/>
            <w:vAlign w:val="center"/>
          </w:tcPr>
          <w:p w14:paraId="7F6FB0F0">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04F06850">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承保服务：</w:t>
            </w:r>
          </w:p>
          <w:p w14:paraId="3427FC4F">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根据投保流程的方便性、程序的科学性、统计的便捷性等情况进行评分。本项分三档，优秀4-5分、良好2-3分、一般1分。</w:t>
            </w:r>
          </w:p>
        </w:tc>
        <w:tc>
          <w:tcPr>
            <w:tcW w:w="591" w:type="pct"/>
            <w:vAlign w:val="center"/>
          </w:tcPr>
          <w:p w14:paraId="727CC9FD">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0-5</w:t>
            </w:r>
          </w:p>
        </w:tc>
      </w:tr>
      <w:tr w14:paraId="795D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1226AB8F">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7</w:t>
            </w:r>
          </w:p>
        </w:tc>
        <w:tc>
          <w:tcPr>
            <w:tcW w:w="936" w:type="pct"/>
            <w:vAlign w:val="center"/>
          </w:tcPr>
          <w:p w14:paraId="704D31BE">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7892D9B7">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理赔方案：</w:t>
            </w:r>
          </w:p>
          <w:p w14:paraId="5D272285">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理赔方案，方案中包括但不限于理赔案件的处理流程，理赔方案是否完整完善，报案的响应速度、赔案处理、理赔时效，根据投标人的承诺和承诺的可靠性进行评分。优得10-15分，一般得5-9分，差得1-4分。</w:t>
            </w:r>
          </w:p>
        </w:tc>
        <w:tc>
          <w:tcPr>
            <w:tcW w:w="591" w:type="pct"/>
            <w:vAlign w:val="center"/>
          </w:tcPr>
          <w:p w14:paraId="24D523CD">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0-15</w:t>
            </w:r>
          </w:p>
        </w:tc>
      </w:tr>
      <w:tr w14:paraId="1918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6546F626">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8</w:t>
            </w:r>
          </w:p>
        </w:tc>
        <w:tc>
          <w:tcPr>
            <w:tcW w:w="936" w:type="pct"/>
            <w:vAlign w:val="center"/>
          </w:tcPr>
          <w:p w14:paraId="626086EF">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4DC21B44">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理赔承诺：</w:t>
            </w:r>
          </w:p>
          <w:p w14:paraId="779ABF42">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包括理赔权限、理赔流程、理赔服务的内容及承诺、理赔资料清单、现场查勘时效承诺、紧急情况的处理、理赔时效承诺、预付赔款的处理及预付赔款比例承诺、其他理赔承诺等。本项分三档，优秀8-10分、良好5-7分、一般1-4分。</w:t>
            </w:r>
          </w:p>
        </w:tc>
        <w:tc>
          <w:tcPr>
            <w:tcW w:w="591" w:type="pct"/>
            <w:vAlign w:val="center"/>
          </w:tcPr>
          <w:p w14:paraId="3C6BFA13">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0-10</w:t>
            </w:r>
          </w:p>
        </w:tc>
      </w:tr>
      <w:tr w14:paraId="5589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94" w:type="pct"/>
            <w:vAlign w:val="center"/>
          </w:tcPr>
          <w:p w14:paraId="6A69C870">
            <w:pPr>
              <w:pStyle w:val="8"/>
              <w:snapToGrid w:val="0"/>
              <w:spacing w:line="480" w:lineRule="exact"/>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9</w:t>
            </w:r>
          </w:p>
        </w:tc>
        <w:tc>
          <w:tcPr>
            <w:tcW w:w="936" w:type="pct"/>
            <w:vAlign w:val="center"/>
          </w:tcPr>
          <w:p w14:paraId="31D1B526">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vAlign w:val="center"/>
          </w:tcPr>
          <w:p w14:paraId="64793CAC">
            <w:pPr>
              <w:pStyle w:val="8"/>
              <w:keepNext w:val="0"/>
              <w:keepLines w:val="0"/>
              <w:pageBreakBefore w:val="0"/>
              <w:widowControl w:val="0"/>
              <w:kinsoku/>
              <w:wordWrap/>
              <w:overflowPunct/>
              <w:topLinePunct w:val="0"/>
              <w:autoSpaceDE/>
              <w:autoSpaceDN/>
              <w:bidi w:val="0"/>
              <w:adjustRightInd w:val="0"/>
              <w:snapToGrid w:val="0"/>
              <w:spacing w:line="440" w:lineRule="exact"/>
              <w:jc w:val="both"/>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服务承诺：</w:t>
            </w:r>
          </w:p>
        </w:tc>
        <w:tc>
          <w:tcPr>
            <w:tcW w:w="591" w:type="pct"/>
            <w:vAlign w:val="center"/>
          </w:tcPr>
          <w:p w14:paraId="4A95F18D">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0-10</w:t>
            </w:r>
          </w:p>
        </w:tc>
      </w:tr>
      <w:tr w14:paraId="6E16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2728E305">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9</w:t>
            </w:r>
            <w:r>
              <w:rPr>
                <w:rFonts w:hint="eastAsia" w:ascii="宋体" w:hAnsi="宋体" w:eastAsia="宋体" w:cs="宋体"/>
                <w:vertAlign w:val="baseline"/>
                <w:lang w:eastAsia="zh-CN"/>
              </w:rPr>
              <w:t>.1</w:t>
            </w:r>
          </w:p>
        </w:tc>
        <w:tc>
          <w:tcPr>
            <w:tcW w:w="936" w:type="pct"/>
            <w:vAlign w:val="center"/>
          </w:tcPr>
          <w:p w14:paraId="1611E7CB">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3214AB7B">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（1）保险有效期内，投标人明确承诺在此期间发生的案件均能足额、及时赔付的得满分2分，不承诺的不得分。（0-2分）</w:t>
            </w:r>
          </w:p>
        </w:tc>
        <w:tc>
          <w:tcPr>
            <w:tcW w:w="591" w:type="pct"/>
            <w:vAlign w:val="center"/>
          </w:tcPr>
          <w:p w14:paraId="5FFBE967">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0-2</w:t>
            </w:r>
          </w:p>
        </w:tc>
      </w:tr>
      <w:tr w14:paraId="5D65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48C66405">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9</w:t>
            </w:r>
            <w:r>
              <w:rPr>
                <w:rFonts w:hint="eastAsia" w:ascii="宋体" w:hAnsi="宋体" w:eastAsia="宋体" w:cs="宋体"/>
                <w:vertAlign w:val="baseline"/>
                <w:lang w:eastAsia="zh-CN"/>
              </w:rPr>
              <w:t>.2</w:t>
            </w:r>
          </w:p>
        </w:tc>
        <w:tc>
          <w:tcPr>
            <w:tcW w:w="936" w:type="pct"/>
            <w:vAlign w:val="center"/>
          </w:tcPr>
          <w:p w14:paraId="4D66DBF2">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3C2AE987">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（2）根据投标人所提供理赔服务的便捷性，理赔流程的合理性进行酌情评分。方案优的得3分，一般的得2分，没有的不得分。</w:t>
            </w:r>
          </w:p>
        </w:tc>
        <w:tc>
          <w:tcPr>
            <w:tcW w:w="591" w:type="pct"/>
            <w:vAlign w:val="center"/>
          </w:tcPr>
          <w:p w14:paraId="73A0F64A">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0-3</w:t>
            </w:r>
          </w:p>
        </w:tc>
      </w:tr>
      <w:tr w14:paraId="35D0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265B2DA6">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9</w:t>
            </w:r>
            <w:r>
              <w:rPr>
                <w:rFonts w:hint="eastAsia" w:ascii="宋体" w:hAnsi="宋体" w:eastAsia="宋体" w:cs="宋体"/>
                <w:vertAlign w:val="baseline"/>
                <w:lang w:eastAsia="zh-CN"/>
              </w:rPr>
              <w:t>.3</w:t>
            </w:r>
          </w:p>
        </w:tc>
        <w:tc>
          <w:tcPr>
            <w:tcW w:w="936" w:type="pct"/>
            <w:vAlign w:val="center"/>
          </w:tcPr>
          <w:p w14:paraId="48130723">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5EF0B3B9">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（3）理赔案例经验：近三年以来人身意外伤害险（旅游类保险除外）理赔案例案例，（按提供的个数打分，例如提供3个案例得3分，最高得5分）（提供已决赔案卷宗原件或复印件）</w:t>
            </w:r>
          </w:p>
        </w:tc>
        <w:tc>
          <w:tcPr>
            <w:tcW w:w="591" w:type="pct"/>
            <w:vAlign w:val="center"/>
          </w:tcPr>
          <w:p w14:paraId="14244CAB">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0-5</w:t>
            </w:r>
          </w:p>
        </w:tc>
      </w:tr>
      <w:tr w14:paraId="009F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20858F36">
            <w:pPr>
              <w:pStyle w:val="8"/>
              <w:snapToGrid w:val="0"/>
              <w:spacing w:line="480" w:lineRule="exact"/>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10</w:t>
            </w:r>
          </w:p>
        </w:tc>
        <w:tc>
          <w:tcPr>
            <w:tcW w:w="936" w:type="pct"/>
            <w:vAlign w:val="center"/>
          </w:tcPr>
          <w:p w14:paraId="0A48C055">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19E6D20E">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 xml:space="preserve">风险管理、风险防范、风险控制措施：  </w:t>
            </w:r>
          </w:p>
          <w:p w14:paraId="5AECAF71">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根据投标人对风险防范、风险控制措施、保险知识培训等的承诺情况及可行性进行评分，酌情评分（0-5分）。</w:t>
            </w:r>
          </w:p>
        </w:tc>
        <w:tc>
          <w:tcPr>
            <w:tcW w:w="591" w:type="pct"/>
            <w:vAlign w:val="center"/>
          </w:tcPr>
          <w:p w14:paraId="181E5016">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0-5</w:t>
            </w:r>
          </w:p>
        </w:tc>
      </w:tr>
    </w:tbl>
    <w:p w14:paraId="281925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HAnsi" w:eastAsiaTheme="minorEastAsia"/>
          <w:lang w:val="en-US" w:eastAsia="zh-CN"/>
        </w:rPr>
      </w:pPr>
      <w:r>
        <w:rPr>
          <w:rFonts w:hint="eastAsia" w:asciiTheme="minorHAnsi" w:eastAsiaTheme="minorEastAsia"/>
          <w:lang w:val="en-US" w:eastAsia="zh-CN"/>
        </w:rPr>
        <w:t>包</w:t>
      </w:r>
      <w:r>
        <w:rPr>
          <w:rFonts w:hint="eastAsia"/>
          <w:lang w:val="en-US" w:eastAsia="zh-CN"/>
        </w:rPr>
        <w:t>2</w:t>
      </w:r>
      <w:r>
        <w:rPr>
          <w:rFonts w:hint="eastAsia" w:asciiTheme="minorHAnsi" w:eastAsiaTheme="minorEastAsia"/>
          <w:lang w:val="en-US" w:eastAsia="zh-CN"/>
        </w:rPr>
        <w:t>的评分方法</w:t>
      </w:r>
    </w:p>
    <w:tbl>
      <w:tblPr>
        <w:tblStyle w:val="6"/>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615"/>
        <w:gridCol w:w="5310"/>
        <w:gridCol w:w="1021"/>
      </w:tblGrid>
      <w:tr w14:paraId="48FC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394" w:type="pct"/>
            <w:vAlign w:val="center"/>
          </w:tcPr>
          <w:p w14:paraId="2D9827B3">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序号</w:t>
            </w:r>
          </w:p>
        </w:tc>
        <w:tc>
          <w:tcPr>
            <w:tcW w:w="936" w:type="pct"/>
            <w:vAlign w:val="center"/>
          </w:tcPr>
          <w:p w14:paraId="02F3E88E">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评分类型</w:t>
            </w:r>
          </w:p>
        </w:tc>
        <w:tc>
          <w:tcPr>
            <w:tcW w:w="3077" w:type="pct"/>
            <w:vAlign w:val="center"/>
          </w:tcPr>
          <w:p w14:paraId="048CE4E6">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评分标准</w:t>
            </w:r>
          </w:p>
        </w:tc>
        <w:tc>
          <w:tcPr>
            <w:tcW w:w="591" w:type="pct"/>
            <w:vAlign w:val="center"/>
          </w:tcPr>
          <w:p w14:paraId="19722472">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分值</w:t>
            </w:r>
          </w:p>
        </w:tc>
      </w:tr>
      <w:tr w14:paraId="7998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94" w:type="pct"/>
            <w:vAlign w:val="center"/>
          </w:tcPr>
          <w:p w14:paraId="6724E8E3">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1</w:t>
            </w:r>
          </w:p>
        </w:tc>
        <w:tc>
          <w:tcPr>
            <w:tcW w:w="936" w:type="pct"/>
            <w:vAlign w:val="center"/>
          </w:tcPr>
          <w:p w14:paraId="254DF1A8">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报价</w:t>
            </w:r>
          </w:p>
        </w:tc>
        <w:tc>
          <w:tcPr>
            <w:tcW w:w="3077" w:type="pct"/>
            <w:vAlign w:val="center"/>
          </w:tcPr>
          <w:p w14:paraId="113B77AA">
            <w:pPr>
              <w:pStyle w:val="8"/>
              <w:keepNext w:val="0"/>
              <w:keepLines w:val="0"/>
              <w:pageBreakBefore w:val="0"/>
              <w:widowControl w:val="0"/>
              <w:kinsoku/>
              <w:wordWrap/>
              <w:overflowPunct/>
              <w:topLinePunct w:val="0"/>
              <w:autoSpaceDE/>
              <w:autoSpaceDN/>
              <w:bidi w:val="0"/>
              <w:adjustRightInd w:val="0"/>
              <w:snapToGrid w:val="0"/>
              <w:spacing w:line="440" w:lineRule="exact"/>
              <w:jc w:val="both"/>
              <w:textAlignment w:val="baseline"/>
              <w:rPr>
                <w:rFonts w:hint="eastAsia" w:ascii="宋体" w:hAnsi="宋体" w:eastAsia="宋体" w:cs="宋体"/>
                <w:vertAlign w:val="baseline"/>
                <w:lang w:eastAsia="zh-CN"/>
              </w:rPr>
            </w:pPr>
            <w:r>
              <w:rPr>
                <w:rFonts w:hint="eastAsia" w:ascii="宋体" w:hAnsi="宋体" w:eastAsia="宋体" w:cs="宋体"/>
                <w:highlight w:val="none"/>
                <w:vertAlign w:val="baseline"/>
                <w:lang w:eastAsia="zh-CN"/>
              </w:rPr>
              <w:t>(评标基准价／有效投标报价)*分值权重</w:t>
            </w:r>
          </w:p>
        </w:tc>
        <w:tc>
          <w:tcPr>
            <w:tcW w:w="591" w:type="pct"/>
            <w:vAlign w:val="center"/>
          </w:tcPr>
          <w:p w14:paraId="5FC1C72B">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0-10</w:t>
            </w:r>
          </w:p>
        </w:tc>
      </w:tr>
      <w:tr w14:paraId="3854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trPr>
        <w:tc>
          <w:tcPr>
            <w:tcW w:w="394" w:type="pct"/>
            <w:vAlign w:val="center"/>
          </w:tcPr>
          <w:p w14:paraId="1C16507A">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2</w:t>
            </w:r>
          </w:p>
        </w:tc>
        <w:tc>
          <w:tcPr>
            <w:tcW w:w="936" w:type="pct"/>
            <w:vAlign w:val="center"/>
          </w:tcPr>
          <w:p w14:paraId="0E6C3DB1">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商务资信</w:t>
            </w:r>
          </w:p>
        </w:tc>
        <w:tc>
          <w:tcPr>
            <w:tcW w:w="3077" w:type="pct"/>
            <w:vAlign w:val="center"/>
          </w:tcPr>
          <w:p w14:paraId="51498935">
            <w:pPr>
              <w:pStyle w:val="8"/>
              <w:keepNext w:val="0"/>
              <w:keepLines w:val="0"/>
              <w:pageBreakBefore w:val="0"/>
              <w:widowControl w:val="0"/>
              <w:kinsoku/>
              <w:wordWrap/>
              <w:overflowPunct/>
              <w:topLinePunct w:val="0"/>
              <w:autoSpaceDE/>
              <w:autoSpaceDN/>
              <w:bidi w:val="0"/>
              <w:adjustRightInd w:val="0"/>
              <w:snapToGrid w:val="0"/>
              <w:spacing w:line="440" w:lineRule="exact"/>
              <w:jc w:val="both"/>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合同执行能力、投标人业绩：投标人近3年（202</w:t>
            </w:r>
            <w:r>
              <w:rPr>
                <w:rFonts w:hint="eastAsia" w:ascii="宋体" w:hAnsi="宋体" w:eastAsia="宋体" w:cs="宋体"/>
                <w:vertAlign w:val="baseline"/>
                <w:lang w:val="en-US" w:eastAsia="zh-CN"/>
              </w:rPr>
              <w:t>3</w:t>
            </w:r>
            <w:r>
              <w:rPr>
                <w:rFonts w:hint="eastAsia" w:ascii="宋体" w:hAnsi="宋体" w:eastAsia="宋体" w:cs="宋体"/>
                <w:vertAlign w:val="baseline"/>
                <w:lang w:eastAsia="zh-CN"/>
              </w:rPr>
              <w:t>年4月至今）内承担的同类型项目业绩（承保团体意外伤害保险的合同业绩），每提供一项计3分，满分15分；</w:t>
            </w:r>
          </w:p>
          <w:p w14:paraId="7E3170B5">
            <w:pPr>
              <w:pStyle w:val="8"/>
              <w:keepNext w:val="0"/>
              <w:keepLines w:val="0"/>
              <w:pageBreakBefore w:val="0"/>
              <w:widowControl w:val="0"/>
              <w:kinsoku/>
              <w:wordWrap/>
              <w:overflowPunct/>
              <w:topLinePunct w:val="0"/>
              <w:autoSpaceDE/>
              <w:autoSpaceDN/>
              <w:bidi w:val="0"/>
              <w:adjustRightInd w:val="0"/>
              <w:snapToGrid w:val="0"/>
              <w:spacing w:line="440" w:lineRule="exact"/>
              <w:jc w:val="both"/>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注：须提供中标通知书或合同协议书、保险单扫描件并加盖单位公章。</w:t>
            </w:r>
          </w:p>
        </w:tc>
        <w:tc>
          <w:tcPr>
            <w:tcW w:w="591" w:type="pct"/>
            <w:vAlign w:val="center"/>
          </w:tcPr>
          <w:p w14:paraId="45FFBCD2">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0-15</w:t>
            </w:r>
          </w:p>
        </w:tc>
      </w:tr>
      <w:tr w14:paraId="4789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394" w:type="pct"/>
            <w:vAlign w:val="center"/>
          </w:tcPr>
          <w:p w14:paraId="07C97739">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3</w:t>
            </w:r>
          </w:p>
        </w:tc>
        <w:tc>
          <w:tcPr>
            <w:tcW w:w="936" w:type="pct"/>
            <w:vAlign w:val="center"/>
          </w:tcPr>
          <w:p w14:paraId="2C1F92F3">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商务资信</w:t>
            </w:r>
          </w:p>
        </w:tc>
        <w:tc>
          <w:tcPr>
            <w:tcW w:w="3077" w:type="pct"/>
            <w:vAlign w:val="center"/>
          </w:tcPr>
          <w:p w14:paraId="457346AF">
            <w:pPr>
              <w:pStyle w:val="8"/>
              <w:keepNext w:val="0"/>
              <w:keepLines w:val="0"/>
              <w:pageBreakBefore w:val="0"/>
              <w:widowControl w:val="0"/>
              <w:kinsoku/>
              <w:wordWrap/>
              <w:overflowPunct/>
              <w:topLinePunct w:val="0"/>
              <w:autoSpaceDE/>
              <w:autoSpaceDN/>
              <w:bidi w:val="0"/>
              <w:adjustRightInd w:val="0"/>
              <w:snapToGrid w:val="0"/>
              <w:spacing w:line="440" w:lineRule="exact"/>
              <w:jc w:val="both"/>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项目拟定的组织管理机构配置：根据是否设有专门的组织管理机构和专业服务团队为本项目服务进行评分，组织管理机构及人员配备合理、科学、专业性强，根据报价人响应情况进行横向比较，优秀得8-10分，良好得5-7分，一般得1-4分</w:t>
            </w:r>
          </w:p>
        </w:tc>
        <w:tc>
          <w:tcPr>
            <w:tcW w:w="591" w:type="pct"/>
            <w:vAlign w:val="center"/>
          </w:tcPr>
          <w:p w14:paraId="12568336">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0-10</w:t>
            </w:r>
          </w:p>
        </w:tc>
      </w:tr>
      <w:tr w14:paraId="38AA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186C83C2">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4</w:t>
            </w:r>
          </w:p>
        </w:tc>
        <w:tc>
          <w:tcPr>
            <w:tcW w:w="936" w:type="pct"/>
            <w:vAlign w:val="center"/>
          </w:tcPr>
          <w:p w14:paraId="7E2283CE">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商务资信</w:t>
            </w:r>
          </w:p>
        </w:tc>
        <w:tc>
          <w:tcPr>
            <w:tcW w:w="3077" w:type="pct"/>
          </w:tcPr>
          <w:p w14:paraId="2FB4F729">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总公司偿付能力：</w:t>
            </w:r>
          </w:p>
          <w:p w14:paraId="00E15FC1">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根据投标人所属公司202</w:t>
            </w:r>
            <w:r>
              <w:rPr>
                <w:rFonts w:hint="eastAsia" w:ascii="宋体" w:hAnsi="宋体" w:eastAsia="宋体" w:cs="宋体"/>
                <w:vertAlign w:val="baseline"/>
                <w:lang w:val="en-US" w:eastAsia="zh-CN"/>
              </w:rPr>
              <w:t>5</w:t>
            </w:r>
            <w:r>
              <w:rPr>
                <w:rFonts w:hint="eastAsia" w:ascii="宋体" w:hAnsi="宋体" w:eastAsia="宋体" w:cs="宋体"/>
                <w:vertAlign w:val="baseline"/>
                <w:lang w:eastAsia="zh-CN"/>
              </w:rPr>
              <w:t>年度末综合偿付能力充足率进行评分：</w:t>
            </w:r>
          </w:p>
          <w:p w14:paraId="6EB258AF">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A.达到</w:t>
            </w:r>
            <w:r>
              <w:rPr>
                <w:rFonts w:hint="eastAsia" w:ascii="宋体" w:hAnsi="宋体" w:eastAsia="宋体" w:cs="宋体"/>
                <w:vertAlign w:val="baseline"/>
                <w:lang w:val="en-US" w:eastAsia="zh-CN"/>
              </w:rPr>
              <w:t>1</w:t>
            </w:r>
            <w:r>
              <w:rPr>
                <w:rFonts w:hint="eastAsia" w:ascii="宋体" w:hAnsi="宋体" w:eastAsia="宋体" w:cs="宋体"/>
                <w:vertAlign w:val="baseline"/>
                <w:lang w:eastAsia="zh-CN"/>
              </w:rPr>
              <w:t>50%及以上得10分；</w:t>
            </w:r>
          </w:p>
          <w:p w14:paraId="5D243EE8">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B.</w:t>
            </w:r>
            <w:r>
              <w:rPr>
                <w:rFonts w:hint="eastAsia" w:ascii="宋体" w:hAnsi="宋体" w:eastAsia="宋体" w:cs="宋体"/>
                <w:vertAlign w:val="baseline"/>
                <w:lang w:val="en-US" w:eastAsia="zh-CN"/>
              </w:rPr>
              <w:t>1</w:t>
            </w:r>
            <w:r>
              <w:rPr>
                <w:rFonts w:hint="eastAsia" w:ascii="宋体" w:hAnsi="宋体" w:eastAsia="宋体" w:cs="宋体"/>
                <w:vertAlign w:val="baseline"/>
                <w:lang w:eastAsia="zh-CN"/>
              </w:rPr>
              <w:t>50%—</w:t>
            </w:r>
            <w:r>
              <w:rPr>
                <w:rFonts w:hint="eastAsia" w:ascii="宋体" w:hAnsi="宋体" w:eastAsia="宋体" w:cs="宋体"/>
                <w:vertAlign w:val="baseline"/>
                <w:lang w:val="en-US" w:eastAsia="zh-CN"/>
              </w:rPr>
              <w:t>1</w:t>
            </w:r>
            <w:r>
              <w:rPr>
                <w:rFonts w:hint="eastAsia" w:ascii="宋体" w:hAnsi="宋体" w:eastAsia="宋体" w:cs="宋体"/>
                <w:vertAlign w:val="baseline"/>
                <w:lang w:eastAsia="zh-CN"/>
              </w:rPr>
              <w:t>00%得</w:t>
            </w:r>
            <w:r>
              <w:rPr>
                <w:rFonts w:hint="eastAsia" w:ascii="宋体" w:hAnsi="宋体" w:eastAsia="宋体" w:cs="宋体"/>
                <w:vertAlign w:val="baseline"/>
                <w:lang w:val="en-US" w:eastAsia="zh-CN"/>
              </w:rPr>
              <w:t>5</w:t>
            </w:r>
            <w:r>
              <w:rPr>
                <w:rFonts w:hint="eastAsia" w:ascii="宋体" w:hAnsi="宋体" w:eastAsia="宋体" w:cs="宋体"/>
                <w:vertAlign w:val="baseline"/>
                <w:lang w:eastAsia="zh-CN"/>
              </w:rPr>
              <w:t>分；</w:t>
            </w:r>
          </w:p>
          <w:p w14:paraId="64109A2C">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val="en-US" w:eastAsia="zh-CN"/>
              </w:rPr>
              <w:t>C</w:t>
            </w:r>
            <w:r>
              <w:rPr>
                <w:rFonts w:hint="eastAsia" w:ascii="宋体" w:hAnsi="宋体" w:eastAsia="宋体" w:cs="宋体"/>
                <w:vertAlign w:val="baseline"/>
                <w:lang w:eastAsia="zh-CN"/>
              </w:rPr>
              <w:t>.低于1</w:t>
            </w:r>
            <w:r>
              <w:rPr>
                <w:rFonts w:hint="eastAsia" w:ascii="宋体" w:hAnsi="宋体" w:eastAsia="宋体" w:cs="宋体"/>
                <w:vertAlign w:val="baseline"/>
                <w:lang w:val="en-US" w:eastAsia="zh-CN"/>
              </w:rPr>
              <w:t>0</w:t>
            </w:r>
            <w:r>
              <w:rPr>
                <w:rFonts w:hint="eastAsia" w:ascii="宋体" w:hAnsi="宋体" w:eastAsia="宋体" w:cs="宋体"/>
                <w:vertAlign w:val="baseline"/>
                <w:lang w:eastAsia="zh-CN"/>
              </w:rPr>
              <w:t>0%不得分。</w:t>
            </w:r>
          </w:p>
          <w:p w14:paraId="584741D7">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说明：投标人需提供202</w:t>
            </w:r>
            <w:r>
              <w:rPr>
                <w:rFonts w:hint="eastAsia" w:ascii="宋体" w:hAnsi="宋体" w:eastAsia="宋体" w:cs="宋体"/>
                <w:vertAlign w:val="baseline"/>
                <w:lang w:val="en-US" w:eastAsia="zh-CN"/>
              </w:rPr>
              <w:t>5</w:t>
            </w:r>
            <w:r>
              <w:rPr>
                <w:rFonts w:hint="eastAsia" w:ascii="宋体" w:hAnsi="宋体" w:eastAsia="宋体" w:cs="宋体"/>
                <w:vertAlign w:val="baseline"/>
                <w:lang w:eastAsia="zh-CN"/>
              </w:rPr>
              <w:t>年第4季度偿付能力报告影印件作为评审依据，不提供或提供资料不齐全不得分。</w:t>
            </w:r>
          </w:p>
        </w:tc>
        <w:tc>
          <w:tcPr>
            <w:tcW w:w="591" w:type="pct"/>
            <w:vAlign w:val="center"/>
          </w:tcPr>
          <w:p w14:paraId="047E05C0">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w:t>
            </w:r>
            <w:r>
              <w:rPr>
                <w:rFonts w:hint="eastAsia" w:ascii="宋体" w:hAnsi="宋体" w:eastAsia="宋体" w:cs="宋体"/>
                <w:vertAlign w:val="baseline"/>
                <w:lang w:val="en-US" w:eastAsia="zh-CN"/>
              </w:rPr>
              <w:t>-</w:t>
            </w:r>
            <w:r>
              <w:rPr>
                <w:rFonts w:hint="eastAsia" w:ascii="宋体" w:hAnsi="宋体" w:eastAsia="宋体" w:cs="宋体"/>
                <w:vertAlign w:val="baseline"/>
                <w:lang w:eastAsia="zh-CN"/>
              </w:rPr>
              <w:t>10</w:t>
            </w:r>
          </w:p>
        </w:tc>
      </w:tr>
      <w:tr w14:paraId="1308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31943445">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5</w:t>
            </w:r>
          </w:p>
        </w:tc>
        <w:tc>
          <w:tcPr>
            <w:tcW w:w="936" w:type="pct"/>
            <w:vAlign w:val="center"/>
          </w:tcPr>
          <w:p w14:paraId="418E1F29">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65E2ABE1">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服务方案：</w:t>
            </w:r>
          </w:p>
          <w:p w14:paraId="3BDBB6AF">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方案中包括但不限于承保业务流程、组织保障方面的具体实施方案进行评分，项目重点和难点分析及应对措施，保险方案主条款的责任及其他内容。本项分三档，优秀8-10分、良好5-7分、一般1-4分。</w:t>
            </w:r>
          </w:p>
        </w:tc>
        <w:tc>
          <w:tcPr>
            <w:tcW w:w="591" w:type="pct"/>
            <w:vAlign w:val="center"/>
          </w:tcPr>
          <w:p w14:paraId="0B388A48">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0-10</w:t>
            </w:r>
          </w:p>
        </w:tc>
      </w:tr>
      <w:tr w14:paraId="1C0C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4DB8819C">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6</w:t>
            </w:r>
          </w:p>
        </w:tc>
        <w:tc>
          <w:tcPr>
            <w:tcW w:w="936" w:type="pct"/>
            <w:vAlign w:val="center"/>
          </w:tcPr>
          <w:p w14:paraId="0ECE9DAE">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15597650">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承保服务：</w:t>
            </w:r>
          </w:p>
          <w:p w14:paraId="596279D2">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根据投保流程的方便性、程序的科学性、统计的便捷性等情况进行评分。本项分三档，优秀4-5分、良好2-3分、一般1分。</w:t>
            </w:r>
          </w:p>
        </w:tc>
        <w:tc>
          <w:tcPr>
            <w:tcW w:w="591" w:type="pct"/>
            <w:vAlign w:val="center"/>
          </w:tcPr>
          <w:p w14:paraId="0EB7263E">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0-5</w:t>
            </w:r>
          </w:p>
        </w:tc>
      </w:tr>
      <w:tr w14:paraId="5684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40BBBDF1">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7</w:t>
            </w:r>
          </w:p>
        </w:tc>
        <w:tc>
          <w:tcPr>
            <w:tcW w:w="936" w:type="pct"/>
            <w:vAlign w:val="center"/>
          </w:tcPr>
          <w:p w14:paraId="686D2E66">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43FBA4C5">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理赔方案：</w:t>
            </w:r>
          </w:p>
          <w:p w14:paraId="5AB2F4CD">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理赔方案，方案中包括但不限于理赔案件的处理流程，理赔方案是否完整完善，报案的响应速度、赔案处理、理赔时效，根据投标人的承诺和承诺的可靠性进行评分。优得10-15分，一般得5-9分，差得1-4分。</w:t>
            </w:r>
          </w:p>
        </w:tc>
        <w:tc>
          <w:tcPr>
            <w:tcW w:w="591" w:type="pct"/>
            <w:vAlign w:val="center"/>
          </w:tcPr>
          <w:p w14:paraId="1AA9C958">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0-15</w:t>
            </w:r>
          </w:p>
        </w:tc>
      </w:tr>
      <w:tr w14:paraId="68BD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633C8739">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8</w:t>
            </w:r>
          </w:p>
        </w:tc>
        <w:tc>
          <w:tcPr>
            <w:tcW w:w="936" w:type="pct"/>
            <w:vAlign w:val="center"/>
          </w:tcPr>
          <w:p w14:paraId="7A6ECEC1">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4446208A">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理赔承诺：</w:t>
            </w:r>
          </w:p>
          <w:p w14:paraId="1B5DEEE3">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包括理赔权限、理赔流程、理赔服务的内容及承诺、理赔资料清单、现场查勘时效承诺、紧急情况的处理、理赔时效承诺、预付赔款的处理及预付赔款比例承诺、其他理赔承诺等。本项分三档，优秀8-10分、良好5-7分、一般1-4分。</w:t>
            </w:r>
          </w:p>
        </w:tc>
        <w:tc>
          <w:tcPr>
            <w:tcW w:w="591" w:type="pct"/>
            <w:vAlign w:val="center"/>
          </w:tcPr>
          <w:p w14:paraId="5D16C03A">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0-10</w:t>
            </w:r>
          </w:p>
        </w:tc>
      </w:tr>
      <w:tr w14:paraId="32BA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94" w:type="pct"/>
            <w:vAlign w:val="center"/>
          </w:tcPr>
          <w:p w14:paraId="69B0F06A">
            <w:pPr>
              <w:pStyle w:val="8"/>
              <w:snapToGrid w:val="0"/>
              <w:spacing w:line="480" w:lineRule="exact"/>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9</w:t>
            </w:r>
          </w:p>
        </w:tc>
        <w:tc>
          <w:tcPr>
            <w:tcW w:w="936" w:type="pct"/>
            <w:vAlign w:val="center"/>
          </w:tcPr>
          <w:p w14:paraId="3DBF54A0">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vAlign w:val="center"/>
          </w:tcPr>
          <w:p w14:paraId="271BEE85">
            <w:pPr>
              <w:pStyle w:val="8"/>
              <w:keepNext w:val="0"/>
              <w:keepLines w:val="0"/>
              <w:pageBreakBefore w:val="0"/>
              <w:widowControl w:val="0"/>
              <w:kinsoku/>
              <w:wordWrap/>
              <w:overflowPunct/>
              <w:topLinePunct w:val="0"/>
              <w:autoSpaceDE/>
              <w:autoSpaceDN/>
              <w:bidi w:val="0"/>
              <w:adjustRightInd w:val="0"/>
              <w:snapToGrid w:val="0"/>
              <w:spacing w:line="440" w:lineRule="exact"/>
              <w:jc w:val="both"/>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服务承诺：</w:t>
            </w:r>
          </w:p>
        </w:tc>
        <w:tc>
          <w:tcPr>
            <w:tcW w:w="591" w:type="pct"/>
            <w:vAlign w:val="center"/>
          </w:tcPr>
          <w:p w14:paraId="6EC7909E">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0-10</w:t>
            </w:r>
          </w:p>
        </w:tc>
      </w:tr>
      <w:tr w14:paraId="15A5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02226223">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9</w:t>
            </w:r>
            <w:r>
              <w:rPr>
                <w:rFonts w:hint="eastAsia" w:ascii="宋体" w:hAnsi="宋体" w:eastAsia="宋体" w:cs="宋体"/>
                <w:vertAlign w:val="baseline"/>
                <w:lang w:eastAsia="zh-CN"/>
              </w:rPr>
              <w:t>.1</w:t>
            </w:r>
          </w:p>
        </w:tc>
        <w:tc>
          <w:tcPr>
            <w:tcW w:w="936" w:type="pct"/>
            <w:vAlign w:val="center"/>
          </w:tcPr>
          <w:p w14:paraId="52C1D2CC">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4C84B36B">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（1）保险有效期内，投标人明确承诺在此期间发生的案件均能足额、及时赔付的得满分2分，不承诺的不得分。（0-2分）</w:t>
            </w:r>
          </w:p>
        </w:tc>
        <w:tc>
          <w:tcPr>
            <w:tcW w:w="591" w:type="pct"/>
            <w:vAlign w:val="center"/>
          </w:tcPr>
          <w:p w14:paraId="5198DAC9">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0-2</w:t>
            </w:r>
          </w:p>
        </w:tc>
      </w:tr>
      <w:tr w14:paraId="439A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0BBA910E">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9</w:t>
            </w:r>
            <w:r>
              <w:rPr>
                <w:rFonts w:hint="eastAsia" w:ascii="宋体" w:hAnsi="宋体" w:eastAsia="宋体" w:cs="宋体"/>
                <w:vertAlign w:val="baseline"/>
                <w:lang w:eastAsia="zh-CN"/>
              </w:rPr>
              <w:t>.2</w:t>
            </w:r>
          </w:p>
        </w:tc>
        <w:tc>
          <w:tcPr>
            <w:tcW w:w="936" w:type="pct"/>
            <w:vAlign w:val="center"/>
          </w:tcPr>
          <w:p w14:paraId="69B03409">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159F7E44">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（2）根据投标人所提供理赔服务的便捷性，理赔流程的合理性进行酌情评分。方案优的得3分，一般的得2分，没有的不得分。</w:t>
            </w:r>
          </w:p>
        </w:tc>
        <w:tc>
          <w:tcPr>
            <w:tcW w:w="591" w:type="pct"/>
            <w:vAlign w:val="center"/>
          </w:tcPr>
          <w:p w14:paraId="03ADCCEE">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0-3</w:t>
            </w:r>
          </w:p>
        </w:tc>
      </w:tr>
      <w:tr w14:paraId="3314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0AC9739E">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val="en-US" w:eastAsia="zh-CN"/>
              </w:rPr>
              <w:t>9</w:t>
            </w:r>
            <w:r>
              <w:rPr>
                <w:rFonts w:hint="eastAsia" w:ascii="宋体" w:hAnsi="宋体" w:eastAsia="宋体" w:cs="宋体"/>
                <w:vertAlign w:val="baseline"/>
                <w:lang w:eastAsia="zh-CN"/>
              </w:rPr>
              <w:t>.3</w:t>
            </w:r>
          </w:p>
        </w:tc>
        <w:tc>
          <w:tcPr>
            <w:tcW w:w="936" w:type="pct"/>
            <w:vAlign w:val="center"/>
          </w:tcPr>
          <w:p w14:paraId="2184764B">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2F4317BC">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（3）理赔案例经验：近三年以来人身意外伤害险（旅游类保险除外）理赔案例案例，（按提供的个数打分，例如提供3个案例得3分，最高得5分）（提供已决赔案卷宗原件或复印件）</w:t>
            </w:r>
          </w:p>
        </w:tc>
        <w:tc>
          <w:tcPr>
            <w:tcW w:w="591" w:type="pct"/>
            <w:vAlign w:val="center"/>
          </w:tcPr>
          <w:p w14:paraId="70E44C8C">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0-5</w:t>
            </w:r>
          </w:p>
        </w:tc>
      </w:tr>
      <w:tr w14:paraId="6753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14:paraId="3976668B">
            <w:pPr>
              <w:pStyle w:val="8"/>
              <w:snapToGrid w:val="0"/>
              <w:spacing w:line="480" w:lineRule="exact"/>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10</w:t>
            </w:r>
          </w:p>
        </w:tc>
        <w:tc>
          <w:tcPr>
            <w:tcW w:w="936" w:type="pct"/>
            <w:vAlign w:val="center"/>
          </w:tcPr>
          <w:p w14:paraId="16B235D4">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技术</w:t>
            </w:r>
          </w:p>
        </w:tc>
        <w:tc>
          <w:tcPr>
            <w:tcW w:w="3077" w:type="pct"/>
          </w:tcPr>
          <w:p w14:paraId="1A861346">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 xml:space="preserve">风险管理、风险防范、风险控制措施：  </w:t>
            </w:r>
          </w:p>
          <w:p w14:paraId="624E6A94">
            <w:pPr>
              <w:pStyle w:val="8"/>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vertAlign w:val="baseline"/>
                <w:lang w:eastAsia="zh-CN"/>
              </w:rPr>
            </w:pPr>
            <w:r>
              <w:rPr>
                <w:rFonts w:hint="eastAsia" w:ascii="宋体" w:hAnsi="宋体" w:eastAsia="宋体" w:cs="宋体"/>
                <w:vertAlign w:val="baseline"/>
                <w:lang w:eastAsia="zh-CN"/>
              </w:rPr>
              <w:t>根据投标人对风险防范、风险控制措施、保险知识培训等的承诺情况及可行性进行评分，酌情评分（0-5分）。</w:t>
            </w:r>
          </w:p>
        </w:tc>
        <w:tc>
          <w:tcPr>
            <w:tcW w:w="591" w:type="pct"/>
            <w:vAlign w:val="center"/>
          </w:tcPr>
          <w:p w14:paraId="4A3A92EA">
            <w:pPr>
              <w:pStyle w:val="8"/>
              <w:snapToGrid w:val="0"/>
              <w:spacing w:line="480" w:lineRule="exact"/>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0-5</w:t>
            </w:r>
          </w:p>
        </w:tc>
      </w:tr>
    </w:tbl>
    <w:p w14:paraId="7C338A9E">
      <w:pPr>
        <w:pStyle w:val="2"/>
        <w:rPr>
          <w:rFonts w:hint="eastAsia"/>
        </w:rPr>
      </w:pPr>
    </w:p>
    <w:sectPr>
      <w:footerReference r:id="rId3" w:type="default"/>
      <w:pgSz w:w="11906" w:h="16838"/>
      <w:pgMar w:top="187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FEDC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AED1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DAED1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01209"/>
    <w:rsid w:val="052F3767"/>
    <w:rsid w:val="27581F95"/>
    <w:rsid w:val="41162BF0"/>
    <w:rsid w:val="5886178A"/>
    <w:rsid w:val="66101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1"/>
    <w:basedOn w:val="1"/>
    <w:qFormat/>
    <w:uiPriority w:val="0"/>
    <w:p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1136</Words>
  <Characters>1241</Characters>
  <Lines>0</Lines>
  <Paragraphs>0</Paragraphs>
  <TotalTime>2</TotalTime>
  <ScaleCrop>false</ScaleCrop>
  <LinksUpToDate>false</LinksUpToDate>
  <CharactersWithSpaces>1243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2026-05-18T03:54:00Z</dcterms:created>
  <dc:creator>金昌东</dc:creator>
  <cp:lastModifiedBy>微笑</cp:lastModifiedBy>
  <cp:lastPrinted>2026-05-18T06:58:00Z</cp:lastPrinted>
  <dcterms:modified xsi:type="dcterms:W3CDTF">2026-05-19T01:40:49Z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2C525A715CA2425289D7F8370C16D795_13</vt:lpwstr>
  </property>
  <property fmtid="{D5CDD505-2E9C-101B-9397-08002B2CF9AE}" pid="4" name="KSOTemplateDocerSaveRecord">
    <vt:lpwstr>eyJoZGlkIjoiYTU2OGViNDlkNmU5NmFlYzAxNTI5ODJjM2E5NjIzZGQiLCJ1c2VySWQiOiIzODA1NTcwMDYifQ==</vt:lpwstr>
  </property>
</Properties>
</file>