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360" w:lineRule="auto"/>
        <w:jc w:val="right"/>
        <w:rPr>
          <w:rFonts w:hint="eastAsia" w:ascii="仿宋_GB2312" w:hAnsi="仿宋" w:eastAsia="仿宋_GB2312"/>
          <w:color w:val="auto"/>
          <w:highlight w:val="none"/>
        </w:rPr>
      </w:pPr>
      <w:bookmarkStart w:id="381" w:name="_GoBack"/>
      <w:bookmarkEnd w:id="381"/>
      <w:r>
        <w:rPr>
          <w:rFonts w:hint="eastAsia" w:ascii="仿宋_GB2312" w:hAnsi="仿宋" w:eastAsia="仿宋_GB2312"/>
          <w:color w:val="auto"/>
          <w:highlight w:val="none"/>
        </w:rPr>
        <w:t xml:space="preserve">                </w:t>
      </w:r>
    </w:p>
    <w:p>
      <w:pPr>
        <w:wordWrap w:val="0"/>
        <w:snapToGrid w:val="0"/>
        <w:spacing w:line="360" w:lineRule="auto"/>
        <w:jc w:val="right"/>
        <w:rPr>
          <w:rFonts w:hint="eastAsia" w:ascii="黑体" w:hAnsi="黑体" w:eastAsia="黑体"/>
          <w:color w:val="auto"/>
          <w:highlight w:val="none"/>
        </w:rPr>
      </w:pPr>
      <w:r>
        <w:rPr>
          <w:rFonts w:hint="eastAsia" w:ascii="仿宋_GB2312" w:hAnsi="仿宋" w:eastAsia="仿宋_GB2312"/>
          <w:b/>
          <w:color w:val="auto"/>
          <w:kern w:val="16"/>
          <w:highlight w:val="none"/>
        </w:rPr>
        <w:pict>
          <v:shape id="_x0000_s2051" o:spid="_x0000_s2051" o:spt="136" alt="water" type="#_x0000_t136" style="position:absolute;left:0pt;margin-left:246.95pt;margin-top:11.3pt;height:19.25pt;width:206.55pt;mso-wrap-distance-left:9pt;mso-wrap-distance-right:9pt;z-index:-251655168;mso-width-relative:page;mso-height-relative:page;" fillcolor="#002060" filled="t" stroked="t" coordsize="21600,21600" wrapcoords="11206 0 4393 62 822 64 827 2325 820 4629 239 4631 244 6840 246 9639 244 12370 239 14375 820 14377 827 18214 822 21502 9399 21504 11242 21600 11258 21600 14928 21504 16396 21502 16435 21342 21142 21340 21180 21136 21213 20889 21240 20599 21262 20267 21279 19892 21290 19473 21296 19013 21297 18509 21297 2708 21353 2160 21234 972 19015 970 18998 356 15256 354 15208 64 11229 62 11222 0 11206 0">
            <v:path/>
            <v:fill type="gradient" on="t" colors="0f #012D86;65536f #0E2557" focussize="0f,0f" rotate="t">
              <o:fill type="gradientUnscaled" v:ext="backwardCompatible"/>
            </v:fill>
            <v:stroke weight="1.5pt" color="#99CCFF"/>
            <v:imagedata o:title=""/>
            <o:lock v:ext="edit"/>
            <v:textpath on="t" fitshape="t" fitpath="t" trim="t" xscale="f" string="中合安建工程管理有限公司" style="font-family:宋体;font-size:36pt;v-text-align:center;"/>
            <v:shadow on="t" color="#990000" offset2="-2pt,-2pt"/>
            <w10:wrap type="tight"/>
          </v:shape>
        </w:pict>
      </w:r>
      <w:r>
        <w:rPr>
          <w:rFonts w:hint="eastAsia" w:ascii="仿宋_GB2312" w:hAnsi="仿宋" w:eastAsia="仿宋_GB2312"/>
          <w:color w:val="auto"/>
          <w:highlight w:val="none"/>
        </w:rPr>
        <w:drawing>
          <wp:inline distT="0" distB="0" distL="114300" distR="114300">
            <wp:extent cx="981075" cy="619125"/>
            <wp:effectExtent l="0" t="0" r="9525" b="5715"/>
            <wp:docPr id="2" name="图片 2" descr="中合安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中合安建"/>
                    <pic:cNvPicPr>
                      <a:picLocks noChangeAspect="1"/>
                    </pic:cNvPicPr>
                  </pic:nvPicPr>
                  <pic:blipFill>
                    <a:blip r:embed="rId15"/>
                    <a:stretch>
                      <a:fillRect/>
                    </a:stretch>
                  </pic:blipFill>
                  <pic:spPr>
                    <a:xfrm>
                      <a:off x="0" y="0"/>
                      <a:ext cx="981075" cy="619125"/>
                    </a:xfrm>
                    <a:prstGeom prst="rect">
                      <a:avLst/>
                    </a:prstGeom>
                  </pic:spPr>
                </pic:pic>
              </a:graphicData>
            </a:graphic>
          </wp:inline>
        </w:drawing>
      </w:r>
      <w:r>
        <w:rPr>
          <w:rFonts w:hint="eastAsia" w:ascii="仿宋_GB2312" w:hAnsi="仿宋" w:eastAsia="仿宋_GB2312"/>
          <w:color w:val="auto"/>
          <w:highlight w:val="none"/>
        </w:rPr>
        <w:t xml:space="preserve"> </w:t>
      </w:r>
    </w:p>
    <w:p>
      <w:pPr>
        <w:wordWrap w:val="0"/>
        <w:snapToGrid w:val="0"/>
        <w:spacing w:line="360" w:lineRule="auto"/>
        <w:ind w:right="480"/>
        <w:jc w:val="right"/>
        <w:rPr>
          <w:rFonts w:hint="eastAsia" w:ascii="黑体" w:hAnsi="黑体" w:eastAsia="黑体"/>
          <w:color w:val="auto"/>
          <w:highlight w:val="none"/>
        </w:rPr>
      </w:pPr>
      <w:r>
        <w:rPr>
          <w:rFonts w:hint="eastAsia" w:ascii="黑体" w:hAnsi="黑体" w:eastAsia="黑体"/>
          <w:color w:val="auto"/>
          <w:highlight w:val="none"/>
        </w:rPr>
        <w:t xml:space="preserve">                 </w:t>
      </w:r>
    </w:p>
    <w:p>
      <w:pPr>
        <w:wordWrap w:val="0"/>
        <w:snapToGrid w:val="0"/>
        <w:spacing w:line="360" w:lineRule="auto"/>
        <w:ind w:right="480"/>
        <w:jc w:val="right"/>
        <w:rPr>
          <w:rFonts w:hint="eastAsia" w:ascii="黑体" w:hAnsi="黑体" w:eastAsia="黑体"/>
          <w:color w:val="auto"/>
          <w:highlight w:val="none"/>
        </w:rPr>
      </w:pPr>
      <w:r>
        <w:rPr>
          <w:rFonts w:hint="eastAsia" w:ascii="黑体" w:hAnsi="黑体" w:eastAsia="黑体"/>
          <w:color w:val="auto"/>
          <w:highlight w:val="none"/>
        </w:rPr>
        <w:t xml:space="preserve"> 项目编号：2026ZHAJ-04</w:t>
      </w:r>
    </w:p>
    <w:p>
      <w:pPr>
        <w:wordWrap w:val="0"/>
        <w:snapToGrid w:val="0"/>
        <w:spacing w:line="360" w:lineRule="auto"/>
        <w:ind w:right="480"/>
        <w:jc w:val="right"/>
        <w:rPr>
          <w:rFonts w:hint="eastAsia" w:ascii="黑体" w:hAnsi="黑体" w:eastAsia="黑体"/>
          <w:color w:val="auto"/>
          <w:highlight w:val="none"/>
        </w:rPr>
      </w:pPr>
    </w:p>
    <w:p>
      <w:pPr>
        <w:snapToGrid w:val="0"/>
        <w:spacing w:line="360" w:lineRule="auto"/>
        <w:jc w:val="right"/>
        <w:rPr>
          <w:rFonts w:hint="eastAsia" w:ascii="黑体" w:hAnsi="黑体" w:eastAsia="黑体"/>
          <w:color w:val="auto"/>
          <w:highlight w:val="none"/>
        </w:rPr>
      </w:pPr>
    </w:p>
    <w:p>
      <w:pPr>
        <w:snapToGrid w:val="0"/>
        <w:spacing w:line="360" w:lineRule="auto"/>
        <w:jc w:val="center"/>
        <w:rPr>
          <w:rFonts w:hint="eastAsia" w:ascii="黑体" w:hAnsi="黑体" w:eastAsia="黑体"/>
          <w:color w:val="auto"/>
          <w:sz w:val="52"/>
          <w:szCs w:val="52"/>
          <w:highlight w:val="none"/>
        </w:rPr>
      </w:pPr>
    </w:p>
    <w:p>
      <w:pPr>
        <w:pStyle w:val="3"/>
        <w:jc w:val="center"/>
        <w:rPr>
          <w:color w:val="auto"/>
          <w:highlight w:val="none"/>
        </w:rPr>
      </w:pPr>
      <w:r>
        <w:rPr>
          <w:rFonts w:hint="eastAsia" w:ascii="黑体" w:hAnsi="黑体" w:eastAsia="黑体"/>
          <w:color w:val="auto"/>
          <w:sz w:val="52"/>
          <w:szCs w:val="52"/>
          <w:highlight w:val="none"/>
        </w:rPr>
        <w:t>新疆农业大学智慧农业科技创新平台建设项目</w:t>
      </w:r>
    </w:p>
    <w:p>
      <w:pPr>
        <w:snapToGrid w:val="0"/>
        <w:jc w:val="center"/>
        <w:rPr>
          <w:rFonts w:hint="eastAsia" w:ascii="黑体" w:hAnsi="黑体" w:eastAsia="黑体"/>
          <w:color w:val="auto"/>
          <w:sz w:val="78"/>
          <w:highlight w:val="none"/>
        </w:rPr>
      </w:pPr>
    </w:p>
    <w:p>
      <w:pPr>
        <w:pStyle w:val="5"/>
        <w:rPr>
          <w:color w:val="auto"/>
          <w:highlight w:val="none"/>
        </w:rPr>
      </w:pPr>
    </w:p>
    <w:p>
      <w:pPr>
        <w:snapToGrid w:val="0"/>
        <w:jc w:val="center"/>
        <w:rPr>
          <w:rFonts w:hint="eastAsia" w:ascii="黑体" w:hAnsi="黑体" w:eastAsia="黑体"/>
          <w:color w:val="auto"/>
          <w:sz w:val="78"/>
          <w:highlight w:val="none"/>
        </w:rPr>
      </w:pPr>
      <w:r>
        <w:rPr>
          <w:rFonts w:hint="eastAsia" w:ascii="黑体" w:hAnsi="黑体" w:eastAsia="黑体"/>
          <w:color w:val="auto"/>
          <w:sz w:val="78"/>
          <w:highlight w:val="none"/>
        </w:rPr>
        <w:t>招标文件</w:t>
      </w:r>
    </w:p>
    <w:p>
      <w:pPr>
        <w:snapToGrid w:val="0"/>
        <w:spacing w:line="360" w:lineRule="auto"/>
        <w:rPr>
          <w:rFonts w:hint="eastAsia" w:ascii="黑体" w:hAnsi="黑体" w:eastAsia="黑体"/>
          <w:color w:val="auto"/>
          <w:sz w:val="32"/>
          <w:highlight w:val="none"/>
        </w:rPr>
      </w:pPr>
    </w:p>
    <w:p>
      <w:pPr>
        <w:rPr>
          <w:color w:val="auto"/>
          <w:highlight w:val="none"/>
        </w:rPr>
      </w:pPr>
    </w:p>
    <w:p>
      <w:pPr>
        <w:pStyle w:val="7"/>
        <w:rPr>
          <w:color w:val="auto"/>
          <w:highlight w:val="none"/>
        </w:rPr>
      </w:pPr>
    </w:p>
    <w:p>
      <w:pPr>
        <w:pStyle w:val="7"/>
        <w:ind w:left="1480" w:hanging="640"/>
        <w:rPr>
          <w:rFonts w:hint="eastAsia" w:ascii="黑体" w:hAnsi="黑体" w:eastAsia="黑体"/>
          <w:color w:val="auto"/>
          <w:sz w:val="32"/>
          <w:highlight w:val="none"/>
        </w:rPr>
      </w:pPr>
    </w:p>
    <w:p>
      <w:pPr>
        <w:snapToGrid w:val="0"/>
        <w:spacing w:line="360" w:lineRule="auto"/>
        <w:ind w:left="2240" w:hanging="2240" w:hangingChars="700"/>
        <w:rPr>
          <w:rFonts w:hint="eastAsia" w:ascii="黑体" w:hAnsi="黑体" w:eastAsia="黑体"/>
          <w:color w:val="auto"/>
          <w:sz w:val="32"/>
          <w:szCs w:val="32"/>
          <w:highlight w:val="none"/>
        </w:rPr>
      </w:pPr>
    </w:p>
    <w:p>
      <w:pPr>
        <w:snapToGrid w:val="0"/>
        <w:spacing w:line="360" w:lineRule="auto"/>
        <w:ind w:left="2240" w:hanging="2240" w:hangingChars="7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采   购   人：新疆农业大学</w:t>
      </w:r>
    </w:p>
    <w:p>
      <w:pPr>
        <w:snapToGrid w:val="0"/>
        <w:spacing w:line="360" w:lineRule="auto"/>
        <w:rPr>
          <w:rFonts w:hint="eastAsia" w:ascii="黑体" w:hAnsi="黑体" w:eastAsia="黑体"/>
          <w:color w:val="auto"/>
          <w:sz w:val="32"/>
          <w:szCs w:val="32"/>
          <w:highlight w:val="none"/>
        </w:rPr>
      </w:pPr>
      <w:r>
        <w:rPr>
          <w:rFonts w:hint="eastAsia" w:ascii="黑体" w:hAnsi="黑体" w:eastAsia="黑体"/>
          <w:color w:val="auto"/>
          <w:sz w:val="32"/>
          <w:szCs w:val="32"/>
          <w:highlight w:val="none"/>
        </w:rPr>
        <w:t>采购代理机构：中合安建工程管理有限公司</w:t>
      </w:r>
    </w:p>
    <w:p>
      <w:pPr>
        <w:snapToGrid w:val="0"/>
        <w:spacing w:line="360" w:lineRule="auto"/>
        <w:rPr>
          <w:rFonts w:hint="eastAsia" w:ascii="仿宋" w:hAnsi="仿宋" w:eastAsia="仿宋"/>
          <w:color w:val="auto"/>
          <w:highlight w:val="none"/>
        </w:rPr>
      </w:pPr>
      <w:r>
        <w:rPr>
          <w:rFonts w:hint="eastAsia" w:ascii="黑体" w:hAnsi="黑体" w:eastAsia="黑体"/>
          <w:color w:val="auto"/>
          <w:sz w:val="32"/>
          <w:szCs w:val="32"/>
          <w:highlight w:val="none"/>
        </w:rPr>
        <w:t>文件编制日期：2026年4月</w:t>
      </w:r>
    </w:p>
    <w:p>
      <w:pPr>
        <w:tabs>
          <w:tab w:val="left" w:pos="1134"/>
          <w:tab w:val="left" w:pos="5481"/>
          <w:tab w:val="left" w:pos="5859"/>
        </w:tabs>
        <w:spacing w:line="360" w:lineRule="auto"/>
        <w:rPr>
          <w:rFonts w:hint="eastAsia" w:ascii="宋体" w:hAnsi="宋体" w:cs="宋体"/>
          <w:b/>
          <w:color w:val="auto"/>
          <w:sz w:val="72"/>
          <w:szCs w:val="72"/>
          <w:highlight w:val="none"/>
        </w:rPr>
        <w:sectPr>
          <w:headerReference r:id="rId3" w:type="first"/>
          <w:pgSz w:w="11906" w:h="16838"/>
          <w:pgMar w:top="1440" w:right="1746" w:bottom="1440" w:left="1746" w:header="851" w:footer="552" w:gutter="0"/>
          <w:pgNumType w:start="1"/>
          <w:cols w:space="720" w:num="1"/>
          <w:titlePg/>
          <w:docGrid w:type="lines" w:linePitch="312" w:charSpace="0"/>
        </w:sectPr>
      </w:pPr>
    </w:p>
    <w:p>
      <w:pPr>
        <w:jc w:val="center"/>
        <w:rPr>
          <w:rStyle w:val="30"/>
          <w:rFonts w:hint="eastAsia" w:ascii="仿宋" w:hAnsi="仿宋" w:eastAsia="仿宋" w:cs="仿宋"/>
          <w:b/>
          <w:bCs/>
          <w:color w:val="auto"/>
          <w:sz w:val="56"/>
          <w:szCs w:val="56"/>
          <w:highlight w:val="none"/>
        </w:rPr>
      </w:pPr>
    </w:p>
    <w:p>
      <w:pPr>
        <w:pStyle w:val="5"/>
        <w:ind w:firstLine="1124"/>
        <w:rPr>
          <w:rStyle w:val="30"/>
          <w:rFonts w:hint="eastAsia" w:ascii="仿宋" w:hAnsi="仿宋" w:eastAsia="仿宋" w:cs="仿宋"/>
          <w:b/>
          <w:bCs/>
          <w:color w:val="auto"/>
          <w:sz w:val="56"/>
          <w:szCs w:val="56"/>
          <w:highlight w:val="none"/>
        </w:rPr>
      </w:pPr>
    </w:p>
    <w:p>
      <w:pPr>
        <w:rPr>
          <w:color w:val="auto"/>
          <w:highlight w:val="none"/>
        </w:rPr>
      </w:pPr>
    </w:p>
    <w:p>
      <w:pPr>
        <w:jc w:val="center"/>
        <w:rPr>
          <w:rStyle w:val="30"/>
          <w:rFonts w:hint="eastAsia" w:ascii="仿宋" w:hAnsi="仿宋" w:eastAsia="仿宋" w:cs="仿宋"/>
          <w:b/>
          <w:bCs/>
          <w:color w:val="auto"/>
          <w:sz w:val="56"/>
          <w:szCs w:val="56"/>
          <w:highlight w:val="none"/>
        </w:rPr>
      </w:pPr>
      <w:r>
        <w:rPr>
          <w:rStyle w:val="30"/>
          <w:rFonts w:hint="eastAsia" w:ascii="仿宋" w:hAnsi="仿宋" w:eastAsia="仿宋" w:cs="仿宋"/>
          <w:b/>
          <w:bCs/>
          <w:color w:val="auto"/>
          <w:sz w:val="56"/>
          <w:szCs w:val="56"/>
          <w:highlight w:val="none"/>
        </w:rPr>
        <w:t>招标文件</w:t>
      </w:r>
    </w:p>
    <w:p>
      <w:pPr>
        <w:pStyle w:val="5"/>
        <w:ind w:firstLine="1124"/>
        <w:rPr>
          <w:rStyle w:val="30"/>
          <w:rFonts w:hint="eastAsia" w:ascii="仿宋" w:hAnsi="仿宋" w:eastAsia="仿宋" w:cs="仿宋"/>
          <w:b/>
          <w:bCs/>
          <w:color w:val="auto"/>
          <w:sz w:val="56"/>
          <w:szCs w:val="56"/>
          <w:highlight w:val="none"/>
        </w:rPr>
      </w:pPr>
    </w:p>
    <w:p>
      <w:pPr>
        <w:rPr>
          <w:color w:val="auto"/>
          <w:highlight w:val="none"/>
        </w:rPr>
      </w:pPr>
    </w:p>
    <w:p>
      <w:pPr>
        <w:pStyle w:val="8"/>
        <w:ind w:firstLine="280"/>
        <w:rPr>
          <w:color w:val="auto"/>
          <w:highlight w:val="none"/>
        </w:rPr>
      </w:pPr>
    </w:p>
    <w:p>
      <w:pPr>
        <w:rPr>
          <w:color w:val="auto"/>
          <w:highlight w:val="none"/>
        </w:rPr>
      </w:pPr>
    </w:p>
    <w:p>
      <w:pPr>
        <w:tabs>
          <w:tab w:val="left" w:pos="2100"/>
        </w:tabs>
        <w:snapToGrid w:val="0"/>
        <w:spacing w:line="480" w:lineRule="auto"/>
        <w:ind w:left="2087" w:leftChars="-70" w:hanging="2255" w:hangingChars="702"/>
        <w:rPr>
          <w:rFonts w:hint="eastAsia" w:ascii="仿宋" w:hAnsi="仿宋" w:eastAsia="仿宋" w:cs="仿宋"/>
          <w:b/>
          <w:color w:val="auto"/>
          <w:spacing w:val="-20"/>
          <w:sz w:val="32"/>
          <w:szCs w:val="32"/>
          <w:highlight w:val="none"/>
        </w:rPr>
      </w:pPr>
      <w:r>
        <w:rPr>
          <w:rFonts w:hint="eastAsia" w:ascii="仿宋" w:hAnsi="仿宋" w:eastAsia="仿宋" w:cs="仿宋"/>
          <w:b/>
          <w:color w:val="auto"/>
          <w:sz w:val="32"/>
          <w:szCs w:val="32"/>
          <w:highlight w:val="none"/>
        </w:rPr>
        <w:t>招标项目名称：</w:t>
      </w:r>
      <w:r>
        <w:rPr>
          <w:rFonts w:hint="eastAsia" w:ascii="仿宋" w:hAnsi="仿宋" w:eastAsia="仿宋" w:cs="仿宋"/>
          <w:b/>
          <w:color w:val="auto"/>
          <w:spacing w:val="-20"/>
          <w:sz w:val="32"/>
          <w:szCs w:val="32"/>
          <w:highlight w:val="none"/>
        </w:rPr>
        <w:t>新疆农业大学智慧农业科技创新平台建设项目</w:t>
      </w:r>
    </w:p>
    <w:p>
      <w:pPr>
        <w:tabs>
          <w:tab w:val="left" w:pos="2100"/>
        </w:tabs>
        <w:snapToGrid w:val="0"/>
        <w:spacing w:line="480" w:lineRule="auto"/>
        <w:ind w:left="2087" w:leftChars="-70" w:hanging="2255" w:hangingChars="702"/>
        <w:rPr>
          <w:rFonts w:hint="eastAsia" w:ascii="仿宋" w:hAnsi="仿宋" w:eastAsia="仿宋" w:cs="仿宋"/>
          <w:b/>
          <w:color w:val="auto"/>
          <w:spacing w:val="-20"/>
          <w:sz w:val="32"/>
          <w:szCs w:val="32"/>
          <w:highlight w:val="none"/>
        </w:rPr>
      </w:pPr>
      <w:r>
        <w:rPr>
          <w:rFonts w:hint="eastAsia" w:ascii="仿宋" w:hAnsi="仿宋" w:eastAsia="仿宋" w:cs="仿宋"/>
          <w:b/>
          <w:color w:val="auto"/>
          <w:sz w:val="32"/>
          <w:szCs w:val="32"/>
          <w:highlight w:val="none"/>
        </w:rPr>
        <w:t>采购人（盖章）：</w:t>
      </w:r>
      <w:r>
        <w:rPr>
          <w:rFonts w:hint="eastAsia" w:ascii="仿宋" w:hAnsi="仿宋" w:eastAsia="仿宋" w:cs="仿宋"/>
          <w:b/>
          <w:color w:val="auto"/>
          <w:spacing w:val="-20"/>
          <w:sz w:val="32"/>
          <w:szCs w:val="32"/>
          <w:highlight w:val="none"/>
        </w:rPr>
        <w:t>新疆农业大学</w:t>
      </w:r>
    </w:p>
    <w:p>
      <w:pPr>
        <w:tabs>
          <w:tab w:val="left" w:pos="2100"/>
        </w:tabs>
        <w:snapToGrid w:val="0"/>
        <w:spacing w:line="480" w:lineRule="auto"/>
        <w:ind w:left="2087" w:leftChars="-70" w:hanging="2255" w:hangingChars="70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联系人： 解彬彬老师</w:t>
      </w:r>
    </w:p>
    <w:p>
      <w:pPr>
        <w:tabs>
          <w:tab w:val="left" w:pos="2100"/>
        </w:tabs>
        <w:snapToGrid w:val="0"/>
        <w:spacing w:line="480" w:lineRule="auto"/>
        <w:ind w:left="2087" w:leftChars="-70" w:hanging="2255" w:hangingChars="70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联系方式：18355195087</w:t>
      </w:r>
    </w:p>
    <w:p>
      <w:pPr>
        <w:tabs>
          <w:tab w:val="left" w:pos="2100"/>
        </w:tabs>
        <w:snapToGrid w:val="0"/>
        <w:spacing w:line="480" w:lineRule="auto"/>
        <w:ind w:left="2087" w:leftChars="-70" w:hanging="2255" w:hangingChars="70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联系地址：乌鲁木齐市沙依巴克区八一街道农大东路311号</w:t>
      </w:r>
    </w:p>
    <w:p>
      <w:pPr>
        <w:pStyle w:val="8"/>
        <w:snapToGrid w:val="0"/>
        <w:ind w:firstLine="280"/>
        <w:rPr>
          <w:color w:val="auto"/>
          <w:highlight w:val="none"/>
        </w:rPr>
      </w:pPr>
    </w:p>
    <w:p>
      <w:pPr>
        <w:pStyle w:val="8"/>
        <w:spacing w:line="480" w:lineRule="auto"/>
        <w:ind w:firstLine="280"/>
        <w:rPr>
          <w:color w:val="auto"/>
          <w:highlight w:val="none"/>
        </w:rPr>
      </w:pPr>
    </w:p>
    <w:p>
      <w:pPr>
        <w:tabs>
          <w:tab w:val="left" w:pos="2100"/>
        </w:tabs>
        <w:snapToGrid w:val="0"/>
        <w:spacing w:line="480" w:lineRule="auto"/>
        <w:ind w:left="2087" w:leftChars="-70" w:hanging="2255" w:hangingChars="70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采购代理机构（盖章）：中合安建工程管理有限公司</w:t>
      </w:r>
    </w:p>
    <w:p>
      <w:pPr>
        <w:tabs>
          <w:tab w:val="left" w:pos="2100"/>
        </w:tabs>
        <w:snapToGrid w:val="0"/>
        <w:spacing w:line="480" w:lineRule="auto"/>
        <w:ind w:left="2087" w:leftChars="-70" w:hanging="2255" w:hangingChars="70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法定代表人（盖章）：王蕾</w:t>
      </w:r>
    </w:p>
    <w:p>
      <w:pPr>
        <w:tabs>
          <w:tab w:val="left" w:pos="2100"/>
        </w:tabs>
        <w:snapToGrid w:val="0"/>
        <w:spacing w:line="480" w:lineRule="auto"/>
        <w:ind w:left="2087" w:leftChars="-70" w:hanging="2255" w:hangingChars="702"/>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项目负责人：彭小倬、王荣荣</w:t>
      </w:r>
    </w:p>
    <w:p>
      <w:pPr>
        <w:tabs>
          <w:tab w:val="left" w:pos="2100"/>
        </w:tabs>
        <w:snapToGrid w:val="0"/>
        <w:spacing w:line="480" w:lineRule="auto"/>
        <w:ind w:left="2087" w:leftChars="-70" w:hanging="2255" w:hangingChars="702"/>
        <w:rPr>
          <w:rFonts w:hint="eastAsia" w:ascii="仿宋" w:hAnsi="仿宋" w:eastAsia="仿宋" w:cs="仿宋"/>
          <w:b/>
          <w:color w:val="auto"/>
          <w:sz w:val="30"/>
          <w:szCs w:val="30"/>
          <w:highlight w:val="none"/>
        </w:rPr>
      </w:pPr>
      <w:r>
        <w:rPr>
          <w:rFonts w:hint="eastAsia" w:ascii="仿宋" w:hAnsi="仿宋" w:eastAsia="仿宋" w:cs="仿宋"/>
          <w:b/>
          <w:color w:val="auto"/>
          <w:sz w:val="32"/>
          <w:szCs w:val="32"/>
          <w:highlight w:val="none"/>
        </w:rPr>
        <w:t>联系电话：</w:t>
      </w:r>
      <w:r>
        <w:rPr>
          <w:rFonts w:hint="eastAsia" w:ascii="仿宋" w:hAnsi="仿宋" w:eastAsia="仿宋" w:cs="仿宋"/>
          <w:b/>
          <w:color w:val="auto"/>
          <w:sz w:val="30"/>
          <w:szCs w:val="30"/>
          <w:highlight w:val="none"/>
        </w:rPr>
        <w:t>13579881296</w:t>
      </w:r>
    </w:p>
    <w:p>
      <w:pPr>
        <w:tabs>
          <w:tab w:val="left" w:pos="2100"/>
        </w:tabs>
        <w:snapToGrid w:val="0"/>
        <w:spacing w:line="480" w:lineRule="auto"/>
        <w:ind w:left="1764" w:leftChars="-70" w:hanging="1932" w:hangingChars="702"/>
        <w:rPr>
          <w:rFonts w:hint="eastAsia" w:ascii="仿宋" w:hAnsi="仿宋" w:eastAsia="仿宋" w:cs="仿宋"/>
          <w:b/>
          <w:color w:val="auto"/>
          <w:sz w:val="32"/>
          <w:szCs w:val="32"/>
          <w:highlight w:val="none"/>
        </w:rPr>
      </w:pPr>
      <w:r>
        <w:rPr>
          <w:rFonts w:hint="eastAsia" w:ascii="仿宋" w:hAnsi="仿宋" w:eastAsia="仿宋" w:cs="仿宋"/>
          <w:b/>
          <w:color w:val="auto"/>
          <w:spacing w:val="-23"/>
          <w:sz w:val="32"/>
          <w:szCs w:val="32"/>
          <w:highlight w:val="none"/>
        </w:rPr>
        <w:t>联系地址：新疆乌鲁木齐市高新区（新市区）新医路165号汇文大厦1栋6层A</w:t>
      </w:r>
    </w:p>
    <w:p>
      <w:pPr>
        <w:pStyle w:val="8"/>
        <w:ind w:firstLine="280"/>
        <w:rPr>
          <w:color w:val="auto"/>
          <w:highlight w:val="none"/>
        </w:rPr>
        <w:sectPr>
          <w:headerReference r:id="rId4" w:type="default"/>
          <w:footerReference r:id="rId5" w:type="default"/>
          <w:pgSz w:w="11907" w:h="16840"/>
          <w:pgMar w:top="1440" w:right="1531" w:bottom="1440" w:left="1531" w:header="720" w:footer="720" w:gutter="0"/>
          <w:pgNumType w:start="1"/>
          <w:cols w:space="720" w:num="1"/>
        </w:sectPr>
      </w:pPr>
    </w:p>
    <w:p>
      <w:pPr>
        <w:snapToGrid w:val="0"/>
        <w:spacing w:line="360" w:lineRule="auto"/>
        <w:jc w:val="center"/>
        <w:rPr>
          <w:rFonts w:hint="eastAsia" w:ascii="仿宋" w:hAnsi="仿宋" w:eastAsia="仿宋" w:cs="仿宋"/>
          <w:b/>
          <w:color w:val="auto"/>
          <w:sz w:val="28"/>
          <w:szCs w:val="36"/>
          <w:highlight w:val="none"/>
        </w:rPr>
      </w:pPr>
      <w:r>
        <w:rPr>
          <w:rFonts w:hint="eastAsia" w:ascii="仿宋" w:hAnsi="仿宋" w:eastAsia="仿宋" w:cs="仿宋"/>
          <w:b/>
          <w:bCs/>
          <w:color w:val="auto"/>
          <w:sz w:val="40"/>
          <w:szCs w:val="40"/>
          <w:highlight w:val="none"/>
        </w:rPr>
        <w:t>目 录</w:t>
      </w:r>
      <w:r>
        <w:rPr>
          <w:rFonts w:hint="eastAsia" w:ascii="仿宋" w:hAnsi="仿宋" w:eastAsia="仿宋" w:cs="仿宋"/>
          <w:b/>
          <w:color w:val="auto"/>
          <w:sz w:val="48"/>
          <w:szCs w:val="48"/>
          <w:highlight w:val="none"/>
        </w:rPr>
        <w:fldChar w:fldCharType="begin"/>
      </w:r>
      <w:r>
        <w:rPr>
          <w:rFonts w:hint="eastAsia" w:ascii="仿宋" w:hAnsi="仿宋" w:eastAsia="仿宋" w:cs="仿宋"/>
          <w:b/>
          <w:color w:val="auto"/>
          <w:sz w:val="48"/>
          <w:szCs w:val="48"/>
          <w:highlight w:val="none"/>
        </w:rPr>
        <w:instrText xml:space="preserve">TOC \o "1-1" \h \u </w:instrText>
      </w:r>
      <w:r>
        <w:rPr>
          <w:rFonts w:hint="eastAsia" w:ascii="仿宋" w:hAnsi="仿宋" w:eastAsia="仿宋" w:cs="仿宋"/>
          <w:b/>
          <w:color w:val="auto"/>
          <w:sz w:val="48"/>
          <w:szCs w:val="48"/>
          <w:highlight w:val="none"/>
        </w:rPr>
        <w:fldChar w:fldCharType="separate"/>
      </w:r>
    </w:p>
    <w:p>
      <w:pPr>
        <w:pStyle w:val="15"/>
        <w:tabs>
          <w:tab w:val="right" w:leader="dot" w:pos="8845"/>
        </w:tabs>
        <w:spacing w:line="360" w:lineRule="auto"/>
        <w:rPr>
          <w:rFonts w:hint="eastAsia" w:ascii="仿宋" w:hAnsi="仿宋" w:eastAsia="仿宋" w:cs="仿宋"/>
          <w:b/>
          <w:color w:val="auto"/>
          <w:sz w:val="28"/>
          <w:szCs w:val="44"/>
          <w:highlight w:val="none"/>
          <w:lang w:val="zh-CN"/>
        </w:rPr>
      </w:pPr>
      <w:r>
        <w:rPr>
          <w:rFonts w:hint="eastAsia" w:ascii="仿宋" w:hAnsi="仿宋" w:eastAsia="仿宋" w:cs="仿宋"/>
          <w:b/>
          <w:color w:val="auto"/>
          <w:sz w:val="28"/>
          <w:szCs w:val="48"/>
          <w:highlight w:val="none"/>
        </w:rPr>
        <w:fldChar w:fldCharType="begin"/>
      </w:r>
      <w:r>
        <w:rPr>
          <w:rFonts w:hint="eastAsia" w:ascii="仿宋" w:hAnsi="仿宋" w:eastAsia="仿宋" w:cs="仿宋"/>
          <w:b/>
          <w:color w:val="auto"/>
          <w:sz w:val="28"/>
          <w:szCs w:val="48"/>
          <w:highlight w:val="none"/>
        </w:rPr>
        <w:instrText xml:space="preserve"> HYPERLINK \l _Toc26297 </w:instrText>
      </w:r>
      <w:r>
        <w:rPr>
          <w:rFonts w:hint="eastAsia" w:ascii="仿宋" w:hAnsi="仿宋" w:eastAsia="仿宋" w:cs="仿宋"/>
          <w:b/>
          <w:color w:val="auto"/>
          <w:sz w:val="28"/>
          <w:szCs w:val="48"/>
          <w:highlight w:val="none"/>
        </w:rPr>
        <w:fldChar w:fldCharType="separate"/>
      </w:r>
    </w:p>
    <w:sdt>
      <w:sdtPr>
        <w:rPr>
          <w:rFonts w:ascii="宋体" w:hAnsi="宋体"/>
          <w:color w:val="auto"/>
          <w:sz w:val="21"/>
          <w:highlight w:val="none"/>
        </w:rPr>
        <w:id w:val="147478543"/>
        <w15:color w:val="DBDBDB"/>
        <w:docPartObj>
          <w:docPartGallery w:val="Table of Contents"/>
          <w:docPartUnique/>
        </w:docPartObj>
      </w:sdtPr>
      <w:sdtEndPr>
        <w:rPr>
          <w:rFonts w:ascii="宋体" w:hAnsi="宋体"/>
          <w:color w:val="auto"/>
          <w:sz w:val="21"/>
          <w:highlight w:val="none"/>
        </w:rPr>
      </w:sdtEndPr>
      <w:sdtContent>
        <w:p>
          <w:pPr>
            <w:jc w:val="center"/>
            <w:rPr>
              <w:color w:val="auto"/>
              <w:highlight w:val="none"/>
            </w:rPr>
          </w:pPr>
        </w:p>
        <w:p>
          <w:pPr>
            <w:pStyle w:val="15"/>
            <w:tabs>
              <w:tab w:val="right" w:leader="dot" w:pos="8845"/>
            </w:tabs>
            <w:spacing w:line="480" w:lineRule="auto"/>
            <w:rPr>
              <w:rFonts w:hint="eastAsia" w:ascii="仿宋" w:hAnsi="仿宋" w:eastAsia="仿宋" w:cs="仿宋"/>
              <w:b/>
              <w:bCs/>
              <w:color w:val="auto"/>
              <w:sz w:val="28"/>
              <w:szCs w:val="36"/>
              <w:highlight w:val="none"/>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color w:val="auto"/>
              <w:highlight w:val="none"/>
            </w:rPr>
            <w:fldChar w:fldCharType="begin"/>
          </w:r>
          <w:r>
            <w:rPr>
              <w:color w:val="auto"/>
              <w:highlight w:val="none"/>
            </w:rPr>
            <w:instrText xml:space="preserve"> HYPERLINK \l "_Toc15373" </w:instrText>
          </w:r>
          <w:r>
            <w:rPr>
              <w:color w:val="auto"/>
              <w:highlight w:val="none"/>
            </w:rPr>
            <w:fldChar w:fldCharType="separate"/>
          </w:r>
          <w:r>
            <w:rPr>
              <w:rFonts w:hint="eastAsia" w:ascii="仿宋" w:hAnsi="仿宋" w:eastAsia="仿宋" w:cs="仿宋"/>
              <w:b/>
              <w:bCs/>
              <w:color w:val="auto"/>
              <w:sz w:val="28"/>
              <w:szCs w:val="44"/>
              <w:highlight w:val="none"/>
            </w:rPr>
            <w:t>第一章  招标公告</w:t>
          </w:r>
          <w:r>
            <w:rPr>
              <w:rFonts w:hint="eastAsia" w:ascii="仿宋" w:hAnsi="仿宋" w:eastAsia="仿宋" w:cs="仿宋"/>
              <w:b/>
              <w:bCs/>
              <w:color w:val="auto"/>
              <w:sz w:val="28"/>
              <w:szCs w:val="36"/>
              <w:highlight w:val="none"/>
            </w:rPr>
            <w:tab/>
          </w:r>
          <w:r>
            <w:rPr>
              <w:rFonts w:hint="eastAsia" w:ascii="仿宋" w:hAnsi="仿宋" w:eastAsia="仿宋" w:cs="仿宋"/>
              <w:b/>
              <w:bCs/>
              <w:color w:val="auto"/>
              <w:sz w:val="28"/>
              <w:szCs w:val="36"/>
              <w:highlight w:val="none"/>
            </w:rPr>
            <w:fldChar w:fldCharType="begin"/>
          </w:r>
          <w:r>
            <w:rPr>
              <w:rFonts w:hint="eastAsia" w:ascii="仿宋" w:hAnsi="仿宋" w:eastAsia="仿宋" w:cs="仿宋"/>
              <w:b/>
              <w:bCs/>
              <w:color w:val="auto"/>
              <w:sz w:val="28"/>
              <w:szCs w:val="36"/>
              <w:highlight w:val="none"/>
            </w:rPr>
            <w:instrText xml:space="preserve"> PAGEREF _Toc15373 \h </w:instrText>
          </w:r>
          <w:r>
            <w:rPr>
              <w:rFonts w:hint="eastAsia" w:ascii="仿宋" w:hAnsi="仿宋" w:eastAsia="仿宋" w:cs="仿宋"/>
              <w:b/>
              <w:bCs/>
              <w:color w:val="auto"/>
              <w:sz w:val="28"/>
              <w:szCs w:val="36"/>
              <w:highlight w:val="none"/>
            </w:rPr>
            <w:fldChar w:fldCharType="separate"/>
          </w:r>
          <w:r>
            <w:rPr>
              <w:rFonts w:hint="eastAsia" w:ascii="仿宋" w:hAnsi="仿宋" w:eastAsia="仿宋" w:cs="仿宋"/>
              <w:b/>
              <w:bCs/>
              <w:color w:val="auto"/>
              <w:sz w:val="28"/>
              <w:szCs w:val="36"/>
              <w:highlight w:val="none"/>
            </w:rPr>
            <w:t>1</w:t>
          </w:r>
          <w:r>
            <w:rPr>
              <w:rFonts w:hint="eastAsia" w:ascii="仿宋" w:hAnsi="仿宋" w:eastAsia="仿宋" w:cs="仿宋"/>
              <w:b/>
              <w:bCs/>
              <w:color w:val="auto"/>
              <w:sz w:val="28"/>
              <w:szCs w:val="36"/>
              <w:highlight w:val="none"/>
            </w:rPr>
            <w:fldChar w:fldCharType="end"/>
          </w:r>
          <w:r>
            <w:rPr>
              <w:rFonts w:hint="eastAsia" w:ascii="仿宋" w:hAnsi="仿宋" w:eastAsia="仿宋" w:cs="仿宋"/>
              <w:b/>
              <w:bCs/>
              <w:color w:val="auto"/>
              <w:sz w:val="28"/>
              <w:szCs w:val="36"/>
              <w:highlight w:val="none"/>
            </w:rPr>
            <w:fldChar w:fldCharType="end"/>
          </w:r>
        </w:p>
        <w:p>
          <w:pPr>
            <w:pStyle w:val="15"/>
            <w:tabs>
              <w:tab w:val="right" w:leader="dot" w:pos="8845"/>
            </w:tabs>
            <w:spacing w:line="480" w:lineRule="auto"/>
            <w:rPr>
              <w:rFonts w:hint="eastAsia" w:ascii="仿宋" w:hAnsi="仿宋" w:eastAsia="仿宋" w:cs="仿宋"/>
              <w:b/>
              <w:bCs/>
              <w:color w:val="auto"/>
              <w:sz w:val="28"/>
              <w:szCs w:val="36"/>
              <w:highlight w:val="none"/>
            </w:rPr>
          </w:pPr>
          <w:r>
            <w:rPr>
              <w:color w:val="auto"/>
              <w:highlight w:val="none"/>
            </w:rPr>
            <w:fldChar w:fldCharType="begin"/>
          </w:r>
          <w:r>
            <w:rPr>
              <w:color w:val="auto"/>
              <w:highlight w:val="none"/>
            </w:rPr>
            <w:instrText xml:space="preserve"> HYPERLINK \l "_Toc23069" </w:instrText>
          </w:r>
          <w:r>
            <w:rPr>
              <w:color w:val="auto"/>
              <w:highlight w:val="none"/>
            </w:rPr>
            <w:fldChar w:fldCharType="separate"/>
          </w:r>
          <w:r>
            <w:rPr>
              <w:rFonts w:hint="eastAsia" w:ascii="仿宋" w:hAnsi="仿宋" w:eastAsia="仿宋" w:cs="仿宋"/>
              <w:b/>
              <w:bCs/>
              <w:color w:val="auto"/>
              <w:sz w:val="28"/>
              <w:szCs w:val="44"/>
              <w:highlight w:val="none"/>
            </w:rPr>
            <w:t>第二章  投标人</w:t>
          </w:r>
          <w:r>
            <w:rPr>
              <w:rFonts w:hint="eastAsia" w:ascii="仿宋" w:hAnsi="仿宋" w:eastAsia="仿宋" w:cs="仿宋"/>
              <w:b/>
              <w:bCs/>
              <w:color w:val="auto"/>
              <w:sz w:val="28"/>
              <w:szCs w:val="44"/>
              <w:highlight w:val="none"/>
              <w:lang w:val="zh-CN"/>
            </w:rPr>
            <w:t>须知</w:t>
          </w:r>
          <w:r>
            <w:rPr>
              <w:rFonts w:hint="eastAsia" w:ascii="仿宋" w:hAnsi="仿宋" w:eastAsia="仿宋" w:cs="仿宋"/>
              <w:b/>
              <w:bCs/>
              <w:color w:val="auto"/>
              <w:sz w:val="28"/>
              <w:szCs w:val="36"/>
              <w:highlight w:val="none"/>
            </w:rPr>
            <w:tab/>
          </w:r>
          <w:r>
            <w:rPr>
              <w:rFonts w:hint="eastAsia" w:ascii="仿宋" w:hAnsi="仿宋" w:eastAsia="仿宋" w:cs="仿宋"/>
              <w:b/>
              <w:bCs/>
              <w:color w:val="auto"/>
              <w:sz w:val="28"/>
              <w:szCs w:val="36"/>
              <w:highlight w:val="none"/>
            </w:rPr>
            <w:fldChar w:fldCharType="begin"/>
          </w:r>
          <w:r>
            <w:rPr>
              <w:rFonts w:hint="eastAsia" w:ascii="仿宋" w:hAnsi="仿宋" w:eastAsia="仿宋" w:cs="仿宋"/>
              <w:b/>
              <w:bCs/>
              <w:color w:val="auto"/>
              <w:sz w:val="28"/>
              <w:szCs w:val="36"/>
              <w:highlight w:val="none"/>
            </w:rPr>
            <w:instrText xml:space="preserve"> PAGEREF _Toc23069 \h </w:instrText>
          </w:r>
          <w:r>
            <w:rPr>
              <w:rFonts w:hint="eastAsia" w:ascii="仿宋" w:hAnsi="仿宋" w:eastAsia="仿宋" w:cs="仿宋"/>
              <w:b/>
              <w:bCs/>
              <w:color w:val="auto"/>
              <w:sz w:val="28"/>
              <w:szCs w:val="36"/>
              <w:highlight w:val="none"/>
            </w:rPr>
            <w:fldChar w:fldCharType="separate"/>
          </w:r>
          <w:r>
            <w:rPr>
              <w:rFonts w:hint="eastAsia" w:ascii="仿宋" w:hAnsi="仿宋" w:eastAsia="仿宋" w:cs="仿宋"/>
              <w:b/>
              <w:bCs/>
              <w:color w:val="auto"/>
              <w:sz w:val="28"/>
              <w:szCs w:val="36"/>
              <w:highlight w:val="none"/>
            </w:rPr>
            <w:t>5</w:t>
          </w:r>
          <w:r>
            <w:rPr>
              <w:rFonts w:hint="eastAsia" w:ascii="仿宋" w:hAnsi="仿宋" w:eastAsia="仿宋" w:cs="仿宋"/>
              <w:b/>
              <w:bCs/>
              <w:color w:val="auto"/>
              <w:sz w:val="28"/>
              <w:szCs w:val="36"/>
              <w:highlight w:val="none"/>
            </w:rPr>
            <w:fldChar w:fldCharType="end"/>
          </w:r>
          <w:r>
            <w:rPr>
              <w:rFonts w:hint="eastAsia" w:ascii="仿宋" w:hAnsi="仿宋" w:eastAsia="仿宋" w:cs="仿宋"/>
              <w:b/>
              <w:bCs/>
              <w:color w:val="auto"/>
              <w:sz w:val="28"/>
              <w:szCs w:val="36"/>
              <w:highlight w:val="none"/>
            </w:rPr>
            <w:fldChar w:fldCharType="end"/>
          </w:r>
        </w:p>
        <w:p>
          <w:pPr>
            <w:pStyle w:val="15"/>
            <w:tabs>
              <w:tab w:val="right" w:leader="dot" w:pos="8845"/>
            </w:tabs>
            <w:spacing w:line="480" w:lineRule="auto"/>
            <w:rPr>
              <w:rFonts w:hint="eastAsia" w:ascii="仿宋" w:hAnsi="仿宋" w:eastAsia="仿宋" w:cs="仿宋"/>
              <w:b/>
              <w:bCs/>
              <w:color w:val="auto"/>
              <w:sz w:val="28"/>
              <w:szCs w:val="36"/>
              <w:highlight w:val="none"/>
            </w:rPr>
          </w:pPr>
          <w:r>
            <w:rPr>
              <w:color w:val="auto"/>
              <w:highlight w:val="none"/>
            </w:rPr>
            <w:fldChar w:fldCharType="begin"/>
          </w:r>
          <w:r>
            <w:rPr>
              <w:color w:val="auto"/>
              <w:highlight w:val="none"/>
            </w:rPr>
            <w:instrText xml:space="preserve"> HYPERLINK \l "_Toc13352" </w:instrText>
          </w:r>
          <w:r>
            <w:rPr>
              <w:color w:val="auto"/>
              <w:highlight w:val="none"/>
            </w:rPr>
            <w:fldChar w:fldCharType="separate"/>
          </w:r>
          <w:r>
            <w:rPr>
              <w:rFonts w:hint="eastAsia" w:ascii="仿宋" w:hAnsi="仿宋" w:eastAsia="仿宋" w:cs="仿宋"/>
              <w:b/>
              <w:bCs/>
              <w:color w:val="auto"/>
              <w:sz w:val="28"/>
              <w:szCs w:val="44"/>
              <w:highlight w:val="none"/>
            </w:rPr>
            <w:t>第三章  评审办法（综合评分法）</w:t>
          </w:r>
          <w:r>
            <w:rPr>
              <w:rFonts w:hint="eastAsia" w:ascii="仿宋" w:hAnsi="仿宋" w:eastAsia="仿宋" w:cs="仿宋"/>
              <w:b/>
              <w:bCs/>
              <w:color w:val="auto"/>
              <w:sz w:val="28"/>
              <w:szCs w:val="36"/>
              <w:highlight w:val="none"/>
            </w:rPr>
            <w:tab/>
          </w:r>
          <w:r>
            <w:rPr>
              <w:rFonts w:hint="eastAsia" w:ascii="仿宋" w:hAnsi="仿宋" w:eastAsia="仿宋" w:cs="仿宋"/>
              <w:b/>
              <w:bCs/>
              <w:color w:val="auto"/>
              <w:sz w:val="28"/>
              <w:szCs w:val="36"/>
              <w:highlight w:val="none"/>
            </w:rPr>
            <w:fldChar w:fldCharType="begin"/>
          </w:r>
          <w:r>
            <w:rPr>
              <w:rFonts w:hint="eastAsia" w:ascii="仿宋" w:hAnsi="仿宋" w:eastAsia="仿宋" w:cs="仿宋"/>
              <w:b/>
              <w:bCs/>
              <w:color w:val="auto"/>
              <w:sz w:val="28"/>
              <w:szCs w:val="36"/>
              <w:highlight w:val="none"/>
            </w:rPr>
            <w:instrText xml:space="preserve"> PAGEREF _Toc13352 \h </w:instrText>
          </w:r>
          <w:r>
            <w:rPr>
              <w:rFonts w:hint="eastAsia" w:ascii="仿宋" w:hAnsi="仿宋" w:eastAsia="仿宋" w:cs="仿宋"/>
              <w:b/>
              <w:bCs/>
              <w:color w:val="auto"/>
              <w:sz w:val="28"/>
              <w:szCs w:val="36"/>
              <w:highlight w:val="none"/>
            </w:rPr>
            <w:fldChar w:fldCharType="separate"/>
          </w:r>
          <w:r>
            <w:rPr>
              <w:rFonts w:hint="eastAsia" w:ascii="仿宋" w:hAnsi="仿宋" w:eastAsia="仿宋" w:cs="仿宋"/>
              <w:b/>
              <w:bCs/>
              <w:color w:val="auto"/>
              <w:sz w:val="28"/>
              <w:szCs w:val="36"/>
              <w:highlight w:val="none"/>
            </w:rPr>
            <w:t>- 25 -</w:t>
          </w:r>
          <w:r>
            <w:rPr>
              <w:rFonts w:hint="eastAsia" w:ascii="仿宋" w:hAnsi="仿宋" w:eastAsia="仿宋" w:cs="仿宋"/>
              <w:b/>
              <w:bCs/>
              <w:color w:val="auto"/>
              <w:sz w:val="28"/>
              <w:szCs w:val="36"/>
              <w:highlight w:val="none"/>
            </w:rPr>
            <w:fldChar w:fldCharType="end"/>
          </w:r>
          <w:r>
            <w:rPr>
              <w:rFonts w:hint="eastAsia" w:ascii="仿宋" w:hAnsi="仿宋" w:eastAsia="仿宋" w:cs="仿宋"/>
              <w:b/>
              <w:bCs/>
              <w:color w:val="auto"/>
              <w:sz w:val="28"/>
              <w:szCs w:val="36"/>
              <w:highlight w:val="none"/>
            </w:rPr>
            <w:fldChar w:fldCharType="end"/>
          </w:r>
        </w:p>
        <w:p>
          <w:pPr>
            <w:pStyle w:val="15"/>
            <w:tabs>
              <w:tab w:val="right" w:leader="dot" w:pos="8845"/>
            </w:tabs>
            <w:spacing w:line="480" w:lineRule="auto"/>
            <w:rPr>
              <w:rFonts w:hint="eastAsia" w:ascii="仿宋" w:hAnsi="仿宋" w:eastAsia="仿宋" w:cs="仿宋"/>
              <w:b/>
              <w:bCs/>
              <w:color w:val="auto"/>
              <w:sz w:val="28"/>
              <w:szCs w:val="36"/>
              <w:highlight w:val="none"/>
            </w:rPr>
          </w:pPr>
          <w:r>
            <w:rPr>
              <w:color w:val="auto"/>
              <w:highlight w:val="none"/>
            </w:rPr>
            <w:fldChar w:fldCharType="begin"/>
          </w:r>
          <w:r>
            <w:rPr>
              <w:color w:val="auto"/>
              <w:highlight w:val="none"/>
            </w:rPr>
            <w:instrText xml:space="preserve"> HYPERLINK \l "_Toc14983" </w:instrText>
          </w:r>
          <w:r>
            <w:rPr>
              <w:color w:val="auto"/>
              <w:highlight w:val="none"/>
            </w:rPr>
            <w:fldChar w:fldCharType="separate"/>
          </w:r>
          <w:r>
            <w:rPr>
              <w:rFonts w:hint="eastAsia" w:ascii="仿宋" w:hAnsi="仿宋" w:eastAsia="仿宋" w:cs="仿宋"/>
              <w:b/>
              <w:bCs/>
              <w:color w:val="auto"/>
              <w:sz w:val="28"/>
              <w:szCs w:val="44"/>
              <w:highlight w:val="none"/>
              <w:lang w:val="zh-CN"/>
            </w:rPr>
            <w:t>第四章</w:t>
          </w:r>
          <w:r>
            <w:rPr>
              <w:rFonts w:hint="eastAsia" w:ascii="仿宋" w:hAnsi="仿宋" w:eastAsia="仿宋" w:cs="仿宋"/>
              <w:b/>
              <w:bCs/>
              <w:color w:val="auto"/>
              <w:sz w:val="28"/>
              <w:szCs w:val="44"/>
              <w:highlight w:val="none"/>
            </w:rPr>
            <w:t xml:space="preserve">  采购需求</w:t>
          </w:r>
          <w:r>
            <w:rPr>
              <w:rFonts w:hint="eastAsia" w:ascii="仿宋" w:hAnsi="仿宋" w:eastAsia="仿宋" w:cs="仿宋"/>
              <w:b/>
              <w:bCs/>
              <w:color w:val="auto"/>
              <w:sz w:val="28"/>
              <w:szCs w:val="36"/>
              <w:highlight w:val="none"/>
            </w:rPr>
            <w:tab/>
          </w:r>
          <w:r>
            <w:rPr>
              <w:rFonts w:hint="eastAsia" w:ascii="仿宋" w:hAnsi="仿宋" w:eastAsia="仿宋" w:cs="仿宋"/>
              <w:b/>
              <w:bCs/>
              <w:color w:val="auto"/>
              <w:sz w:val="28"/>
              <w:szCs w:val="36"/>
              <w:highlight w:val="none"/>
            </w:rPr>
            <w:fldChar w:fldCharType="begin"/>
          </w:r>
          <w:r>
            <w:rPr>
              <w:rFonts w:hint="eastAsia" w:ascii="仿宋" w:hAnsi="仿宋" w:eastAsia="仿宋" w:cs="仿宋"/>
              <w:b/>
              <w:bCs/>
              <w:color w:val="auto"/>
              <w:sz w:val="28"/>
              <w:szCs w:val="36"/>
              <w:highlight w:val="none"/>
            </w:rPr>
            <w:instrText xml:space="preserve"> PAGEREF _Toc14983 \h </w:instrText>
          </w:r>
          <w:r>
            <w:rPr>
              <w:rFonts w:hint="eastAsia" w:ascii="仿宋" w:hAnsi="仿宋" w:eastAsia="仿宋" w:cs="仿宋"/>
              <w:b/>
              <w:bCs/>
              <w:color w:val="auto"/>
              <w:sz w:val="28"/>
              <w:szCs w:val="36"/>
              <w:highlight w:val="none"/>
            </w:rPr>
            <w:fldChar w:fldCharType="separate"/>
          </w:r>
          <w:r>
            <w:rPr>
              <w:rFonts w:hint="eastAsia" w:ascii="仿宋" w:hAnsi="仿宋" w:eastAsia="仿宋" w:cs="仿宋"/>
              <w:b/>
              <w:bCs/>
              <w:color w:val="auto"/>
              <w:sz w:val="28"/>
              <w:szCs w:val="36"/>
              <w:highlight w:val="none"/>
            </w:rPr>
            <w:t>- 32 -</w:t>
          </w:r>
          <w:r>
            <w:rPr>
              <w:rFonts w:hint="eastAsia" w:ascii="仿宋" w:hAnsi="仿宋" w:eastAsia="仿宋" w:cs="仿宋"/>
              <w:b/>
              <w:bCs/>
              <w:color w:val="auto"/>
              <w:sz w:val="28"/>
              <w:szCs w:val="36"/>
              <w:highlight w:val="none"/>
            </w:rPr>
            <w:fldChar w:fldCharType="end"/>
          </w:r>
          <w:r>
            <w:rPr>
              <w:rFonts w:hint="eastAsia" w:ascii="仿宋" w:hAnsi="仿宋" w:eastAsia="仿宋" w:cs="仿宋"/>
              <w:b/>
              <w:bCs/>
              <w:color w:val="auto"/>
              <w:sz w:val="28"/>
              <w:szCs w:val="36"/>
              <w:highlight w:val="none"/>
            </w:rPr>
            <w:fldChar w:fldCharType="end"/>
          </w:r>
        </w:p>
        <w:p>
          <w:pPr>
            <w:pStyle w:val="15"/>
            <w:tabs>
              <w:tab w:val="right" w:leader="dot" w:pos="8845"/>
            </w:tabs>
            <w:spacing w:line="480" w:lineRule="auto"/>
            <w:rPr>
              <w:rFonts w:hint="eastAsia" w:ascii="仿宋" w:hAnsi="仿宋" w:eastAsia="仿宋" w:cs="仿宋"/>
              <w:b/>
              <w:bCs/>
              <w:color w:val="auto"/>
              <w:sz w:val="28"/>
              <w:szCs w:val="36"/>
              <w:highlight w:val="none"/>
            </w:rPr>
          </w:pPr>
          <w:r>
            <w:rPr>
              <w:color w:val="auto"/>
              <w:highlight w:val="none"/>
            </w:rPr>
            <w:fldChar w:fldCharType="begin"/>
          </w:r>
          <w:r>
            <w:rPr>
              <w:color w:val="auto"/>
              <w:highlight w:val="none"/>
            </w:rPr>
            <w:instrText xml:space="preserve"> HYPERLINK \l "_Toc5720" </w:instrText>
          </w:r>
          <w:r>
            <w:rPr>
              <w:color w:val="auto"/>
              <w:highlight w:val="none"/>
            </w:rPr>
            <w:fldChar w:fldCharType="separate"/>
          </w:r>
          <w:r>
            <w:rPr>
              <w:rFonts w:hint="eastAsia" w:ascii="仿宋" w:hAnsi="仿宋" w:eastAsia="仿宋" w:cs="仿宋"/>
              <w:b/>
              <w:bCs/>
              <w:color w:val="auto"/>
              <w:sz w:val="28"/>
              <w:szCs w:val="44"/>
              <w:highlight w:val="none"/>
              <w:lang w:val="zh-CN"/>
            </w:rPr>
            <w:t>第五章 合同条款</w:t>
          </w:r>
          <w:r>
            <w:rPr>
              <w:rFonts w:hint="eastAsia" w:ascii="仿宋" w:hAnsi="仿宋" w:eastAsia="仿宋" w:cs="仿宋"/>
              <w:b/>
              <w:bCs/>
              <w:color w:val="auto"/>
              <w:sz w:val="28"/>
              <w:szCs w:val="36"/>
              <w:highlight w:val="none"/>
            </w:rPr>
            <w:tab/>
          </w:r>
          <w:r>
            <w:rPr>
              <w:rFonts w:hint="eastAsia" w:ascii="仿宋" w:hAnsi="仿宋" w:eastAsia="仿宋" w:cs="仿宋"/>
              <w:b/>
              <w:bCs/>
              <w:color w:val="auto"/>
              <w:sz w:val="28"/>
              <w:szCs w:val="36"/>
              <w:highlight w:val="none"/>
            </w:rPr>
            <w:fldChar w:fldCharType="begin"/>
          </w:r>
          <w:r>
            <w:rPr>
              <w:rFonts w:hint="eastAsia" w:ascii="仿宋" w:hAnsi="仿宋" w:eastAsia="仿宋" w:cs="仿宋"/>
              <w:b/>
              <w:bCs/>
              <w:color w:val="auto"/>
              <w:sz w:val="28"/>
              <w:szCs w:val="36"/>
              <w:highlight w:val="none"/>
            </w:rPr>
            <w:instrText xml:space="preserve"> PAGEREF _Toc5720 \h </w:instrText>
          </w:r>
          <w:r>
            <w:rPr>
              <w:rFonts w:hint="eastAsia" w:ascii="仿宋" w:hAnsi="仿宋" w:eastAsia="仿宋" w:cs="仿宋"/>
              <w:b/>
              <w:bCs/>
              <w:color w:val="auto"/>
              <w:sz w:val="28"/>
              <w:szCs w:val="36"/>
              <w:highlight w:val="none"/>
            </w:rPr>
            <w:fldChar w:fldCharType="separate"/>
          </w:r>
          <w:r>
            <w:rPr>
              <w:rFonts w:hint="eastAsia" w:ascii="仿宋" w:hAnsi="仿宋" w:eastAsia="仿宋" w:cs="仿宋"/>
              <w:b/>
              <w:bCs/>
              <w:color w:val="auto"/>
              <w:sz w:val="28"/>
              <w:szCs w:val="36"/>
              <w:highlight w:val="none"/>
            </w:rPr>
            <w:t>- 38 -</w:t>
          </w:r>
          <w:r>
            <w:rPr>
              <w:rFonts w:hint="eastAsia" w:ascii="仿宋" w:hAnsi="仿宋" w:eastAsia="仿宋" w:cs="仿宋"/>
              <w:b/>
              <w:bCs/>
              <w:color w:val="auto"/>
              <w:sz w:val="28"/>
              <w:szCs w:val="36"/>
              <w:highlight w:val="none"/>
            </w:rPr>
            <w:fldChar w:fldCharType="end"/>
          </w:r>
          <w:r>
            <w:rPr>
              <w:rFonts w:hint="eastAsia" w:ascii="仿宋" w:hAnsi="仿宋" w:eastAsia="仿宋" w:cs="仿宋"/>
              <w:b/>
              <w:bCs/>
              <w:color w:val="auto"/>
              <w:sz w:val="28"/>
              <w:szCs w:val="36"/>
              <w:highlight w:val="none"/>
            </w:rPr>
            <w:fldChar w:fldCharType="end"/>
          </w:r>
        </w:p>
        <w:p>
          <w:pPr>
            <w:pStyle w:val="15"/>
            <w:tabs>
              <w:tab w:val="right" w:leader="dot" w:pos="8845"/>
            </w:tabs>
            <w:spacing w:line="480" w:lineRule="auto"/>
            <w:rPr>
              <w:color w:val="auto"/>
              <w:highlight w:val="none"/>
            </w:rPr>
          </w:pPr>
          <w:r>
            <w:rPr>
              <w:color w:val="auto"/>
              <w:highlight w:val="none"/>
            </w:rPr>
            <w:fldChar w:fldCharType="begin"/>
          </w:r>
          <w:r>
            <w:rPr>
              <w:color w:val="auto"/>
              <w:highlight w:val="none"/>
            </w:rPr>
            <w:instrText xml:space="preserve"> HYPERLINK \l "_Toc12262" </w:instrText>
          </w:r>
          <w:r>
            <w:rPr>
              <w:color w:val="auto"/>
              <w:highlight w:val="none"/>
            </w:rPr>
            <w:fldChar w:fldCharType="separate"/>
          </w:r>
          <w:r>
            <w:rPr>
              <w:rFonts w:hint="eastAsia" w:ascii="仿宋" w:hAnsi="仿宋" w:eastAsia="仿宋" w:cs="仿宋"/>
              <w:b/>
              <w:bCs/>
              <w:color w:val="auto"/>
              <w:sz w:val="28"/>
              <w:szCs w:val="44"/>
              <w:highlight w:val="none"/>
              <w:lang w:val="zh-CN"/>
            </w:rPr>
            <w:t>第六章  投标文件格式</w:t>
          </w:r>
          <w:r>
            <w:rPr>
              <w:rFonts w:hint="eastAsia" w:ascii="仿宋" w:hAnsi="仿宋" w:eastAsia="仿宋" w:cs="仿宋"/>
              <w:b/>
              <w:bCs/>
              <w:color w:val="auto"/>
              <w:sz w:val="28"/>
              <w:szCs w:val="36"/>
              <w:highlight w:val="none"/>
            </w:rPr>
            <w:tab/>
          </w:r>
          <w:r>
            <w:rPr>
              <w:rFonts w:hint="eastAsia" w:ascii="仿宋" w:hAnsi="仿宋" w:eastAsia="仿宋" w:cs="仿宋"/>
              <w:b/>
              <w:bCs/>
              <w:color w:val="auto"/>
              <w:sz w:val="28"/>
              <w:szCs w:val="36"/>
              <w:highlight w:val="none"/>
            </w:rPr>
            <w:fldChar w:fldCharType="begin"/>
          </w:r>
          <w:r>
            <w:rPr>
              <w:rFonts w:hint="eastAsia" w:ascii="仿宋" w:hAnsi="仿宋" w:eastAsia="仿宋" w:cs="仿宋"/>
              <w:b/>
              <w:bCs/>
              <w:color w:val="auto"/>
              <w:sz w:val="28"/>
              <w:szCs w:val="36"/>
              <w:highlight w:val="none"/>
            </w:rPr>
            <w:instrText xml:space="preserve"> PAGEREF _Toc12262 \h </w:instrText>
          </w:r>
          <w:r>
            <w:rPr>
              <w:rFonts w:hint="eastAsia" w:ascii="仿宋" w:hAnsi="仿宋" w:eastAsia="仿宋" w:cs="仿宋"/>
              <w:b/>
              <w:bCs/>
              <w:color w:val="auto"/>
              <w:sz w:val="28"/>
              <w:szCs w:val="36"/>
              <w:highlight w:val="none"/>
            </w:rPr>
            <w:fldChar w:fldCharType="separate"/>
          </w:r>
          <w:r>
            <w:rPr>
              <w:rFonts w:hint="eastAsia" w:ascii="仿宋" w:hAnsi="仿宋" w:eastAsia="仿宋" w:cs="仿宋"/>
              <w:b/>
              <w:bCs/>
              <w:color w:val="auto"/>
              <w:sz w:val="28"/>
              <w:szCs w:val="36"/>
              <w:highlight w:val="none"/>
            </w:rPr>
            <w:t>55</w:t>
          </w:r>
          <w:r>
            <w:rPr>
              <w:rFonts w:hint="eastAsia" w:ascii="仿宋" w:hAnsi="仿宋" w:eastAsia="仿宋" w:cs="仿宋"/>
              <w:b/>
              <w:bCs/>
              <w:color w:val="auto"/>
              <w:sz w:val="28"/>
              <w:szCs w:val="36"/>
              <w:highlight w:val="none"/>
            </w:rPr>
            <w:fldChar w:fldCharType="end"/>
          </w:r>
          <w:r>
            <w:rPr>
              <w:rFonts w:hint="eastAsia" w:ascii="仿宋" w:hAnsi="仿宋" w:eastAsia="仿宋" w:cs="仿宋"/>
              <w:b/>
              <w:bCs/>
              <w:color w:val="auto"/>
              <w:sz w:val="28"/>
              <w:szCs w:val="36"/>
              <w:highlight w:val="none"/>
            </w:rPr>
            <w:fldChar w:fldCharType="end"/>
          </w:r>
        </w:p>
        <w:p>
          <w:pPr>
            <w:rPr>
              <w:color w:val="auto"/>
              <w:highlight w:val="none"/>
            </w:rPr>
          </w:pPr>
          <w:r>
            <w:rPr>
              <w:color w:val="auto"/>
              <w:highlight w:val="none"/>
            </w:rPr>
            <w:fldChar w:fldCharType="end"/>
          </w:r>
        </w:p>
      </w:sdtContent>
    </w:sdt>
    <w:p>
      <w:pPr>
        <w:rPr>
          <w:color w:val="auto"/>
          <w:highlight w:val="none"/>
        </w:rPr>
      </w:pPr>
    </w:p>
    <w:p>
      <w:pPr>
        <w:pStyle w:val="15"/>
        <w:tabs>
          <w:tab w:val="right" w:leader="dot" w:pos="8845"/>
        </w:tabs>
        <w:spacing w:line="360" w:lineRule="auto"/>
        <w:rPr>
          <w:rFonts w:hint="eastAsia" w:ascii="仿宋" w:hAnsi="仿宋" w:eastAsia="仿宋" w:cs="仿宋"/>
          <w:b/>
          <w:color w:val="auto"/>
          <w:sz w:val="28"/>
          <w:szCs w:val="36"/>
          <w:highlight w:val="none"/>
        </w:rPr>
      </w:pPr>
      <w:r>
        <w:rPr>
          <w:rFonts w:hint="eastAsia" w:ascii="仿宋" w:hAnsi="仿宋" w:eastAsia="仿宋" w:cs="仿宋"/>
          <w:b/>
          <w:color w:val="auto"/>
          <w:sz w:val="28"/>
          <w:szCs w:val="48"/>
          <w:highlight w:val="none"/>
        </w:rPr>
        <w:fldChar w:fldCharType="end"/>
      </w:r>
    </w:p>
    <w:p>
      <w:pPr>
        <w:pageBreakBefore/>
        <w:snapToGrid w:val="0"/>
        <w:spacing w:line="360" w:lineRule="auto"/>
        <w:jc w:val="center"/>
        <w:outlineLvl w:val="0"/>
        <w:rPr>
          <w:rFonts w:hint="eastAsia" w:ascii="仿宋" w:hAnsi="仿宋" w:eastAsia="仿宋" w:cs="仿宋"/>
          <w:b/>
          <w:color w:val="auto"/>
          <w:sz w:val="36"/>
          <w:szCs w:val="48"/>
          <w:highlight w:val="none"/>
        </w:rPr>
        <w:sectPr>
          <w:footerReference r:id="rId6" w:type="default"/>
          <w:pgSz w:w="11907" w:h="16840"/>
          <w:pgMar w:top="1440" w:right="1531" w:bottom="1440" w:left="1531" w:header="720" w:footer="720" w:gutter="0"/>
          <w:pgNumType w:start="1"/>
          <w:cols w:space="720" w:num="1"/>
        </w:sectPr>
      </w:pPr>
    </w:p>
    <w:p>
      <w:pPr>
        <w:pageBreakBefore/>
        <w:snapToGrid w:val="0"/>
        <w:spacing w:line="360" w:lineRule="auto"/>
        <w:jc w:val="center"/>
        <w:outlineLvl w:val="0"/>
        <w:rPr>
          <w:rFonts w:hint="eastAsia" w:ascii="仿宋" w:hAnsi="仿宋" w:eastAsia="仿宋" w:cs="仿宋"/>
          <w:b/>
          <w:bCs/>
          <w:color w:val="auto"/>
          <w:sz w:val="32"/>
          <w:szCs w:val="32"/>
          <w:highlight w:val="none"/>
          <w:lang w:val="zh-CN"/>
        </w:rPr>
      </w:pPr>
      <w:r>
        <w:rPr>
          <w:rFonts w:hint="eastAsia" w:ascii="仿宋" w:hAnsi="仿宋" w:eastAsia="仿宋" w:cs="仿宋"/>
          <w:b/>
          <w:color w:val="auto"/>
          <w:sz w:val="36"/>
          <w:szCs w:val="48"/>
          <w:highlight w:val="none"/>
        </w:rPr>
        <w:fldChar w:fldCharType="end"/>
      </w:r>
      <w:bookmarkStart w:id="0" w:name="_Toc24582"/>
      <w:bookmarkStart w:id="1" w:name="_Toc26500"/>
      <w:bookmarkStart w:id="2" w:name="_Toc455"/>
      <w:bookmarkStart w:id="3" w:name="_Toc28779"/>
      <w:bookmarkStart w:id="4" w:name="_Toc8038"/>
      <w:bookmarkStart w:id="5" w:name="_Toc15373"/>
      <w:bookmarkStart w:id="6" w:name="_Toc20084"/>
      <w:bookmarkStart w:id="7" w:name="_Toc1041"/>
      <w:bookmarkStart w:id="8" w:name="_Toc28572"/>
      <w:bookmarkStart w:id="9" w:name="_Toc14741"/>
      <w:r>
        <w:rPr>
          <w:rFonts w:hint="eastAsia" w:ascii="仿宋" w:hAnsi="仿宋" w:eastAsia="仿宋" w:cs="仿宋"/>
          <w:b/>
          <w:bCs/>
          <w:color w:val="auto"/>
          <w:sz w:val="32"/>
          <w:szCs w:val="32"/>
          <w:highlight w:val="none"/>
        </w:rPr>
        <w:t>第一章  招标公告</w:t>
      </w:r>
      <w:bookmarkEnd w:id="0"/>
      <w:bookmarkEnd w:id="1"/>
      <w:bookmarkEnd w:id="2"/>
      <w:bookmarkEnd w:id="3"/>
      <w:bookmarkEnd w:id="4"/>
      <w:bookmarkEnd w:id="5"/>
      <w:bookmarkEnd w:id="6"/>
      <w:bookmarkEnd w:id="7"/>
      <w:bookmarkEnd w:id="8"/>
      <w:bookmarkEnd w:id="9"/>
    </w:p>
    <w:p>
      <w:pPr>
        <w:spacing w:line="360" w:lineRule="auto"/>
        <w:jc w:val="center"/>
        <w:rPr>
          <w:rFonts w:hint="eastAsia"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lang w:val="zh-CN"/>
        </w:rPr>
        <w:t>新疆农业大学智慧农业科技创新平台建设项目</w:t>
      </w:r>
      <w:r>
        <w:rPr>
          <w:rFonts w:hint="eastAsia" w:ascii="仿宋" w:hAnsi="仿宋" w:eastAsia="仿宋" w:cs="宋体"/>
          <w:b/>
          <w:bCs/>
          <w:color w:val="auto"/>
          <w:sz w:val="28"/>
          <w:szCs w:val="28"/>
          <w:highlight w:val="none"/>
        </w:rPr>
        <w:t>公开招标公告</w:t>
      </w:r>
    </w:p>
    <w:tbl>
      <w:tblPr>
        <w:tblStyle w:val="20"/>
        <w:tblW w:w="88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9" w:hRule="atLeast"/>
          <w:jc w:val="center"/>
        </w:trPr>
        <w:tc>
          <w:tcPr>
            <w:tcW w:w="8860" w:type="dxa"/>
          </w:tcPr>
          <w:p>
            <w:pPr>
              <w:pStyle w:val="5"/>
              <w:ind w:firstLine="48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项目概况</w:t>
            </w:r>
          </w:p>
          <w:p>
            <w:pPr>
              <w:pStyle w:val="5"/>
              <w:ind w:firstLine="480"/>
              <w:rPr>
                <w:rFonts w:hint="eastAsia" w:ascii="仿宋" w:hAnsi="仿宋" w:eastAsia="仿宋" w:cs="宋体"/>
                <w:color w:val="auto"/>
                <w:kern w:val="0"/>
                <w:sz w:val="24"/>
                <w:highlight w:val="none"/>
              </w:rPr>
            </w:pPr>
            <w:r>
              <w:rPr>
                <w:rFonts w:hint="eastAsia" w:ascii="仿宋" w:hAnsi="仿宋" w:eastAsia="仿宋" w:cs="宋体"/>
                <w:color w:val="auto"/>
                <w:kern w:val="0"/>
                <w:sz w:val="24"/>
                <w:highlight w:val="none"/>
              </w:rPr>
              <w:t>新疆农业大学智慧农业科技创新平台建设项目</w:t>
            </w:r>
            <w:ins w:id="0" w:author="闾新豪" w:date="2026-05-18T15:39:02Z">
              <w:r>
                <w:rPr>
                  <w:rFonts w:hint="eastAsia" w:ascii="仿宋" w:hAnsi="仿宋" w:eastAsia="仿宋" w:cs="宋体"/>
                  <w:color w:val="auto"/>
                  <w:kern w:val="0"/>
                  <w:sz w:val="24"/>
                  <w:highlight w:val="none"/>
                  <w:u w:val="none"/>
                  <w:lang w:eastAsia="zh-CN"/>
                </w:rPr>
                <w:t>招标项目的潜在投标人应在政采云平台线上获取招标文件</w:t>
              </w:r>
            </w:ins>
            <w:r>
              <w:rPr>
                <w:rFonts w:hint="eastAsia" w:ascii="仿宋" w:hAnsi="仿宋" w:eastAsia="仿宋" w:cs="宋体"/>
                <w:color w:val="auto"/>
                <w:kern w:val="0"/>
                <w:sz w:val="24"/>
                <w:highlight w:val="none"/>
                <w:u w:val="none"/>
              </w:rPr>
              <w:t>，并于2026年0</w:t>
            </w:r>
            <w:ins w:id="1" w:author="闾新豪" w:date="2026-05-18T15:39:33Z">
              <w:r>
                <w:rPr>
                  <w:rFonts w:hint="eastAsia" w:ascii="仿宋" w:hAnsi="仿宋" w:eastAsia="仿宋" w:cs="宋体"/>
                  <w:color w:val="auto"/>
                  <w:kern w:val="0"/>
                  <w:sz w:val="24"/>
                  <w:highlight w:val="none"/>
                  <w:u w:val="none"/>
                  <w:lang w:val="en-US" w:eastAsia="zh-CN"/>
                </w:rPr>
                <w:t>6</w:t>
              </w:r>
            </w:ins>
            <w:r>
              <w:rPr>
                <w:rFonts w:hint="eastAsia" w:ascii="仿宋" w:hAnsi="仿宋" w:eastAsia="仿宋" w:cs="宋体"/>
                <w:color w:val="auto"/>
                <w:kern w:val="0"/>
                <w:sz w:val="24"/>
                <w:highlight w:val="none"/>
                <w:u w:val="none"/>
              </w:rPr>
              <w:t xml:space="preserve">月 </w:t>
            </w:r>
            <w:ins w:id="2" w:author="闾新豪" w:date="2026-05-18T15:39:37Z">
              <w:r>
                <w:rPr>
                  <w:rFonts w:hint="eastAsia" w:ascii="仿宋" w:hAnsi="仿宋" w:eastAsia="仿宋" w:cs="宋体"/>
                  <w:color w:val="auto"/>
                  <w:kern w:val="0"/>
                  <w:sz w:val="24"/>
                  <w:highlight w:val="none"/>
                  <w:u w:val="none"/>
                  <w:lang w:val="en-US" w:eastAsia="zh-CN"/>
                </w:rPr>
                <w:t>10</w:t>
              </w:r>
            </w:ins>
            <w:r>
              <w:rPr>
                <w:rFonts w:hint="eastAsia" w:ascii="仿宋" w:hAnsi="仿宋" w:eastAsia="仿宋" w:cs="宋体"/>
                <w:color w:val="auto"/>
                <w:kern w:val="0"/>
                <w:sz w:val="24"/>
                <w:highlight w:val="none"/>
                <w:u w:val="none"/>
              </w:rPr>
              <w:t xml:space="preserve"> 日 11:00（北京时间）前递交投</w:t>
            </w:r>
            <w:r>
              <w:rPr>
                <w:rFonts w:hint="eastAsia" w:ascii="仿宋" w:hAnsi="仿宋" w:eastAsia="仿宋" w:cs="宋体"/>
                <w:color w:val="auto"/>
                <w:kern w:val="0"/>
                <w:sz w:val="24"/>
                <w:highlight w:val="none"/>
              </w:rPr>
              <w:t>标文件。</w:t>
            </w:r>
            <w:r>
              <w:rPr>
                <w:rFonts w:hint="eastAsia" w:ascii="仿宋" w:hAnsi="仿宋" w:eastAsia="仿宋" w:cs="宋体"/>
                <w:color w:val="auto"/>
                <w:sz w:val="24"/>
                <w:highlight w:val="none"/>
              </w:rPr>
              <w:t xml:space="preserve">                           </w:t>
            </w:r>
          </w:p>
        </w:tc>
      </w:tr>
    </w:tbl>
    <w:p>
      <w:pPr>
        <w:pStyle w:val="18"/>
        <w:widowControl/>
        <w:spacing w:before="0" w:beforeAutospacing="0" w:after="0" w:afterAutospacing="0" w:line="440" w:lineRule="exact"/>
        <w:jc w:val="both"/>
        <w:rPr>
          <w:rFonts w:hint="eastAsia" w:ascii="仿宋" w:hAnsi="仿宋" w:eastAsia="仿宋" w:cs="宋体"/>
          <w:color w:val="auto"/>
          <w:highlight w:val="none"/>
        </w:rPr>
      </w:pPr>
      <w:r>
        <w:rPr>
          <w:rStyle w:val="23"/>
          <w:rFonts w:hint="eastAsia" w:ascii="仿宋" w:hAnsi="仿宋" w:eastAsia="仿宋" w:cs="宋体"/>
          <w:color w:val="auto"/>
          <w:highlight w:val="none"/>
        </w:rPr>
        <w:t>一、项目基本情况</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项目编号：2026ZHAJ-04</w:t>
      </w:r>
    </w:p>
    <w:p>
      <w:pPr>
        <w:pStyle w:val="18"/>
        <w:widowControl/>
        <w:spacing w:before="0" w:beforeAutospacing="0" w:after="0" w:afterAutospacing="0" w:line="440" w:lineRule="exact"/>
        <w:ind w:left="480" w:leftChars="200"/>
        <w:jc w:val="both"/>
        <w:rPr>
          <w:rFonts w:hint="eastAsia" w:ascii="仿宋" w:hAnsi="仿宋" w:eastAsia="仿宋" w:cs="宋体"/>
          <w:color w:val="auto"/>
          <w:highlight w:val="none"/>
        </w:rPr>
      </w:pPr>
      <w:r>
        <w:rPr>
          <w:rFonts w:hint="eastAsia" w:ascii="仿宋" w:hAnsi="仿宋" w:eastAsia="仿宋" w:cs="宋体"/>
          <w:color w:val="auto"/>
          <w:highlight w:val="none"/>
        </w:rPr>
        <w:t>项目名称：新疆农业大学智慧农业科技创新平台建设项目</w:t>
      </w:r>
    </w:p>
    <w:p>
      <w:pPr>
        <w:pStyle w:val="18"/>
        <w:widowControl/>
        <w:spacing w:before="0" w:beforeAutospacing="0" w:after="0" w:afterAutospacing="0" w:line="440" w:lineRule="exact"/>
        <w:ind w:left="480" w:leftChars="200"/>
        <w:jc w:val="both"/>
        <w:rPr>
          <w:rFonts w:hint="eastAsia" w:ascii="仿宋" w:hAnsi="仿宋" w:eastAsia="仿宋" w:cs="宋体"/>
          <w:color w:val="auto"/>
          <w:highlight w:val="none"/>
        </w:rPr>
      </w:pPr>
      <w:r>
        <w:rPr>
          <w:rFonts w:hint="eastAsia" w:ascii="仿宋" w:hAnsi="仿宋" w:eastAsia="仿宋" w:cs="宋体"/>
          <w:color w:val="auto"/>
          <w:highlight w:val="none"/>
        </w:rPr>
        <w:t xml:space="preserve">采购方式：公开招标     </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预算金额（元）：1060000.00</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最高限价（元）：1060000.00</w:t>
      </w:r>
    </w:p>
    <w:p>
      <w:pPr>
        <w:pStyle w:val="18"/>
        <w:widowControl/>
        <w:adjustRightInd w:val="0"/>
        <w:snapToGrid w:val="0"/>
        <w:spacing w:before="0" w:beforeAutospacing="0" w:after="0" w:afterAutospacing="0" w:line="440" w:lineRule="atLeast"/>
        <w:ind w:left="480" w:leftChars="200"/>
        <w:jc w:val="both"/>
        <w:rPr>
          <w:rFonts w:hint="eastAsia" w:ascii="仿宋" w:hAnsi="仿宋" w:eastAsia="仿宋" w:cs="宋体"/>
          <w:color w:val="auto"/>
          <w:highlight w:val="none"/>
        </w:rPr>
      </w:pPr>
      <w:r>
        <w:rPr>
          <w:rFonts w:hint="eastAsia" w:ascii="仿宋" w:hAnsi="仿宋" w:eastAsia="仿宋" w:cs="宋体"/>
          <w:color w:val="auto"/>
          <w:highlight w:val="none"/>
        </w:rPr>
        <w:t>采购需求：</w:t>
      </w:r>
    </w:p>
    <w:p>
      <w:pPr>
        <w:pStyle w:val="18"/>
        <w:widowControl/>
        <w:adjustRightInd w:val="0"/>
        <w:snapToGrid w:val="0"/>
        <w:spacing w:before="0" w:beforeAutospacing="0" w:after="0" w:afterAutospacing="0" w:line="440" w:lineRule="atLeast"/>
        <w:ind w:left="480" w:leftChars="200"/>
        <w:jc w:val="both"/>
        <w:rPr>
          <w:rFonts w:hint="eastAsia" w:ascii="仿宋" w:hAnsi="仿宋" w:eastAsia="仿宋" w:cs="宋体"/>
          <w:color w:val="auto"/>
          <w:highlight w:val="none"/>
        </w:rPr>
      </w:pPr>
      <w:r>
        <w:rPr>
          <w:rFonts w:hint="eastAsia" w:ascii="仿宋" w:hAnsi="仿宋" w:eastAsia="仿宋" w:cs="宋体"/>
          <w:color w:val="auto"/>
          <w:highlight w:val="none"/>
        </w:rPr>
        <w:t>标项名称:新疆农业大学智慧农业科技创新平台建设项目</w:t>
      </w:r>
    </w:p>
    <w:p>
      <w:pPr>
        <w:pStyle w:val="18"/>
        <w:widowControl/>
        <w:adjustRightInd w:val="0"/>
        <w:snapToGrid w:val="0"/>
        <w:spacing w:before="0" w:beforeAutospacing="0" w:after="0" w:afterAutospacing="0" w:line="440" w:lineRule="atLeast"/>
        <w:ind w:left="480" w:leftChars="200"/>
        <w:jc w:val="both"/>
        <w:rPr>
          <w:rFonts w:hint="eastAsia" w:ascii="仿宋" w:hAnsi="仿宋" w:eastAsia="仿宋" w:cs="宋体"/>
          <w:color w:val="auto"/>
          <w:highlight w:val="none"/>
        </w:rPr>
      </w:pPr>
      <w:r>
        <w:rPr>
          <w:rFonts w:hint="eastAsia" w:ascii="仿宋" w:hAnsi="仿宋" w:eastAsia="仿宋" w:cs="宋体"/>
          <w:color w:val="auto"/>
          <w:highlight w:val="none"/>
        </w:rPr>
        <w:t>数量:1</w:t>
      </w:r>
    </w:p>
    <w:p>
      <w:pPr>
        <w:pStyle w:val="18"/>
        <w:widowControl/>
        <w:adjustRightInd w:val="0"/>
        <w:snapToGrid w:val="0"/>
        <w:spacing w:before="0" w:beforeAutospacing="0" w:after="0" w:afterAutospacing="0" w:line="440" w:lineRule="atLeast"/>
        <w:ind w:left="480" w:leftChars="200"/>
        <w:jc w:val="both"/>
        <w:rPr>
          <w:rFonts w:hint="eastAsia" w:ascii="仿宋" w:hAnsi="仿宋" w:eastAsia="仿宋" w:cs="宋体"/>
          <w:color w:val="auto"/>
          <w:highlight w:val="none"/>
        </w:rPr>
      </w:pPr>
      <w:r>
        <w:rPr>
          <w:rFonts w:hint="eastAsia" w:ascii="仿宋" w:hAnsi="仿宋" w:eastAsia="仿宋" w:cs="宋体"/>
          <w:color w:val="auto"/>
          <w:highlight w:val="none"/>
        </w:rPr>
        <w:t>预算金额（元）:1060000.00</w:t>
      </w:r>
    </w:p>
    <w:p>
      <w:pPr>
        <w:pStyle w:val="18"/>
        <w:widowControl/>
        <w:adjustRightInd w:val="0"/>
        <w:snapToGrid w:val="0"/>
        <w:spacing w:before="0" w:beforeAutospacing="0" w:after="0" w:afterAutospacing="0" w:line="440" w:lineRule="atLeast"/>
        <w:ind w:left="480" w:leftChars="200"/>
        <w:jc w:val="both"/>
        <w:rPr>
          <w:rFonts w:hint="eastAsia" w:ascii="仿宋" w:hAnsi="仿宋" w:eastAsia="仿宋" w:cs="宋体"/>
          <w:color w:val="auto"/>
          <w:highlight w:val="none"/>
        </w:rPr>
      </w:pPr>
      <w:r>
        <w:rPr>
          <w:rFonts w:hint="eastAsia" w:ascii="仿宋" w:hAnsi="仿宋" w:eastAsia="仿宋" w:cs="宋体"/>
          <w:color w:val="auto"/>
          <w:highlight w:val="none"/>
        </w:rPr>
        <w:t>单位： 批 </w:t>
      </w:r>
    </w:p>
    <w:p>
      <w:pPr>
        <w:pStyle w:val="18"/>
        <w:widowControl/>
        <w:adjustRightInd w:val="0"/>
        <w:snapToGrid w:val="0"/>
        <w:spacing w:before="0" w:beforeAutospacing="0" w:after="0" w:afterAutospacing="0" w:line="440" w:lineRule="atLeast"/>
        <w:ind w:left="480" w:leftChars="200"/>
        <w:jc w:val="both"/>
        <w:rPr>
          <w:rFonts w:hint="eastAsia" w:ascii="仿宋" w:hAnsi="仿宋" w:eastAsia="仿宋" w:cs="宋体"/>
          <w:color w:val="auto"/>
          <w:highlight w:val="none"/>
        </w:rPr>
      </w:pPr>
      <w:r>
        <w:rPr>
          <w:rFonts w:hint="eastAsia" w:ascii="仿宋" w:hAnsi="仿宋" w:eastAsia="仿宋" w:cs="宋体"/>
          <w:color w:val="auto"/>
          <w:highlight w:val="none"/>
        </w:rPr>
        <w:t>简要规格描述或项目基本概况介绍、用途：采购清单中所列仪器设备。（其余详见第四章 采购需求）   </w:t>
      </w:r>
    </w:p>
    <w:p>
      <w:pPr>
        <w:pStyle w:val="18"/>
        <w:widowControl/>
        <w:adjustRightInd w:val="0"/>
        <w:snapToGrid w:val="0"/>
        <w:spacing w:before="0" w:beforeAutospacing="0" w:after="0" w:afterAutospacing="0" w:line="440" w:lineRule="atLeast"/>
        <w:ind w:left="480" w:leftChars="200"/>
        <w:jc w:val="both"/>
        <w:rPr>
          <w:rFonts w:hint="eastAsia" w:ascii="仿宋" w:hAnsi="仿宋" w:eastAsia="仿宋" w:cs="宋体"/>
          <w:color w:val="auto"/>
          <w:highlight w:val="none"/>
        </w:rPr>
      </w:pPr>
      <w:r>
        <w:rPr>
          <w:rFonts w:hint="eastAsia" w:ascii="仿宋" w:hAnsi="仿宋" w:eastAsia="仿宋" w:cs="宋体"/>
          <w:color w:val="auto"/>
          <w:highlight w:val="none"/>
        </w:rPr>
        <w:t>备注：</w:t>
      </w:r>
    </w:p>
    <w:p>
      <w:pPr>
        <w:pStyle w:val="18"/>
        <w:widowControl/>
        <w:adjustRightInd w:val="0"/>
        <w:snapToGrid w:val="0"/>
        <w:spacing w:before="0" w:beforeAutospacing="0" w:after="0" w:afterAutospacing="0" w:line="440" w:lineRule="atLeast"/>
        <w:ind w:left="480" w:leftChars="200"/>
        <w:jc w:val="both"/>
        <w:rPr>
          <w:rFonts w:hint="eastAsia" w:ascii="仿宋" w:hAnsi="仿宋" w:eastAsia="仿宋" w:cs="宋体"/>
          <w:color w:val="auto"/>
          <w:highlight w:val="none"/>
        </w:rPr>
      </w:pPr>
      <w:r>
        <w:rPr>
          <w:rFonts w:hint="eastAsia" w:ascii="仿宋" w:hAnsi="仿宋" w:eastAsia="仿宋" w:cs="宋体"/>
          <w:color w:val="auto"/>
          <w:highlight w:val="none"/>
        </w:rPr>
        <w:t>合同履约期限：签订合同后</w:t>
      </w:r>
      <w:ins w:id="3" w:author="雪首无怨" w:date="2026-04-30T17:52:04Z">
        <w:r>
          <w:rPr>
            <w:rFonts w:hint="eastAsia" w:ascii="仿宋" w:hAnsi="仿宋" w:eastAsia="仿宋" w:cs="宋体"/>
            <w:color w:val="auto"/>
            <w:highlight w:val="none"/>
            <w:lang w:val="en-US" w:eastAsia="zh-CN"/>
          </w:rPr>
          <w:t>8</w:t>
        </w:r>
      </w:ins>
      <w:ins w:id="4" w:author="雪首无怨" w:date="2026-04-30T17:52:05Z">
        <w:r>
          <w:rPr>
            <w:rFonts w:hint="eastAsia" w:ascii="仿宋" w:hAnsi="仿宋" w:eastAsia="仿宋" w:cs="宋体"/>
            <w:color w:val="auto"/>
            <w:highlight w:val="none"/>
            <w:lang w:val="en-US" w:eastAsia="zh-CN"/>
          </w:rPr>
          <w:t>0</w:t>
        </w:r>
      </w:ins>
      <w:r>
        <w:rPr>
          <w:rFonts w:hint="eastAsia" w:ascii="仿宋" w:hAnsi="仿宋" w:eastAsia="仿宋" w:cs="宋体"/>
          <w:color w:val="auto"/>
          <w:highlight w:val="none"/>
        </w:rPr>
        <w:t>天内完成供货、安装、调试以及与之配套的辅助工作，交付采购人使用。</w:t>
      </w:r>
    </w:p>
    <w:p>
      <w:pPr>
        <w:pStyle w:val="18"/>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本项目（否）接受联合体投标。</w:t>
      </w:r>
    </w:p>
    <w:p>
      <w:pPr>
        <w:pStyle w:val="18"/>
        <w:widowControl/>
        <w:numPr>
          <w:ilvl w:val="0"/>
          <w:numId w:val="1"/>
        </w:numPr>
        <w:spacing w:before="0" w:beforeAutospacing="0" w:after="0" w:afterAutospacing="0" w:line="440" w:lineRule="exact"/>
        <w:jc w:val="both"/>
        <w:rPr>
          <w:rStyle w:val="23"/>
          <w:rFonts w:hint="eastAsia" w:ascii="仿宋" w:hAnsi="仿宋" w:eastAsia="仿宋" w:cs="宋体"/>
          <w:color w:val="auto"/>
          <w:highlight w:val="none"/>
        </w:rPr>
      </w:pPr>
      <w:r>
        <w:rPr>
          <w:rStyle w:val="23"/>
          <w:rFonts w:hint="eastAsia" w:ascii="仿宋" w:hAnsi="仿宋" w:eastAsia="仿宋" w:cs="宋体"/>
          <w:color w:val="auto"/>
          <w:highlight w:val="none"/>
        </w:rPr>
        <w:t>申请人的资格要求</w:t>
      </w:r>
    </w:p>
    <w:p>
      <w:pPr>
        <w:pStyle w:val="18"/>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1.满足《中华人民共和国政府采购法》第二十二条规定；</w:t>
      </w:r>
    </w:p>
    <w:p>
      <w:pPr>
        <w:pStyle w:val="18"/>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2.落实政府采购政策需满足的资格要求：</w:t>
      </w:r>
      <w:r>
        <w:rPr>
          <w:rFonts w:hint="eastAsia" w:ascii="仿宋" w:hAnsi="仿宋" w:eastAsia="仿宋" w:cs="仿宋"/>
          <w:color w:val="auto"/>
          <w:highlight w:val="none"/>
        </w:rPr>
        <w:t>本项目专门面向中小微企业；</w:t>
      </w:r>
    </w:p>
    <w:p>
      <w:pPr>
        <w:pStyle w:val="18"/>
        <w:widowControl/>
        <w:adjustRightInd w:val="0"/>
        <w:snapToGrid w:val="0"/>
        <w:spacing w:before="0" w:beforeAutospacing="0" w:after="0" w:afterAutospacing="0" w:line="440" w:lineRule="atLeas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3.本项目的特定资格要求：</w:t>
      </w:r>
    </w:p>
    <w:p>
      <w:pPr>
        <w:pStyle w:val="18"/>
        <w:widowControl/>
        <w:adjustRightInd w:val="0"/>
        <w:snapToGrid w:val="0"/>
        <w:spacing w:before="0" w:beforeAutospacing="0" w:after="0" w:afterAutospacing="0" w:line="440" w:lineRule="atLeast"/>
        <w:ind w:firstLine="480" w:firstLineChars="200"/>
        <w:jc w:val="both"/>
        <w:rPr>
          <w:rFonts w:hint="eastAsia" w:ascii="仿宋" w:hAnsi="仿宋" w:eastAsia="仿宋" w:cs="仿宋"/>
          <w:color w:val="auto"/>
          <w:highlight w:val="none"/>
        </w:rPr>
      </w:pPr>
      <w:r>
        <w:rPr>
          <w:rFonts w:hint="eastAsia" w:ascii="仿宋" w:hAnsi="仿宋" w:eastAsia="仿宋" w:cs="宋体"/>
          <w:color w:val="auto"/>
          <w:highlight w:val="none"/>
        </w:rPr>
        <w:t>（1）</w:t>
      </w:r>
      <w:r>
        <w:rPr>
          <w:rFonts w:hint="eastAsia" w:ascii="仿宋" w:hAnsi="仿宋" w:eastAsia="仿宋" w:cs="仿宋"/>
          <w:color w:val="auto"/>
          <w:highlight w:val="none"/>
        </w:rPr>
        <w:t>投标人须在“信用中国”（www.creditchina.gov.cn）和中国政府采购网（www.ccgp.gov.cn）网站上未被列入失信被执行人、重大税收违法案件当事人名单以及政府采购严重违法失信行为记录名单（查询时间为自公告发布之日后）</w:t>
      </w:r>
    </w:p>
    <w:p>
      <w:pPr>
        <w:pStyle w:val="18"/>
        <w:widowControl/>
        <w:adjustRightInd w:val="0"/>
        <w:snapToGrid w:val="0"/>
        <w:spacing w:before="0" w:beforeAutospacing="0" w:after="0" w:afterAutospacing="0" w:line="440" w:lineRule="atLeast"/>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2）其它说明：（A）与采购人存在利害关系可能影响采购公正性的法人、其他组织或者个人，不得参加本次采购活动。（B）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pStyle w:val="18"/>
        <w:widowControl/>
        <w:adjustRightInd w:val="0"/>
        <w:snapToGrid w:val="0"/>
        <w:spacing w:before="0" w:beforeAutospacing="0" w:after="0" w:afterAutospacing="0" w:line="440" w:lineRule="atLeast"/>
        <w:jc w:val="both"/>
        <w:rPr>
          <w:rFonts w:hint="eastAsia" w:ascii="仿宋" w:hAnsi="仿宋" w:eastAsia="仿宋" w:cs="宋体"/>
          <w:color w:val="auto"/>
          <w:highlight w:val="none"/>
        </w:rPr>
      </w:pPr>
      <w:r>
        <w:rPr>
          <w:rStyle w:val="23"/>
          <w:rFonts w:hint="eastAsia" w:ascii="仿宋" w:hAnsi="仿宋" w:eastAsia="仿宋" w:cs="宋体"/>
          <w:color w:val="auto"/>
          <w:highlight w:val="none"/>
        </w:rPr>
        <w:t>三、获取招标文件</w:t>
      </w:r>
    </w:p>
    <w:p>
      <w:pPr>
        <w:pStyle w:val="18"/>
        <w:widowControl/>
        <w:spacing w:before="0" w:beforeAutospacing="0" w:after="0" w:afterAutospacing="0" w:line="360" w:lineRule="auto"/>
        <w:ind w:firstLine="482" w:firstLineChars="200"/>
        <w:jc w:val="both"/>
        <w:rPr>
          <w:rFonts w:hint="eastAsia" w:ascii="仿宋" w:hAnsi="仿宋" w:eastAsia="仿宋" w:cs="仿宋"/>
          <w:color w:val="auto"/>
          <w:highlight w:val="none"/>
        </w:rPr>
      </w:pPr>
      <w:r>
        <w:rPr>
          <w:rFonts w:hint="eastAsia" w:ascii="仿宋" w:hAnsi="仿宋" w:eastAsia="仿宋" w:cs="宋体"/>
          <w:b/>
          <w:bCs/>
          <w:color w:val="auto"/>
          <w:highlight w:val="none"/>
        </w:rPr>
        <w:t>时间：</w:t>
      </w:r>
      <w:r>
        <w:rPr>
          <w:rFonts w:hint="eastAsia" w:ascii="仿宋" w:hAnsi="仿宋" w:eastAsia="仿宋" w:cs="仿宋"/>
          <w:color w:val="auto"/>
          <w:highlight w:val="none"/>
        </w:rPr>
        <w:t>2026年</w:t>
      </w:r>
      <w:ins w:id="5" w:author="闾新豪" w:date="2026-05-18T15:42:28Z">
        <w:r>
          <w:rPr>
            <w:rFonts w:hint="eastAsia" w:ascii="仿宋" w:hAnsi="仿宋" w:eastAsia="仿宋" w:cs="仿宋"/>
            <w:color w:val="auto"/>
            <w:highlight w:val="none"/>
            <w:lang w:val="en-US" w:eastAsia="zh-CN"/>
          </w:rPr>
          <w:t>0</w:t>
        </w:r>
      </w:ins>
      <w:ins w:id="6" w:author="闾新豪" w:date="2026-05-18T15:40:55Z">
        <w:r>
          <w:rPr>
            <w:rFonts w:hint="eastAsia" w:ascii="仿宋" w:hAnsi="仿宋" w:eastAsia="仿宋" w:cs="仿宋"/>
            <w:color w:val="auto"/>
            <w:highlight w:val="none"/>
            <w:lang w:val="en-US" w:eastAsia="zh-CN"/>
          </w:rPr>
          <w:t>5</w:t>
        </w:r>
      </w:ins>
      <w:r>
        <w:rPr>
          <w:rFonts w:hint="eastAsia" w:ascii="仿宋" w:hAnsi="仿宋" w:eastAsia="仿宋" w:cs="仿宋"/>
          <w:color w:val="auto"/>
          <w:highlight w:val="none"/>
        </w:rPr>
        <w:t>月</w:t>
      </w:r>
      <w:ins w:id="7" w:author="闾新豪" w:date="2026-05-18T15:41:22Z">
        <w:r>
          <w:rPr>
            <w:rFonts w:hint="eastAsia" w:ascii="仿宋" w:hAnsi="仿宋" w:eastAsia="仿宋" w:cs="仿宋"/>
            <w:color w:val="auto"/>
            <w:highlight w:val="none"/>
            <w:lang w:val="en-US" w:eastAsia="zh-CN"/>
          </w:rPr>
          <w:t>19</w:t>
        </w:r>
      </w:ins>
      <w:r>
        <w:rPr>
          <w:rFonts w:hint="eastAsia" w:ascii="仿宋" w:hAnsi="仿宋" w:eastAsia="仿宋" w:cs="仿宋"/>
          <w:color w:val="auto"/>
          <w:highlight w:val="none"/>
        </w:rPr>
        <w:t>日至2026年</w:t>
      </w:r>
      <w:ins w:id="8" w:author="闾新豪" w:date="2026-05-18T15:42:31Z">
        <w:r>
          <w:rPr>
            <w:rFonts w:hint="eastAsia" w:ascii="仿宋" w:hAnsi="仿宋" w:eastAsia="仿宋" w:cs="仿宋"/>
            <w:color w:val="auto"/>
            <w:highlight w:val="none"/>
            <w:lang w:val="en-US" w:eastAsia="zh-CN"/>
          </w:rPr>
          <w:t>0</w:t>
        </w:r>
      </w:ins>
      <w:r>
        <w:rPr>
          <w:rFonts w:hint="eastAsia" w:ascii="仿宋" w:hAnsi="仿宋" w:eastAsia="仿宋" w:cs="仿宋"/>
          <w:color w:val="auto"/>
          <w:highlight w:val="none"/>
        </w:rPr>
        <w:t>5月</w:t>
      </w:r>
      <w:ins w:id="9" w:author="闾新豪" w:date="2026-05-18T15:41:29Z">
        <w:r>
          <w:rPr>
            <w:rFonts w:hint="eastAsia" w:ascii="仿宋" w:hAnsi="仿宋" w:eastAsia="仿宋" w:cs="仿宋"/>
            <w:color w:val="auto"/>
            <w:highlight w:val="none"/>
            <w:lang w:val="en-US" w:eastAsia="zh-CN"/>
          </w:rPr>
          <w:t>2</w:t>
        </w:r>
      </w:ins>
      <w:ins w:id="10" w:author="闾新豪" w:date="2026-05-18T16:55:58Z">
        <w:r>
          <w:rPr>
            <w:rFonts w:hint="eastAsia" w:ascii="仿宋" w:hAnsi="仿宋" w:eastAsia="仿宋" w:cs="仿宋"/>
            <w:color w:val="auto"/>
            <w:highlight w:val="none"/>
            <w:lang w:val="en-US" w:eastAsia="zh-CN"/>
          </w:rPr>
          <w:t>9</w:t>
        </w:r>
      </w:ins>
      <w:r>
        <w:rPr>
          <w:rFonts w:hint="eastAsia" w:ascii="仿宋" w:hAnsi="仿宋" w:eastAsia="仿宋" w:cs="仿宋"/>
          <w:color w:val="auto"/>
          <w:highlight w:val="none"/>
        </w:rPr>
        <w:t xml:space="preserve"> 日，每天上午00:00至14:00，下午14:00至23:59（北京时间，法定节假日除外）</w:t>
      </w:r>
    </w:p>
    <w:p>
      <w:pPr>
        <w:pStyle w:val="18"/>
        <w:widowControl/>
        <w:spacing w:before="0" w:beforeAutospacing="0" w:after="0" w:afterAutospacing="0" w:line="360" w:lineRule="auto"/>
        <w:ind w:firstLine="482" w:firstLineChars="200"/>
        <w:jc w:val="both"/>
        <w:rPr>
          <w:rFonts w:hint="eastAsia" w:ascii="仿宋" w:hAnsi="仿宋" w:eastAsia="仿宋" w:cs="宋体"/>
          <w:color w:val="auto"/>
          <w:highlight w:val="none"/>
        </w:rPr>
      </w:pPr>
      <w:r>
        <w:rPr>
          <w:rFonts w:hint="eastAsia" w:ascii="仿宋" w:hAnsi="仿宋" w:eastAsia="仿宋" w:cs="宋体"/>
          <w:b/>
          <w:bCs/>
          <w:color w:val="auto"/>
          <w:highlight w:val="none"/>
        </w:rPr>
        <w:t>地点：</w:t>
      </w:r>
      <w:r>
        <w:rPr>
          <w:rFonts w:hint="eastAsia" w:ascii="仿宋" w:hAnsi="仿宋" w:eastAsia="仿宋" w:cs="宋体"/>
          <w:color w:val="auto"/>
          <w:highlight w:val="none"/>
        </w:rPr>
        <w:t>政采云平台线上。</w:t>
      </w:r>
    </w:p>
    <w:p>
      <w:pPr>
        <w:pStyle w:val="18"/>
        <w:widowControl/>
        <w:snapToGrid w:val="0"/>
        <w:spacing w:before="0" w:beforeAutospacing="0" w:after="0" w:afterAutospacing="0" w:line="360" w:lineRule="auto"/>
        <w:ind w:firstLine="482" w:firstLineChars="200"/>
        <w:jc w:val="both"/>
        <w:rPr>
          <w:rFonts w:hint="eastAsia" w:ascii="仿宋" w:hAnsi="仿宋" w:eastAsia="仿宋" w:cs="宋体"/>
          <w:color w:val="auto"/>
          <w:highlight w:val="none"/>
        </w:rPr>
        <w:pPrChange w:id="11" w:author="闾新豪" w:date="2026-05-18T16:56:29Z">
          <w:pPr>
            <w:pStyle w:val="18"/>
            <w:widowControl/>
            <w:snapToGrid w:val="0"/>
            <w:spacing w:before="0" w:beforeAutospacing="0" w:after="0" w:afterAutospacing="0" w:line="360" w:lineRule="auto"/>
            <w:ind w:firstLine="482" w:firstLineChars="200"/>
            <w:jc w:val="both"/>
          </w:pPr>
        </w:pPrChange>
      </w:pPr>
      <w:r>
        <w:rPr>
          <w:rFonts w:hint="eastAsia" w:ascii="仿宋" w:hAnsi="仿宋" w:eastAsia="仿宋" w:cs="宋体"/>
          <w:b/>
          <w:bCs/>
          <w:color w:val="auto"/>
          <w:highlight w:val="none"/>
        </w:rPr>
        <w:t>方式：</w:t>
      </w:r>
      <w:ins w:id="12" w:author="闾新豪" w:date="2026-05-18T15:40:31Z">
        <w:r>
          <w:rPr>
            <w:rFonts w:hint="eastAsia" w:ascii="仿宋" w:hAnsi="仿宋" w:eastAsia="仿宋" w:cs="宋体"/>
            <w:b w:val="0"/>
            <w:bCs w:val="0"/>
            <w:color w:val="auto"/>
            <w:highlight w:val="none"/>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ins>
      <w:ins w:id="13" w:author="闾新豪" w:date="2026-05-18T15:40:31Z">
        <w:r>
          <w:rPr>
            <w:rFonts w:hint="eastAsia" w:ascii="仿宋" w:hAnsi="仿宋" w:eastAsia="仿宋" w:cs="宋体"/>
            <w:b w:val="0"/>
            <w:bCs w:val="0"/>
            <w:color w:val="auto"/>
            <w:highlight w:val="none"/>
            <w:lang w:eastAsia="zh-CN"/>
          </w:rPr>
          <w:t>。</w:t>
        </w:r>
      </w:ins>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售价（元）：0</w:t>
      </w:r>
    </w:p>
    <w:p>
      <w:pPr>
        <w:pStyle w:val="18"/>
        <w:widowControl/>
        <w:spacing w:before="0" w:beforeAutospacing="0" w:after="0" w:afterAutospacing="0" w:line="440" w:lineRule="exact"/>
        <w:jc w:val="both"/>
        <w:rPr>
          <w:rFonts w:hint="eastAsia" w:ascii="仿宋" w:hAnsi="仿宋" w:eastAsia="仿宋" w:cs="宋体"/>
          <w:color w:val="auto"/>
          <w:highlight w:val="none"/>
        </w:rPr>
      </w:pPr>
      <w:r>
        <w:rPr>
          <w:rStyle w:val="23"/>
          <w:rFonts w:hint="eastAsia" w:ascii="仿宋" w:hAnsi="仿宋" w:eastAsia="仿宋" w:cs="宋体"/>
          <w:color w:val="auto"/>
          <w:highlight w:val="none"/>
        </w:rPr>
        <w:t>四、提交投标文件截止时间、开标时间和地点</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提交投标文件截止时间：2026年</w:t>
      </w:r>
      <w:ins w:id="14" w:author="闾新豪" w:date="2026-05-18T15:42:09Z">
        <w:r>
          <w:rPr>
            <w:rFonts w:hint="eastAsia" w:ascii="仿宋" w:hAnsi="仿宋" w:eastAsia="仿宋" w:cs="宋体"/>
            <w:color w:val="auto"/>
            <w:highlight w:val="none"/>
            <w:lang w:val="en-US" w:eastAsia="zh-CN"/>
          </w:rPr>
          <w:t>06</w:t>
        </w:r>
      </w:ins>
      <w:r>
        <w:rPr>
          <w:rFonts w:hint="eastAsia" w:ascii="仿宋" w:hAnsi="仿宋" w:eastAsia="仿宋" w:cs="宋体"/>
          <w:color w:val="auto"/>
          <w:highlight w:val="none"/>
        </w:rPr>
        <w:t xml:space="preserve">月 </w:t>
      </w:r>
      <w:ins w:id="15" w:author="闾新豪" w:date="2026-05-18T15:42:12Z">
        <w:r>
          <w:rPr>
            <w:rFonts w:hint="eastAsia" w:ascii="仿宋" w:hAnsi="仿宋" w:eastAsia="仿宋" w:cs="宋体"/>
            <w:color w:val="auto"/>
            <w:highlight w:val="none"/>
            <w:lang w:val="en-US" w:eastAsia="zh-CN"/>
          </w:rPr>
          <w:t>10</w:t>
        </w:r>
      </w:ins>
      <w:r>
        <w:rPr>
          <w:rFonts w:hint="eastAsia" w:ascii="仿宋" w:hAnsi="仿宋" w:eastAsia="仿宋" w:cs="宋体"/>
          <w:color w:val="auto"/>
          <w:highlight w:val="none"/>
        </w:rPr>
        <w:t>日11：00（北京时间）</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投标地点 ：请登录政采云投标客户端投标</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开标时间：2026年</w:t>
      </w:r>
      <w:ins w:id="16" w:author="闾新豪" w:date="2026-05-18T15:42:15Z">
        <w:r>
          <w:rPr>
            <w:rFonts w:hint="eastAsia" w:ascii="仿宋" w:hAnsi="仿宋" w:eastAsia="仿宋" w:cs="宋体"/>
            <w:color w:val="auto"/>
            <w:highlight w:val="none"/>
            <w:lang w:val="en-US" w:eastAsia="zh-CN"/>
          </w:rPr>
          <w:t>06</w:t>
        </w:r>
      </w:ins>
      <w:r>
        <w:rPr>
          <w:rFonts w:hint="eastAsia" w:ascii="仿宋" w:hAnsi="仿宋" w:eastAsia="仿宋" w:cs="宋体"/>
          <w:color w:val="auto"/>
          <w:highlight w:val="none"/>
        </w:rPr>
        <w:t>月</w:t>
      </w:r>
      <w:ins w:id="17" w:author="闾新豪" w:date="2026-05-18T15:42:17Z">
        <w:r>
          <w:rPr>
            <w:rFonts w:hint="eastAsia" w:ascii="仿宋" w:hAnsi="仿宋" w:eastAsia="仿宋" w:cs="宋体"/>
            <w:color w:val="auto"/>
            <w:highlight w:val="none"/>
            <w:lang w:val="en-US" w:eastAsia="zh-CN"/>
          </w:rPr>
          <w:t>10</w:t>
        </w:r>
      </w:ins>
      <w:r>
        <w:rPr>
          <w:rFonts w:hint="eastAsia" w:ascii="仿宋" w:hAnsi="仿宋" w:eastAsia="仿宋" w:cs="宋体"/>
          <w:color w:val="auto"/>
          <w:highlight w:val="none"/>
        </w:rPr>
        <w:t xml:space="preserve"> 日11：00（北京时间） </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开标地点：</w:t>
      </w:r>
      <w:r>
        <w:rPr>
          <w:rFonts w:hint="eastAsia" w:ascii="仿宋" w:hAnsi="仿宋" w:eastAsia="仿宋" w:cs="仿宋"/>
          <w:color w:val="auto"/>
          <w:highlight w:val="none"/>
        </w:rPr>
        <w:t>投标人登录政采云平台https://www.zcygov.cn/，进入“项目采购-开标评标-右边选择对应项目点击“进入项目”进入开标大厅</w:t>
      </w:r>
    </w:p>
    <w:p>
      <w:pPr>
        <w:pStyle w:val="18"/>
        <w:spacing w:before="0" w:beforeAutospacing="0" w:after="0" w:afterAutospacing="0" w:line="480" w:lineRule="exact"/>
        <w:jc w:val="both"/>
        <w:rPr>
          <w:rFonts w:hint="eastAsia" w:ascii="仿宋" w:hAnsi="仿宋" w:eastAsia="仿宋" w:cs="仿宋"/>
          <w:color w:val="auto"/>
          <w:highlight w:val="none"/>
        </w:rPr>
      </w:pPr>
      <w:r>
        <w:rPr>
          <w:rStyle w:val="23"/>
          <w:rFonts w:hint="eastAsia" w:ascii="仿宋" w:hAnsi="仿宋" w:eastAsia="仿宋" w:cs="仿宋"/>
          <w:color w:val="auto"/>
          <w:highlight w:val="none"/>
        </w:rPr>
        <w:t>五、公告期限</w:t>
      </w:r>
    </w:p>
    <w:p>
      <w:pPr>
        <w:pStyle w:val="18"/>
        <w:spacing w:before="0" w:beforeAutospacing="0" w:after="0" w:afterAutospacing="0" w:line="48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自本公告发布之日起5个工作日。</w:t>
      </w:r>
    </w:p>
    <w:p>
      <w:pPr>
        <w:pStyle w:val="18"/>
        <w:spacing w:before="0" w:beforeAutospacing="0" w:after="0" w:afterAutospacing="0" w:line="480" w:lineRule="exact"/>
        <w:jc w:val="both"/>
        <w:rPr>
          <w:rFonts w:hint="eastAsia" w:ascii="仿宋" w:hAnsi="仿宋" w:eastAsia="仿宋" w:cs="仿宋"/>
          <w:color w:val="auto"/>
          <w:highlight w:val="none"/>
        </w:rPr>
      </w:pPr>
      <w:r>
        <w:rPr>
          <w:rStyle w:val="23"/>
          <w:rFonts w:hint="eastAsia" w:ascii="仿宋" w:hAnsi="仿宋" w:eastAsia="仿宋" w:cs="仿宋"/>
          <w:color w:val="auto"/>
          <w:highlight w:val="none"/>
        </w:rPr>
        <w:t>六、其他补充事宜</w:t>
      </w:r>
    </w:p>
    <w:p>
      <w:pPr>
        <w:pStyle w:val="18"/>
        <w:widowControl/>
        <w:adjustRightInd w:val="0"/>
        <w:snapToGrid w:val="0"/>
        <w:spacing w:beforeAutospacing="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1.本项目实行网上投标，采用电子投标文件。</w:t>
      </w:r>
    </w:p>
    <w:p>
      <w:pPr>
        <w:pStyle w:val="18"/>
        <w:widowControl/>
        <w:adjustRightInd w:val="0"/>
        <w:snapToGrid w:val="0"/>
        <w:spacing w:beforeAutospacing="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各投标人应在开标前确保成为正式注册入库投标人，并完成CA数字证书(符合国密标准)申领。因未注册入库、未办理CA数字证书等原因造成无法投标或投标失败等后果由投标人自行承担。如需咨询，请联系新疆-安信CA服务热线0991-7810912；翔晟CA服务热线025-66085508；新疆CA服务热线4000921999。</w:t>
      </w:r>
    </w:p>
    <w:p>
      <w:pPr>
        <w:pStyle w:val="18"/>
        <w:widowControl/>
        <w:adjustRightInd w:val="0"/>
        <w:snapToGrid w:val="0"/>
        <w:spacing w:beforeAutospacing="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3.投标人将政采云电子交易客户端下载、安装完成后，可通过账号密码或CA登录客户端进行投标文件的制作。在使用政采云投标客户端时，建议使用WIN7及以上操作系统。</w:t>
      </w:r>
    </w:p>
    <w:p>
      <w:pPr>
        <w:pStyle w:val="18"/>
        <w:widowControl/>
        <w:adjustRightInd w:val="0"/>
        <w:snapToGrid w:val="0"/>
        <w:spacing w:beforeAutospacing="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4.其他事项：</w:t>
      </w:r>
    </w:p>
    <w:p>
      <w:pPr>
        <w:pStyle w:val="18"/>
        <w:widowControl/>
        <w:adjustRightInd w:val="0"/>
        <w:snapToGrid w:val="0"/>
        <w:spacing w:beforeAutospacing="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（1）政采云投标客户端请至新疆政府采购网（http://www.ccgp-xinjiang.gov.cn/）下载专区查看，如有问题可拨打政采云客户服务热线95763进行咨询。</w:t>
      </w:r>
    </w:p>
    <w:p>
      <w:pPr>
        <w:pStyle w:val="18"/>
        <w:widowControl/>
        <w:wordWrap w:val="0"/>
        <w:adjustRightInd w:val="0"/>
        <w:snapToGrid w:val="0"/>
        <w:spacing w:beforeAutospacing="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（2）投标人在开标时须使用制作加密电子投标文件所使用的CA锁及电脑，电脑须提前配置好浏览器（建议使用谷歌浏览器），以便开标时解锁。</w:t>
      </w:r>
    </w:p>
    <w:p>
      <w:pPr>
        <w:pStyle w:val="18"/>
        <w:widowControl/>
        <w:wordWrap w:val="0"/>
        <w:adjustRightInd w:val="0"/>
        <w:snapToGrid w:val="0"/>
        <w:spacing w:beforeAutospacing="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投标人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投标人”版面获取操作指南。</w:t>
      </w:r>
    </w:p>
    <w:p>
      <w:pPr>
        <w:pStyle w:val="18"/>
        <w:widowControl/>
        <w:adjustRightInd w:val="0"/>
        <w:snapToGrid w:val="0"/>
        <w:spacing w:beforeAutospacing="0" w:afterAutospacing="0"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（4）为了保证开评标顺利进行，政采云线上开标功能完全实现，投标人开标所使用的电脑设备须具有视频及语音功能。</w:t>
      </w:r>
    </w:p>
    <w:p>
      <w:pPr>
        <w:pStyle w:val="18"/>
        <w:widowControl/>
        <w:adjustRightInd w:val="0"/>
        <w:snapToGrid w:val="0"/>
        <w:spacing w:beforeAutospacing="0" w:afterAutospacing="0" w:line="360" w:lineRule="auto"/>
        <w:rPr>
          <w:rFonts w:hint="eastAsia" w:ascii="仿宋" w:hAnsi="仿宋" w:eastAsia="仿宋" w:cs="仿宋"/>
          <w:b/>
          <w:bCs/>
          <w:i/>
          <w:iCs/>
          <w:color w:val="auto"/>
          <w:highlight w:val="none"/>
        </w:rPr>
      </w:pPr>
      <w:r>
        <w:rPr>
          <w:rFonts w:hint="eastAsia" w:ascii="仿宋" w:hAnsi="仿宋" w:eastAsia="仿宋" w:cs="仿宋"/>
          <w:b/>
          <w:bCs/>
          <w:i/>
          <w:iCs/>
          <w:color w:val="auto"/>
          <w:highlight w:val="none"/>
        </w:rPr>
        <w:t>特别提示：</w:t>
      </w:r>
    </w:p>
    <w:p>
      <w:pPr>
        <w:pStyle w:val="18"/>
        <w:widowControl/>
        <w:adjustRightInd w:val="0"/>
        <w:snapToGrid w:val="0"/>
        <w:spacing w:beforeAutospacing="0" w:afterAutospacing="0" w:line="360" w:lineRule="auto"/>
        <w:rPr>
          <w:rFonts w:hint="eastAsia" w:ascii="仿宋" w:hAnsi="仿宋" w:eastAsia="仿宋" w:cs="仿宋"/>
          <w:b/>
          <w:bCs/>
          <w:i/>
          <w:iCs/>
          <w:color w:val="auto"/>
          <w:highlight w:val="none"/>
        </w:rPr>
      </w:pPr>
      <w:r>
        <w:rPr>
          <w:rFonts w:hint="eastAsia" w:ascii="仿宋" w:hAnsi="仿宋" w:eastAsia="仿宋" w:cs="仿宋"/>
          <w:b/>
          <w:bCs/>
          <w:i/>
          <w:iCs/>
          <w:color w:val="auto"/>
          <w:highlight w:val="none"/>
        </w:rPr>
        <w:t xml:space="preserve">    1、采购限额标准以上，200万元以下的货物和服务采购项目、400万元以下的工程采购项目，适宜由中小企业提供的，采购人应当专门面向中小企业采购。</w:t>
      </w:r>
    </w:p>
    <w:p>
      <w:pPr>
        <w:pStyle w:val="18"/>
        <w:widowControl/>
        <w:adjustRightInd w:val="0"/>
        <w:snapToGrid w:val="0"/>
        <w:spacing w:beforeAutospacing="0" w:afterAutospacing="0" w:line="360" w:lineRule="auto"/>
        <w:rPr>
          <w:rFonts w:hint="eastAsia" w:ascii="仿宋" w:hAnsi="仿宋" w:eastAsia="仿宋" w:cs="仿宋"/>
          <w:b/>
          <w:bCs/>
          <w:i/>
          <w:iCs/>
          <w:color w:val="auto"/>
          <w:highlight w:val="none"/>
        </w:rPr>
      </w:pPr>
      <w:r>
        <w:rPr>
          <w:rFonts w:hint="eastAsia" w:ascii="仿宋" w:hAnsi="仿宋" w:eastAsia="仿宋" w:cs="仿宋"/>
          <w:b/>
          <w:bCs/>
          <w:i/>
          <w:iCs/>
          <w:color w:val="auto"/>
          <w:highlight w:val="none"/>
        </w:rPr>
        <w:t xml:space="preserve">    2、超过200万元的货物和服务采购项目，预留该部分采购项目预算总额的30%以上专门面向中小企业采购，其中预留给小微企业的比例不低于60%。</w:t>
      </w:r>
    </w:p>
    <w:p>
      <w:pPr>
        <w:pStyle w:val="18"/>
        <w:widowControl/>
        <w:adjustRightInd w:val="0"/>
        <w:snapToGrid w:val="0"/>
        <w:spacing w:beforeAutospacing="0" w:afterAutospacing="0" w:line="360" w:lineRule="auto"/>
        <w:rPr>
          <w:rFonts w:hint="eastAsia" w:ascii="仿宋" w:hAnsi="仿宋" w:eastAsia="仿宋" w:cs="仿宋"/>
          <w:b/>
          <w:bCs/>
          <w:i/>
          <w:iCs/>
          <w:color w:val="auto"/>
          <w:highlight w:val="none"/>
        </w:rPr>
      </w:pPr>
      <w:r>
        <w:rPr>
          <w:rFonts w:hint="eastAsia" w:ascii="仿宋" w:hAnsi="仿宋" w:eastAsia="仿宋" w:cs="仿宋"/>
          <w:b/>
          <w:bCs/>
          <w:i/>
          <w:iCs/>
          <w:color w:val="auto"/>
          <w:highlight w:val="none"/>
        </w:rPr>
        <w:t xml:space="preserve">    3、超过400万元的工程采购项目中适宜由中小企业提供的，预留该部分采购项目预算总额的40%以上专门面向中小企业采购，其中预留给小微企业的比例不低于60%。</w:t>
      </w:r>
    </w:p>
    <w:p>
      <w:pPr>
        <w:pStyle w:val="18"/>
        <w:widowControl/>
        <w:adjustRightInd w:val="0"/>
        <w:snapToGrid w:val="0"/>
        <w:spacing w:beforeAutospacing="0" w:afterAutospacing="0" w:line="360" w:lineRule="auto"/>
        <w:rPr>
          <w:rFonts w:hint="eastAsia" w:ascii="仿宋" w:hAnsi="仿宋" w:eastAsia="仿宋" w:cs="仿宋"/>
          <w:b/>
          <w:bCs/>
          <w:i/>
          <w:iCs/>
          <w:color w:val="auto"/>
          <w:highlight w:val="none"/>
        </w:rPr>
      </w:pPr>
      <w:r>
        <w:rPr>
          <w:rFonts w:hint="eastAsia" w:ascii="仿宋" w:hAnsi="仿宋" w:eastAsia="仿宋" w:cs="仿宋"/>
          <w:b/>
          <w:bCs/>
          <w:i/>
          <w:iCs/>
          <w:color w:val="auto"/>
          <w:highlight w:val="none"/>
        </w:rPr>
        <w:t xml:space="preserve">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18"/>
        <w:widowControl/>
        <w:adjustRightInd w:val="0"/>
        <w:snapToGrid w:val="0"/>
        <w:spacing w:beforeAutospacing="0" w:afterAutospacing="0" w:line="360" w:lineRule="auto"/>
        <w:rPr>
          <w:rFonts w:hint="eastAsia" w:ascii="仿宋" w:hAnsi="仿宋" w:eastAsia="仿宋" w:cs="仿宋"/>
          <w:b/>
          <w:bCs/>
          <w:i/>
          <w:iCs/>
          <w:color w:val="auto"/>
          <w:highlight w:val="none"/>
        </w:rPr>
      </w:pPr>
      <w:r>
        <w:rPr>
          <w:rFonts w:hint="eastAsia" w:ascii="仿宋" w:hAnsi="仿宋" w:eastAsia="仿宋" w:cs="仿宋"/>
          <w:b/>
          <w:bCs/>
          <w:i/>
          <w:iCs/>
          <w:color w:val="auto"/>
          <w:highlight w:val="none"/>
        </w:rPr>
        <w:t xml:space="preserve">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8"/>
        <w:widowControl/>
        <w:spacing w:before="0" w:beforeAutospacing="0" w:after="0" w:afterAutospacing="0" w:line="440" w:lineRule="exact"/>
        <w:ind w:firstLine="482" w:firstLineChars="200"/>
        <w:jc w:val="both"/>
        <w:rPr>
          <w:rFonts w:hint="eastAsia" w:ascii="仿宋" w:hAnsi="仿宋" w:eastAsia="仿宋" w:cs="宋体"/>
          <w:color w:val="auto"/>
          <w:highlight w:val="none"/>
        </w:rPr>
      </w:pPr>
      <w:r>
        <w:rPr>
          <w:rStyle w:val="23"/>
          <w:rFonts w:hint="eastAsia" w:ascii="仿宋" w:hAnsi="仿宋" w:eastAsia="仿宋" w:cs="仿宋"/>
          <w:color w:val="auto"/>
          <w:highlight w:val="none"/>
        </w:rPr>
        <w:t>七、</w:t>
      </w:r>
      <w:r>
        <w:rPr>
          <w:rStyle w:val="23"/>
          <w:rFonts w:hint="eastAsia" w:ascii="仿宋" w:hAnsi="仿宋" w:eastAsia="仿宋" w:cs="宋体"/>
          <w:color w:val="auto"/>
          <w:highlight w:val="none"/>
        </w:rPr>
        <w:t>对本次招标提出询问，请按以下方式联系</w:t>
      </w:r>
    </w:p>
    <w:p>
      <w:pPr>
        <w:pStyle w:val="18"/>
        <w:widowControl/>
        <w:spacing w:before="0" w:beforeAutospacing="0" w:after="0" w:afterAutospacing="0" w:line="440" w:lineRule="exact"/>
        <w:ind w:firstLine="482" w:firstLineChars="200"/>
        <w:jc w:val="both"/>
        <w:rPr>
          <w:rFonts w:hint="eastAsia" w:ascii="仿宋" w:hAnsi="仿宋" w:eastAsia="仿宋" w:cs="宋体"/>
          <w:b/>
          <w:bCs/>
          <w:color w:val="auto"/>
          <w:highlight w:val="none"/>
        </w:rPr>
      </w:pPr>
      <w:r>
        <w:rPr>
          <w:rFonts w:hint="eastAsia" w:ascii="仿宋" w:hAnsi="仿宋" w:eastAsia="仿宋" w:cs="宋体"/>
          <w:b/>
          <w:bCs/>
          <w:color w:val="auto"/>
          <w:highlight w:val="none"/>
        </w:rPr>
        <w:t>1.采购人信息</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名 称：新疆农业大学</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地 址：乌鲁木齐市沙依巴克区八一街道农大东路311号</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联系方式：18355195087</w:t>
      </w:r>
    </w:p>
    <w:p>
      <w:pPr>
        <w:pStyle w:val="18"/>
        <w:widowControl/>
        <w:spacing w:before="0" w:beforeAutospacing="0" w:after="0" w:afterAutospacing="0" w:line="440" w:lineRule="exact"/>
        <w:ind w:firstLine="482" w:firstLineChars="200"/>
        <w:jc w:val="both"/>
        <w:rPr>
          <w:rFonts w:hint="eastAsia" w:ascii="仿宋" w:hAnsi="仿宋" w:eastAsia="仿宋" w:cs="宋体"/>
          <w:b/>
          <w:bCs/>
          <w:color w:val="auto"/>
          <w:highlight w:val="none"/>
        </w:rPr>
      </w:pPr>
      <w:r>
        <w:rPr>
          <w:rFonts w:hint="eastAsia" w:ascii="仿宋" w:hAnsi="仿宋" w:eastAsia="仿宋" w:cs="宋体"/>
          <w:b/>
          <w:bCs/>
          <w:color w:val="auto"/>
          <w:highlight w:val="none"/>
        </w:rPr>
        <w:t>2.采购代理机构信息</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名 称：中合安建工程管理有限公司</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地 址：新疆乌鲁木齐市高新区（新市区）新医路165号汇文大厦1栋6层A</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rPr>
      </w:pPr>
      <w:r>
        <w:rPr>
          <w:rFonts w:hint="eastAsia" w:ascii="仿宋" w:hAnsi="仿宋" w:eastAsia="仿宋" w:cs="宋体"/>
          <w:color w:val="auto"/>
          <w:highlight w:val="none"/>
        </w:rPr>
        <w:t>项目联系人：彭小倬、王荣荣</w:t>
      </w:r>
    </w:p>
    <w:p>
      <w:pPr>
        <w:pStyle w:val="18"/>
        <w:widowControl/>
        <w:spacing w:before="0" w:beforeAutospacing="0" w:after="0" w:afterAutospacing="0" w:line="440" w:lineRule="exact"/>
        <w:ind w:firstLine="480" w:firstLineChars="200"/>
        <w:jc w:val="both"/>
        <w:rPr>
          <w:rFonts w:hint="eastAsia" w:ascii="仿宋" w:hAnsi="仿宋" w:eastAsia="仿宋" w:cs="宋体"/>
          <w:color w:val="auto"/>
          <w:highlight w:val="none"/>
          <w:lang w:val="zh-CN"/>
        </w:rPr>
        <w:sectPr>
          <w:footerReference r:id="rId7" w:type="default"/>
          <w:pgSz w:w="11907" w:h="16840"/>
          <w:pgMar w:top="1440" w:right="1531" w:bottom="1440" w:left="1531" w:header="720" w:footer="720" w:gutter="0"/>
          <w:pgNumType w:start="1"/>
          <w:cols w:space="720" w:num="1"/>
        </w:sectPr>
      </w:pPr>
      <w:r>
        <w:rPr>
          <w:rFonts w:hint="eastAsia" w:ascii="仿宋" w:hAnsi="仿宋" w:eastAsia="仿宋" w:cs="宋体"/>
          <w:color w:val="auto"/>
          <w:highlight w:val="none"/>
        </w:rPr>
        <w:t>联系方式：13579881296</w:t>
      </w:r>
    </w:p>
    <w:p>
      <w:pPr>
        <w:pageBreakBefore/>
        <w:snapToGrid w:val="0"/>
        <w:spacing w:line="360" w:lineRule="auto"/>
        <w:jc w:val="center"/>
        <w:outlineLvl w:val="0"/>
        <w:rPr>
          <w:rFonts w:hint="eastAsia" w:ascii="仿宋" w:hAnsi="仿宋" w:eastAsia="仿宋" w:cs="仿宋"/>
          <w:b/>
          <w:bCs/>
          <w:color w:val="auto"/>
          <w:sz w:val="32"/>
          <w:szCs w:val="32"/>
          <w:highlight w:val="none"/>
        </w:rPr>
      </w:pPr>
      <w:bookmarkStart w:id="10" w:name="_Toc7741"/>
      <w:bookmarkStart w:id="11" w:name="_Toc23069"/>
      <w:bookmarkStart w:id="12" w:name="_Toc25806"/>
      <w:bookmarkStart w:id="13" w:name="_Toc17662"/>
      <w:bookmarkStart w:id="14" w:name="_Toc8591"/>
      <w:bookmarkStart w:id="15" w:name="_Toc14193"/>
      <w:bookmarkStart w:id="16" w:name="_Toc20017"/>
      <w:bookmarkStart w:id="17" w:name="_Toc24463"/>
      <w:bookmarkStart w:id="18" w:name="_Toc29978"/>
      <w:r>
        <w:rPr>
          <w:rFonts w:hint="eastAsia" w:ascii="仿宋" w:hAnsi="仿宋" w:eastAsia="仿宋" w:cs="仿宋"/>
          <w:b/>
          <w:bCs/>
          <w:color w:val="auto"/>
          <w:sz w:val="32"/>
          <w:szCs w:val="32"/>
          <w:highlight w:val="none"/>
        </w:rPr>
        <w:t>第二章</w:t>
      </w:r>
      <w:bookmarkStart w:id="19" w:name="_Toc45033358"/>
      <w:r>
        <w:rPr>
          <w:rFonts w:hint="eastAsia" w:ascii="仿宋" w:hAnsi="仿宋" w:eastAsia="仿宋" w:cs="仿宋"/>
          <w:b/>
          <w:bCs/>
          <w:color w:val="auto"/>
          <w:sz w:val="32"/>
          <w:szCs w:val="32"/>
          <w:highlight w:val="none"/>
        </w:rPr>
        <w:t xml:space="preserve">  投标人</w:t>
      </w:r>
      <w:r>
        <w:rPr>
          <w:rFonts w:hint="eastAsia" w:ascii="仿宋" w:hAnsi="仿宋" w:eastAsia="仿宋" w:cs="仿宋"/>
          <w:b/>
          <w:bCs/>
          <w:color w:val="auto"/>
          <w:sz w:val="32"/>
          <w:szCs w:val="32"/>
          <w:highlight w:val="none"/>
          <w:lang w:val="zh-CN"/>
        </w:rPr>
        <w:t>须知</w:t>
      </w:r>
      <w:bookmarkEnd w:id="10"/>
      <w:bookmarkEnd w:id="11"/>
      <w:bookmarkEnd w:id="12"/>
      <w:bookmarkEnd w:id="13"/>
      <w:bookmarkEnd w:id="14"/>
      <w:bookmarkEnd w:id="15"/>
      <w:bookmarkEnd w:id="16"/>
      <w:bookmarkEnd w:id="17"/>
      <w:bookmarkEnd w:id="18"/>
      <w:bookmarkEnd w:id="19"/>
    </w:p>
    <w:p>
      <w:pPr>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投标人须知前附表</w:t>
      </w:r>
    </w:p>
    <w:tbl>
      <w:tblPr>
        <w:tblStyle w:val="20"/>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2168"/>
        <w:gridCol w:w="6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655" w:type="dxa"/>
            <w:vAlign w:val="center"/>
          </w:tcPr>
          <w:p>
            <w:pPr>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序号</w:t>
            </w:r>
          </w:p>
        </w:tc>
        <w:tc>
          <w:tcPr>
            <w:tcW w:w="2168" w:type="dxa"/>
            <w:vAlign w:val="center"/>
          </w:tcPr>
          <w:p>
            <w:pPr>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条款名称</w:t>
            </w:r>
          </w:p>
        </w:tc>
        <w:tc>
          <w:tcPr>
            <w:tcW w:w="6588" w:type="dxa"/>
            <w:vAlign w:val="center"/>
          </w:tcPr>
          <w:p>
            <w:pPr>
              <w:snapToGrid w:val="0"/>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项目名称及</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项目编码</w:t>
            </w:r>
          </w:p>
        </w:tc>
        <w:tc>
          <w:tcPr>
            <w:tcW w:w="6588"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项目名称：新疆农业大学智慧农业科技创新平台建设项目</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项目编号：2026ZHAJ-04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采购人</w:t>
            </w:r>
          </w:p>
        </w:tc>
        <w:tc>
          <w:tcPr>
            <w:tcW w:w="6588" w:type="dxa"/>
            <w:vAlign w:val="center"/>
          </w:tcPr>
          <w:p>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名称：新疆农业大学</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地址：乌鲁木齐市沙依巴克区八一街道农大东路311号</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联系人：解彬彬老师 </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联系方式：18355195087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采购代理机构</w:t>
            </w:r>
          </w:p>
        </w:tc>
        <w:tc>
          <w:tcPr>
            <w:tcW w:w="6588" w:type="dxa"/>
            <w:vAlign w:val="center"/>
          </w:tcPr>
          <w:p>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名称：中合安建工程管理有限公司</w:t>
            </w:r>
          </w:p>
          <w:p>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地址：新疆乌鲁木齐市高新区（新市区）新医路165号汇文大厦1栋6层A</w:t>
            </w:r>
          </w:p>
          <w:p>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项目联系人：彭小倬、王荣荣</w:t>
            </w:r>
          </w:p>
          <w:p>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联系方式：13579881296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资金来源</w:t>
            </w:r>
          </w:p>
        </w:tc>
        <w:tc>
          <w:tcPr>
            <w:tcW w:w="6588" w:type="dxa"/>
            <w:vAlign w:val="center"/>
          </w:tcPr>
          <w:p>
            <w:pPr>
              <w:snapToGrid w:val="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采购预算</w:t>
            </w:r>
          </w:p>
        </w:tc>
        <w:tc>
          <w:tcPr>
            <w:tcW w:w="6588" w:type="dxa"/>
            <w:vAlign w:val="center"/>
          </w:tcPr>
          <w:p>
            <w:pPr>
              <w:widowControl/>
              <w:snapToGrid w:val="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1060000.00元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资金落实情况</w:t>
            </w:r>
          </w:p>
        </w:tc>
        <w:tc>
          <w:tcPr>
            <w:tcW w:w="6588" w:type="dxa"/>
            <w:vAlign w:val="center"/>
          </w:tcPr>
          <w:p>
            <w:pPr>
              <w:snapToGrid w:val="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采购内容</w:t>
            </w:r>
          </w:p>
        </w:tc>
        <w:tc>
          <w:tcPr>
            <w:tcW w:w="6588" w:type="dxa"/>
            <w:vAlign w:val="center"/>
          </w:tcPr>
          <w:p>
            <w:pPr>
              <w:snapToGrid w:val="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采购清单中所列仪器设备。（其余详见第四章 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合同履约期限</w:t>
            </w:r>
          </w:p>
        </w:tc>
        <w:tc>
          <w:tcPr>
            <w:tcW w:w="6588" w:type="dxa"/>
            <w:vAlign w:val="center"/>
          </w:tcPr>
          <w:p>
            <w:pPr>
              <w:snapToGrid w:val="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签订合同后</w:t>
            </w:r>
            <w:ins w:id="18" w:author="闾新豪" w:date="2026-04-30T18:03:25Z">
              <w:r>
                <w:rPr>
                  <w:rFonts w:hint="eastAsia" w:ascii="仿宋" w:hAnsi="仿宋" w:eastAsia="仿宋" w:cs="仿宋"/>
                  <w:color w:val="auto"/>
                  <w:sz w:val="21"/>
                  <w:szCs w:val="21"/>
                  <w:highlight w:val="none"/>
                  <w:lang w:val="en-US" w:eastAsia="zh-CN"/>
                </w:rPr>
                <w:t>8</w:t>
              </w:r>
            </w:ins>
            <w:ins w:id="19" w:author="闾新豪" w:date="2026-04-30T18:03:26Z">
              <w:r>
                <w:rPr>
                  <w:rFonts w:hint="eastAsia" w:ascii="仿宋" w:hAnsi="仿宋" w:eastAsia="仿宋" w:cs="仿宋"/>
                  <w:color w:val="auto"/>
                  <w:sz w:val="21"/>
                  <w:szCs w:val="21"/>
                  <w:highlight w:val="none"/>
                  <w:lang w:val="en-US" w:eastAsia="zh-CN"/>
                </w:rPr>
                <w:t>0</w:t>
              </w:r>
            </w:ins>
            <w:r>
              <w:rPr>
                <w:rFonts w:hint="eastAsia" w:ascii="仿宋" w:hAnsi="仿宋" w:eastAsia="仿宋" w:cs="仿宋"/>
                <w:color w:val="auto"/>
                <w:sz w:val="21"/>
                <w:szCs w:val="21"/>
                <w:highlight w:val="none"/>
              </w:rPr>
              <w:t>天内完成供货、安装、调试以及与之配套的辅助工作，交付采购人使用。</w:t>
            </w:r>
          </w:p>
          <w:p>
            <w:pPr>
              <w:snapToGrid w:val="0"/>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u w:val="none"/>
                <w:lang w:val="en-US" w:eastAsia="zh-CN"/>
              </w:rPr>
              <w:t>质保期：硬件质保1年，质保期后维修只收取配件费(按市场报价的80%优惠提供)，不收人工费；提供软件终身免费升级。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9"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投标人资格条件</w:t>
            </w:r>
          </w:p>
        </w:tc>
        <w:tc>
          <w:tcPr>
            <w:tcW w:w="6588" w:type="dxa"/>
            <w:vAlign w:val="center"/>
          </w:tcPr>
          <w:p>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1.满足《中华人民共和国政府采购法》第二十二条规定：</w:t>
            </w:r>
          </w:p>
          <w:p>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2.落实政府采购政策需满足的资格要求：本项目专门面向中小微企业；</w:t>
            </w:r>
          </w:p>
          <w:p>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项目的特定资格要求：（1）投标人须在“信用中国”（www.creditchina.gov.cn）和中国政府采购网（www.ccgp.gov.cn）网站上未被列入失信被执行人、重大税收违法案件当事人名单以及政府采购严重违法失信行为记录名单（查询时间为自公告发布之日后）</w:t>
            </w:r>
          </w:p>
          <w:p>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其他说明：（A）与采购人存在利害关系可能影响采购公正性的法人、其他组织或者个人，不得参加本次采购活动。（B）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是否接受联合体投标</w:t>
            </w:r>
          </w:p>
        </w:tc>
        <w:tc>
          <w:tcPr>
            <w:tcW w:w="6588" w:type="dxa"/>
            <w:vAlign w:val="center"/>
          </w:tcPr>
          <w:p>
            <w:pPr>
              <w:snapToGrid w:val="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付款方式</w:t>
            </w:r>
          </w:p>
        </w:tc>
        <w:tc>
          <w:tcPr>
            <w:tcW w:w="6588" w:type="dxa"/>
            <w:vAlign w:val="center"/>
          </w:tcPr>
          <w:p>
            <w:pPr>
              <w:widowControl/>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1、付款币种：人民币支付。</w:t>
            </w:r>
          </w:p>
          <w:p>
            <w:pPr>
              <w:widowControl/>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2、付款方式：预付款</w:t>
            </w:r>
            <w:ins w:id="20" w:author="雪首无怨" w:date="2026-04-30T17:52:55Z">
              <w:r>
                <w:rPr>
                  <w:rFonts w:hint="eastAsia" w:ascii="仿宋" w:hAnsi="仿宋" w:eastAsia="仿宋" w:cs="仿宋"/>
                  <w:color w:val="auto"/>
                  <w:sz w:val="21"/>
                  <w:szCs w:val="21"/>
                  <w:highlight w:val="none"/>
                  <w:lang w:val="en-US" w:eastAsia="zh-CN"/>
                </w:rPr>
                <w:t>80</w:t>
              </w:r>
            </w:ins>
            <w:r>
              <w:rPr>
                <w:rFonts w:hint="eastAsia" w:ascii="仿宋" w:hAnsi="仿宋" w:eastAsia="仿宋" w:cs="仿宋"/>
                <w:color w:val="auto"/>
                <w:sz w:val="21"/>
                <w:szCs w:val="21"/>
                <w:highlight w:val="none"/>
              </w:rPr>
              <w:t>%；验收完成后支付</w:t>
            </w:r>
            <w:ins w:id="21" w:author="雪首无怨" w:date="2026-04-30T17:53:00Z">
              <w:r>
                <w:rPr>
                  <w:rFonts w:hint="eastAsia" w:ascii="仿宋" w:hAnsi="仿宋" w:eastAsia="仿宋" w:cs="仿宋"/>
                  <w:color w:val="auto"/>
                  <w:sz w:val="21"/>
                  <w:szCs w:val="21"/>
                  <w:highlight w:val="none"/>
                  <w:lang w:val="en-US" w:eastAsia="zh-CN"/>
                </w:rPr>
                <w:t>20</w:t>
              </w:r>
            </w:ins>
            <w:r>
              <w:rPr>
                <w:rFonts w:hint="eastAsia" w:ascii="仿宋" w:hAnsi="仿宋" w:eastAsia="仿宋" w:cs="仿宋"/>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交货地点</w:t>
            </w:r>
          </w:p>
        </w:tc>
        <w:tc>
          <w:tcPr>
            <w:tcW w:w="6588" w:type="dxa"/>
            <w:vAlign w:val="center"/>
          </w:tcPr>
          <w:p>
            <w:pPr>
              <w:snapToGrid w:val="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新疆农业大学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投标截止时间</w:t>
            </w:r>
          </w:p>
        </w:tc>
        <w:tc>
          <w:tcPr>
            <w:tcW w:w="6588"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2026年</w:t>
            </w:r>
            <w:ins w:id="22" w:author="闾新豪" w:date="2026-05-18T15:43:41Z">
              <w:r>
                <w:rPr>
                  <w:rFonts w:hint="eastAsia" w:ascii="仿宋" w:hAnsi="仿宋" w:eastAsia="仿宋" w:cs="仿宋"/>
                  <w:color w:val="auto"/>
                  <w:sz w:val="21"/>
                  <w:szCs w:val="21"/>
                  <w:highlight w:val="none"/>
                  <w:lang w:val="en-US" w:eastAsia="zh-CN"/>
                </w:rPr>
                <w:t>06</w:t>
              </w:r>
            </w:ins>
            <w:r>
              <w:rPr>
                <w:rFonts w:hint="eastAsia" w:ascii="仿宋" w:hAnsi="仿宋" w:eastAsia="仿宋" w:cs="仿宋"/>
                <w:color w:val="auto"/>
                <w:sz w:val="21"/>
                <w:szCs w:val="21"/>
                <w:highlight w:val="none"/>
              </w:rPr>
              <w:t xml:space="preserve">月 </w:t>
            </w:r>
            <w:ins w:id="23" w:author="闾新豪" w:date="2026-05-18T15:43:44Z">
              <w:r>
                <w:rPr>
                  <w:rFonts w:hint="eastAsia" w:ascii="仿宋" w:hAnsi="仿宋" w:eastAsia="仿宋" w:cs="仿宋"/>
                  <w:color w:val="auto"/>
                  <w:sz w:val="21"/>
                  <w:szCs w:val="21"/>
                  <w:highlight w:val="none"/>
                  <w:lang w:val="en-US" w:eastAsia="zh-CN"/>
                </w:rPr>
                <w:t>10</w:t>
              </w:r>
            </w:ins>
            <w:r>
              <w:rPr>
                <w:rFonts w:hint="eastAsia" w:ascii="仿宋" w:hAnsi="仿宋" w:eastAsia="仿宋" w:cs="仿宋"/>
                <w:color w:val="auto"/>
                <w:sz w:val="21"/>
                <w:szCs w:val="21"/>
                <w:highlight w:val="none"/>
              </w:rPr>
              <w:t xml:space="preserve"> 日11时00分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14</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投标人确认收到招标文件修改的时间</w:t>
            </w:r>
          </w:p>
        </w:tc>
        <w:tc>
          <w:tcPr>
            <w:tcW w:w="6588"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招标文件修改发出后24小时以内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15</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最高限价</w:t>
            </w:r>
          </w:p>
        </w:tc>
        <w:tc>
          <w:tcPr>
            <w:tcW w:w="6588" w:type="dxa"/>
            <w:vAlign w:val="center"/>
          </w:tcPr>
          <w:p>
            <w:pPr>
              <w:pStyle w:val="31"/>
              <w:adjustRightInd w:val="0"/>
              <w:snapToGrid w:val="0"/>
              <w:ind w:left="120" w:leftChars="50"/>
              <w:rPr>
                <w:rFonts w:hint="eastAsia" w:ascii="仿宋" w:hAnsi="仿宋" w:eastAsia="仿宋" w:cs="仿宋"/>
                <w:color w:val="auto"/>
                <w:szCs w:val="21"/>
                <w:highlight w:val="none"/>
                <w:lang w:val="en-US" w:bidi="ar-SA"/>
              </w:rPr>
            </w:pPr>
            <w:r>
              <w:rPr>
                <w:rFonts w:hint="eastAsia" w:ascii="仿宋" w:hAnsi="仿宋" w:eastAsia="仿宋" w:cs="仿宋"/>
                <w:color w:val="auto"/>
                <w:szCs w:val="21"/>
                <w:highlight w:val="none"/>
                <w:lang w:val="en-US" w:bidi="ar-SA"/>
              </w:rPr>
              <w:t>☑有，最高限价：1060000.00</w:t>
            </w:r>
            <w:r>
              <w:rPr>
                <w:rFonts w:hint="eastAsia" w:ascii="仿宋" w:hAnsi="仿宋" w:eastAsia="仿宋" w:cs="仿宋"/>
                <w:color w:val="auto"/>
                <w:szCs w:val="21"/>
                <w:highlight w:val="none"/>
                <w:lang w:val="en-US"/>
              </w:rPr>
              <w:t>元</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投标人的投标报价不得超过最高限价，否则其投标将被拒绝。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16</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投标有效期</w:t>
            </w:r>
          </w:p>
        </w:tc>
        <w:tc>
          <w:tcPr>
            <w:tcW w:w="6588"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90日历天（从投标截止之日算起）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17</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投标保证金</w:t>
            </w:r>
          </w:p>
        </w:tc>
        <w:tc>
          <w:tcPr>
            <w:tcW w:w="6588" w:type="dxa"/>
            <w:vAlign w:val="center"/>
          </w:tcPr>
          <w:p>
            <w:pPr>
              <w:pStyle w:val="31"/>
              <w:adjustRightInd w:val="0"/>
              <w:snapToGrid w:val="0"/>
              <w:ind w:left="120" w:leftChars="50"/>
              <w:rPr>
                <w:rFonts w:hint="eastAsia" w:ascii="仿宋" w:hAnsi="仿宋" w:eastAsia="仿宋" w:cs="仿宋"/>
                <w:color w:val="auto"/>
                <w:szCs w:val="21"/>
                <w:highlight w:val="none"/>
                <w:lang w:val="en-US" w:bidi="ar-SA"/>
              </w:rPr>
            </w:pPr>
            <w:r>
              <w:rPr>
                <w:rFonts w:hint="eastAsia" w:ascii="仿宋" w:hAnsi="仿宋" w:eastAsia="仿宋" w:cs="仿宋"/>
                <w:color w:val="auto"/>
                <w:szCs w:val="21"/>
                <w:highlight w:val="none"/>
                <w:lang w:val="en-US" w:bidi="ar-SA"/>
              </w:rPr>
              <w:t>□不提供。</w:t>
            </w:r>
          </w:p>
          <w:p>
            <w:pPr>
              <w:pStyle w:val="31"/>
              <w:adjustRightInd w:val="0"/>
              <w:snapToGrid w:val="0"/>
              <w:ind w:left="120" w:leftChars="50"/>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val="en-US" w:bidi="ar-SA"/>
              </w:rPr>
              <w:t>☑</w:t>
            </w:r>
            <w:r>
              <w:rPr>
                <w:rFonts w:hint="eastAsia" w:ascii="仿宋" w:hAnsi="仿宋" w:eastAsia="仿宋" w:cs="仿宋"/>
                <w:color w:val="auto"/>
                <w:szCs w:val="21"/>
                <w:highlight w:val="none"/>
                <w:lang w:bidi="ar-SA"/>
              </w:rPr>
              <w:t>提供。</w:t>
            </w:r>
            <w:r>
              <w:rPr>
                <w:rFonts w:hint="eastAsia" w:ascii="仿宋" w:hAnsi="仿宋" w:eastAsia="仿宋" w:cs="仿宋"/>
                <w:color w:val="auto"/>
                <w:szCs w:val="21"/>
                <w:highlight w:val="none"/>
                <w:lang w:val="en-US" w:bidi="ar-SA"/>
              </w:rPr>
              <w:t>保证金</w:t>
            </w:r>
            <w:r>
              <w:rPr>
                <w:rFonts w:hint="eastAsia" w:ascii="仿宋" w:hAnsi="仿宋" w:eastAsia="仿宋" w:cs="仿宋"/>
                <w:color w:val="auto"/>
                <w:szCs w:val="21"/>
                <w:highlight w:val="none"/>
                <w:lang w:bidi="ar-SA"/>
              </w:rPr>
              <w:t>数额不得超过采购项目预算金额的</w:t>
            </w:r>
            <w:r>
              <w:rPr>
                <w:rFonts w:hint="eastAsia" w:ascii="仿宋" w:hAnsi="仿宋" w:eastAsia="仿宋" w:cs="仿宋"/>
                <w:color w:val="auto"/>
                <w:szCs w:val="21"/>
                <w:highlight w:val="none"/>
                <w:lang w:val="en-US" w:bidi="ar-SA"/>
              </w:rPr>
              <w:t>1</w:t>
            </w:r>
            <w:r>
              <w:rPr>
                <w:rFonts w:hint="eastAsia" w:ascii="仿宋" w:hAnsi="仿宋" w:eastAsia="仿宋" w:cs="仿宋"/>
                <w:color w:val="auto"/>
                <w:szCs w:val="21"/>
                <w:highlight w:val="none"/>
                <w:lang w:bidi="ar-SA"/>
              </w:rPr>
              <w:t>%。</w:t>
            </w:r>
          </w:p>
          <w:p>
            <w:pPr>
              <w:pStyle w:val="31"/>
              <w:adjustRightInd w:val="0"/>
              <w:snapToGrid w:val="0"/>
              <w:ind w:left="120" w:leftChars="50"/>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投标保证金金额：</w:t>
            </w:r>
            <w:r>
              <w:rPr>
                <w:rFonts w:hint="eastAsia" w:ascii="仿宋" w:hAnsi="仿宋" w:eastAsia="仿宋" w:cs="仿宋"/>
                <w:color w:val="auto"/>
                <w:szCs w:val="21"/>
                <w:highlight w:val="none"/>
                <w:lang w:val="en-US" w:bidi="ar-SA"/>
              </w:rPr>
              <w:t>10000.00</w:t>
            </w:r>
            <w:r>
              <w:rPr>
                <w:rFonts w:hint="eastAsia" w:ascii="仿宋" w:hAnsi="仿宋" w:eastAsia="仿宋" w:cs="仿宋"/>
                <w:color w:val="auto"/>
                <w:szCs w:val="21"/>
                <w:highlight w:val="none"/>
                <w:lang w:bidi="ar-SA"/>
              </w:rPr>
              <w:t>元（</w:t>
            </w:r>
            <w:r>
              <w:rPr>
                <w:rFonts w:hint="eastAsia" w:ascii="仿宋" w:hAnsi="仿宋" w:eastAsia="仿宋" w:cs="仿宋"/>
                <w:color w:val="auto"/>
                <w:szCs w:val="21"/>
                <w:highlight w:val="none"/>
                <w:lang w:val="en-US" w:bidi="ar-SA"/>
              </w:rPr>
              <w:t>壹万元整</w:t>
            </w:r>
            <w:r>
              <w:rPr>
                <w:rFonts w:hint="eastAsia" w:ascii="仿宋" w:hAnsi="仿宋" w:eastAsia="仿宋" w:cs="仿宋"/>
                <w:color w:val="auto"/>
                <w:szCs w:val="21"/>
                <w:highlight w:val="none"/>
                <w:lang w:bidi="ar-SA"/>
              </w:rPr>
              <w:t>）</w:t>
            </w:r>
          </w:p>
          <w:p>
            <w:pPr>
              <w:pStyle w:val="31"/>
              <w:adjustRightInd w:val="0"/>
              <w:snapToGrid w:val="0"/>
              <w:ind w:left="120" w:leftChars="50"/>
              <w:rPr>
                <w:rFonts w:hint="eastAsia" w:ascii="仿宋" w:hAnsi="仿宋" w:eastAsia="仿宋" w:cs="仿宋"/>
                <w:color w:val="auto"/>
                <w:szCs w:val="21"/>
                <w:highlight w:val="none"/>
                <w:lang w:val="en-US" w:bidi="ar-SA"/>
              </w:rPr>
            </w:pPr>
            <w:r>
              <w:rPr>
                <w:rFonts w:hint="eastAsia" w:ascii="仿宋" w:hAnsi="仿宋" w:eastAsia="仿宋" w:cs="仿宋"/>
                <w:color w:val="auto"/>
                <w:szCs w:val="21"/>
                <w:highlight w:val="none"/>
                <w:lang w:val="en-US" w:bidi="ar-SA"/>
              </w:rPr>
              <w:t>代理机构名称：中合安建工程管理有限公司新疆分公司</w:t>
            </w:r>
          </w:p>
          <w:p>
            <w:pPr>
              <w:pStyle w:val="31"/>
              <w:adjustRightInd w:val="0"/>
              <w:snapToGrid w:val="0"/>
              <w:ind w:left="120" w:leftChars="50"/>
              <w:rPr>
                <w:rFonts w:hint="eastAsia" w:ascii="仿宋" w:hAnsi="仿宋" w:eastAsia="仿宋" w:cs="仿宋"/>
                <w:color w:val="auto"/>
                <w:szCs w:val="21"/>
                <w:highlight w:val="none"/>
                <w:lang w:val="en-US" w:bidi="ar-SA"/>
              </w:rPr>
            </w:pPr>
            <w:r>
              <w:rPr>
                <w:rFonts w:hint="eastAsia" w:ascii="仿宋" w:hAnsi="仿宋" w:eastAsia="仿宋" w:cs="仿宋"/>
                <w:color w:val="auto"/>
                <w:szCs w:val="21"/>
                <w:highlight w:val="none"/>
                <w:lang w:val="en-US" w:bidi="ar-SA"/>
              </w:rPr>
              <w:t>开户行：交通银行股份有限公司乌鲁木齐新医路支行</w:t>
            </w:r>
          </w:p>
          <w:p>
            <w:pPr>
              <w:pStyle w:val="31"/>
              <w:adjustRightInd w:val="0"/>
              <w:snapToGrid w:val="0"/>
              <w:ind w:left="120" w:leftChars="50"/>
              <w:rPr>
                <w:rFonts w:hint="eastAsia" w:ascii="仿宋" w:hAnsi="仿宋" w:eastAsia="仿宋" w:cs="仿宋"/>
                <w:color w:val="auto"/>
                <w:szCs w:val="21"/>
                <w:highlight w:val="none"/>
                <w:lang w:val="en-US" w:bidi="ar-SA"/>
              </w:rPr>
            </w:pPr>
            <w:r>
              <w:rPr>
                <w:rFonts w:hint="eastAsia" w:ascii="仿宋" w:hAnsi="仿宋" w:eastAsia="仿宋" w:cs="仿宋"/>
                <w:color w:val="auto"/>
                <w:szCs w:val="21"/>
                <w:highlight w:val="none"/>
                <w:lang w:val="en-US" w:bidi="ar-SA"/>
              </w:rPr>
              <w:t>开户行行号：301881000139</w:t>
            </w:r>
          </w:p>
          <w:p>
            <w:pPr>
              <w:pStyle w:val="31"/>
              <w:adjustRightInd w:val="0"/>
              <w:snapToGrid w:val="0"/>
              <w:ind w:left="120" w:leftChars="50"/>
              <w:rPr>
                <w:rFonts w:hint="eastAsia" w:ascii="仿宋" w:hAnsi="仿宋" w:eastAsia="仿宋" w:cs="仿宋"/>
                <w:color w:val="auto"/>
                <w:szCs w:val="21"/>
                <w:highlight w:val="none"/>
                <w:lang w:val="en-US" w:bidi="ar-SA"/>
              </w:rPr>
            </w:pPr>
            <w:r>
              <w:rPr>
                <w:rFonts w:hint="eastAsia" w:ascii="仿宋" w:hAnsi="仿宋" w:eastAsia="仿宋" w:cs="仿宋"/>
                <w:color w:val="auto"/>
                <w:szCs w:val="21"/>
                <w:highlight w:val="none"/>
                <w:lang w:val="en-US" w:bidi="ar-SA"/>
              </w:rPr>
              <w:t>账号：651651005015003167990</w:t>
            </w:r>
          </w:p>
          <w:p>
            <w:pPr>
              <w:pStyle w:val="31"/>
              <w:adjustRightInd w:val="0"/>
              <w:snapToGrid w:val="0"/>
              <w:ind w:left="120" w:leftChars="50"/>
              <w:rPr>
                <w:rFonts w:hint="eastAsia" w:ascii="仿宋" w:hAnsi="仿宋" w:eastAsia="仿宋" w:cs="仿宋"/>
                <w:color w:val="auto"/>
                <w:szCs w:val="21"/>
                <w:highlight w:val="none"/>
                <w:lang w:val="en-US" w:bidi="ar-SA"/>
              </w:rPr>
            </w:pPr>
            <w:r>
              <w:rPr>
                <w:rFonts w:hint="eastAsia" w:ascii="仿宋" w:hAnsi="仿宋" w:eastAsia="仿宋" w:cs="仿宋"/>
                <w:color w:val="auto"/>
                <w:szCs w:val="21"/>
                <w:highlight w:val="none"/>
                <w:lang w:val="en-US" w:bidi="ar-SA"/>
              </w:rPr>
              <w:t>地址：新疆乌鲁木齐高新区（新市区）新医路165号汇文大厦1栋6层B</w:t>
            </w:r>
          </w:p>
          <w:p>
            <w:pPr>
              <w:pStyle w:val="31"/>
              <w:adjustRightInd w:val="0"/>
              <w:snapToGrid w:val="0"/>
              <w:ind w:left="120" w:leftChars="50"/>
              <w:rPr>
                <w:rFonts w:hint="eastAsia" w:ascii="仿宋" w:hAnsi="仿宋" w:eastAsia="仿宋" w:cs="仿宋"/>
                <w:color w:val="auto"/>
                <w:szCs w:val="21"/>
                <w:highlight w:val="none"/>
                <w:lang w:bidi="ar-SA"/>
              </w:rPr>
            </w:pPr>
            <w:r>
              <w:rPr>
                <w:rFonts w:hint="eastAsia" w:ascii="仿宋" w:hAnsi="仿宋" w:eastAsia="仿宋" w:cs="仿宋"/>
                <w:color w:val="auto"/>
                <w:szCs w:val="21"/>
                <w:highlight w:val="none"/>
                <w:lang w:bidi="ar-SA"/>
              </w:rPr>
              <w:t>保证金缴纳形式：</w:t>
            </w:r>
            <w:r>
              <w:rPr>
                <w:rFonts w:hint="eastAsia" w:ascii="仿宋" w:hAnsi="仿宋" w:eastAsia="仿宋" w:cs="仿宋"/>
                <w:color w:val="auto"/>
                <w:szCs w:val="21"/>
                <w:highlight w:val="none"/>
                <w:lang w:val="en-US" w:bidi="ar-SA"/>
              </w:rPr>
              <w:t>支票、汇票、本票或者金融机构、担保机构出具的保函等非现金形式提交</w:t>
            </w:r>
            <w:r>
              <w:rPr>
                <w:rFonts w:hint="eastAsia" w:ascii="仿宋" w:hAnsi="仿宋" w:eastAsia="仿宋" w:cs="仿宋"/>
                <w:color w:val="auto"/>
                <w:szCs w:val="21"/>
                <w:highlight w:val="none"/>
                <w:lang w:bidi="ar-SA"/>
              </w:rPr>
              <w:t>。</w:t>
            </w:r>
          </w:p>
          <w:p>
            <w:pPr>
              <w:pStyle w:val="31"/>
              <w:adjustRightInd w:val="0"/>
              <w:snapToGrid w:val="0"/>
              <w:ind w:left="120" w:leftChars="50"/>
              <w:rPr>
                <w:rFonts w:hint="eastAsia" w:ascii="仿宋" w:hAnsi="仿宋" w:eastAsia="仿宋" w:cs="仿宋"/>
                <w:color w:val="auto"/>
                <w:szCs w:val="21"/>
                <w:highlight w:val="none"/>
              </w:rPr>
            </w:pPr>
            <w:r>
              <w:rPr>
                <w:rFonts w:hint="eastAsia" w:ascii="仿宋" w:hAnsi="仿宋" w:eastAsia="仿宋" w:cs="仿宋"/>
                <w:color w:val="auto"/>
                <w:szCs w:val="21"/>
                <w:highlight w:val="none"/>
                <w:lang w:bidi="ar-SA"/>
              </w:rPr>
              <w:t xml:space="preserve">    各投标人缴纳投标保证金时需在附加信息及用途栏内注明保证金、项目名称；保证金于</w:t>
            </w:r>
            <w:r>
              <w:rPr>
                <w:rFonts w:hint="eastAsia" w:ascii="仿宋" w:hAnsi="仿宋" w:eastAsia="仿宋" w:cs="仿宋"/>
                <w:color w:val="auto"/>
                <w:szCs w:val="21"/>
                <w:highlight w:val="none"/>
                <w:u w:val="none"/>
                <w:lang w:val="en-US" w:eastAsia="zh-CN" w:bidi="ar-SA"/>
              </w:rPr>
              <w:t>投标</w:t>
            </w:r>
            <w:r>
              <w:rPr>
                <w:rFonts w:hint="eastAsia" w:ascii="仿宋" w:hAnsi="仿宋" w:eastAsia="仿宋" w:cs="仿宋"/>
                <w:color w:val="auto"/>
                <w:szCs w:val="21"/>
                <w:highlight w:val="none"/>
                <w:lang w:bidi="ar-SA"/>
              </w:rPr>
              <w:t>截止时间前确认到账，若投标人未按照上述规定缴纳保证金,</w:t>
            </w:r>
            <w:ins w:id="24" w:author="闾新豪" w:date="2026-05-15T19:12:28Z">
              <w:r>
                <w:rPr>
                  <w:rFonts w:hint="eastAsia" w:ascii="仿宋" w:hAnsi="仿宋" w:eastAsia="仿宋" w:cs="仿宋"/>
                  <w:color w:val="auto"/>
                  <w:szCs w:val="21"/>
                  <w:highlight w:val="none"/>
                  <w:lang w:val="en-US" w:eastAsia="zh-CN" w:bidi="ar-SA"/>
                </w:rPr>
                <w:t>投标</w:t>
              </w:r>
            </w:ins>
            <w:r>
              <w:rPr>
                <w:rFonts w:hint="eastAsia" w:ascii="仿宋" w:hAnsi="仿宋" w:eastAsia="仿宋" w:cs="仿宋"/>
                <w:color w:val="auto"/>
                <w:szCs w:val="21"/>
                <w:highlight w:val="none"/>
                <w:lang w:bidi="ar-SA"/>
              </w:rPr>
              <w:t>文件将被拒绝评审。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18</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履约保证金</w:t>
            </w:r>
          </w:p>
        </w:tc>
        <w:tc>
          <w:tcPr>
            <w:tcW w:w="6588" w:type="dxa"/>
            <w:vAlign w:val="center"/>
          </w:tcPr>
          <w:p>
            <w:pPr>
              <w:pStyle w:val="12"/>
              <w:adjustRightInd w:val="0"/>
              <w:snapToGrid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履约保证金金额：</w:t>
            </w:r>
            <w:r>
              <w:rPr>
                <w:rFonts w:hint="eastAsia" w:ascii="仿宋" w:hAnsi="仿宋" w:eastAsia="仿宋" w:cs="仿宋"/>
                <w:b/>
                <w:bCs/>
                <w:color w:val="auto"/>
                <w:szCs w:val="21"/>
                <w:highlight w:val="none"/>
              </w:rPr>
              <w:t>无</w:t>
            </w:r>
          </w:p>
          <w:p>
            <w:pPr>
              <w:pStyle w:val="12"/>
              <w:adjustRightInd w:val="0"/>
              <w:snapToGrid w:val="0"/>
              <w:rPr>
                <w:rFonts w:hint="eastAsia" w:ascii="仿宋" w:hAnsi="仿宋" w:eastAsia="仿宋" w:cs="仿宋"/>
                <w:color w:val="auto"/>
                <w:szCs w:val="21"/>
                <w:highlight w:val="none"/>
              </w:rPr>
            </w:pPr>
            <w:r>
              <w:rPr>
                <w:rFonts w:hint="eastAsia" w:ascii="仿宋" w:hAnsi="仿宋" w:eastAsia="仿宋" w:cs="仿宋"/>
                <w:color w:val="auto"/>
                <w:szCs w:val="21"/>
                <w:highlight w:val="none"/>
              </w:rPr>
              <w:t>缴纳期限：成交人自领取中标通知书10日内并在合同签订之日前，向采购人缴纳履约保证金。</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缴纳方式：</w:t>
            </w:r>
            <w:r>
              <w:rPr>
                <w:rFonts w:hint="eastAsia" w:ascii="仿宋" w:hAnsi="仿宋" w:eastAsia="仿宋" w:cs="仿宋"/>
                <w:color w:val="auto"/>
                <w:sz w:val="21"/>
                <w:szCs w:val="21"/>
                <w:highlight w:val="none"/>
                <w:u w:val="single"/>
              </w:rPr>
              <w:t>履约保函或银行保函或保险公司或担保公司</w:t>
            </w:r>
            <w:r>
              <w:rPr>
                <w:rFonts w:hint="eastAsia" w:ascii="仿宋" w:hAnsi="仿宋" w:eastAsia="仿宋" w:cs="仿宋"/>
                <w:color w:val="auto"/>
                <w:sz w:val="21"/>
                <w:szCs w:val="21"/>
                <w:highlight w:val="none"/>
              </w:rPr>
              <w:t>（非现金形式提供）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19</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踏勘现场</w:t>
            </w:r>
          </w:p>
        </w:tc>
        <w:tc>
          <w:tcPr>
            <w:tcW w:w="6588" w:type="dxa"/>
            <w:vAlign w:val="center"/>
          </w:tcPr>
          <w:p>
            <w:pPr>
              <w:pStyle w:val="5"/>
              <w:spacing w:line="360" w:lineRule="auto"/>
              <w:ind w:firstLine="0" w:firstLineChars="0"/>
              <w:rPr>
                <w:rFonts w:hint="eastAsia" w:ascii="仿宋" w:hAnsi="仿宋" w:eastAsia="仿宋" w:cs="仿宋"/>
                <w:color w:val="auto"/>
                <w:szCs w:val="21"/>
                <w:highlight w:val="none"/>
              </w:rPr>
            </w:pPr>
            <w:r>
              <w:rPr>
                <w:rFonts w:hint="eastAsia" w:ascii="仿宋" w:hAnsi="仿宋" w:eastAsia="仿宋" w:cs="仿宋"/>
                <w:color w:val="auto"/>
                <w:szCs w:val="21"/>
                <w:highlight w:val="none"/>
              </w:rPr>
              <w:sym w:font="Wingdings" w:char="00A8"/>
            </w:r>
            <w:r>
              <w:rPr>
                <w:rFonts w:hint="eastAsia" w:ascii="仿宋" w:hAnsi="仿宋" w:eastAsia="仿宋" w:cs="仿宋"/>
                <w:color w:val="auto"/>
                <w:szCs w:val="21"/>
                <w:highlight w:val="none"/>
              </w:rPr>
              <w:t>组织</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sym w:font="Wingdings" w:char="00FE"/>
            </w:r>
            <w:r>
              <w:rPr>
                <w:rFonts w:hint="eastAsia" w:ascii="仿宋" w:hAnsi="仿宋" w:eastAsia="仿宋" w:cs="仿宋"/>
                <w:color w:val="auto"/>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20</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投标文件份数</w:t>
            </w:r>
          </w:p>
        </w:tc>
        <w:tc>
          <w:tcPr>
            <w:tcW w:w="6588"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采用不见面开标：</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1．本项目采用不见面开标、投标人需要递交电子投标文件，加密的电子投标文件，在投标截止时间前通过政采云平台上传到指定位置。</w:t>
            </w:r>
          </w:p>
          <w:p>
            <w:pPr>
              <w:snapToGrid w:val="0"/>
              <w:rPr>
                <w:rFonts w:hint="eastAsia" w:ascii="仿宋" w:hAnsi="仿宋" w:eastAsia="仿宋" w:cs="仿宋"/>
                <w:color w:val="auto"/>
                <w:kern w:val="2"/>
                <w:sz w:val="21"/>
                <w:szCs w:val="21"/>
                <w:highlight w:val="none"/>
              </w:rPr>
            </w:pPr>
            <w:r>
              <w:rPr>
                <w:rFonts w:hint="eastAsia" w:ascii="仿宋" w:hAnsi="仿宋" w:eastAsia="仿宋" w:cs="仿宋"/>
                <w:b/>
                <w:bCs/>
                <w:color w:val="auto"/>
                <w:sz w:val="21"/>
                <w:szCs w:val="21"/>
                <w:highlight w:val="none"/>
              </w:rPr>
              <w:t>2.中标结果公示后，中标单位在领取中标通知书时须递交纸质投标文件及电子版投标文件（均须已上传电子加密文件保持一致）三份。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1"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21</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开标时间及地点</w:t>
            </w:r>
          </w:p>
        </w:tc>
        <w:tc>
          <w:tcPr>
            <w:tcW w:w="6588" w:type="dxa"/>
            <w:vAlign w:val="center"/>
          </w:tcPr>
          <w:p>
            <w:pPr>
              <w:pStyle w:val="31"/>
              <w:tabs>
                <w:tab w:val="left" w:pos="1161"/>
              </w:tabs>
              <w:adjustRightInd w:val="0"/>
              <w:snapToGrid w:val="0"/>
              <w:ind w:right="98"/>
              <w:rPr>
                <w:rFonts w:hint="eastAsia" w:ascii="仿宋" w:hAnsi="仿宋" w:eastAsia="仿宋" w:cs="仿宋"/>
                <w:color w:val="auto"/>
                <w:szCs w:val="21"/>
                <w:highlight w:val="none"/>
              </w:rPr>
            </w:pPr>
            <w:r>
              <w:rPr>
                <w:rFonts w:hint="eastAsia" w:ascii="仿宋" w:hAnsi="仿宋" w:eastAsia="仿宋" w:cs="仿宋"/>
                <w:color w:val="auto"/>
                <w:szCs w:val="21"/>
                <w:highlight w:val="none"/>
              </w:rPr>
              <w:sym w:font="Wingdings 2" w:char="0052"/>
            </w:r>
            <w:r>
              <w:rPr>
                <w:rFonts w:hint="eastAsia" w:ascii="仿宋" w:hAnsi="仿宋" w:eastAsia="仿宋" w:cs="仿宋"/>
                <w:color w:val="auto"/>
                <w:szCs w:val="21"/>
                <w:highlight w:val="none"/>
              </w:rPr>
              <w:t>采用不见面开标：</w:t>
            </w:r>
          </w:p>
          <w:p>
            <w:pPr>
              <w:pStyle w:val="31"/>
              <w:tabs>
                <w:tab w:val="left" w:pos="1161"/>
              </w:tabs>
              <w:adjustRightInd w:val="0"/>
              <w:snapToGrid w:val="0"/>
              <w:ind w:right="98"/>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开标时间：202</w:t>
            </w:r>
            <w:r>
              <w:rPr>
                <w:rFonts w:hint="eastAsia" w:ascii="仿宋" w:hAnsi="仿宋" w:eastAsia="仿宋" w:cs="仿宋"/>
                <w:color w:val="auto"/>
                <w:szCs w:val="21"/>
                <w:highlight w:val="none"/>
                <w:lang w:val="en-US"/>
              </w:rPr>
              <w:t>6</w:t>
            </w:r>
            <w:r>
              <w:rPr>
                <w:rFonts w:hint="eastAsia" w:ascii="仿宋" w:hAnsi="仿宋" w:eastAsia="仿宋" w:cs="仿宋"/>
                <w:color w:val="auto"/>
                <w:szCs w:val="21"/>
                <w:highlight w:val="none"/>
              </w:rPr>
              <w:t>年</w:t>
            </w:r>
            <w:ins w:id="25" w:author="闾新豪" w:date="2026-05-18T15:45:25Z">
              <w:r>
                <w:rPr>
                  <w:rFonts w:hint="eastAsia" w:ascii="仿宋" w:hAnsi="仿宋" w:eastAsia="仿宋" w:cs="仿宋"/>
                  <w:color w:val="auto"/>
                  <w:szCs w:val="21"/>
                  <w:highlight w:val="none"/>
                  <w:lang w:val="en-US" w:eastAsia="zh-CN"/>
                </w:rPr>
                <w:t>06</w:t>
              </w:r>
            </w:ins>
            <w:r>
              <w:rPr>
                <w:rFonts w:hint="eastAsia" w:ascii="仿宋" w:hAnsi="仿宋" w:eastAsia="仿宋" w:cs="仿宋"/>
                <w:color w:val="auto"/>
                <w:szCs w:val="21"/>
                <w:highlight w:val="none"/>
              </w:rPr>
              <w:t>月</w:t>
            </w:r>
            <w:ins w:id="26" w:author="闾新豪" w:date="2026-05-18T15:45:28Z">
              <w:r>
                <w:rPr>
                  <w:rFonts w:hint="eastAsia" w:ascii="仿宋" w:hAnsi="仿宋" w:eastAsia="仿宋" w:cs="仿宋"/>
                  <w:color w:val="auto"/>
                  <w:szCs w:val="21"/>
                  <w:highlight w:val="none"/>
                  <w:lang w:val="en-US" w:eastAsia="zh-CN"/>
                </w:rPr>
                <w:t>10</w:t>
              </w:r>
            </w:ins>
            <w:r>
              <w:rPr>
                <w:rFonts w:hint="eastAsia" w:ascii="仿宋" w:hAnsi="仿宋" w:eastAsia="仿宋" w:cs="仿宋"/>
                <w:color w:val="auto"/>
                <w:szCs w:val="21"/>
                <w:highlight w:val="none"/>
                <w:lang w:val="en-US"/>
              </w:rPr>
              <w:t xml:space="preserve"> </w:t>
            </w:r>
            <w:r>
              <w:rPr>
                <w:rFonts w:hint="eastAsia" w:ascii="仿宋" w:hAnsi="仿宋" w:eastAsia="仿宋" w:cs="仿宋"/>
                <w:color w:val="auto"/>
                <w:szCs w:val="21"/>
                <w:highlight w:val="none"/>
              </w:rPr>
              <w:t>日1</w:t>
            </w:r>
            <w:r>
              <w:rPr>
                <w:rFonts w:hint="eastAsia" w:ascii="仿宋" w:hAnsi="仿宋" w:eastAsia="仿宋" w:cs="仿宋"/>
                <w:color w:val="auto"/>
                <w:szCs w:val="21"/>
                <w:highlight w:val="none"/>
                <w:lang w:val="en-US"/>
              </w:rPr>
              <w:t>1</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rPr>
              <w:t>0</w:t>
            </w:r>
            <w:r>
              <w:rPr>
                <w:rFonts w:hint="eastAsia" w:ascii="仿宋" w:hAnsi="仿宋" w:eastAsia="仿宋" w:cs="仿宋"/>
                <w:color w:val="auto"/>
                <w:szCs w:val="21"/>
                <w:highlight w:val="none"/>
              </w:rPr>
              <w:t>0（北京时间）</w:t>
            </w:r>
          </w:p>
          <w:p>
            <w:pPr>
              <w:pStyle w:val="31"/>
              <w:tabs>
                <w:tab w:val="left" w:pos="1161"/>
              </w:tabs>
              <w:adjustRightInd w:val="0"/>
              <w:snapToGrid w:val="0"/>
              <w:ind w:right="98"/>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开标地点：投标人登录政采云平台https://www.zcygov.cn/，进入项目采购-开标评标-右边选择对应项目点击“进入项目”进入开标大厅。</w:t>
            </w:r>
          </w:p>
          <w:p>
            <w:pPr>
              <w:pStyle w:val="31"/>
              <w:tabs>
                <w:tab w:val="left" w:pos="1161"/>
              </w:tabs>
              <w:adjustRightInd w:val="0"/>
              <w:snapToGrid w:val="0"/>
              <w:ind w:right="98"/>
              <w:rPr>
                <w:rFonts w:hint="eastAsia" w:ascii="仿宋" w:hAnsi="仿宋" w:eastAsia="仿宋" w:cs="仿宋"/>
                <w:color w:val="auto"/>
                <w:szCs w:val="21"/>
                <w:highlight w:val="none"/>
              </w:rPr>
            </w:pPr>
            <w:r>
              <w:rPr>
                <w:rFonts w:hint="eastAsia" w:ascii="仿宋" w:hAnsi="仿宋" w:eastAsia="仿宋" w:cs="仿宋"/>
                <w:color w:val="auto"/>
                <w:szCs w:val="21"/>
                <w:highlight w:val="none"/>
              </w:rPr>
              <w:t>不见面开标默认解密时长：30分钟（过时未进行解密的投标文件，开标现场不进行解密时间延长。）</w:t>
            </w:r>
          </w:p>
          <w:p>
            <w:pPr>
              <w:pStyle w:val="31"/>
              <w:tabs>
                <w:tab w:val="left" w:pos="1161"/>
              </w:tabs>
              <w:adjustRightInd w:val="0"/>
              <w:snapToGrid w:val="0"/>
              <w:ind w:right="98"/>
              <w:rPr>
                <w:rFonts w:hint="eastAsia" w:ascii="仿宋" w:hAnsi="仿宋" w:eastAsia="仿宋" w:cs="仿宋"/>
                <w:color w:val="auto"/>
                <w:szCs w:val="21"/>
                <w:highlight w:val="none"/>
              </w:rPr>
            </w:pPr>
            <w:r>
              <w:rPr>
                <w:rFonts w:hint="eastAsia" w:ascii="仿宋" w:hAnsi="仿宋" w:eastAsia="仿宋" w:cs="仿宋"/>
                <w:color w:val="auto"/>
                <w:szCs w:val="21"/>
                <w:highlight w:val="none"/>
              </w:rPr>
              <w:t>注：开标当日仅需在任意地点通过政采云平台不见面开标系统（登录地址详见网站操作手册）完成远程解密、提疑澄清、开标、结果公布等交互环节。投标人必须在规定的时间内使用能正确解密投标文件的“CA锁”完成远程解密，因投标人原因未能解密、解密失败或解密超时，视为投标人撤销其投标文件，系统内投标文件将被退回；因网上招投标平台发生故障，导致无法按时完成投标文件解密或开、评标工作无法进行的，可根据实际情况相应延迟解密时间或调整开、评标时间。（友情提示：若投标人已领取副锁（含多把副锁）请注意正副锁的使用差别，务必使用生成投标文件的那把锁解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22</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是否退还投标</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文件</w:t>
            </w:r>
          </w:p>
        </w:tc>
        <w:tc>
          <w:tcPr>
            <w:tcW w:w="6588" w:type="dxa"/>
            <w:vAlign w:val="center"/>
          </w:tcPr>
          <w:p>
            <w:pPr>
              <w:snapToGrid w:val="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sym w:font="Wingdings" w:char="00A8"/>
            </w:r>
            <w:r>
              <w:rPr>
                <w:rFonts w:hint="eastAsia" w:ascii="仿宋" w:hAnsi="仿宋" w:eastAsia="仿宋" w:cs="仿宋"/>
                <w:color w:val="auto"/>
                <w:kern w:val="2"/>
                <w:sz w:val="21"/>
                <w:szCs w:val="21"/>
                <w:highlight w:val="none"/>
              </w:rPr>
              <w:t xml:space="preserve">  是</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kern w:val="2"/>
                <w:sz w:val="21"/>
                <w:szCs w:val="21"/>
                <w:highlight w:val="none"/>
              </w:rPr>
              <w:sym w:font="Wingdings" w:char="00FE"/>
            </w:r>
            <w:r>
              <w:rPr>
                <w:rFonts w:hint="eastAsia" w:ascii="仿宋" w:hAnsi="仿宋" w:eastAsia="仿宋" w:cs="仿宋"/>
                <w:color w:val="auto"/>
                <w:kern w:val="2"/>
                <w:sz w:val="21"/>
                <w:szCs w:val="21"/>
                <w:highlight w:val="none"/>
              </w:rPr>
              <w:t xml:space="preserve">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报价说明</w:t>
            </w:r>
          </w:p>
        </w:tc>
        <w:tc>
          <w:tcPr>
            <w:tcW w:w="6588"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投标报价方式：直接报价，</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投标人的投标报价不得超过最高限价1060000.00元，否则其投标将被拒绝。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24</w:t>
            </w:r>
          </w:p>
        </w:tc>
        <w:tc>
          <w:tcPr>
            <w:tcW w:w="2168" w:type="dxa"/>
            <w:vAlign w:val="center"/>
          </w:tcPr>
          <w:p>
            <w:pPr>
              <w:pStyle w:val="31"/>
              <w:adjustRightInd w:val="0"/>
              <w:snapToGrid w:val="0"/>
              <w:ind w:right="141"/>
              <w:jc w:val="center"/>
              <w:rPr>
                <w:rFonts w:hint="eastAsia" w:ascii="仿宋" w:hAnsi="仿宋" w:eastAsia="仿宋" w:cs="仿宋"/>
                <w:color w:val="auto"/>
                <w:szCs w:val="21"/>
                <w:highlight w:val="none"/>
                <w:lang w:val="en-US" w:bidi="ar-SA"/>
              </w:rPr>
            </w:pPr>
            <w:r>
              <w:rPr>
                <w:rFonts w:hint="eastAsia" w:ascii="仿宋" w:hAnsi="仿宋" w:eastAsia="仿宋" w:cs="仿宋"/>
                <w:color w:val="auto"/>
                <w:kern w:val="0"/>
                <w:szCs w:val="21"/>
                <w:highlight w:val="none"/>
                <w:lang w:val="en-US" w:bidi="ar-SA"/>
              </w:rPr>
              <w:t>答疑接受时间</w:t>
            </w:r>
          </w:p>
        </w:tc>
        <w:tc>
          <w:tcPr>
            <w:tcW w:w="6588"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投标截止时间15天前接受投标人疑问或澄清要求（逾期不予受理）。</w:t>
            </w:r>
          </w:p>
          <w:p>
            <w:pPr>
              <w:snapToGrid w:val="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联系人：彭小倬、王荣荣</w:t>
            </w:r>
          </w:p>
          <w:p>
            <w:pPr>
              <w:snapToGrid w:val="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联系电话：13579881296</w:t>
            </w:r>
          </w:p>
          <w:p>
            <w:pPr>
              <w:snapToGrid w:val="0"/>
              <w:rPr>
                <w:rFonts w:hint="eastAsia" w:ascii="仿宋" w:hAnsi="仿宋" w:eastAsia="仿宋" w:cs="仿宋"/>
                <w:color w:val="auto"/>
                <w:sz w:val="21"/>
                <w:szCs w:val="21"/>
                <w:highlight w:val="none"/>
                <w:lang w:val="en-US"/>
              </w:rPr>
            </w:pPr>
            <w:r>
              <w:rPr>
                <w:rFonts w:hint="eastAsia" w:ascii="仿宋" w:hAnsi="仿宋" w:eastAsia="仿宋" w:cs="仿宋"/>
                <w:color w:val="auto"/>
                <w:sz w:val="21"/>
                <w:szCs w:val="21"/>
                <w:highlight w:val="none"/>
              </w:rPr>
              <w:t>提交方式：政采云平台https://www.zcygov.cn/</w:t>
            </w:r>
          </w:p>
          <w:p>
            <w:pPr>
              <w:pStyle w:val="31"/>
              <w:adjustRightInd w:val="0"/>
              <w:snapToGrid w:val="0"/>
              <w:rPr>
                <w:rFonts w:hint="eastAsia" w:ascii="仿宋" w:hAnsi="仿宋" w:eastAsia="仿宋" w:cs="仿宋"/>
                <w:color w:val="auto"/>
                <w:szCs w:val="21"/>
                <w:highlight w:val="none"/>
                <w:lang w:val="en-US" w:bidi="ar-SA"/>
              </w:rPr>
            </w:pPr>
            <w:r>
              <w:rPr>
                <w:rFonts w:hint="eastAsia" w:ascii="仿宋" w:hAnsi="仿宋" w:eastAsia="仿宋" w:cs="仿宋"/>
                <w:color w:val="auto"/>
                <w:szCs w:val="21"/>
                <w:highlight w:val="none"/>
                <w:lang w:val="en-US" w:bidi="ar-SA"/>
              </w:rPr>
              <w:t>注：澄清、修改文件发出后，投标人必须使用最新的澄清文件制作投标文件。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25</w:t>
            </w:r>
          </w:p>
        </w:tc>
        <w:tc>
          <w:tcPr>
            <w:tcW w:w="2168" w:type="dxa"/>
            <w:vAlign w:val="center"/>
          </w:tcPr>
          <w:p>
            <w:pPr>
              <w:snapToGrid w:val="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评标委员会的</w:t>
            </w:r>
          </w:p>
          <w:p>
            <w:pPr>
              <w:snapToGrid w:val="0"/>
              <w:jc w:val="center"/>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组成</w:t>
            </w:r>
          </w:p>
        </w:tc>
        <w:tc>
          <w:tcPr>
            <w:tcW w:w="6588"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评审小组人员组成：由采购人代表和评审专家共5人以上单数组成，其中评审专家人数不得少于评审小组成员总数的2/3。</w:t>
            </w:r>
          </w:p>
          <w:p>
            <w:pPr>
              <w:snapToGrid w:val="0"/>
              <w:rPr>
                <w:rFonts w:hint="eastAsia" w:ascii="仿宋" w:hAnsi="仿宋" w:eastAsia="仿宋" w:cs="仿宋"/>
                <w:color w:val="auto"/>
                <w:kern w:val="2"/>
                <w:sz w:val="21"/>
                <w:szCs w:val="21"/>
                <w:highlight w:val="none"/>
              </w:rPr>
            </w:pPr>
            <w:r>
              <w:rPr>
                <w:rFonts w:hint="eastAsia" w:ascii="仿宋" w:hAnsi="仿宋" w:eastAsia="仿宋" w:cs="仿宋"/>
                <w:color w:val="auto"/>
                <w:sz w:val="21"/>
                <w:szCs w:val="21"/>
                <w:highlight w:val="none"/>
              </w:rPr>
              <w:t>评审专家确定方式：政采云专家库随机抽取。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26</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是否为专门面向中小企业采购</w:t>
            </w:r>
          </w:p>
        </w:tc>
        <w:tc>
          <w:tcPr>
            <w:tcW w:w="6588" w:type="dxa"/>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本项目为专门面向中小微企业（含中型、小型、微型企业）采购项目，根据《政府采购促进中小企业发展管理办法》（财库[2020]46号）、《关于进一步加大政府采购支持中小企业力度的通知》财库〔2022〕19号）的规定，不再执行价格评审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27</w:t>
            </w:r>
          </w:p>
        </w:tc>
        <w:tc>
          <w:tcPr>
            <w:tcW w:w="2168" w:type="dxa"/>
            <w:vAlign w:val="center"/>
          </w:tcPr>
          <w:p>
            <w:pPr>
              <w:snapToGrid w:val="0"/>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低于成本价不正当竞争预防措施</w:t>
            </w:r>
          </w:p>
        </w:tc>
        <w:tc>
          <w:tcPr>
            <w:tcW w:w="6588" w:type="dxa"/>
            <w:vAlign w:val="center"/>
          </w:tcPr>
          <w:p>
            <w:pPr>
              <w:snapToGrid w:val="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低于成本价不正当竞争预防措施：财库〔2026〕2号</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（一）评审中出现下列情形之一的，评审委员会应当启动异常低价投标（响应）审查程序：</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1.投标（响应）报价低于全部通过符合性审查投标人投标（响应）报价平均值50%的，即投标（响应）报价&lt;全部通过符合性审查投标人投标（响应）报价平均值×50%；</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2.投标（响应）报价低于通过符合性审查的次低报价投标人投标（响应）报价50%的，即投标（响应）报价&lt;通过符合性审查的次低报价投标人投标（响应）报价×50%；</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3.投标（响应）报价低于采购项目最高限价45%的，即投标（响应）报价&lt;采购项目最高限价×45%；</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4.评审委员会基于专业判断，认为投标人报价过低，有可能影响产品质量或者不能诚信履约的其他情形。</w:t>
            </w:r>
          </w:p>
          <w:p>
            <w:pPr>
              <w:snapToGrid w:val="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采购人可以结合具体项目实际情况，提高上述第1项至第3项中启动异常低价投标（响应）审查的数值标准，但是最高不得超过65%。</w:t>
            </w:r>
          </w:p>
          <w:p>
            <w:pPr>
              <w:snapToGrid w:val="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相关法律法规对投标人报价有规定的，从其规定。</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二）评审委员会启动异常低价投标（响应）审查后，属于前述第1项至第4项情形的，应当要求相关投标人在评审现场合理的时间内对投标（响应）价格作出解释，提供项目具体成本测算等与报价合理性相关的书面说明及必要的证明材料，包括但不限于原材料成本、人工成本、制造费用等，给予相关投标人的合理时间一般不少于30分钟。其中，属于第3项情形，投标人已随投标（响应）文件一并提交相关书面说明及必要的证明材料的，在评审现场可不再重复提交。</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评审委员会依据专业经验，参考同类项目中标（成交）价格、类似产品市场价格水平、行业人工费用标准、国家有关部门指导行业协会发布的行业平均成本等情况，对报价合理性进行判断。投标（响应）投标人不能提供书面说明、证明材料，或者提供的书面说明、证明材料不能证明其报价合理性的，评审委员会应当将其作为无效投标（响应）处理。</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异常低价投标（响应）审查的启动原因、审查意见和审查结果应当在评审报告中记录，并随投标人提供的相关书面说明及证明材料，以及评审委员会有关互联网浏览、查询历史一并归档。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28</w:t>
            </w:r>
          </w:p>
        </w:tc>
        <w:tc>
          <w:tcPr>
            <w:tcW w:w="2168" w:type="dxa"/>
            <w:vAlign w:val="center"/>
          </w:tcPr>
          <w:p>
            <w:pPr>
              <w:pStyle w:val="31"/>
              <w:adjustRightInd w:val="0"/>
              <w:snapToGrid w:val="0"/>
              <w:ind w:right="141"/>
              <w:jc w:val="center"/>
              <w:rPr>
                <w:rFonts w:hint="eastAsia" w:ascii="仿宋" w:hAnsi="仿宋" w:eastAsia="仿宋" w:cs="仿宋"/>
                <w:color w:val="auto"/>
                <w:szCs w:val="21"/>
                <w:highlight w:val="none"/>
                <w:lang w:val="en-US" w:bidi="ar-SA"/>
              </w:rPr>
            </w:pPr>
            <w:r>
              <w:rPr>
                <w:rFonts w:hint="eastAsia" w:ascii="仿宋" w:hAnsi="仿宋" w:eastAsia="仿宋" w:cs="仿宋"/>
                <w:color w:val="auto"/>
                <w:szCs w:val="21"/>
                <w:highlight w:val="none"/>
                <w:lang w:val="en-US" w:bidi="ar-SA"/>
              </w:rPr>
              <w:t>招标代理服务费</w:t>
            </w:r>
          </w:p>
        </w:tc>
        <w:tc>
          <w:tcPr>
            <w:tcW w:w="6588" w:type="dxa"/>
            <w:vAlign w:val="center"/>
          </w:tcPr>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参照国家计委计价格【2002】1980号、发改办价格【2003】857号、【2011】534号文计取，不足3000元按3000元计取，本项目招标代理服务费由成交投标人支付。</w:t>
            </w:r>
          </w:p>
          <w:p>
            <w:pPr>
              <w:snapToGrid w:val="0"/>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bCs/>
                <w:color w:val="auto"/>
                <w:sz w:val="21"/>
                <w:szCs w:val="21"/>
                <w:highlight w:val="none"/>
              </w:rPr>
              <w:t>中标人须在领取中标通知书时一次性付清招标代理服务费。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29</w:t>
            </w:r>
          </w:p>
        </w:tc>
        <w:tc>
          <w:tcPr>
            <w:tcW w:w="2168" w:type="dxa"/>
            <w:vAlign w:val="center"/>
          </w:tcPr>
          <w:p>
            <w:pPr>
              <w:pStyle w:val="4"/>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政府采购政策支持</w:t>
            </w:r>
          </w:p>
        </w:tc>
        <w:tc>
          <w:tcPr>
            <w:tcW w:w="6588" w:type="dxa"/>
            <w:vAlign w:val="center"/>
          </w:tcPr>
          <w:p>
            <w:pPr>
              <w:snapToGrid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关于落实中小企业政府采购政策：</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因本项目为专门面向中小微企业采购项目,不再执行价格评审优惠。</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1.根据工信部等部委发布的《关于印发中小企业划型标准规定的通知》（工信部联企业〔2011〕300号）、财政部、工业和信息化部《政府采购促进中小企业发展管理办法 》（财库[2020]46号文）规定，财政部关于进一步加大政府采购支持中小企业力度的通知(财库〔2022〕19号)规定、新疆维吾尔自治区财政厅、新疆生产建设兵团财政局《关于落实好政府采购支持中小企业发展的通知》(新财购[2022]22号)，本次采购标的所属行业为</w:t>
            </w:r>
            <w:r>
              <w:rPr>
                <w:rFonts w:hint="eastAsia" w:ascii="仿宋" w:hAnsi="仿宋" w:eastAsia="仿宋" w:cs="仿宋"/>
                <w:b/>
                <w:color w:val="auto"/>
                <w:sz w:val="21"/>
                <w:szCs w:val="21"/>
                <w:highlight w:val="none"/>
                <w:u w:val="single"/>
              </w:rPr>
              <w:t>工业</w:t>
            </w:r>
            <w:r>
              <w:rPr>
                <w:rFonts w:hint="eastAsia" w:ascii="仿宋" w:hAnsi="仿宋" w:eastAsia="仿宋" w:cs="仿宋"/>
                <w:bCs/>
                <w:color w:val="auto"/>
                <w:sz w:val="21"/>
                <w:szCs w:val="21"/>
                <w:highlight w:val="none"/>
              </w:rPr>
              <w:t>，符合中小微型企业应按照招标文件格式要求提供《中小企业声明函》（见格式），（监狱企业、残疾人福利性单位视同为中小企业）。</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2.依据本办法规定享受扶持政策获得政府采购合同的，小微企业不得将合同分包给大中型企业，中型企业不得将合同分包给大型企业。）</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根据财政部、工业和信息化部《政府采购促进中小企业发展管理办法》(财库[2020]46号文)的规定,监狱企业、残疾人福利性单位视同为中小企业。符合以下条件的中小微型企业应按照招标文件格式要求提供《中小企业声明函》。</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(2)在政府采购活动中，投标人提供的货物、工程或者服务符合下列情形的，享受本办法规定的中小企业扶持政策：</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(一) 在货物采购项目中，货物由中小企业制造，即货物由中小企业生产且使用该中小企业商号或者注册商标；</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(二) 在工程采购项目中，工程由中小企业承建，即工程施工单位为中小企业；</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(三) 在服务采购项目中，服务由中小企业承接，即提供服务的人员为中小企业依照《中华人民共和国劳动合同法》订立劳动合同的从业人员。</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在货物采购项目中，投标人提供的货物既有中小企业制造货物，也有大型企业制造货物的，不享受本办法规定的中小企业扶持政策。</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以联合体形式参加政府采购活动，联合体各方均为中小企业的，联合体视同中小企业。其中，联合体各方均为小微企业的，联合体视同小微企业。</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(3)依据本办法规定享受扶持政策获得政府采购合同的，小微企业不得将合同分包给大中型企业，中型企业不得将合同分包给大型企业。</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(4)提供由省级以上监狱管理局、戒毒管理局(含新疆生产建设兵团)出具的属于监狱企业证明文件(扫描件) 的，视同为小型和微型企业。</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(5)符合享受政府采购支持政策的残疾人福利性单位条件且提供《残疾人福利性单位声明函》的，视同为小型和微型企业。</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w:t>
            </w:r>
            <w:r>
              <w:rPr>
                <w:rFonts w:hint="eastAsia" w:ascii="仿宋" w:hAnsi="仿宋" w:eastAsia="仿宋" w:cs="仿宋"/>
                <w:b/>
                <w:color w:val="auto"/>
                <w:sz w:val="21"/>
                <w:szCs w:val="21"/>
                <w:highlight w:val="none"/>
              </w:rPr>
              <w:t>本采购项目中小企业划分标准所属行业为：工业。</w:t>
            </w:r>
            <w:r>
              <w:rPr>
                <w:rFonts w:hint="eastAsia" w:ascii="仿宋" w:hAnsi="仿宋" w:eastAsia="仿宋" w:cs="仿宋"/>
                <w:bCs/>
                <w:color w:val="auto"/>
                <w:sz w:val="21"/>
                <w:szCs w:val="21"/>
                <w:highlight w:val="none"/>
              </w:rPr>
              <w:t>即：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napToGrid w:val="0"/>
              <w:ind w:firstLine="422" w:firstLineChars="200"/>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（投标人应在中小企业声明函中按照采购货物名称逐个填写制造商信息，且制造商均为中小微企业，如未按要求填写，将被否决此次投标。）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3"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w:t>
            </w:r>
          </w:p>
        </w:tc>
        <w:tc>
          <w:tcPr>
            <w:tcW w:w="2168"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关于在政府采购中实施本国产品标准及相关政策的通知</w:t>
            </w:r>
          </w:p>
        </w:tc>
        <w:tc>
          <w:tcPr>
            <w:tcW w:w="6588" w:type="dxa"/>
            <w:vAlign w:val="center"/>
          </w:tcPr>
          <w:p>
            <w:pPr>
              <w:snapToGrid w:val="0"/>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国务院办公厅印发的《关于在政府采购中实施本国产品标准及相关政策的通知》（以下简称《通知》）：国办发〔2025〕34号</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在政府采购活动中，对同时有本国产品和非本国产品参与竞争的项目，对本国产品报价给予20%的价格扣除，并以扣除后的价格参与评审。</w:t>
            </w:r>
          </w:p>
          <w:p>
            <w:pPr>
              <w:snapToGrid w:val="0"/>
              <w:ind w:firstLine="420" w:firstLineChars="200"/>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本国产品”是指：一是在中国境内生产，实现从原材料、组件到产品的属性改变。二是产品在中国境内生产的组件成本占比应当达到规定比例。三是对特定产品，在满足上述条件的基础上，还须符合由财政部会同行业主管部门确定的其关键组件、关键工序在中国境内生产、完成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w:t>
            </w:r>
          </w:p>
        </w:tc>
        <w:tc>
          <w:tcPr>
            <w:tcW w:w="8756" w:type="dxa"/>
            <w:gridSpan w:val="2"/>
            <w:vAlign w:val="center"/>
          </w:tcPr>
          <w:p>
            <w:pPr>
              <w:snapToGrid w:val="0"/>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本项规定为公开招标87号令货物类招标，在使用综合评分法的采购项目中，提供相同品牌产品且通过资格审查、符合性审查的不同投标人，按一家投标人计算，评审后得分最高的同品牌投标人获得中标人推荐资格；评审得分相同的，由采购人或评标委员会按照招标文件规定的方式确定一个投标人获得中标人推荐资格，招标文件未规定的采取随机抽取方式确定。</w:t>
            </w:r>
          </w:p>
          <w:p>
            <w:pPr>
              <w:snapToGrid w:val="0"/>
              <w:ind w:firstLine="422" w:firstLineChars="20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非单一产品采购项目中，采购人应根据采购项目的技术构成和产品价格比重合理确定核心产品，并在招标文件中明确载明。多家投标人提供的核心产品品牌相同的，按前两款规定处理。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55" w:type="dxa"/>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31</w:t>
            </w:r>
          </w:p>
        </w:tc>
        <w:tc>
          <w:tcPr>
            <w:tcW w:w="8756" w:type="dxa"/>
            <w:gridSpan w:val="2"/>
            <w:vAlign w:val="center"/>
          </w:tcPr>
          <w:p>
            <w:pPr>
              <w:snapToGrid w:val="0"/>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本次采购核心产品为：</w:t>
            </w:r>
            <w:ins w:id="27" w:author="a21376" w:date="2026-04-30T16:20:00Z">
              <w:r>
                <w:rPr>
                  <w:rFonts w:hint="eastAsia" w:ascii="仿宋" w:hAnsi="仿宋" w:eastAsia="仿宋" w:cs="仿宋"/>
                  <w:b/>
                  <w:bCs/>
                  <w:color w:val="auto"/>
                  <w:sz w:val="21"/>
                  <w:szCs w:val="21"/>
                  <w:highlight w:val="none"/>
                </w:rPr>
                <w:t>果实视觉对靶自主授粉疏果试验开发系统</w:t>
              </w:r>
            </w:ins>
          </w:p>
        </w:tc>
      </w:tr>
    </w:tbl>
    <w:p>
      <w:pPr>
        <w:spacing w:line="440" w:lineRule="exact"/>
        <w:rPr>
          <w:rFonts w:hint="eastAsia" w:ascii="仿宋" w:hAnsi="仿宋" w:eastAsia="仿宋" w:cs="宋体"/>
          <w:b/>
          <w:color w:val="auto"/>
          <w:highlight w:val="none"/>
        </w:rPr>
      </w:pPr>
      <w:r>
        <w:rPr>
          <w:rFonts w:hint="eastAsia" w:ascii="仿宋" w:hAnsi="仿宋" w:eastAsia="仿宋" w:cs="宋体"/>
          <w:b/>
          <w:color w:val="auto"/>
          <w:highlight w:val="none"/>
        </w:rPr>
        <w:t>注：本表内容与招标文件其它内容不一致的，应当以本表内容为准。</w:t>
      </w:r>
    </w:p>
    <w:p>
      <w:pPr>
        <w:spacing w:line="360" w:lineRule="auto"/>
        <w:jc w:val="both"/>
        <w:rPr>
          <w:rFonts w:hint="eastAsia" w:ascii="仿宋" w:hAnsi="仿宋" w:eastAsia="仿宋" w:cs="仿宋"/>
          <w:b/>
          <w:bCs/>
          <w:color w:val="auto"/>
          <w:kern w:val="2"/>
          <w:highlight w:val="none"/>
        </w:rPr>
      </w:pPr>
      <w:r>
        <w:rPr>
          <w:rFonts w:hint="eastAsia" w:ascii="仿宋" w:hAnsi="仿宋" w:eastAsia="仿宋" w:cs="宋体"/>
          <w:b/>
          <w:color w:val="auto"/>
          <w:highlight w:val="none"/>
        </w:rPr>
        <w:t>本表中“</w:t>
      </w:r>
      <w:r>
        <w:rPr>
          <w:rFonts w:hint="eastAsia" w:ascii="仿宋" w:hAnsi="仿宋" w:eastAsia="仿宋" w:cs="宋体"/>
          <w:b/>
          <w:color w:val="auto"/>
          <w:highlight w:val="none"/>
        </w:rPr>
        <w:fldChar w:fldCharType="begin"/>
      </w:r>
      <w:r>
        <w:rPr>
          <w:rFonts w:hint="eastAsia" w:ascii="仿宋" w:hAnsi="仿宋" w:eastAsia="仿宋" w:cs="宋体"/>
          <w:b/>
          <w:color w:val="auto"/>
          <w:highlight w:val="none"/>
        </w:rPr>
        <w:instrText xml:space="preserve"> eq \o\ac(□,√)</w:instrText>
      </w:r>
      <w:r>
        <w:rPr>
          <w:rFonts w:hint="eastAsia" w:ascii="仿宋" w:hAnsi="仿宋" w:eastAsia="仿宋" w:cs="宋体"/>
          <w:b/>
          <w:color w:val="auto"/>
          <w:highlight w:val="none"/>
        </w:rPr>
        <w:fldChar w:fldCharType="end"/>
      </w:r>
      <w:r>
        <w:rPr>
          <w:rFonts w:hint="eastAsia" w:ascii="仿宋" w:hAnsi="仿宋" w:eastAsia="仿宋" w:cs="宋体"/>
          <w:b/>
          <w:color w:val="auto"/>
          <w:highlight w:val="none"/>
        </w:rPr>
        <w:t>”标示选择使用该项，“□”标示不选择使用该项。</w:t>
      </w:r>
    </w:p>
    <w:p>
      <w:pPr>
        <w:spacing w:line="360" w:lineRule="auto"/>
        <w:jc w:val="both"/>
        <w:rPr>
          <w:rFonts w:hint="eastAsia" w:ascii="仿宋" w:hAnsi="仿宋" w:eastAsia="仿宋" w:cs="仿宋"/>
          <w:b/>
          <w:bCs/>
          <w:color w:val="auto"/>
          <w:kern w:val="2"/>
          <w:highlight w:val="none"/>
        </w:rPr>
        <w:sectPr>
          <w:pgSz w:w="11907" w:h="16840"/>
          <w:pgMar w:top="1440" w:right="1474" w:bottom="1440" w:left="1474" w:header="720" w:footer="720" w:gutter="0"/>
          <w:cols w:space="720" w:num="1"/>
        </w:sectPr>
      </w:pPr>
    </w:p>
    <w:p>
      <w:pPr>
        <w:snapToGrid w:val="0"/>
        <w:spacing w:line="360" w:lineRule="auto"/>
        <w:jc w:val="center"/>
        <w:rPr>
          <w:rFonts w:hint="eastAsia" w:ascii="仿宋" w:hAnsi="仿宋" w:eastAsia="仿宋" w:cs="仿宋"/>
          <w:b/>
          <w:bCs/>
          <w:color w:val="auto"/>
          <w:kern w:val="2"/>
          <w:sz w:val="28"/>
          <w:szCs w:val="28"/>
          <w:highlight w:val="none"/>
        </w:rPr>
      </w:pPr>
      <w:bookmarkStart w:id="20" w:name="_Toc11862"/>
      <w:bookmarkStart w:id="21" w:name="_Toc11575"/>
      <w:bookmarkStart w:id="22" w:name="_Toc1688"/>
      <w:bookmarkStart w:id="23" w:name="_Toc6044"/>
      <w:bookmarkStart w:id="24" w:name="_Toc16822"/>
      <w:bookmarkStart w:id="25" w:name="_Toc31592"/>
      <w:bookmarkStart w:id="26" w:name="_Toc29747"/>
      <w:bookmarkStart w:id="27" w:name="_Toc3227"/>
      <w:bookmarkStart w:id="28" w:name="_Toc31913"/>
      <w:bookmarkStart w:id="29" w:name="_Toc45033359"/>
      <w:r>
        <w:rPr>
          <w:rFonts w:hint="eastAsia" w:ascii="仿宋" w:hAnsi="仿宋" w:eastAsia="仿宋" w:cs="仿宋"/>
          <w:b/>
          <w:bCs/>
          <w:color w:val="auto"/>
          <w:kern w:val="2"/>
          <w:sz w:val="28"/>
          <w:szCs w:val="28"/>
          <w:highlight w:val="none"/>
          <w:lang w:val="zh-CN"/>
        </w:rPr>
        <w:t>一、总</w:t>
      </w:r>
      <w:r>
        <w:rPr>
          <w:rFonts w:hint="eastAsia" w:ascii="仿宋" w:hAnsi="仿宋" w:eastAsia="仿宋" w:cs="仿宋"/>
          <w:b/>
          <w:bCs/>
          <w:color w:val="auto"/>
          <w:kern w:val="2"/>
          <w:sz w:val="28"/>
          <w:szCs w:val="28"/>
          <w:highlight w:val="none"/>
        </w:rPr>
        <w:t xml:space="preserve">    </w:t>
      </w:r>
      <w:r>
        <w:rPr>
          <w:rFonts w:hint="eastAsia" w:ascii="仿宋" w:hAnsi="仿宋" w:eastAsia="仿宋" w:cs="仿宋"/>
          <w:b/>
          <w:bCs/>
          <w:color w:val="auto"/>
          <w:kern w:val="2"/>
          <w:sz w:val="28"/>
          <w:szCs w:val="28"/>
          <w:highlight w:val="none"/>
          <w:lang w:val="zh-CN"/>
        </w:rPr>
        <w:t>则</w:t>
      </w:r>
    </w:p>
    <w:p>
      <w:pPr>
        <w:snapToGrid w:val="0"/>
        <w:spacing w:line="360" w:lineRule="auto"/>
        <w:ind w:firstLine="482" w:firstLineChars="200"/>
        <w:rPr>
          <w:rFonts w:hint="eastAsia" w:ascii="仿宋" w:hAnsi="仿宋" w:eastAsia="仿宋" w:cs="仿宋"/>
          <w:bCs/>
          <w:color w:val="auto"/>
          <w:kern w:val="2"/>
          <w:sz w:val="28"/>
          <w:szCs w:val="28"/>
          <w:highlight w:val="none"/>
        </w:rPr>
      </w:pPr>
      <w:r>
        <w:rPr>
          <w:rFonts w:hint="eastAsia" w:ascii="仿宋" w:hAnsi="仿宋" w:eastAsia="仿宋" w:cs="仿宋"/>
          <w:b/>
          <w:bCs/>
          <w:color w:val="auto"/>
          <w:kern w:val="2"/>
          <w:highlight w:val="none"/>
        </w:rPr>
        <w:t>1.</w:t>
      </w:r>
      <w:r>
        <w:rPr>
          <w:rFonts w:hint="eastAsia" w:ascii="仿宋" w:hAnsi="仿宋" w:eastAsia="仿宋" w:cs="仿宋"/>
          <w:b/>
          <w:bCs/>
          <w:color w:val="auto"/>
          <w:kern w:val="2"/>
          <w:highlight w:val="none"/>
          <w:lang w:val="zh-CN"/>
        </w:rPr>
        <w:t>适用范围</w:t>
      </w:r>
    </w:p>
    <w:p>
      <w:pPr>
        <w:snapToGrid w:val="0"/>
        <w:spacing w:line="360" w:lineRule="auto"/>
        <w:ind w:firstLine="464" w:firstLineChars="200"/>
        <w:rPr>
          <w:rFonts w:hint="eastAsia" w:ascii="仿宋" w:hAnsi="仿宋" w:eastAsia="仿宋" w:cs="仿宋"/>
          <w:color w:val="auto"/>
          <w:spacing w:val="-4"/>
          <w:highlight w:val="none"/>
        </w:rPr>
      </w:pPr>
      <w:r>
        <w:rPr>
          <w:rFonts w:hint="eastAsia" w:ascii="仿宋" w:hAnsi="仿宋" w:eastAsia="仿宋" w:cs="仿宋"/>
          <w:color w:val="auto"/>
          <w:spacing w:val="-4"/>
          <w:highlight w:val="none"/>
        </w:rPr>
        <w:t>1.1</w:t>
      </w:r>
      <w:r>
        <w:rPr>
          <w:rFonts w:hint="eastAsia" w:ascii="仿宋" w:hAnsi="仿宋" w:eastAsia="仿宋" w:cs="仿宋"/>
          <w:color w:val="auto"/>
          <w:highlight w:val="none"/>
        </w:rPr>
        <w:t>本招标文件适用于本次招标采购项目的招标投标</w:t>
      </w:r>
      <w:r>
        <w:rPr>
          <w:rFonts w:hint="eastAsia" w:ascii="仿宋" w:hAnsi="仿宋" w:eastAsia="仿宋" w:cs="仿宋"/>
          <w:color w:val="auto"/>
          <w:spacing w:val="-4"/>
          <w:highlight w:val="none"/>
        </w:rPr>
        <w:t>。</w:t>
      </w:r>
    </w:p>
    <w:p>
      <w:pPr>
        <w:snapToGrid w:val="0"/>
        <w:spacing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2.定义</w:t>
      </w:r>
    </w:p>
    <w:p>
      <w:pPr>
        <w:snapToGrid w:val="0"/>
        <w:spacing w:line="360" w:lineRule="auto"/>
        <w:ind w:firstLine="480" w:firstLineChars="200"/>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2.1</w:t>
      </w:r>
      <w:r>
        <w:rPr>
          <w:rFonts w:hint="eastAsia" w:ascii="仿宋" w:hAnsi="仿宋" w:eastAsia="仿宋" w:cs="仿宋"/>
          <w:color w:val="auto"/>
          <w:highlight w:val="none"/>
        </w:rPr>
        <w:t>“采购人”名称见本招标文件“投标人须知前附表”中第2项。</w:t>
      </w:r>
    </w:p>
    <w:p>
      <w:pPr>
        <w:tabs>
          <w:tab w:val="left" w:pos="540"/>
        </w:tabs>
        <w:snapToGrid w:val="0"/>
        <w:spacing w:line="360" w:lineRule="auto"/>
        <w:ind w:firstLine="460" w:firstLineChars="192"/>
        <w:rPr>
          <w:rFonts w:hint="eastAsia" w:ascii="仿宋" w:hAnsi="仿宋" w:eastAsia="仿宋" w:cs="仿宋"/>
          <w:color w:val="auto"/>
          <w:spacing w:val="-4"/>
          <w:highlight w:val="none"/>
        </w:rPr>
      </w:pPr>
      <w:r>
        <w:rPr>
          <w:rFonts w:hint="eastAsia" w:ascii="仿宋" w:hAnsi="仿宋" w:eastAsia="仿宋" w:cs="仿宋"/>
          <w:color w:val="auto"/>
          <w:highlight w:val="none"/>
        </w:rPr>
        <w:t>2.2 “采购代理机构”名称见本招标文件“投标人须知前附表”中第3项</w:t>
      </w:r>
      <w:r>
        <w:rPr>
          <w:rFonts w:hint="eastAsia" w:ascii="仿宋" w:hAnsi="仿宋" w:eastAsia="仿宋" w:cs="仿宋"/>
          <w:color w:val="auto"/>
          <w:spacing w:val="-4"/>
          <w:highlight w:val="none"/>
        </w:rPr>
        <w:t>；</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2.3“投标人”指符合招标文件规定并参加投标的投标人；</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2.4“招标货物”指招标文件第四章所述所有货物；</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2.5“投标人公章”在投标文件中指与投标人标准公章一致的投标人签章。</w:t>
      </w:r>
    </w:p>
    <w:p>
      <w:pPr>
        <w:snapToGrid w:val="0"/>
        <w:spacing w:line="360" w:lineRule="auto"/>
        <w:ind w:firstLine="482" w:firstLineChars="200"/>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3.</w:t>
      </w:r>
      <w:r>
        <w:rPr>
          <w:rFonts w:hint="eastAsia" w:ascii="仿宋" w:hAnsi="仿宋" w:eastAsia="仿宋" w:cs="仿宋"/>
          <w:b/>
          <w:bCs/>
          <w:color w:val="auto"/>
          <w:kern w:val="2"/>
          <w:highlight w:val="none"/>
          <w:lang w:val="zh-CN"/>
        </w:rPr>
        <w:t>合格的投标人</w:t>
      </w:r>
    </w:p>
    <w:p>
      <w:pPr>
        <w:snapToGrid w:val="0"/>
        <w:spacing w:line="360" w:lineRule="auto"/>
        <w:ind w:firstLine="484" w:firstLineChars="202"/>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3.1</w:t>
      </w:r>
      <w:r>
        <w:rPr>
          <w:rFonts w:hint="eastAsia" w:ascii="仿宋" w:hAnsi="仿宋" w:eastAsia="仿宋" w:cs="仿宋"/>
          <w:b/>
          <w:bCs/>
          <w:color w:val="auto"/>
          <w:kern w:val="2"/>
          <w:highlight w:val="none"/>
        </w:rPr>
        <w:t xml:space="preserve"> </w:t>
      </w:r>
      <w:r>
        <w:rPr>
          <w:rFonts w:hint="eastAsia" w:ascii="仿宋" w:hAnsi="仿宋" w:eastAsia="仿宋" w:cs="仿宋"/>
          <w:color w:val="auto"/>
          <w:kern w:val="2"/>
          <w:highlight w:val="none"/>
          <w:lang w:val="zh-CN"/>
        </w:rPr>
        <w:t>本次采购采取</w:t>
      </w:r>
      <w:r>
        <w:rPr>
          <w:rFonts w:hint="eastAsia" w:ascii="仿宋" w:hAnsi="仿宋" w:eastAsia="仿宋" w:cs="仿宋"/>
          <w:color w:val="auto"/>
          <w:kern w:val="2"/>
          <w:highlight w:val="none"/>
        </w:rPr>
        <w:t>公开招标</w:t>
      </w:r>
      <w:r>
        <w:rPr>
          <w:rFonts w:hint="eastAsia" w:ascii="仿宋" w:hAnsi="仿宋" w:eastAsia="仿宋" w:cs="仿宋"/>
          <w:color w:val="auto"/>
          <w:kern w:val="2"/>
          <w:highlight w:val="none"/>
          <w:lang w:val="zh-CN"/>
        </w:rPr>
        <w:t>的方式。</w:t>
      </w:r>
    </w:p>
    <w:p>
      <w:pPr>
        <w:tabs>
          <w:tab w:val="left" w:pos="0"/>
        </w:tabs>
        <w:snapToGrid w:val="0"/>
        <w:spacing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kern w:val="2"/>
          <w:highlight w:val="none"/>
        </w:rPr>
        <w:t>3.2</w:t>
      </w:r>
      <w:r>
        <w:rPr>
          <w:rFonts w:hint="eastAsia" w:ascii="仿宋" w:hAnsi="仿宋" w:eastAsia="仿宋" w:cs="仿宋"/>
          <w:b/>
          <w:bCs/>
          <w:color w:val="auto"/>
          <w:kern w:val="2"/>
          <w:highlight w:val="none"/>
        </w:rPr>
        <w:t xml:space="preserve"> </w:t>
      </w:r>
      <w:r>
        <w:rPr>
          <w:rFonts w:hint="eastAsia" w:ascii="仿宋" w:hAnsi="仿宋" w:eastAsia="仿宋" w:cs="仿宋"/>
          <w:bCs/>
          <w:color w:val="auto"/>
          <w:kern w:val="2"/>
          <w:highlight w:val="none"/>
          <w:lang w:val="zh-CN"/>
        </w:rPr>
        <w:t>投标人</w:t>
      </w:r>
      <w:r>
        <w:rPr>
          <w:rFonts w:hint="eastAsia" w:ascii="仿宋" w:hAnsi="仿宋" w:eastAsia="仿宋" w:cs="仿宋"/>
          <w:color w:val="auto"/>
          <w:kern w:val="2"/>
          <w:highlight w:val="none"/>
          <w:lang w:val="zh-CN"/>
        </w:rPr>
        <w:t>的资格要求:</w:t>
      </w:r>
      <w:r>
        <w:rPr>
          <w:rFonts w:hint="eastAsia" w:ascii="仿宋" w:hAnsi="仿宋" w:eastAsia="仿宋" w:cs="仿宋"/>
          <w:color w:val="auto"/>
          <w:highlight w:val="none"/>
        </w:rPr>
        <w:t>详见投标人须知前附表第9项；</w:t>
      </w:r>
    </w:p>
    <w:p>
      <w:pPr>
        <w:tabs>
          <w:tab w:val="left" w:pos="0"/>
        </w:tabs>
        <w:snapToGrid w:val="0"/>
        <w:spacing w:line="360" w:lineRule="auto"/>
        <w:ind w:firstLine="480" w:firstLineChars="200"/>
        <w:jc w:val="both"/>
        <w:rPr>
          <w:rFonts w:hint="eastAsia" w:ascii="仿宋" w:hAnsi="仿宋" w:eastAsia="仿宋" w:cs="仿宋"/>
          <w:color w:val="auto"/>
          <w:kern w:val="2"/>
          <w:highlight w:val="none"/>
          <w:lang w:val="zh-CN"/>
        </w:rPr>
      </w:pPr>
      <w:r>
        <w:rPr>
          <w:rFonts w:hint="eastAsia" w:ascii="仿宋" w:hAnsi="仿宋" w:eastAsia="仿宋" w:cs="仿宋"/>
          <w:color w:val="auto"/>
          <w:highlight w:val="none"/>
        </w:rPr>
        <w:t>3.3 投标人之间如果存在下列情形之一的，不得同时参加同一包（标段）或者不分包（标段）的同一项目</w:t>
      </w:r>
      <w:r>
        <w:rPr>
          <w:rFonts w:hint="eastAsia" w:ascii="仿宋" w:hAnsi="仿宋" w:eastAsia="仿宋" w:cs="仿宋"/>
          <w:color w:val="auto"/>
          <w:kern w:val="2"/>
          <w:highlight w:val="none"/>
          <w:lang w:val="zh-CN"/>
        </w:rPr>
        <w:t>投标：</w:t>
      </w:r>
    </w:p>
    <w:p>
      <w:pPr>
        <w:tabs>
          <w:tab w:val="left" w:pos="0"/>
        </w:tabs>
        <w:snapToGrid w:val="0"/>
        <w:spacing w:line="360" w:lineRule="auto"/>
        <w:ind w:firstLine="480" w:firstLineChars="200"/>
        <w:jc w:val="both"/>
        <w:rPr>
          <w:rFonts w:hint="eastAsia" w:ascii="仿宋" w:hAnsi="仿宋" w:eastAsia="仿宋" w:cs="仿宋"/>
          <w:color w:val="auto"/>
          <w:kern w:val="2"/>
          <w:highlight w:val="none"/>
          <w:lang w:val="zh-CN"/>
        </w:rPr>
      </w:pPr>
      <w:r>
        <w:rPr>
          <w:rFonts w:hint="eastAsia" w:ascii="仿宋" w:hAnsi="仿宋" w:eastAsia="仿宋" w:cs="仿宋"/>
          <w:color w:val="auto"/>
          <w:kern w:val="2"/>
          <w:highlight w:val="none"/>
          <w:lang w:val="zh-CN"/>
        </w:rPr>
        <w:t>3.3.1 法定代表人为同一个人的两个及两个以上法人；</w:t>
      </w:r>
    </w:p>
    <w:p>
      <w:pPr>
        <w:tabs>
          <w:tab w:val="left" w:pos="0"/>
        </w:tabs>
        <w:snapToGrid w:val="0"/>
        <w:spacing w:line="360" w:lineRule="auto"/>
        <w:ind w:firstLine="480" w:firstLineChars="200"/>
        <w:jc w:val="both"/>
        <w:rPr>
          <w:rFonts w:hint="eastAsia" w:ascii="仿宋" w:hAnsi="仿宋" w:eastAsia="仿宋" w:cs="仿宋"/>
          <w:color w:val="auto"/>
          <w:kern w:val="2"/>
          <w:highlight w:val="none"/>
          <w:lang w:val="zh-CN"/>
        </w:rPr>
      </w:pPr>
      <w:r>
        <w:rPr>
          <w:rFonts w:hint="eastAsia" w:ascii="仿宋" w:hAnsi="仿宋" w:eastAsia="仿宋" w:cs="仿宋"/>
          <w:color w:val="auto"/>
          <w:kern w:val="2"/>
          <w:highlight w:val="none"/>
          <w:lang w:val="zh-CN"/>
        </w:rPr>
        <w:t>3.3.2 母公司、全资子公司及其控股公司；</w:t>
      </w:r>
    </w:p>
    <w:p>
      <w:pPr>
        <w:tabs>
          <w:tab w:val="left" w:pos="0"/>
        </w:tabs>
        <w:snapToGrid w:val="0"/>
        <w:spacing w:line="360" w:lineRule="auto"/>
        <w:ind w:firstLine="480" w:firstLineChars="200"/>
        <w:jc w:val="both"/>
        <w:rPr>
          <w:rFonts w:hint="eastAsia" w:ascii="仿宋" w:hAnsi="仿宋" w:eastAsia="仿宋" w:cs="仿宋"/>
          <w:color w:val="auto"/>
          <w:kern w:val="2"/>
          <w:highlight w:val="none"/>
        </w:rPr>
      </w:pPr>
      <w:r>
        <w:rPr>
          <w:rFonts w:hint="eastAsia" w:ascii="仿宋" w:hAnsi="仿宋" w:eastAsia="仿宋" w:cs="仿宋"/>
          <w:color w:val="auto"/>
          <w:kern w:val="2"/>
          <w:highlight w:val="none"/>
        </w:rPr>
        <w:t>3.3.3 单位负责人为同一人或者存在控股、管理关系的不同投标人，不得参加同一合同项下的政府采购活动。</w:t>
      </w:r>
    </w:p>
    <w:p>
      <w:pPr>
        <w:tabs>
          <w:tab w:val="left" w:pos="0"/>
        </w:tabs>
        <w:snapToGrid w:val="0"/>
        <w:spacing w:line="360" w:lineRule="auto"/>
        <w:ind w:firstLine="480" w:firstLineChars="200"/>
        <w:jc w:val="both"/>
        <w:rPr>
          <w:rFonts w:hint="eastAsia" w:ascii="仿宋" w:hAnsi="仿宋" w:eastAsia="仿宋" w:cs="仿宋"/>
          <w:color w:val="auto"/>
          <w:kern w:val="2"/>
          <w:highlight w:val="none"/>
          <w:lang w:val="zh-CN"/>
        </w:rPr>
      </w:pPr>
      <w:r>
        <w:rPr>
          <w:rFonts w:hint="eastAsia" w:ascii="仿宋" w:hAnsi="仿宋" w:eastAsia="仿宋" w:cs="仿宋"/>
          <w:color w:val="auto"/>
          <w:kern w:val="2"/>
          <w:highlight w:val="none"/>
          <w:lang w:val="zh-CN"/>
        </w:rPr>
        <w:t>3.3.</w:t>
      </w:r>
      <w:r>
        <w:rPr>
          <w:rFonts w:hint="eastAsia" w:ascii="仿宋" w:hAnsi="仿宋" w:eastAsia="仿宋" w:cs="仿宋"/>
          <w:color w:val="auto"/>
          <w:kern w:val="2"/>
          <w:highlight w:val="none"/>
        </w:rPr>
        <w:t>4</w:t>
      </w:r>
      <w:r>
        <w:rPr>
          <w:rFonts w:hint="eastAsia" w:ascii="仿宋" w:hAnsi="仿宋" w:eastAsia="仿宋" w:cs="仿宋"/>
          <w:color w:val="auto"/>
          <w:kern w:val="2"/>
          <w:highlight w:val="none"/>
          <w:lang w:val="zh-CN"/>
        </w:rPr>
        <w:t xml:space="preserve"> 参加投标的其他组织之间存在特殊的利害关系的；</w:t>
      </w:r>
    </w:p>
    <w:p>
      <w:pPr>
        <w:tabs>
          <w:tab w:val="left" w:pos="0"/>
        </w:tabs>
        <w:snapToGrid w:val="0"/>
        <w:spacing w:line="360" w:lineRule="auto"/>
        <w:ind w:firstLine="480" w:firstLineChars="200"/>
        <w:jc w:val="both"/>
        <w:rPr>
          <w:rFonts w:hint="eastAsia" w:ascii="仿宋" w:hAnsi="仿宋" w:eastAsia="仿宋" w:cs="仿宋"/>
          <w:color w:val="auto"/>
          <w:kern w:val="2"/>
          <w:highlight w:val="none"/>
          <w:lang w:val="zh-CN"/>
        </w:rPr>
      </w:pPr>
      <w:r>
        <w:rPr>
          <w:rFonts w:hint="eastAsia" w:ascii="仿宋" w:hAnsi="仿宋" w:eastAsia="仿宋" w:cs="仿宋"/>
          <w:color w:val="auto"/>
          <w:kern w:val="2"/>
          <w:highlight w:val="none"/>
          <w:lang w:val="zh-CN"/>
        </w:rPr>
        <w:t>3.3.</w:t>
      </w:r>
      <w:r>
        <w:rPr>
          <w:rFonts w:hint="eastAsia" w:ascii="仿宋" w:hAnsi="仿宋" w:eastAsia="仿宋" w:cs="仿宋"/>
          <w:color w:val="auto"/>
          <w:kern w:val="2"/>
          <w:highlight w:val="none"/>
        </w:rPr>
        <w:t>5</w:t>
      </w:r>
      <w:r>
        <w:rPr>
          <w:rFonts w:hint="eastAsia" w:ascii="仿宋" w:hAnsi="仿宋" w:eastAsia="仿宋" w:cs="仿宋"/>
          <w:color w:val="auto"/>
          <w:kern w:val="2"/>
          <w:highlight w:val="none"/>
          <w:lang w:val="zh-CN"/>
        </w:rPr>
        <w:t xml:space="preserve"> 法律和行政法规规定的其他情形。</w:t>
      </w:r>
    </w:p>
    <w:p>
      <w:pPr>
        <w:tabs>
          <w:tab w:val="left" w:pos="0"/>
        </w:tabs>
        <w:snapToGrid w:val="0"/>
        <w:spacing w:line="360" w:lineRule="auto"/>
        <w:ind w:firstLine="482" w:firstLineChars="200"/>
        <w:jc w:val="both"/>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4.投标</w:t>
      </w:r>
      <w:r>
        <w:rPr>
          <w:rFonts w:hint="eastAsia" w:ascii="仿宋" w:hAnsi="仿宋" w:eastAsia="仿宋" w:cs="仿宋"/>
          <w:b/>
          <w:bCs/>
          <w:color w:val="auto"/>
          <w:kern w:val="2"/>
          <w:highlight w:val="none"/>
          <w:lang w:val="zh-CN"/>
        </w:rPr>
        <w:t>费用</w:t>
      </w:r>
    </w:p>
    <w:p>
      <w:pPr>
        <w:snapToGrid w:val="0"/>
        <w:spacing w:line="360" w:lineRule="auto"/>
        <w:ind w:firstLine="532"/>
        <w:jc w:val="both"/>
        <w:rPr>
          <w:rFonts w:hint="eastAsia" w:ascii="仿宋" w:hAnsi="仿宋" w:eastAsia="仿宋" w:cs="仿宋"/>
          <w:color w:val="auto"/>
          <w:kern w:val="2"/>
          <w:highlight w:val="none"/>
          <w:lang w:val="zh-CN"/>
        </w:rPr>
      </w:pPr>
      <w:r>
        <w:rPr>
          <w:rFonts w:hint="eastAsia" w:ascii="仿宋" w:hAnsi="仿宋" w:eastAsia="仿宋" w:cs="仿宋"/>
          <w:bCs/>
          <w:color w:val="auto"/>
          <w:kern w:val="2"/>
          <w:highlight w:val="none"/>
        </w:rPr>
        <w:t xml:space="preserve">4.1 </w:t>
      </w:r>
      <w:r>
        <w:rPr>
          <w:rFonts w:hint="eastAsia" w:ascii="仿宋" w:hAnsi="仿宋" w:eastAsia="仿宋" w:cs="仿宋"/>
          <w:bCs/>
          <w:color w:val="auto"/>
          <w:kern w:val="2"/>
          <w:highlight w:val="none"/>
          <w:lang w:val="zh-CN"/>
        </w:rPr>
        <w:t>投标人</w:t>
      </w:r>
      <w:r>
        <w:rPr>
          <w:rFonts w:hint="eastAsia" w:ascii="仿宋" w:hAnsi="仿宋" w:eastAsia="仿宋" w:cs="仿宋"/>
          <w:color w:val="auto"/>
          <w:kern w:val="2"/>
          <w:highlight w:val="none"/>
          <w:lang w:val="zh-CN"/>
        </w:rPr>
        <w:t>应自行承担所有参加本次</w:t>
      </w:r>
      <w:r>
        <w:rPr>
          <w:rFonts w:hint="eastAsia" w:ascii="仿宋" w:hAnsi="仿宋" w:eastAsia="仿宋" w:cs="仿宋"/>
          <w:color w:val="auto"/>
          <w:kern w:val="2"/>
          <w:highlight w:val="none"/>
        </w:rPr>
        <w:t>投标</w:t>
      </w:r>
      <w:r>
        <w:rPr>
          <w:rFonts w:hint="eastAsia" w:ascii="仿宋" w:hAnsi="仿宋" w:eastAsia="仿宋" w:cs="仿宋"/>
          <w:color w:val="auto"/>
          <w:kern w:val="2"/>
          <w:highlight w:val="none"/>
          <w:lang w:val="zh-CN"/>
        </w:rPr>
        <w:t>有关的费用。不论的结果如何，</w:t>
      </w:r>
      <w:r>
        <w:rPr>
          <w:rFonts w:hint="eastAsia" w:ascii="仿宋" w:hAnsi="仿宋" w:eastAsia="仿宋" w:cs="仿宋"/>
          <w:color w:val="auto"/>
          <w:kern w:val="2"/>
          <w:highlight w:val="none"/>
        </w:rPr>
        <w:t>采购人</w:t>
      </w:r>
      <w:r>
        <w:rPr>
          <w:rFonts w:hint="eastAsia" w:ascii="仿宋" w:hAnsi="仿宋" w:eastAsia="仿宋" w:cs="仿宋"/>
          <w:color w:val="auto"/>
          <w:kern w:val="2"/>
          <w:highlight w:val="none"/>
          <w:lang w:val="zh-CN"/>
        </w:rPr>
        <w:t>在任何情况下均无义务和责任承担这些费用。</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5.纪律</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5.1 投标人的投标行为应遵守中国的有关法律、法规和规章。</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5.2 投标人不得相互串通投标报价，不得妨碍其他投标人的公平竞争，不得损害采购人或其他投标人的合法权益，投标人不得以向采购人、评标委员会成员行贿或者采取其他不正当手段谋取中标。</w:t>
      </w:r>
    </w:p>
    <w:p>
      <w:pPr>
        <w:snapToGrid w:val="0"/>
        <w:spacing w:line="36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5.2.1 有下列情形之一的，属于投标人相互串通投标：</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5.2.1.1 投标人之间协商投标报价等投标文件的实质性内容；</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5.2.1.2 投标人之间约定中标人；</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5.2.1.3 投标人之间约定部分投标人放弃投标或者中标；</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5.2.1.4 属于同一集团、协会、商会等组织成员的投标人按照该组织要求协同投标；</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5.2.1.5 投标人之间为谋取中标或者排斥特定投标人而采取的其他联合行动。</w:t>
      </w:r>
    </w:p>
    <w:p>
      <w:pPr>
        <w:snapToGrid w:val="0"/>
        <w:spacing w:line="36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5.2.2 有下列情形之一的，</w:t>
      </w:r>
      <w:r>
        <w:rPr>
          <w:rFonts w:ascii="仿宋" w:hAnsi="仿宋" w:eastAsia="仿宋" w:cs="仿宋"/>
          <w:b/>
          <w:bCs/>
          <w:color w:val="auto"/>
          <w:highlight w:val="none"/>
        </w:rPr>
        <w:t>视为</w:t>
      </w:r>
      <w:r>
        <w:rPr>
          <w:rFonts w:hint="eastAsia" w:ascii="仿宋" w:hAnsi="仿宋" w:eastAsia="仿宋" w:cs="仿宋"/>
          <w:b/>
          <w:bCs/>
          <w:color w:val="auto"/>
          <w:highlight w:val="none"/>
        </w:rPr>
        <w:t>投标人</w:t>
      </w:r>
      <w:r>
        <w:rPr>
          <w:rFonts w:ascii="仿宋" w:hAnsi="仿宋" w:eastAsia="仿宋" w:cs="仿宋"/>
          <w:b/>
          <w:bCs/>
          <w:color w:val="auto"/>
          <w:highlight w:val="none"/>
        </w:rPr>
        <w:t>串通投标，其投标无效：</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5.2.2.1 </w:t>
      </w:r>
      <w:r>
        <w:rPr>
          <w:rFonts w:ascii="仿宋" w:hAnsi="仿宋" w:eastAsia="仿宋" w:cs="仿宋"/>
          <w:color w:val="auto"/>
          <w:highlight w:val="none"/>
        </w:rPr>
        <w:t>不同</w:t>
      </w:r>
      <w:r>
        <w:rPr>
          <w:rFonts w:hint="eastAsia" w:ascii="仿宋" w:hAnsi="仿宋" w:eastAsia="仿宋" w:cs="仿宋"/>
          <w:color w:val="auto"/>
          <w:highlight w:val="none"/>
        </w:rPr>
        <w:t>投标人</w:t>
      </w:r>
      <w:r>
        <w:rPr>
          <w:rFonts w:ascii="仿宋" w:hAnsi="仿宋" w:eastAsia="仿宋" w:cs="仿宋"/>
          <w:color w:val="auto"/>
          <w:highlight w:val="none"/>
        </w:rPr>
        <w:t>的投标文件由同一单位或者个人编制；</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5.2.2.2 </w:t>
      </w:r>
      <w:r>
        <w:rPr>
          <w:rFonts w:ascii="仿宋" w:hAnsi="仿宋" w:eastAsia="仿宋" w:cs="仿宋"/>
          <w:color w:val="auto"/>
          <w:highlight w:val="none"/>
        </w:rPr>
        <w:t>不同</w:t>
      </w:r>
      <w:r>
        <w:rPr>
          <w:rFonts w:hint="eastAsia" w:ascii="仿宋" w:hAnsi="仿宋" w:eastAsia="仿宋" w:cs="仿宋"/>
          <w:color w:val="auto"/>
          <w:highlight w:val="none"/>
        </w:rPr>
        <w:t>投标人</w:t>
      </w:r>
      <w:r>
        <w:rPr>
          <w:rFonts w:ascii="仿宋" w:hAnsi="仿宋" w:eastAsia="仿宋" w:cs="仿宋"/>
          <w:color w:val="auto"/>
          <w:highlight w:val="none"/>
        </w:rPr>
        <w:t>委托同一单位或者个人办理投标事宜；</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5.2.2.3 </w:t>
      </w:r>
      <w:r>
        <w:rPr>
          <w:rFonts w:ascii="仿宋" w:hAnsi="仿宋" w:eastAsia="仿宋" w:cs="仿宋"/>
          <w:color w:val="auto"/>
          <w:highlight w:val="none"/>
        </w:rPr>
        <w:t>不同</w:t>
      </w:r>
      <w:r>
        <w:rPr>
          <w:rFonts w:hint="eastAsia" w:ascii="仿宋" w:hAnsi="仿宋" w:eastAsia="仿宋" w:cs="仿宋"/>
          <w:color w:val="auto"/>
          <w:highlight w:val="none"/>
        </w:rPr>
        <w:t>投标人</w:t>
      </w:r>
      <w:r>
        <w:rPr>
          <w:rFonts w:ascii="仿宋" w:hAnsi="仿宋" w:eastAsia="仿宋" w:cs="仿宋"/>
          <w:color w:val="auto"/>
          <w:highlight w:val="none"/>
        </w:rPr>
        <w:t>的投标文件载明的项目管理成员或者联系人员为同一人；</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5.2.2.4 </w:t>
      </w:r>
      <w:r>
        <w:rPr>
          <w:rFonts w:ascii="仿宋" w:hAnsi="仿宋" w:eastAsia="仿宋" w:cs="仿宋"/>
          <w:color w:val="auto"/>
          <w:highlight w:val="none"/>
        </w:rPr>
        <w:t>不同</w:t>
      </w:r>
      <w:r>
        <w:rPr>
          <w:rFonts w:hint="eastAsia" w:ascii="仿宋" w:hAnsi="仿宋" w:eastAsia="仿宋" w:cs="仿宋"/>
          <w:color w:val="auto"/>
          <w:highlight w:val="none"/>
        </w:rPr>
        <w:t>投标人</w:t>
      </w:r>
      <w:r>
        <w:rPr>
          <w:rFonts w:ascii="仿宋" w:hAnsi="仿宋" w:eastAsia="仿宋" w:cs="仿宋"/>
          <w:color w:val="auto"/>
          <w:highlight w:val="none"/>
        </w:rPr>
        <w:t>的投标文件异常一致或者投标报价呈规律性差异；</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5.2.2.5 </w:t>
      </w:r>
      <w:r>
        <w:rPr>
          <w:rFonts w:ascii="仿宋" w:hAnsi="仿宋" w:eastAsia="仿宋" w:cs="仿宋"/>
          <w:color w:val="auto"/>
          <w:highlight w:val="none"/>
        </w:rPr>
        <w:t>不同</w:t>
      </w:r>
      <w:r>
        <w:rPr>
          <w:rFonts w:hint="eastAsia" w:ascii="仿宋" w:hAnsi="仿宋" w:eastAsia="仿宋" w:cs="仿宋"/>
          <w:color w:val="auto"/>
          <w:highlight w:val="none"/>
        </w:rPr>
        <w:t>投标人</w:t>
      </w:r>
      <w:r>
        <w:rPr>
          <w:rFonts w:ascii="仿宋" w:hAnsi="仿宋" w:eastAsia="仿宋" w:cs="仿宋"/>
          <w:color w:val="auto"/>
          <w:highlight w:val="none"/>
        </w:rPr>
        <w:t>的投标文件相互混装；</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5.2.2.6 </w:t>
      </w:r>
      <w:r>
        <w:rPr>
          <w:rFonts w:ascii="仿宋" w:hAnsi="仿宋" w:eastAsia="仿宋" w:cs="仿宋"/>
          <w:color w:val="auto"/>
          <w:highlight w:val="none"/>
        </w:rPr>
        <w:t>不同</w:t>
      </w:r>
      <w:r>
        <w:rPr>
          <w:rFonts w:hint="eastAsia" w:ascii="仿宋" w:hAnsi="仿宋" w:eastAsia="仿宋" w:cs="仿宋"/>
          <w:color w:val="auto"/>
          <w:highlight w:val="none"/>
        </w:rPr>
        <w:t>投标人</w:t>
      </w:r>
      <w:r>
        <w:rPr>
          <w:rFonts w:ascii="仿宋" w:hAnsi="仿宋" w:eastAsia="仿宋" w:cs="仿宋"/>
          <w:color w:val="auto"/>
          <w:highlight w:val="none"/>
        </w:rPr>
        <w:t>的投标保证金从同一单位或者个人的账户转出。</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6.通知</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6.1对与本项目有关的通知，采购代理机构将以书面（包括书面材料、信函、传真等，下同）或在本次招标公告刊登的媒体上发布公告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pPr>
        <w:snapToGrid w:val="0"/>
        <w:spacing w:line="360" w:lineRule="auto"/>
        <w:ind w:firstLine="562" w:firstLineChars="200"/>
        <w:jc w:val="center"/>
        <w:rPr>
          <w:rFonts w:hint="eastAsia" w:ascii="仿宋" w:hAnsi="仿宋" w:eastAsia="仿宋" w:cs="仿宋"/>
          <w:b/>
          <w:color w:val="auto"/>
          <w:kern w:val="2"/>
          <w:sz w:val="28"/>
          <w:szCs w:val="28"/>
          <w:highlight w:val="none"/>
          <w:lang w:val="zh-CN"/>
        </w:rPr>
      </w:pPr>
      <w:r>
        <w:rPr>
          <w:rFonts w:hint="eastAsia" w:ascii="仿宋" w:hAnsi="仿宋" w:eastAsia="仿宋" w:cs="仿宋"/>
          <w:b/>
          <w:color w:val="auto"/>
          <w:kern w:val="2"/>
          <w:sz w:val="28"/>
          <w:szCs w:val="28"/>
          <w:highlight w:val="none"/>
          <w:lang w:val="zh-CN"/>
        </w:rPr>
        <w:t>二、</w:t>
      </w:r>
      <w:r>
        <w:rPr>
          <w:rFonts w:hint="eastAsia" w:ascii="仿宋" w:hAnsi="仿宋" w:eastAsia="仿宋" w:cs="仿宋"/>
          <w:b/>
          <w:color w:val="auto"/>
          <w:kern w:val="2"/>
          <w:sz w:val="28"/>
          <w:szCs w:val="28"/>
          <w:highlight w:val="none"/>
        </w:rPr>
        <w:t>招标</w:t>
      </w:r>
      <w:r>
        <w:rPr>
          <w:rFonts w:hint="eastAsia" w:ascii="仿宋" w:hAnsi="仿宋" w:eastAsia="仿宋" w:cs="仿宋"/>
          <w:b/>
          <w:color w:val="auto"/>
          <w:kern w:val="2"/>
          <w:sz w:val="28"/>
          <w:szCs w:val="28"/>
          <w:highlight w:val="none"/>
          <w:lang w:val="zh-CN"/>
        </w:rPr>
        <w:t>文件</w:t>
      </w:r>
    </w:p>
    <w:p>
      <w:pPr>
        <w:tabs>
          <w:tab w:val="left" w:pos="645"/>
        </w:tabs>
        <w:snapToGrid w:val="0"/>
        <w:spacing w:line="360" w:lineRule="auto"/>
        <w:ind w:firstLine="482" w:firstLineChars="200"/>
        <w:jc w:val="both"/>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7.招标</w:t>
      </w:r>
      <w:r>
        <w:rPr>
          <w:rFonts w:hint="eastAsia" w:ascii="仿宋" w:hAnsi="仿宋" w:eastAsia="仿宋" w:cs="仿宋"/>
          <w:b/>
          <w:bCs/>
          <w:color w:val="auto"/>
          <w:kern w:val="2"/>
          <w:highlight w:val="none"/>
          <w:lang w:val="zh-CN"/>
        </w:rPr>
        <w:t>文件</w:t>
      </w:r>
      <w:r>
        <w:rPr>
          <w:rFonts w:hint="eastAsia" w:ascii="仿宋" w:hAnsi="仿宋" w:eastAsia="仿宋" w:cs="仿宋"/>
          <w:b/>
          <w:bCs/>
          <w:color w:val="auto"/>
          <w:kern w:val="2"/>
          <w:highlight w:val="none"/>
        </w:rPr>
        <w:t>组</w:t>
      </w:r>
      <w:r>
        <w:rPr>
          <w:rFonts w:hint="eastAsia" w:ascii="仿宋" w:hAnsi="仿宋" w:eastAsia="仿宋" w:cs="仿宋"/>
          <w:b/>
          <w:bCs/>
          <w:color w:val="auto"/>
          <w:kern w:val="2"/>
          <w:highlight w:val="none"/>
          <w:lang w:val="zh-CN"/>
        </w:rPr>
        <w:t>成</w:t>
      </w:r>
    </w:p>
    <w:p>
      <w:pPr>
        <w:tabs>
          <w:tab w:val="left" w:pos="645"/>
        </w:tabs>
        <w:snapToGrid w:val="0"/>
        <w:spacing w:line="360" w:lineRule="auto"/>
        <w:ind w:firstLine="480" w:firstLineChars="200"/>
        <w:jc w:val="both"/>
        <w:rPr>
          <w:rFonts w:hint="eastAsia" w:ascii="仿宋" w:hAnsi="仿宋" w:eastAsia="仿宋" w:cs="仿宋"/>
          <w:color w:val="auto"/>
          <w:kern w:val="2"/>
          <w:highlight w:val="none"/>
          <w:lang w:val="zh-CN"/>
        </w:rPr>
      </w:pPr>
      <w:r>
        <w:rPr>
          <w:rFonts w:hint="eastAsia" w:ascii="仿宋" w:hAnsi="仿宋" w:eastAsia="仿宋" w:cs="仿宋"/>
          <w:color w:val="auto"/>
          <w:kern w:val="2"/>
          <w:highlight w:val="none"/>
          <w:lang w:val="zh-CN"/>
        </w:rPr>
        <w:t>7.1 招标文件由招标文件目录所列内容组成。</w:t>
      </w:r>
    </w:p>
    <w:p>
      <w:pPr>
        <w:tabs>
          <w:tab w:val="left" w:pos="645"/>
        </w:tabs>
        <w:snapToGrid w:val="0"/>
        <w:spacing w:line="360" w:lineRule="auto"/>
        <w:ind w:firstLine="482" w:firstLineChars="200"/>
        <w:jc w:val="both"/>
        <w:rPr>
          <w:rFonts w:hint="eastAsia" w:ascii="仿宋" w:hAnsi="仿宋" w:eastAsia="仿宋" w:cs="仿宋"/>
          <w:b/>
          <w:bCs/>
          <w:color w:val="auto"/>
          <w:kern w:val="2"/>
          <w:highlight w:val="none"/>
          <w:lang w:val="zh-CN"/>
        </w:rPr>
      </w:pPr>
      <w:r>
        <w:rPr>
          <w:rFonts w:hint="eastAsia" w:ascii="仿宋" w:hAnsi="仿宋" w:eastAsia="仿宋" w:cs="仿宋"/>
          <w:b/>
          <w:bCs/>
          <w:color w:val="auto"/>
          <w:kern w:val="2"/>
          <w:highlight w:val="none"/>
        </w:rPr>
        <w:t>8.</w:t>
      </w:r>
      <w:r>
        <w:rPr>
          <w:rFonts w:hint="eastAsia" w:ascii="仿宋" w:hAnsi="仿宋" w:eastAsia="仿宋" w:cs="仿宋"/>
          <w:b/>
          <w:bCs/>
          <w:color w:val="auto"/>
          <w:kern w:val="2"/>
          <w:highlight w:val="none"/>
          <w:lang w:val="zh-CN"/>
        </w:rPr>
        <w:t>踏勘现场（本项目自行踏勘）</w:t>
      </w:r>
    </w:p>
    <w:p>
      <w:pPr>
        <w:snapToGrid w:val="0"/>
        <w:spacing w:line="360" w:lineRule="auto"/>
        <w:ind w:firstLine="480" w:firstLineChars="200"/>
        <w:jc w:val="both"/>
        <w:rPr>
          <w:rFonts w:hint="eastAsia" w:ascii="仿宋" w:hAnsi="仿宋" w:eastAsia="仿宋" w:cs="仿宋"/>
          <w:color w:val="auto"/>
          <w:kern w:val="2"/>
          <w:highlight w:val="none"/>
          <w:lang w:val="zh-CN"/>
        </w:rPr>
      </w:pPr>
      <w:r>
        <w:rPr>
          <w:rFonts w:hint="eastAsia" w:ascii="仿宋" w:hAnsi="仿宋" w:eastAsia="仿宋" w:cs="仿宋"/>
          <w:color w:val="auto"/>
          <w:kern w:val="2"/>
          <w:highlight w:val="none"/>
          <w:lang w:val="zh-CN"/>
        </w:rPr>
        <w:t>8.1</w:t>
      </w:r>
      <w:r>
        <w:rPr>
          <w:rFonts w:hint="eastAsia" w:ascii="仿宋" w:hAnsi="仿宋" w:eastAsia="仿宋" w:cs="仿宋"/>
          <w:color w:val="auto"/>
          <w:kern w:val="2"/>
          <w:highlight w:val="none"/>
        </w:rPr>
        <w:t xml:space="preserve"> </w:t>
      </w:r>
      <w:r>
        <w:rPr>
          <w:rFonts w:hint="eastAsia" w:ascii="仿宋" w:hAnsi="仿宋" w:eastAsia="仿宋" w:cs="仿宋"/>
          <w:color w:val="auto"/>
          <w:kern w:val="2"/>
          <w:highlight w:val="none"/>
          <w:lang w:val="zh-CN"/>
        </w:rPr>
        <w:t>本项目是否统一组织投标人踏勘现场见招标文件“投标人须知前附表”中第</w:t>
      </w:r>
      <w:r>
        <w:rPr>
          <w:rFonts w:hint="eastAsia" w:ascii="仿宋" w:hAnsi="仿宋" w:eastAsia="仿宋" w:cs="仿宋"/>
          <w:color w:val="auto"/>
          <w:kern w:val="2"/>
          <w:highlight w:val="none"/>
        </w:rPr>
        <w:t>19</w:t>
      </w:r>
      <w:r>
        <w:rPr>
          <w:rFonts w:hint="eastAsia" w:ascii="仿宋" w:hAnsi="仿宋" w:eastAsia="仿宋" w:cs="仿宋"/>
          <w:color w:val="auto"/>
          <w:kern w:val="2"/>
          <w:highlight w:val="none"/>
          <w:lang w:val="zh-CN"/>
        </w:rPr>
        <w:t>项的规定。无论是否统一组织，投标人应对现场和周围环境进行勘察，以获取编制投标文件所需的资料。</w:t>
      </w:r>
    </w:p>
    <w:p>
      <w:pPr>
        <w:snapToGrid w:val="0"/>
        <w:spacing w:line="360" w:lineRule="auto"/>
        <w:ind w:firstLine="480" w:firstLineChars="200"/>
        <w:jc w:val="both"/>
        <w:rPr>
          <w:rFonts w:hint="eastAsia" w:ascii="仿宋" w:hAnsi="仿宋" w:eastAsia="仿宋" w:cs="仿宋"/>
          <w:color w:val="auto"/>
          <w:kern w:val="2"/>
          <w:highlight w:val="none"/>
          <w:lang w:val="zh-CN"/>
        </w:rPr>
      </w:pPr>
      <w:r>
        <w:rPr>
          <w:rFonts w:hint="eastAsia" w:ascii="仿宋" w:hAnsi="仿宋" w:eastAsia="仿宋" w:cs="仿宋"/>
          <w:color w:val="auto"/>
          <w:kern w:val="2"/>
          <w:highlight w:val="none"/>
          <w:lang w:val="zh-CN"/>
        </w:rPr>
        <w:t>8.2</w:t>
      </w:r>
      <w:r>
        <w:rPr>
          <w:rFonts w:hint="eastAsia" w:ascii="仿宋" w:hAnsi="仿宋" w:eastAsia="仿宋" w:cs="仿宋"/>
          <w:color w:val="auto"/>
          <w:kern w:val="2"/>
          <w:highlight w:val="none"/>
        </w:rPr>
        <w:t xml:space="preserve"> </w:t>
      </w:r>
      <w:r>
        <w:rPr>
          <w:rFonts w:hint="eastAsia" w:ascii="仿宋" w:hAnsi="仿宋" w:eastAsia="仿宋" w:cs="仿宋"/>
          <w:color w:val="auto"/>
          <w:kern w:val="2"/>
          <w:highlight w:val="none"/>
          <w:lang w:val="zh-CN"/>
        </w:rPr>
        <w:t>踏勘现场所发生的费用由投标人自行承担。采购人向投标人提供的有关现场的资料和数据，是采购人现有的能使投标人利用的资料。采购人对投标人由此而做出的推论、理解和结论概不负责。投标人未到现场实地踏勘的，中标后签订合同时和履约过程中，不得以不完全了解现场情况为由，提出任何形式的增加合同价款或索赔的要求。</w:t>
      </w:r>
    </w:p>
    <w:p>
      <w:pPr>
        <w:snapToGrid w:val="0"/>
        <w:spacing w:line="360" w:lineRule="auto"/>
        <w:ind w:firstLine="480" w:firstLineChars="200"/>
        <w:jc w:val="both"/>
        <w:rPr>
          <w:rFonts w:hint="eastAsia" w:ascii="仿宋" w:hAnsi="仿宋" w:eastAsia="仿宋" w:cs="仿宋"/>
          <w:color w:val="auto"/>
          <w:kern w:val="2"/>
          <w:highlight w:val="none"/>
          <w:lang w:val="zh-CN"/>
        </w:rPr>
      </w:pPr>
      <w:r>
        <w:rPr>
          <w:rFonts w:hint="eastAsia" w:ascii="仿宋" w:hAnsi="仿宋" w:eastAsia="仿宋" w:cs="仿宋"/>
          <w:color w:val="auto"/>
          <w:kern w:val="2"/>
          <w:highlight w:val="none"/>
          <w:lang w:val="zh-CN"/>
        </w:rPr>
        <w:t>8.3</w:t>
      </w:r>
      <w:r>
        <w:rPr>
          <w:rFonts w:hint="eastAsia" w:ascii="仿宋" w:hAnsi="仿宋" w:eastAsia="仿宋" w:cs="仿宋"/>
          <w:color w:val="auto"/>
          <w:kern w:val="2"/>
          <w:highlight w:val="none"/>
        </w:rPr>
        <w:t xml:space="preserve"> </w:t>
      </w:r>
      <w:r>
        <w:rPr>
          <w:rFonts w:hint="eastAsia" w:ascii="仿宋" w:hAnsi="仿宋" w:eastAsia="仿宋" w:cs="仿宋"/>
          <w:color w:val="auto"/>
          <w:kern w:val="2"/>
          <w:highlight w:val="none"/>
          <w:lang w:val="zh-CN"/>
        </w:rPr>
        <w:t>除非有特殊要求，招标文件不单独提供使用地的自然环境、气候条件、公用设施等情况，投标人被视为熟悉上述与履行合同有关的一切情况。</w:t>
      </w:r>
    </w:p>
    <w:p>
      <w:pPr>
        <w:snapToGrid w:val="0"/>
        <w:spacing w:line="360" w:lineRule="auto"/>
        <w:ind w:firstLine="480" w:firstLineChars="200"/>
        <w:jc w:val="both"/>
        <w:rPr>
          <w:rFonts w:hint="eastAsia" w:ascii="仿宋" w:hAnsi="仿宋" w:eastAsia="仿宋" w:cs="仿宋"/>
          <w:color w:val="auto"/>
          <w:kern w:val="2"/>
          <w:highlight w:val="none"/>
          <w:lang w:val="zh-CN"/>
        </w:rPr>
      </w:pPr>
      <w:r>
        <w:rPr>
          <w:rFonts w:hint="eastAsia" w:ascii="仿宋" w:hAnsi="仿宋" w:eastAsia="仿宋" w:cs="仿宋"/>
          <w:color w:val="auto"/>
          <w:kern w:val="2"/>
          <w:highlight w:val="none"/>
          <w:lang w:val="zh-CN"/>
        </w:rPr>
        <w:t>8.4除采购人原因外，投标人自行负责在踏勘现场中所发生的人员伤亡和财产损失。</w:t>
      </w:r>
    </w:p>
    <w:p>
      <w:pPr>
        <w:spacing w:line="360" w:lineRule="auto"/>
        <w:ind w:firstLine="482" w:firstLineChars="200"/>
        <w:rPr>
          <w:rFonts w:hint="eastAsia" w:ascii="仿宋" w:hAnsi="仿宋" w:eastAsia="仿宋" w:cs="宋体"/>
          <w:bCs/>
          <w:color w:val="auto"/>
          <w:highlight w:val="none"/>
        </w:rPr>
      </w:pPr>
      <w:r>
        <w:rPr>
          <w:rFonts w:hint="eastAsia" w:ascii="仿宋" w:hAnsi="仿宋" w:eastAsia="仿宋" w:cs="宋体"/>
          <w:b/>
          <w:color w:val="auto"/>
          <w:highlight w:val="none"/>
        </w:rPr>
        <w:t>9.知识产权</w:t>
      </w:r>
    </w:p>
    <w:p>
      <w:pPr>
        <w:spacing w:line="360" w:lineRule="auto"/>
        <w:ind w:firstLine="480" w:firstLineChars="200"/>
        <w:rPr>
          <w:rFonts w:hint="eastAsia" w:ascii="仿宋" w:hAnsi="仿宋" w:eastAsia="仿宋" w:cs="宋体"/>
          <w:color w:val="auto"/>
          <w:highlight w:val="none"/>
        </w:rPr>
      </w:pPr>
      <w:r>
        <w:rPr>
          <w:rFonts w:hint="eastAsia" w:ascii="仿宋" w:hAnsi="仿宋" w:eastAsia="仿宋" w:cs="宋体"/>
          <w:color w:val="auto"/>
          <w:highlight w:val="none"/>
        </w:rPr>
        <w:t>9.1投标人须保证，采购人在中华人民共和国境内使用投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pacing w:line="360" w:lineRule="auto"/>
        <w:ind w:firstLine="480" w:firstLineChars="200"/>
        <w:rPr>
          <w:color w:val="auto"/>
          <w:highlight w:val="none"/>
          <w:lang w:val="zh-CN"/>
        </w:rPr>
      </w:pPr>
      <w:r>
        <w:rPr>
          <w:rFonts w:hint="eastAsia" w:ascii="仿宋" w:hAnsi="仿宋" w:eastAsia="仿宋" w:cs="宋体"/>
          <w:color w:val="auto"/>
          <w:highlight w:val="none"/>
        </w:rPr>
        <w:t>9.2投标人如欲在项目实施过程中采用自有知识成果，须在投标文件中声明，并提供相关知识产权证明文件。使用该知识成果后，投标人须提供开发接口和开发手册等技术文档。</w:t>
      </w:r>
    </w:p>
    <w:p>
      <w:pPr>
        <w:tabs>
          <w:tab w:val="left" w:pos="645"/>
        </w:tabs>
        <w:snapToGrid w:val="0"/>
        <w:spacing w:line="360" w:lineRule="auto"/>
        <w:ind w:firstLine="482" w:firstLineChars="200"/>
        <w:jc w:val="both"/>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10.招标</w:t>
      </w:r>
      <w:r>
        <w:rPr>
          <w:rFonts w:hint="eastAsia" w:ascii="仿宋" w:hAnsi="仿宋" w:eastAsia="仿宋" w:cs="仿宋"/>
          <w:b/>
          <w:bCs/>
          <w:color w:val="auto"/>
          <w:kern w:val="2"/>
          <w:highlight w:val="none"/>
          <w:lang w:val="zh-CN"/>
        </w:rPr>
        <w:t>文件的澄清</w:t>
      </w:r>
    </w:p>
    <w:p>
      <w:pPr>
        <w:snapToGrid w:val="0"/>
        <w:spacing w:line="360" w:lineRule="auto"/>
        <w:ind w:firstLine="480" w:firstLineChars="200"/>
        <w:jc w:val="both"/>
        <w:rPr>
          <w:rFonts w:hint="eastAsia" w:ascii="仿宋" w:hAnsi="仿宋" w:eastAsia="仿宋" w:cs="仿宋"/>
          <w:bCs/>
          <w:color w:val="auto"/>
          <w:kern w:val="2"/>
          <w:highlight w:val="none"/>
          <w:lang w:val="zh-CN"/>
        </w:rPr>
      </w:pPr>
      <w:r>
        <w:rPr>
          <w:rFonts w:hint="eastAsia" w:ascii="仿宋" w:hAnsi="仿宋" w:eastAsia="仿宋" w:cs="仿宋"/>
          <w:bCs/>
          <w:color w:val="auto"/>
          <w:kern w:val="2"/>
          <w:highlight w:val="none"/>
        </w:rPr>
        <w:t>10</w:t>
      </w:r>
      <w:r>
        <w:rPr>
          <w:rFonts w:hint="eastAsia" w:ascii="仿宋" w:hAnsi="仿宋" w:eastAsia="仿宋" w:cs="仿宋"/>
          <w:bCs/>
          <w:color w:val="auto"/>
          <w:kern w:val="2"/>
          <w:highlight w:val="none"/>
          <w:lang w:val="zh-CN"/>
        </w:rPr>
        <w:t>.1</w:t>
      </w:r>
      <w:r>
        <w:rPr>
          <w:rFonts w:hint="eastAsia" w:ascii="仿宋" w:hAnsi="仿宋" w:eastAsia="仿宋" w:cs="仿宋"/>
          <w:bCs/>
          <w:color w:val="auto"/>
          <w:kern w:val="2"/>
          <w:highlight w:val="none"/>
        </w:rPr>
        <w:t xml:space="preserve"> </w:t>
      </w:r>
      <w:r>
        <w:rPr>
          <w:rFonts w:hint="eastAsia" w:ascii="仿宋" w:hAnsi="仿宋" w:eastAsia="仿宋" w:cs="仿宋"/>
          <w:bCs/>
          <w:color w:val="auto"/>
          <w:kern w:val="2"/>
          <w:highlight w:val="none"/>
          <w:lang w:val="zh-CN"/>
        </w:rPr>
        <w:t>投标人如果对招标文件有疑问或要求进行澄清的，应按照招标文件第二</w:t>
      </w:r>
      <w:r>
        <w:rPr>
          <w:rFonts w:hint="eastAsia" w:ascii="仿宋" w:hAnsi="仿宋" w:eastAsia="仿宋" w:cs="仿宋"/>
          <w:bCs/>
          <w:color w:val="auto"/>
          <w:kern w:val="2"/>
          <w:highlight w:val="none"/>
        </w:rPr>
        <w:t>章</w:t>
      </w:r>
      <w:r>
        <w:rPr>
          <w:rFonts w:hint="eastAsia" w:ascii="仿宋" w:hAnsi="仿宋" w:eastAsia="仿宋" w:cs="仿宋"/>
          <w:bCs/>
          <w:color w:val="auto"/>
          <w:kern w:val="2"/>
          <w:highlight w:val="none"/>
          <w:lang w:val="zh-CN"/>
        </w:rPr>
        <w:t>“投标人须知前附表”第</w:t>
      </w:r>
      <w:r>
        <w:rPr>
          <w:rFonts w:hint="eastAsia" w:ascii="仿宋" w:hAnsi="仿宋" w:eastAsia="仿宋" w:cs="仿宋"/>
          <w:bCs/>
          <w:color w:val="auto"/>
          <w:kern w:val="2"/>
          <w:highlight w:val="none"/>
        </w:rPr>
        <w:t>24</w:t>
      </w:r>
      <w:r>
        <w:rPr>
          <w:rFonts w:hint="eastAsia" w:ascii="仿宋" w:hAnsi="仿宋" w:eastAsia="仿宋" w:cs="仿宋"/>
          <w:bCs/>
          <w:color w:val="auto"/>
          <w:kern w:val="2"/>
          <w:highlight w:val="none"/>
          <w:lang w:val="zh-CN"/>
        </w:rPr>
        <w:t>项规定向采购代理机构提出。提出后，请投标人及时通过</w:t>
      </w:r>
      <w:r>
        <w:rPr>
          <w:rFonts w:hint="eastAsia" w:ascii="仿宋" w:hAnsi="仿宋" w:eastAsia="仿宋" w:cs="仿宋"/>
          <w:bCs/>
          <w:color w:val="auto"/>
          <w:kern w:val="2"/>
          <w:highlight w:val="none"/>
        </w:rPr>
        <w:t>政采云</w:t>
      </w:r>
      <w:r>
        <w:rPr>
          <w:rFonts w:hint="eastAsia" w:ascii="仿宋" w:hAnsi="仿宋" w:eastAsia="仿宋" w:cs="仿宋"/>
          <w:bCs/>
          <w:color w:val="auto"/>
          <w:kern w:val="2"/>
          <w:highlight w:val="none"/>
          <w:lang w:val="zh-CN"/>
        </w:rPr>
        <w:t>平台“答疑文件下载”栏目查看答疑文件或澄清文件。必要时，采购代理机构将组织相关专家召开答疑会，如召开，答疑会安排另行通知。</w:t>
      </w:r>
    </w:p>
    <w:p>
      <w:pPr>
        <w:pStyle w:val="61"/>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投标人在规定的时间内未对招标文件提出疑问或要求澄清的，采购代理机构将视其为同意，对在“答疑接受时间”后就招标文件内容提出的疑问及澄清要求将不予受理。</w:t>
      </w:r>
    </w:p>
    <w:p>
      <w:pPr>
        <w:pStyle w:val="61"/>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10.2 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pPr>
        <w:pStyle w:val="61"/>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特殊情况下，采购代理机构发布澄清、修改文件后，征得投标人同意，可不改变投标截止时间和开标时间。</w:t>
      </w:r>
    </w:p>
    <w:p>
      <w:pPr>
        <w:pStyle w:val="61"/>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10.3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pStyle w:val="62"/>
        <w:spacing w:line="360" w:lineRule="auto"/>
        <w:ind w:firstLine="480" w:firstLineChars="200"/>
        <w:rPr>
          <w:rFonts w:hint="eastAsia" w:ascii="仿宋" w:hAnsi="仿宋" w:eastAsia="仿宋" w:cs="宋体"/>
          <w:b/>
          <w:color w:val="auto"/>
          <w:sz w:val="24"/>
          <w:highlight w:val="none"/>
        </w:rPr>
      </w:pPr>
      <w:r>
        <w:rPr>
          <w:rFonts w:hint="eastAsia" w:ascii="仿宋" w:hAnsi="仿宋" w:eastAsia="仿宋" w:cs="宋体"/>
          <w:color w:val="auto"/>
          <w:sz w:val="24"/>
          <w:highlight w:val="none"/>
        </w:rPr>
        <w:t>10.4 采购代理机构对招标文件作出的澄清、修改在政采云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pStyle w:val="61"/>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10.5 澄清、修改文件发出后，投标人必须使用最新的答疑、澄清文件制作电子投标文件，否则将无法完成上传。</w:t>
      </w:r>
    </w:p>
    <w:p>
      <w:pPr>
        <w:tabs>
          <w:tab w:val="left" w:pos="645"/>
        </w:tabs>
        <w:snapToGrid w:val="0"/>
        <w:spacing w:line="360" w:lineRule="auto"/>
        <w:ind w:firstLine="482" w:firstLineChars="200"/>
        <w:jc w:val="both"/>
        <w:rPr>
          <w:rFonts w:hint="eastAsia" w:ascii="仿宋" w:hAnsi="仿宋" w:eastAsia="仿宋" w:cs="仿宋"/>
          <w:b/>
          <w:bCs/>
          <w:color w:val="auto"/>
          <w:kern w:val="2"/>
          <w:highlight w:val="none"/>
        </w:rPr>
      </w:pPr>
      <w:r>
        <w:rPr>
          <w:rFonts w:hint="eastAsia" w:ascii="仿宋" w:hAnsi="仿宋" w:eastAsia="仿宋" w:cs="仿宋"/>
          <w:b/>
          <w:bCs/>
          <w:color w:val="auto"/>
          <w:kern w:val="2"/>
          <w:highlight w:val="none"/>
        </w:rPr>
        <w:t>11.招标文件的修改或补充</w:t>
      </w:r>
    </w:p>
    <w:p>
      <w:pPr>
        <w:snapToGrid w:val="0"/>
        <w:spacing w:line="360" w:lineRule="auto"/>
        <w:ind w:firstLine="480" w:firstLineChars="200"/>
        <w:jc w:val="both"/>
        <w:rPr>
          <w:rFonts w:hint="eastAsia" w:ascii="仿宋" w:hAnsi="仿宋" w:eastAsia="仿宋" w:cs="仿宋"/>
          <w:bCs/>
          <w:color w:val="auto"/>
          <w:kern w:val="2"/>
          <w:highlight w:val="none"/>
          <w:lang w:val="zh-CN"/>
        </w:rPr>
      </w:pPr>
      <w:r>
        <w:rPr>
          <w:rFonts w:hint="eastAsia" w:ascii="仿宋" w:hAnsi="仿宋" w:eastAsia="仿宋" w:cs="仿宋"/>
          <w:bCs/>
          <w:color w:val="auto"/>
          <w:kern w:val="2"/>
          <w:highlight w:val="none"/>
        </w:rPr>
        <w:t>11</w:t>
      </w:r>
      <w:r>
        <w:rPr>
          <w:rFonts w:hint="eastAsia" w:ascii="仿宋" w:hAnsi="仿宋" w:eastAsia="仿宋" w:cs="仿宋"/>
          <w:bCs/>
          <w:color w:val="auto"/>
          <w:kern w:val="2"/>
          <w:highlight w:val="none"/>
          <w:lang w:val="zh-CN"/>
        </w:rPr>
        <w:t>.1</w:t>
      </w:r>
      <w:r>
        <w:rPr>
          <w:rFonts w:hint="eastAsia" w:ascii="仿宋" w:hAnsi="仿宋" w:eastAsia="仿宋" w:cs="仿宋"/>
          <w:bCs/>
          <w:color w:val="auto"/>
          <w:kern w:val="2"/>
          <w:highlight w:val="none"/>
        </w:rPr>
        <w:t xml:space="preserve"> </w:t>
      </w:r>
      <w:r>
        <w:rPr>
          <w:rFonts w:hint="eastAsia" w:ascii="仿宋" w:hAnsi="仿宋" w:eastAsia="仿宋" w:cs="仿宋"/>
          <w:bCs/>
          <w:color w:val="auto"/>
          <w:kern w:val="2"/>
          <w:highlight w:val="none"/>
          <w:lang w:val="zh-CN"/>
        </w:rPr>
        <w:t>在投标截止期</w:t>
      </w:r>
      <w:r>
        <w:rPr>
          <w:rFonts w:hint="eastAsia" w:ascii="仿宋" w:hAnsi="仿宋" w:eastAsia="仿宋" w:cs="仿宋"/>
          <w:bCs/>
          <w:color w:val="auto"/>
          <w:kern w:val="2"/>
          <w:highlight w:val="none"/>
        </w:rPr>
        <w:t>十</w:t>
      </w:r>
      <w:r>
        <w:rPr>
          <w:rFonts w:hint="eastAsia" w:ascii="仿宋" w:hAnsi="仿宋" w:eastAsia="仿宋" w:cs="仿宋"/>
          <w:bCs/>
          <w:color w:val="auto"/>
          <w:kern w:val="2"/>
          <w:highlight w:val="none"/>
          <w:lang w:val="zh-CN"/>
        </w:rPr>
        <w:t>五日前的任何时间，</w:t>
      </w:r>
      <w:r>
        <w:rPr>
          <w:rFonts w:hint="eastAsia" w:ascii="仿宋" w:hAnsi="仿宋" w:eastAsia="仿宋" w:cs="仿宋"/>
          <w:bCs/>
          <w:color w:val="auto"/>
          <w:kern w:val="2"/>
          <w:highlight w:val="none"/>
        </w:rPr>
        <w:t>招标人</w:t>
      </w:r>
      <w:r>
        <w:rPr>
          <w:rFonts w:hint="eastAsia" w:ascii="仿宋" w:hAnsi="仿宋" w:eastAsia="仿宋" w:cs="仿宋"/>
          <w:bCs/>
          <w:color w:val="auto"/>
          <w:kern w:val="2"/>
          <w:highlight w:val="none"/>
          <w:lang w:val="zh-CN"/>
        </w:rPr>
        <w:t>可主动或依据投标人要求澄清的问题而修改或补充招标文件，并以书面形式或网上公告通知所有投标人。</w:t>
      </w:r>
    </w:p>
    <w:p>
      <w:pPr>
        <w:snapToGrid w:val="0"/>
        <w:spacing w:line="360" w:lineRule="auto"/>
        <w:ind w:firstLine="480" w:firstLineChars="200"/>
        <w:jc w:val="both"/>
        <w:rPr>
          <w:rFonts w:hint="eastAsia" w:ascii="仿宋" w:hAnsi="仿宋" w:eastAsia="仿宋" w:cs="仿宋"/>
          <w:bCs/>
          <w:color w:val="auto"/>
          <w:kern w:val="2"/>
          <w:highlight w:val="none"/>
          <w:lang w:val="zh-CN"/>
        </w:rPr>
      </w:pPr>
      <w:r>
        <w:rPr>
          <w:rFonts w:hint="eastAsia" w:ascii="仿宋" w:hAnsi="仿宋" w:eastAsia="仿宋" w:cs="仿宋"/>
          <w:bCs/>
          <w:color w:val="auto"/>
          <w:kern w:val="2"/>
          <w:highlight w:val="none"/>
        </w:rPr>
        <w:t>11</w:t>
      </w:r>
      <w:r>
        <w:rPr>
          <w:rFonts w:hint="eastAsia" w:ascii="仿宋" w:hAnsi="仿宋" w:eastAsia="仿宋" w:cs="仿宋"/>
          <w:bCs/>
          <w:color w:val="auto"/>
          <w:kern w:val="2"/>
          <w:highlight w:val="none"/>
          <w:lang w:val="zh-CN"/>
        </w:rPr>
        <w:t>.2</w:t>
      </w:r>
      <w:r>
        <w:rPr>
          <w:rFonts w:hint="eastAsia" w:ascii="仿宋" w:hAnsi="仿宋" w:eastAsia="仿宋" w:cs="仿宋"/>
          <w:bCs/>
          <w:color w:val="auto"/>
          <w:kern w:val="2"/>
          <w:highlight w:val="none"/>
        </w:rPr>
        <w:t xml:space="preserve"> </w:t>
      </w:r>
      <w:r>
        <w:rPr>
          <w:rFonts w:hint="eastAsia" w:ascii="仿宋" w:hAnsi="仿宋" w:eastAsia="仿宋" w:cs="仿宋"/>
          <w:bCs/>
          <w:color w:val="auto"/>
          <w:kern w:val="2"/>
          <w:highlight w:val="none"/>
          <w:lang w:val="zh-CN"/>
        </w:rPr>
        <w:t>为使投标人在准备投标时有适当的时间考虑投标文件的修改，</w:t>
      </w:r>
      <w:r>
        <w:rPr>
          <w:rFonts w:hint="eastAsia" w:ascii="仿宋" w:hAnsi="仿宋" w:eastAsia="仿宋" w:cs="仿宋"/>
          <w:bCs/>
          <w:color w:val="auto"/>
          <w:kern w:val="2"/>
          <w:highlight w:val="none"/>
        </w:rPr>
        <w:t>招标人</w:t>
      </w:r>
      <w:r>
        <w:rPr>
          <w:rFonts w:hint="eastAsia" w:ascii="仿宋" w:hAnsi="仿宋" w:eastAsia="仿宋" w:cs="仿宋"/>
          <w:bCs/>
          <w:color w:val="auto"/>
          <w:kern w:val="2"/>
          <w:highlight w:val="none"/>
          <w:lang w:val="zh-CN"/>
        </w:rPr>
        <w:t>有权决定推迟投标截止时间和开标时间，并将此变更通知所有的投标人。</w:t>
      </w:r>
    </w:p>
    <w:p>
      <w:pPr>
        <w:snapToGrid w:val="0"/>
        <w:spacing w:line="360" w:lineRule="auto"/>
        <w:ind w:firstLine="480" w:firstLineChars="200"/>
        <w:jc w:val="both"/>
        <w:rPr>
          <w:rFonts w:hint="eastAsia" w:ascii="仿宋" w:hAnsi="仿宋" w:eastAsia="仿宋" w:cs="仿宋"/>
          <w:bCs/>
          <w:color w:val="auto"/>
          <w:kern w:val="2"/>
          <w:highlight w:val="none"/>
          <w:lang w:val="zh-CN"/>
        </w:rPr>
      </w:pPr>
      <w:r>
        <w:rPr>
          <w:rFonts w:hint="eastAsia" w:ascii="仿宋" w:hAnsi="仿宋" w:eastAsia="仿宋" w:cs="仿宋"/>
          <w:bCs/>
          <w:color w:val="auto"/>
          <w:kern w:val="2"/>
          <w:highlight w:val="none"/>
        </w:rPr>
        <w:t>11</w:t>
      </w:r>
      <w:r>
        <w:rPr>
          <w:rFonts w:hint="eastAsia" w:ascii="仿宋" w:hAnsi="仿宋" w:eastAsia="仿宋" w:cs="仿宋"/>
          <w:bCs/>
          <w:color w:val="auto"/>
          <w:kern w:val="2"/>
          <w:highlight w:val="none"/>
          <w:lang w:val="zh-CN"/>
        </w:rPr>
        <w:t>.3</w:t>
      </w:r>
      <w:r>
        <w:rPr>
          <w:rFonts w:hint="eastAsia" w:ascii="仿宋" w:hAnsi="仿宋" w:eastAsia="仿宋" w:cs="仿宋"/>
          <w:bCs/>
          <w:color w:val="auto"/>
          <w:kern w:val="2"/>
          <w:highlight w:val="none"/>
        </w:rPr>
        <w:t xml:space="preserve"> </w:t>
      </w:r>
      <w:r>
        <w:rPr>
          <w:rFonts w:hint="eastAsia" w:ascii="仿宋" w:hAnsi="仿宋" w:eastAsia="仿宋" w:cs="仿宋"/>
          <w:bCs/>
          <w:color w:val="auto"/>
          <w:kern w:val="2"/>
          <w:highlight w:val="none"/>
          <w:lang w:val="zh-CN"/>
        </w:rPr>
        <w:t>招标文件的修改和补充文件将构成招标文件的一部分。</w:t>
      </w:r>
    </w:p>
    <w:p>
      <w:pPr>
        <w:snapToGrid w:val="0"/>
        <w:spacing w:line="360" w:lineRule="auto"/>
        <w:jc w:val="center"/>
        <w:rPr>
          <w:rFonts w:hint="eastAsia" w:ascii="仿宋" w:hAnsi="仿宋" w:eastAsia="仿宋" w:cs="仿宋"/>
          <w:b/>
          <w:color w:val="auto"/>
          <w:kern w:val="2"/>
          <w:sz w:val="28"/>
          <w:szCs w:val="32"/>
          <w:highlight w:val="none"/>
        </w:rPr>
      </w:pPr>
      <w:r>
        <w:rPr>
          <w:rFonts w:hint="eastAsia" w:ascii="仿宋" w:hAnsi="仿宋" w:eastAsia="仿宋" w:cs="仿宋"/>
          <w:b/>
          <w:color w:val="auto"/>
          <w:kern w:val="2"/>
          <w:sz w:val="28"/>
          <w:szCs w:val="32"/>
          <w:highlight w:val="none"/>
          <w:lang w:val="zh-CN"/>
        </w:rPr>
        <w:t>三、</w:t>
      </w:r>
      <w:r>
        <w:rPr>
          <w:rFonts w:hint="eastAsia" w:ascii="仿宋" w:hAnsi="仿宋" w:eastAsia="仿宋" w:cs="仿宋"/>
          <w:b/>
          <w:color w:val="auto"/>
          <w:kern w:val="2"/>
          <w:sz w:val="28"/>
          <w:szCs w:val="32"/>
          <w:highlight w:val="none"/>
        </w:rPr>
        <w:t>投标</w:t>
      </w:r>
      <w:r>
        <w:rPr>
          <w:rFonts w:hint="eastAsia" w:ascii="仿宋" w:hAnsi="仿宋" w:eastAsia="仿宋" w:cs="仿宋"/>
          <w:b/>
          <w:color w:val="auto"/>
          <w:kern w:val="2"/>
          <w:sz w:val="28"/>
          <w:szCs w:val="32"/>
          <w:highlight w:val="none"/>
          <w:lang w:val="zh-CN"/>
        </w:rPr>
        <w:t>文件的编制</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12.投标文件的语言及计量单位</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12.1 投标人提交的投标文件（包括技术文件和资料、图纸中的说明）以及投标人与采购代理机构就有关投标的所有来往函电均应使用中文简体字。</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12.2 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12.3 除非招标文件另有规定，投标文件所使用的计量单位，应使用国家法定计量单位。</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12.4 对违反上述规定情形的，评标委员会有权要求投标人限期提供相应文件或决定对其投标予以拒绝。</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12.5 电报、电话、传真形式的投标概不接受。投标人的投标文件一律不予退还。</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13.投标文件组成及编制</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13.1投标文件组成（但不仅限于）如下：</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13.1.1封面；</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13.1.2目录；</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13.1.3投标函；</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13.1.4法定代表人资格证明书及授权委托书；</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13.1.5资格证明文件；</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13.1.6开标一览表；</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13.1.7投标报价明细表；</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13.1.8近年（2023年1月1日至今）类似项目业绩；</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13.1.9</w:t>
      </w:r>
      <w:r>
        <w:rPr>
          <w:rFonts w:hint="eastAsia" w:ascii="仿宋" w:hAnsi="仿宋" w:eastAsia="仿宋" w:cs="仿宋"/>
          <w:color w:val="auto"/>
          <w:sz w:val="24"/>
          <w:highlight w:val="none"/>
          <w:lang w:val="zh-CN"/>
        </w:rPr>
        <w:t>拟配备人员一览表</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13.1.10</w:t>
      </w:r>
      <w:r>
        <w:rPr>
          <w:rFonts w:hint="eastAsia" w:ascii="仿宋" w:hAnsi="仿宋" w:eastAsia="仿宋" w:cs="仿宋"/>
          <w:color w:val="auto"/>
          <w:sz w:val="24"/>
          <w:highlight w:val="none"/>
          <w:lang w:val="zh-CN"/>
        </w:rPr>
        <w:t>商务条款偏离说明表</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13.1.11技术文件</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13.1.12技术条款偏离表</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13.1.13 其他材料</w:t>
      </w:r>
    </w:p>
    <w:p>
      <w:pPr>
        <w:pStyle w:val="5"/>
        <w:adjustRightInd w:val="0"/>
        <w:snapToGrid w:val="0"/>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13.2招标文件中提供格式的，投标文件须按照格式编制；表格样式不够或多余的，投标人根据实际情况可按照格式要求自行增加或减少。招标文件中未提供格式的，投标人可根据实际情况自行提供。</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14.投标报价</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14.1 所有投标报价均以人民币元为计算单位。只要投标人报了一个确定数额的总价，无论分项价格是否全部填报了相应的金额或免费字样，报价应被视为已经包含但不限于书籍购置费用、包装费、运输费、装卸费、税费、售后服务费等一切相关费用，采购单位不再额外支付任何其他费用。在其他情况下，由于分项报价填报不完整、不清楚或存在其他任何失误，所导致的任何不利后果均应当由投标人自行承担。</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14.2 投标人投报多包的，须对每包分别制作投标文件并报价。</w:t>
      </w:r>
    </w:p>
    <w:p>
      <w:pPr>
        <w:spacing w:line="360" w:lineRule="auto"/>
        <w:ind w:firstLine="482" w:firstLineChars="200"/>
        <w:rPr>
          <w:b/>
          <w:bCs/>
          <w:color w:val="auto"/>
          <w:highlight w:val="none"/>
        </w:rPr>
      </w:pPr>
      <w:r>
        <w:rPr>
          <w:rFonts w:hint="eastAsia" w:ascii="仿宋" w:hAnsi="仿宋" w:eastAsia="仿宋" w:cs="仿宋"/>
          <w:b/>
          <w:bCs/>
          <w:color w:val="auto"/>
          <w:highlight w:val="none"/>
        </w:rPr>
        <w:t xml:space="preserve">14.3 </w:t>
      </w:r>
      <w:r>
        <w:rPr>
          <w:rFonts w:hint="eastAsia" w:ascii="仿宋" w:hAnsi="仿宋" w:eastAsia="仿宋" w:cs="宋体"/>
          <w:b/>
          <w:bCs/>
          <w:color w:val="auto"/>
          <w:highlight w:val="none"/>
        </w:rPr>
        <w:t>除非招标文件另有规定，不接受可选择或可调整的投标方案和报价，任何有选择的或可调整的投标方案和报价将被视为非响应性投标而被拒绝。</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14.5 投标人对投标报价若有说明应在投标文件中显著处注明。</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14.6 除政策性文件规定以外，投标人所报价格在合同实施期间不因市场变化因素而变动。</w:t>
      </w:r>
    </w:p>
    <w:p>
      <w:pPr>
        <w:snapToGrid w:val="0"/>
        <w:spacing w:line="36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14.7最低报价不能作为中标的唯一依据。</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15.投标有效期</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15.1 本项目的投标有效期按照招标文件“投标人须知前附表中”中第16项的规定。投标有效期自投标截止之日起计算，短于规定期限的投标将按无效投标处理。</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15.2 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16.投标内容填写说明</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16.1 投标人应详细阅读招标文件的全部内容。投标文件须对招标文件中的内容作出实质性和完整的响应，如果投标文件填报的内容不详，或没有提供招标文件中所要求的全部资料及数据，将可能导致投标被拒绝。</w:t>
      </w:r>
    </w:p>
    <w:p>
      <w:pPr>
        <w:snapToGrid w:val="0"/>
        <w:spacing w:line="360" w:lineRule="auto"/>
        <w:ind w:firstLine="480" w:firstLineChars="200"/>
        <w:rPr>
          <w:rFonts w:hint="eastAsia" w:ascii="仿宋" w:hAnsi="仿宋" w:eastAsia="仿宋" w:cs="仿宋"/>
          <w:b/>
          <w:color w:val="auto"/>
          <w:highlight w:val="none"/>
        </w:rPr>
      </w:pPr>
      <w:r>
        <w:rPr>
          <w:rFonts w:hint="eastAsia" w:ascii="仿宋" w:hAnsi="仿宋" w:eastAsia="仿宋" w:cs="仿宋"/>
          <w:color w:val="auto"/>
          <w:highlight w:val="none"/>
        </w:rPr>
        <w:t>16.2 投标文件须严格按照招标文件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将被视为不完整响应的投标文件，其投标有可能被拒绝</w:t>
      </w:r>
      <w:r>
        <w:rPr>
          <w:rFonts w:hint="eastAsia" w:ascii="仿宋" w:hAnsi="仿宋" w:eastAsia="仿宋" w:cs="仿宋"/>
          <w:b/>
          <w:color w:val="auto"/>
          <w:highlight w:val="none"/>
        </w:rPr>
        <w:t>。</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16.3 开标一览表为在开标会上唱标的内容，要求按投标文件格式统一填写，不得自行增减内容。</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16.4 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予以处理，乃至对该投标予以拒绝。</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16.5 投标人必须保证投标文件所提供的全部资料真实可靠，并接受采购代理机构或评标委员会对其中任何资料进一步审查的要求。</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16.6 投标人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snapToGrid w:val="0"/>
        <w:spacing w:line="360" w:lineRule="auto"/>
        <w:jc w:val="center"/>
        <w:rPr>
          <w:rFonts w:hint="eastAsia" w:ascii="仿宋" w:hAnsi="仿宋" w:eastAsia="仿宋" w:cs="仿宋"/>
          <w:b/>
          <w:color w:val="auto"/>
          <w:kern w:val="2"/>
          <w:sz w:val="28"/>
          <w:szCs w:val="32"/>
          <w:highlight w:val="none"/>
          <w:lang w:val="zh-CN"/>
        </w:rPr>
      </w:pPr>
      <w:bookmarkStart w:id="30" w:name="_Toc15999"/>
      <w:bookmarkStart w:id="31" w:name="_Toc8226"/>
      <w:r>
        <w:rPr>
          <w:rFonts w:hint="eastAsia" w:ascii="仿宋" w:hAnsi="仿宋" w:eastAsia="仿宋" w:cs="仿宋"/>
          <w:b/>
          <w:color w:val="auto"/>
          <w:kern w:val="2"/>
          <w:sz w:val="28"/>
          <w:szCs w:val="32"/>
          <w:highlight w:val="none"/>
          <w:lang w:val="zh-CN"/>
        </w:rPr>
        <w:t>四、投标保证金</w:t>
      </w:r>
      <w:bookmarkEnd w:id="30"/>
      <w:bookmarkEnd w:id="31"/>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 xml:space="preserve">17.投标保证金 </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17.1 投标人应按照招标文件“投标人须知前附表”中第17项的规定交纳。投标保证金须于到账截止时间前到帐，并经采购代理机构确认。</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17.2 采购代理机构不接收以现金或汇票等其他形式递交的投标保证金。未按要求提交投标保证金的，将被视为无效投标。</w:t>
      </w:r>
    </w:p>
    <w:p>
      <w:pPr>
        <w:autoSpaceDE/>
        <w:autoSpaceDN/>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17.3 未中标的投标人的投标保证金在中标通知书发出之日起5个工作日内退还；中标人的投标保证金将在合同签订后5个工作日内退还。</w:t>
      </w:r>
    </w:p>
    <w:p>
      <w:pPr>
        <w:snapToGrid w:val="0"/>
        <w:spacing w:line="360" w:lineRule="auto"/>
        <w:jc w:val="center"/>
        <w:rPr>
          <w:rFonts w:hint="eastAsia" w:ascii="仿宋" w:hAnsi="仿宋" w:eastAsia="仿宋" w:cs="仿宋"/>
          <w:b/>
          <w:color w:val="auto"/>
          <w:kern w:val="2"/>
          <w:sz w:val="28"/>
          <w:szCs w:val="32"/>
          <w:highlight w:val="none"/>
          <w:lang w:val="zh-CN"/>
        </w:rPr>
      </w:pPr>
      <w:bookmarkStart w:id="32" w:name="_Toc14099"/>
      <w:bookmarkStart w:id="33" w:name="_Toc14432"/>
      <w:r>
        <w:rPr>
          <w:rFonts w:hint="eastAsia" w:ascii="仿宋" w:hAnsi="仿宋" w:eastAsia="仿宋" w:cs="仿宋"/>
          <w:b/>
          <w:color w:val="auto"/>
          <w:kern w:val="2"/>
          <w:sz w:val="28"/>
          <w:szCs w:val="32"/>
          <w:highlight w:val="none"/>
          <w:lang w:val="zh-CN"/>
        </w:rPr>
        <w:t>五、投标文件的递交</w:t>
      </w:r>
      <w:bookmarkEnd w:id="32"/>
      <w:bookmarkEnd w:id="33"/>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18.投标文件的密封和标记</w:t>
      </w:r>
    </w:p>
    <w:p>
      <w:pPr>
        <w:pStyle w:val="61"/>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18.1 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pStyle w:val="61"/>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投标截止时间以政采云平台显示的时间为准，逾期系统将自动关闭，未完成上传的投标文件视为逾期送达，将被拒绝。</w:t>
      </w:r>
    </w:p>
    <w:p>
      <w:pPr>
        <w:pStyle w:val="61"/>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18.2 投标人认为有必要提交的其他资料请于投标截止时间前一并提交。</w:t>
      </w:r>
    </w:p>
    <w:p>
      <w:pPr>
        <w:pStyle w:val="61"/>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18.3 本项目是否采用不见面开标方式详见投标人须知前附表</w:t>
      </w:r>
      <w:r>
        <w:rPr>
          <w:rFonts w:hint="eastAsia" w:ascii="仿宋" w:hAnsi="仿宋" w:eastAsia="仿宋" w:cs="宋体"/>
          <w:b/>
          <w:bCs/>
          <w:color w:val="auto"/>
          <w:sz w:val="24"/>
          <w:highlight w:val="none"/>
        </w:rPr>
        <w:t>（本项目采用不见面开标方式）</w:t>
      </w:r>
      <w:r>
        <w:rPr>
          <w:rFonts w:hint="eastAsia" w:ascii="仿宋" w:hAnsi="仿宋" w:eastAsia="仿宋" w:cs="宋体"/>
          <w:color w:val="auto"/>
          <w:sz w:val="24"/>
          <w:highlight w:val="none"/>
        </w:rPr>
        <w:t>。</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19.投标文件的递交</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19.1 投标人应当在</w:t>
      </w:r>
      <w:r>
        <w:rPr>
          <w:rFonts w:hint="eastAsia" w:ascii="仿宋" w:hAnsi="仿宋" w:eastAsia="仿宋" w:cs="宋体"/>
          <w:color w:val="auto"/>
          <w:highlight w:val="none"/>
        </w:rPr>
        <w:t>投标截止时间前完成上传经过数字证书电子签章并加密的投标文件（加密和解密须用同一把数字证书）</w:t>
      </w:r>
      <w:r>
        <w:rPr>
          <w:rFonts w:hint="eastAsia" w:ascii="仿宋" w:hAnsi="仿宋" w:eastAsia="仿宋" w:cs="仿宋"/>
          <w:color w:val="auto"/>
          <w:highlight w:val="none"/>
        </w:rPr>
        <w:t>。</w:t>
      </w:r>
    </w:p>
    <w:p>
      <w:pPr>
        <w:snapToGrid w:val="0"/>
        <w:spacing w:line="360" w:lineRule="auto"/>
        <w:ind w:firstLine="480" w:firstLineChars="200"/>
        <w:rPr>
          <w:rFonts w:hint="eastAsia" w:ascii="仿宋" w:hAnsi="仿宋" w:eastAsia="仿宋" w:cs="宋体"/>
          <w:color w:val="auto"/>
          <w:highlight w:val="none"/>
        </w:rPr>
      </w:pPr>
      <w:r>
        <w:rPr>
          <w:rFonts w:hint="eastAsia" w:ascii="仿宋" w:hAnsi="仿宋" w:eastAsia="仿宋" w:cs="仿宋"/>
          <w:color w:val="auto"/>
          <w:highlight w:val="none"/>
        </w:rPr>
        <w:t xml:space="preserve">19.2 </w:t>
      </w:r>
      <w:r>
        <w:rPr>
          <w:rFonts w:hint="eastAsia" w:ascii="仿宋" w:hAnsi="仿宋" w:eastAsia="仿宋" w:cs="宋体"/>
          <w:color w:val="auto"/>
          <w:highlight w:val="none"/>
        </w:rPr>
        <w:t>是否采用不见面开标详见投标人须知前附表</w:t>
      </w:r>
      <w:r>
        <w:rPr>
          <w:rFonts w:hint="eastAsia" w:ascii="仿宋" w:hAnsi="仿宋" w:eastAsia="仿宋" w:cs="宋体"/>
          <w:b/>
          <w:bCs/>
          <w:color w:val="auto"/>
          <w:highlight w:val="none"/>
        </w:rPr>
        <w:t>（本项目采用不见面开标方式）</w:t>
      </w:r>
      <w:r>
        <w:rPr>
          <w:rFonts w:hint="eastAsia" w:ascii="仿宋" w:hAnsi="仿宋" w:eastAsia="仿宋" w:cs="宋体"/>
          <w:color w:val="auto"/>
          <w:highlight w:val="none"/>
        </w:rPr>
        <w:t>，若项目采用不见面开标。只需将加密电子投标文件在投标截止时间前通过政采云平台上传完成。上传时必须得到电脑“上传成功”的确认回复后方为上传成功。逾期上传的或者未上传到平台的投标文件，采购人不予受理。</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20.投标文件的修改和撤回</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20.1 投标人在递交投标文件后，可以修改或撤回其投标，但这种修改和撤回，必须在规定的投标截止时间前。在投标截止时间后，投标人不得要求修改或撤回其投标文件。</w:t>
      </w:r>
    </w:p>
    <w:p>
      <w:pPr>
        <w:snapToGrid w:val="0"/>
        <w:spacing w:line="360" w:lineRule="auto"/>
        <w:jc w:val="center"/>
        <w:rPr>
          <w:rFonts w:hint="eastAsia" w:ascii="仿宋" w:hAnsi="仿宋" w:eastAsia="仿宋" w:cs="仿宋"/>
          <w:b/>
          <w:color w:val="auto"/>
          <w:kern w:val="2"/>
          <w:sz w:val="28"/>
          <w:szCs w:val="32"/>
          <w:highlight w:val="none"/>
          <w:lang w:val="zh-CN"/>
        </w:rPr>
      </w:pPr>
      <w:bookmarkStart w:id="34" w:name="_Toc23236"/>
      <w:bookmarkStart w:id="35" w:name="_Toc22351"/>
      <w:r>
        <w:rPr>
          <w:rFonts w:hint="eastAsia" w:ascii="仿宋" w:hAnsi="仿宋" w:eastAsia="仿宋" w:cs="仿宋"/>
          <w:b/>
          <w:color w:val="auto"/>
          <w:kern w:val="2"/>
          <w:sz w:val="28"/>
          <w:szCs w:val="32"/>
          <w:highlight w:val="none"/>
          <w:lang w:val="zh-CN"/>
        </w:rPr>
        <w:t>六、开标</w:t>
      </w:r>
      <w:bookmarkEnd w:id="34"/>
      <w:bookmarkEnd w:id="35"/>
    </w:p>
    <w:p>
      <w:pPr>
        <w:pStyle w:val="62"/>
        <w:spacing w:line="360" w:lineRule="auto"/>
        <w:ind w:firstLine="482" w:firstLineChars="200"/>
        <w:rPr>
          <w:rFonts w:hint="eastAsia" w:ascii="仿宋" w:hAnsi="仿宋" w:eastAsia="仿宋" w:cs="宋体"/>
          <w:b/>
          <w:color w:val="auto"/>
          <w:sz w:val="24"/>
          <w:highlight w:val="none"/>
        </w:rPr>
      </w:pPr>
      <w:bookmarkStart w:id="36" w:name="EB7dadd93d7a564c2da135d1ee82c4ad27"/>
      <w:bookmarkStart w:id="37" w:name="_Toc11814"/>
      <w:bookmarkStart w:id="38" w:name="_Toc8114"/>
      <w:r>
        <w:rPr>
          <w:rFonts w:hint="eastAsia" w:ascii="仿宋" w:hAnsi="仿宋" w:eastAsia="仿宋" w:cs="宋体"/>
          <w:b/>
          <w:color w:val="auto"/>
          <w:sz w:val="24"/>
          <w:highlight w:val="none"/>
        </w:rPr>
        <w:t>A．采用见面开标方式（本项目不采用）</w:t>
      </w:r>
    </w:p>
    <w:p>
      <w:pPr>
        <w:pStyle w:val="62"/>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21.1采购代理机构按照招标文件规定的时间、地点主持开标。投标人法定代表人或授权代理人应携带身份证明、电子密钥（电子证书）、未加密的电子投标文件（用信封密封）及应当提交的其他资料参加开标并签到。</w:t>
      </w:r>
    </w:p>
    <w:p>
      <w:pPr>
        <w:pStyle w:val="62"/>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21.2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pPr>
        <w:pStyle w:val="62"/>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因网上招标系统故障导致所有投标人均解密失败时，投标人使用未加密的电子投标文件进行开评标。</w:t>
      </w:r>
    </w:p>
    <w:p>
      <w:pPr>
        <w:pStyle w:val="62"/>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21.3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pPr>
        <w:pStyle w:val="62"/>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21.4在评审结束前，未得到采购代理机构允许，投标人法定代表人或授权代理人不得离开开标现场。</w:t>
      </w:r>
    </w:p>
    <w:p>
      <w:pPr>
        <w:pStyle w:val="62"/>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21.5公证员对开标过程进行全程公证。</w:t>
      </w:r>
    </w:p>
    <w:p>
      <w:pPr>
        <w:pStyle w:val="63"/>
        <w:spacing w:line="360" w:lineRule="auto"/>
        <w:ind w:firstLine="482" w:firstLineChars="200"/>
        <w:rPr>
          <w:rFonts w:hint="eastAsia" w:ascii="仿宋" w:hAnsi="仿宋" w:eastAsia="仿宋" w:cs="宋体"/>
          <w:color w:val="auto"/>
          <w:sz w:val="24"/>
          <w:highlight w:val="none"/>
        </w:rPr>
      </w:pPr>
      <w:r>
        <w:rPr>
          <w:rFonts w:hint="eastAsia" w:ascii="仿宋" w:hAnsi="仿宋" w:eastAsia="仿宋" w:cs="宋体"/>
          <w:b/>
          <w:color w:val="auto"/>
          <w:sz w:val="24"/>
          <w:highlight w:val="none"/>
        </w:rPr>
        <w:t>B．采用不见面开标方式</w:t>
      </w:r>
      <w:r>
        <w:rPr>
          <w:rFonts w:hint="eastAsia" w:ascii="仿宋" w:hAnsi="仿宋" w:eastAsia="仿宋" w:cs="宋体"/>
          <w:b/>
          <w:bCs/>
          <w:color w:val="auto"/>
          <w:sz w:val="24"/>
          <w:highlight w:val="none"/>
        </w:rPr>
        <w:t>（本项目采用）</w:t>
      </w:r>
    </w:p>
    <w:p>
      <w:pPr>
        <w:pStyle w:val="63"/>
        <w:spacing w:line="360" w:lineRule="auto"/>
        <w:ind w:firstLine="480" w:firstLineChars="200"/>
        <w:rPr>
          <w:rFonts w:hint="eastAsia" w:ascii="仿宋" w:hAnsi="仿宋" w:eastAsia="仿宋" w:cs="宋体"/>
          <w:color w:val="auto"/>
          <w:sz w:val="24"/>
          <w:highlight w:val="none"/>
        </w:rPr>
      </w:pPr>
      <w:r>
        <w:rPr>
          <w:rFonts w:hint="eastAsia" w:ascii="仿宋" w:hAnsi="仿宋" w:eastAsia="仿宋" w:cs="宋体"/>
          <w:color w:val="auto"/>
          <w:sz w:val="24"/>
          <w:highlight w:val="none"/>
        </w:rPr>
        <w:t>采购人在规定的投标截止时间（开标时间）和投标人须知前附表规定的地点开标。投标人的法定代表人或其委托代理人无需到达开标现场，仅需在任意地点通过政采云，使用CA密钥完成远程解密、提疑澄清、开标唱标、结果公布等交互环节。</w:t>
      </w:r>
    </w:p>
    <w:p>
      <w:pPr>
        <w:spacing w:line="360" w:lineRule="auto"/>
        <w:ind w:firstLine="480" w:firstLineChars="200"/>
        <w:rPr>
          <w:rFonts w:hint="eastAsia" w:ascii="仿宋" w:hAnsi="仿宋" w:eastAsia="仿宋" w:cs="宋体"/>
          <w:color w:val="auto"/>
          <w:highlight w:val="none"/>
        </w:rPr>
      </w:pPr>
      <w:r>
        <w:rPr>
          <w:rFonts w:hint="eastAsia" w:ascii="仿宋" w:hAnsi="仿宋" w:eastAsia="仿宋" w:cs="宋体"/>
          <w:color w:val="auto"/>
          <w:highlight w:val="none"/>
        </w:rPr>
        <w:t xml:space="preserve">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 </w:t>
      </w:r>
      <w:bookmarkEnd w:id="36"/>
    </w:p>
    <w:p>
      <w:pPr>
        <w:snapToGrid w:val="0"/>
        <w:spacing w:line="360" w:lineRule="auto"/>
        <w:jc w:val="center"/>
        <w:rPr>
          <w:rFonts w:hint="eastAsia" w:ascii="仿宋" w:hAnsi="仿宋" w:eastAsia="仿宋" w:cs="仿宋"/>
          <w:b/>
          <w:color w:val="auto"/>
          <w:kern w:val="2"/>
          <w:sz w:val="28"/>
          <w:szCs w:val="32"/>
          <w:highlight w:val="none"/>
          <w:lang w:val="zh-CN"/>
        </w:rPr>
      </w:pPr>
      <w:r>
        <w:rPr>
          <w:rFonts w:hint="eastAsia" w:ascii="仿宋" w:hAnsi="仿宋" w:eastAsia="仿宋" w:cs="仿宋"/>
          <w:b/>
          <w:color w:val="auto"/>
          <w:kern w:val="2"/>
          <w:sz w:val="28"/>
          <w:szCs w:val="32"/>
          <w:highlight w:val="none"/>
          <w:lang w:val="zh-CN"/>
        </w:rPr>
        <w:t>七、评标步骤和要求</w:t>
      </w:r>
      <w:bookmarkEnd w:id="37"/>
      <w:bookmarkEnd w:id="38"/>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22.组建评标委员会</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22.1 采购人根据《中华人民共和国政府采购法》、《中华人民共和国政府采购法实施条例》等有关法律法规和本招标文件的规定，结合本采购项目的特点组建评标委员会，对具备实质性响应的投标文件进行评估和比较。评标委员会由采购人代表和评审专家共5人以上单数组成，其中评审专家人数不得少于评标小组成员总数的2/3。</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采购代理机构人员不得参加本机构代理的采购项目的评审。</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采购人对技术复杂、专业性极强的采购项目，通过随机方式难以确定合适评标专家的，经设区的市、自治州以上人民政府财政部门同意，可以采取选择性方式确定评标专家。</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采购预算金额在1000万元以上，评标委员会成员人数应当为7人以上单数。</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22.2 参与过本项目的论证专家不得作为评标专家参加评标，采购人不得以专家身份参与评标。采购人委派的纪检监察人员进入评标现场不得超过2人，其他无关人员不得进入评标现场。</w:t>
      </w:r>
    </w:p>
    <w:p>
      <w:pPr>
        <w:snapToGrid w:val="0"/>
        <w:spacing w:line="36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23、资格审查</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23.1 公开招标采购项目采购人或者采购代理机构应当依法对投标人的资格进行审查。合格投标人不足3家的，不得评标。</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24.初步评审</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24.1 评标委员会审查投标文件是否符合招标文件的基本要求：内容是否完整、文件签署是否齐全、有无计算错误等。 </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24.2 评标委员会审查投标文件是否实质上响应招标文件的要求。</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1）实质上响应的投标是指与招标文件上的条款、条件和规格相符，没有重大偏离或保留，否则将视为无效投标。</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重大偏离或保留系指投标内容的服务要求和服务期等明显不能满足招标文件的要求，或者实质上与招标文件不一致，纠正这些偏离或保留将对其他实质上响应要求的投标人的竞争地位产生不公正的影响。包括但不限于：</w:t>
      </w:r>
    </w:p>
    <w:p>
      <w:pPr>
        <w:snapToGrid w:val="0"/>
        <w:spacing w:line="36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A、投标文件未按招标文件的规定签章的；</w:t>
      </w:r>
    </w:p>
    <w:p>
      <w:pPr>
        <w:snapToGrid w:val="0"/>
        <w:spacing w:line="36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B、招标文件带“★”号部分任意一款不满足要求的；</w:t>
      </w:r>
    </w:p>
    <w:p>
      <w:pPr>
        <w:snapToGrid w:val="0"/>
        <w:spacing w:line="36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C、报价超过项目预算或经评标委员会认定低于成本的；</w:t>
      </w:r>
    </w:p>
    <w:p>
      <w:pPr>
        <w:snapToGrid w:val="0"/>
        <w:spacing w:line="36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D、投标有效期不足的；</w:t>
      </w:r>
    </w:p>
    <w:p>
      <w:pPr>
        <w:snapToGrid w:val="0"/>
        <w:spacing w:line="36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E、有串通投标或弄虚作假或有其他违法行为的；</w:t>
      </w:r>
    </w:p>
    <w:p>
      <w:pPr>
        <w:snapToGrid w:val="0"/>
        <w:spacing w:line="36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F、投标人名称或组织结构与领取采购文件不一致且无有效变更证明的；</w:t>
      </w:r>
    </w:p>
    <w:p>
      <w:pPr>
        <w:snapToGrid w:val="0"/>
        <w:spacing w:line="36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G、不符合招标文件中规定的其他实质性要求。</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24.3 投标文件的细微偏差是指在实质上响应招标文件要求，但在个别地方存在漏项或者提供了不完整的技术信息和数据等情况，并且补正这些遗漏或者不完整，不会对其他投标人造成不公正的结果。细微偏差不影响投标文件的有效性。</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24.4 初步评审中，对明显的文字和计算错误按下述原则处理，若出现相互矛盾之处，应以排列在先的原则为准优先处理：        </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1）投标文件中的开标一览表与明细表内容不一致的，以开标一览表为准。</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2）如果以文字表示的数据与数字表示的有差别，以文字为准修正数字。如果大写金额和小写金额不一致的，以大写金额为准；</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3）如果单价乘以数量不等于总价，以单价为准修正总价，但单价金额小数点有明显错位的，应以总价为准，并修改单价。如果明细价格相加不等于汇总价格，以明细价格为准。</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4）调整后的数据对投标人具有约束力，投标人不同意以上修正，其投标将被拒绝。</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24.5 评标委员会对投标文件的判定，只依据投标文件内容本身，不依据其他外来证明。</w:t>
      </w:r>
    </w:p>
    <w:p>
      <w:pPr>
        <w:snapToGrid w:val="0"/>
        <w:spacing w:line="360" w:lineRule="auto"/>
        <w:ind w:firstLine="482" w:firstLineChars="200"/>
        <w:jc w:val="both"/>
        <w:rPr>
          <w:rFonts w:hint="eastAsia" w:ascii="仿宋" w:hAnsi="仿宋" w:eastAsia="仿宋" w:cs="仿宋"/>
          <w:b/>
          <w:color w:val="auto"/>
          <w:highlight w:val="none"/>
        </w:rPr>
      </w:pPr>
      <w:r>
        <w:rPr>
          <w:rFonts w:hint="eastAsia" w:ascii="仿宋" w:hAnsi="仿宋" w:eastAsia="仿宋" w:cs="仿宋"/>
          <w:b/>
          <w:color w:val="auto"/>
          <w:highlight w:val="none"/>
        </w:rPr>
        <w:t>25.投标的澄清</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25.1 评标委员会有权要求投标人对投标文件中含义不明确、对同类问题表述不一致或者有明显文字和计算错误等内容作必要的澄清、说明或者补正。该要求应当采用书面形式，并由评标委员会成员签字。评标委员会不接受投标人主动提出的澄清、说明或者补正。</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25.2 投标人必须按照评标委员会通知的内容和时间做出书面答复，该答复经法定代表人或授权代理人的签字认可，将作为投标文件内容的一部分。澄清、说明或者补正不得超出投标文件的范围或者改变投标文件的实质性内容。投标人拒不按照要求对投标文件进行澄清、说明或者补正的，评标委员会可拒绝该投标。</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25.3 如评标委员会一致认为某个投标人的报价明显不合理，有降低质量、不能诚信履行的可能时，评标委员会有权决定是否通知投标人限期进行书面解释或提供相关证明材料。若已要求，而该投标人在规定期限内未做出解释、作出的解释不合理或不能提供证明材料的，经评标委员会取得一致意见后，可拒绝该投标。</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25.4 公开招标采购项目采购人或者采购代理机构应当依法对投标人的资格进行审查。合格投标人不足3家的，不得评标。</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26.详细评审</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26.1 评标委员会只对实质上响应招标文件的投标进行评价和比较；评审应严格按照招标文件规定及要求进行。具体要求等详见招标文件第三章“评审方法”。</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26.2 评标委员会依法独立评审，严格遵守评审工作纪律。对需要共同认定的事项存在争议的，按照少数服从多数的原则作出评审结论。持不同意见的评标委员会成员应当在评标报告上签署不同意见并说明理由，不签署不同意见的视为同意。</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27.确定中标人</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27.1 使用综合评分法的采购项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27.2 评标委员会根据评审结果及招标文件的规定确定中标人。</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27.3 采购代理机构应当在评标结束后2个工作日内将评标报告送采购人。</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采购人自行组织招标的，应当在评标结束后5个工作日内确定中标人。</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采购人在收到评标报告5个工作日内未按评标报告推荐的中标候选人顺序确定中标人，又不能说明合法理由的，视同按评标报告推荐的顺序确定排名第一的中标候选人为中标人。</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28.评标过程要求</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28.1 开标之后，直到签订合同止，凡是属于审查、澄清、评价和比较投标的有关资料以及定标意向等，均不向投标人或者其他与评标无关的人员透露。</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28.2 在确定中标人之前，投标人试图在投标文件审查、澄清、比较和评标时对评标委员会、采购人和采购代理机构施加任何影响都可能导致其投标无效。</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29.投标人瑕疵滞后发现的处理规则</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29.1 无论基于何种原因，各项本应作拒绝处理的情形即便未被及时发现而使该投标人进入初审、综合评审或其他后续程序，包括已经签订合同的情形，一旦投标人被拒绝或该投标人的此前评议结果被取消，其现有的位置将被其他投标人依序替代，相关的一切损失均由该投标人承担。</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30.采购项目废标</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30.1 在评标过程中，评标委员会发现有下列情形之一的，应对采购项目予以废标：</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1）符合专业条件的投标人或者对招标文件作实质响应的投标人数量不足，导致进入详细评审、打分阶段的投标人不足3家的； </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2）投标人的报价不符合招标文件要求的；</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3）出现影响采购公正的违法、违规行为的；</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4）因重大变故，采购任务取消的。</w:t>
      </w:r>
    </w:p>
    <w:p>
      <w:pPr>
        <w:snapToGrid w:val="0"/>
        <w:spacing w:line="360" w:lineRule="auto"/>
        <w:jc w:val="center"/>
        <w:rPr>
          <w:rFonts w:hint="eastAsia" w:ascii="仿宋" w:hAnsi="仿宋" w:eastAsia="仿宋" w:cs="仿宋"/>
          <w:b/>
          <w:color w:val="auto"/>
          <w:kern w:val="2"/>
          <w:sz w:val="28"/>
          <w:szCs w:val="32"/>
          <w:highlight w:val="none"/>
          <w:lang w:val="zh-CN"/>
        </w:rPr>
      </w:pPr>
      <w:bookmarkStart w:id="39" w:name="_Toc17481"/>
      <w:bookmarkStart w:id="40" w:name="_Toc15082"/>
      <w:r>
        <w:rPr>
          <w:rFonts w:hint="eastAsia" w:ascii="仿宋" w:hAnsi="仿宋" w:eastAsia="仿宋" w:cs="仿宋"/>
          <w:b/>
          <w:color w:val="auto"/>
          <w:kern w:val="2"/>
          <w:sz w:val="28"/>
          <w:szCs w:val="32"/>
          <w:highlight w:val="none"/>
          <w:lang w:val="zh-CN"/>
        </w:rPr>
        <w:t>八、履约保证金(见投标人须知前附表)</w:t>
      </w:r>
      <w:bookmarkEnd w:id="39"/>
      <w:bookmarkEnd w:id="40"/>
    </w:p>
    <w:p>
      <w:pPr>
        <w:snapToGrid w:val="0"/>
        <w:spacing w:line="360" w:lineRule="auto"/>
        <w:jc w:val="center"/>
        <w:rPr>
          <w:rFonts w:hint="eastAsia" w:ascii="仿宋" w:hAnsi="仿宋" w:eastAsia="仿宋" w:cs="仿宋"/>
          <w:b/>
          <w:color w:val="auto"/>
          <w:kern w:val="2"/>
          <w:sz w:val="28"/>
          <w:szCs w:val="32"/>
          <w:highlight w:val="none"/>
          <w:lang w:val="zh-CN"/>
        </w:rPr>
      </w:pPr>
      <w:bookmarkStart w:id="41" w:name="_Toc21839"/>
      <w:r>
        <w:rPr>
          <w:rFonts w:hint="eastAsia" w:ascii="仿宋" w:hAnsi="仿宋" w:eastAsia="仿宋" w:cs="仿宋"/>
          <w:b/>
          <w:color w:val="auto"/>
          <w:kern w:val="2"/>
          <w:sz w:val="28"/>
          <w:szCs w:val="32"/>
          <w:highlight w:val="none"/>
          <w:lang w:val="zh-CN"/>
        </w:rPr>
        <w:t>九、代理服务费</w:t>
      </w:r>
      <w:bookmarkEnd w:id="41"/>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31.代理服务费</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31.1 代理服务费按照招标文件“投标人须知前附表”中第28项的规定由中标人交纳，请投标人在测算投标报价时充分考虑这一因素。</w:t>
      </w:r>
    </w:p>
    <w:p>
      <w:pPr>
        <w:snapToGrid w:val="0"/>
        <w:spacing w:line="360" w:lineRule="auto"/>
        <w:jc w:val="center"/>
        <w:rPr>
          <w:rFonts w:hint="eastAsia" w:ascii="仿宋" w:hAnsi="仿宋" w:eastAsia="仿宋" w:cs="仿宋"/>
          <w:b/>
          <w:color w:val="auto"/>
          <w:kern w:val="2"/>
          <w:sz w:val="28"/>
          <w:szCs w:val="32"/>
          <w:highlight w:val="none"/>
          <w:lang w:val="zh-CN"/>
        </w:rPr>
      </w:pPr>
      <w:bookmarkStart w:id="42" w:name="_Toc28150"/>
      <w:bookmarkStart w:id="43" w:name="_Toc23307"/>
      <w:r>
        <w:rPr>
          <w:rFonts w:hint="eastAsia" w:ascii="仿宋" w:hAnsi="仿宋" w:eastAsia="仿宋" w:cs="仿宋"/>
          <w:b/>
          <w:color w:val="auto"/>
          <w:kern w:val="2"/>
          <w:sz w:val="28"/>
          <w:szCs w:val="32"/>
          <w:highlight w:val="none"/>
          <w:lang w:val="zh-CN"/>
        </w:rPr>
        <w:t>十、签订、审核合同</w:t>
      </w:r>
      <w:bookmarkEnd w:id="42"/>
      <w:bookmarkEnd w:id="43"/>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32.中标通知</w:t>
      </w:r>
    </w:p>
    <w:p>
      <w:pPr>
        <w:snapToGrid w:val="0"/>
        <w:spacing w:line="360" w:lineRule="auto"/>
        <w:ind w:firstLine="480" w:firstLineChars="200"/>
        <w:jc w:val="both"/>
        <w:rPr>
          <w:rFonts w:hint="eastAsia" w:ascii="仿宋" w:hAnsi="仿宋" w:eastAsia="仿宋" w:cs="仿宋"/>
          <w:color w:val="auto"/>
          <w:highlight w:val="none"/>
        </w:rPr>
      </w:pPr>
      <w:r>
        <w:rPr>
          <w:rFonts w:hint="eastAsia" w:ascii="仿宋" w:hAnsi="仿宋" w:eastAsia="仿宋" w:cs="仿宋"/>
          <w:color w:val="auto"/>
          <w:highlight w:val="none"/>
        </w:rPr>
        <w:t>32.1 中标人确定后,采购代理机构将在相关政府采购信息发布媒体上发布中标公告，并以书面形式向中标人发出中标通知书，但该中标结果的有效性不依赖于未中标的投标人是否已经收到该通知。中标人应按照招标文件的规定交纳履约保证金、代理服务费并经采购代理机构确认后，委派专人持介绍信或授权书和身份证件前往采购代理机构领取中标通知书。中标通知书对采购人和中标人具有同等法律效力。中标通知书发出以后，采购人改变中标结果或者中标人放弃中标，应当承担相应的法律责任。</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33.2 采购代理机构对未中标的投标人不作未中标原因的解释，但中标结果的有效性不以未中标的投标人是否收到相应的通知为前提。</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33.3 中标通知书是合同的组成部分。</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33.签订合同</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33.1 中标人须在中标通知书发出之日起30日内与采购人签订采购合同。</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33.2 中标人须按照招标文件、投标文件及评标过程中的有关澄清、说明或者补正文件的内容与采购人签订合同。中标人不得再与采购人签订背离合同实质性内容的其他协议或声明。</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33.3 采购人如需追加与合同标的相同的货物，在不改变合同其他条款的前提下，提交追加合同的申请报经同级财政部门审核后，可与中标人签订补充合同，但所有补充合同的采购金额不得超过原合同金额的百分之十。</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33.4 中标人一旦中标及签订合同后，不得转包，亦不得将合同全部及任何权利、义务向第三方转让。</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33.5 中标人不履行合同的，采购人可在报经同级人民政府财政部门核准后，与排位在中标人之后的第一位中标候选投标人签订合同，以此类推；或在报经同级人民政府财政部门核准后重新组织采购。</w:t>
      </w:r>
    </w:p>
    <w:p>
      <w:pPr>
        <w:snapToGrid w:val="0"/>
        <w:spacing w:line="360" w:lineRule="auto"/>
        <w:jc w:val="center"/>
        <w:rPr>
          <w:rFonts w:hint="eastAsia" w:ascii="仿宋" w:hAnsi="仿宋" w:eastAsia="仿宋" w:cs="仿宋"/>
          <w:b/>
          <w:color w:val="auto"/>
          <w:kern w:val="2"/>
          <w:sz w:val="28"/>
          <w:szCs w:val="32"/>
          <w:highlight w:val="none"/>
          <w:lang w:val="zh-CN"/>
        </w:rPr>
      </w:pPr>
      <w:bookmarkStart w:id="44" w:name="_Toc2538"/>
      <w:bookmarkStart w:id="45" w:name="_Toc16351"/>
      <w:r>
        <w:rPr>
          <w:rFonts w:hint="eastAsia" w:ascii="仿宋" w:hAnsi="仿宋" w:eastAsia="仿宋" w:cs="仿宋"/>
          <w:b/>
          <w:color w:val="auto"/>
          <w:kern w:val="2"/>
          <w:sz w:val="28"/>
          <w:szCs w:val="32"/>
          <w:highlight w:val="none"/>
          <w:lang w:val="zh-CN"/>
        </w:rPr>
        <w:t>十一、处罚、询问和质疑</w:t>
      </w:r>
      <w:bookmarkEnd w:id="44"/>
      <w:bookmarkEnd w:id="45"/>
      <w:r>
        <w:rPr>
          <w:rFonts w:hint="eastAsia" w:ascii="仿宋" w:hAnsi="仿宋" w:eastAsia="仿宋" w:cs="仿宋"/>
          <w:b/>
          <w:color w:val="auto"/>
          <w:kern w:val="2"/>
          <w:sz w:val="28"/>
          <w:szCs w:val="32"/>
          <w:highlight w:val="none"/>
          <w:lang w:val="zh-CN"/>
        </w:rPr>
        <w:t xml:space="preserve"> </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34.处罚</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34.1 发生下列情况之一，投标人的保证金不予退还；情节严重的将其列入不良记录名单。</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1）开标后在投标有效期内，投标人撤回其投标；</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2）中标后无正当理由不与采购人签订合同的；</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3）中标人与采购人订立背离合同实质性内容的其他协议；</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4）将中标项目转让给他人，或者在投标文件中未说明，且未经采购代理机构同意，将中标项目分包给他人的；</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5）存在串通投标行为的；</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6）存在弄虚作假或提供虚假材料谋取中标的；</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7）投标人其他未按招标文件规定和合同约定履行义务的行为。</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35．询问</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35.1 投标人对采购事项有疑问的，可以向采购人或采购代理机构提出询问。</w:t>
      </w:r>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36.投标人有权就招标事宜提出质疑</w:t>
      </w:r>
    </w:p>
    <w:p>
      <w:pPr>
        <w:snapToGrid w:val="0"/>
        <w:spacing w:line="360" w:lineRule="auto"/>
        <w:ind w:firstLine="480" w:firstLineChars="200"/>
        <w:rPr>
          <w:rFonts w:hint="eastAsia" w:ascii="仿宋" w:hAnsi="仿宋" w:eastAsia="仿宋" w:cs="仿宋"/>
          <w:b/>
          <w:bCs/>
          <w:color w:val="auto"/>
          <w:highlight w:val="none"/>
        </w:rPr>
      </w:pPr>
      <w:r>
        <w:rPr>
          <w:rFonts w:hint="eastAsia" w:ascii="仿宋" w:hAnsi="仿宋" w:eastAsia="仿宋" w:cs="仿宋"/>
          <w:color w:val="auto"/>
          <w:highlight w:val="none"/>
        </w:rPr>
        <w:t>36.1 投标人认为招标文件、采购过程和中标结果使自已的权益受到损害的，可以在知道或者应知其权益受到损害之日起7个工作日内，以书面形式提出质疑。</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36.2 质疑应当按照《中华人民共和国政府采购法》、《中华人民共和国政府采购法实施条例》、《政府采购投标人投诉处理办法》等法律法规的相关规定，以书面形式向采购代理机构提出。</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36.3 质疑书应当附上相关证明材料，否则质疑将视为无有效证据支持，将被予以驳回，并不得以上述理由要求延长质疑有效期。未递交投标文件的投标人，其未参加后续采购活动，不得对递交投标文件截止后的采购过程、采购结果提出质疑。</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36.4 质疑人可以采取直接送达或者邮寄方式提交质疑书。采购代理机构收到质疑书后，对质疑书进行审查，对符合质疑条件的将办理签收手续，自签收质疑书之日起即为受理。</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36.5 采购代理机构将在受理书面质疑后7个工作日内审查质疑事项，作出答复或相关处理决定，并以书面形式通知质疑人和其他相关投标人，但答复的内容不涉及商业秘密。</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36.6 投标人进行虚假和恶意质疑的，采购代理机构将提请有关部门将其列入不良记录名单，在一至三年内禁止参加政府采购活动，并将处理决定在相关政府采购媒体上公布。</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36.7 质疑人对答复不满意以及采购代理机构未在规定的时间内作出答复的，可以在答复期满后15个工作日内向财政部门投拆。</w:t>
      </w:r>
    </w:p>
    <w:p>
      <w:pPr>
        <w:pStyle w:val="16"/>
        <w:rPr>
          <w:color w:val="auto"/>
          <w:highlight w:val="none"/>
        </w:rPr>
      </w:pPr>
    </w:p>
    <w:p>
      <w:pPr>
        <w:snapToGrid w:val="0"/>
        <w:spacing w:line="360" w:lineRule="auto"/>
        <w:jc w:val="center"/>
        <w:rPr>
          <w:rFonts w:hint="eastAsia" w:ascii="仿宋" w:hAnsi="仿宋" w:eastAsia="仿宋" w:cs="仿宋"/>
          <w:b/>
          <w:color w:val="auto"/>
          <w:kern w:val="2"/>
          <w:sz w:val="28"/>
          <w:szCs w:val="32"/>
          <w:highlight w:val="none"/>
        </w:rPr>
      </w:pPr>
      <w:bookmarkStart w:id="46" w:name="_Toc3580"/>
      <w:bookmarkStart w:id="47" w:name="_Toc15729"/>
      <w:r>
        <w:rPr>
          <w:rFonts w:hint="eastAsia" w:ascii="仿宋" w:hAnsi="仿宋" w:eastAsia="仿宋" w:cs="仿宋"/>
          <w:b/>
          <w:color w:val="auto"/>
          <w:kern w:val="2"/>
          <w:sz w:val="28"/>
          <w:szCs w:val="32"/>
          <w:highlight w:val="none"/>
          <w:lang w:val="zh-CN"/>
        </w:rPr>
        <w:t>十二、保密和披露</w:t>
      </w:r>
      <w:bookmarkEnd w:id="46"/>
      <w:bookmarkEnd w:id="47"/>
    </w:p>
    <w:p>
      <w:pPr>
        <w:snapToGrid w:val="0"/>
        <w:spacing w:line="360" w:lineRule="auto"/>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37.保密和披露</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37.1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37.2 采购代理机构有权将投标人提供的所有资料向有关政府部门或评审标书的有关人员披露。</w:t>
      </w:r>
    </w:p>
    <w:p>
      <w:pPr>
        <w:snapToGrid w:val="0"/>
        <w:spacing w:line="360" w:lineRule="auto"/>
        <w:ind w:firstLine="480" w:firstLineChars="200"/>
        <w:rPr>
          <w:rFonts w:hint="eastAsia" w:ascii="仿宋" w:hAnsi="仿宋" w:eastAsia="仿宋" w:cs="仿宋"/>
          <w:color w:val="auto"/>
          <w:highlight w:val="none"/>
        </w:rPr>
        <w:sectPr>
          <w:footerReference r:id="rId9" w:type="first"/>
          <w:footerReference r:id="rId8" w:type="default"/>
          <w:pgSz w:w="11906" w:h="16838"/>
          <w:pgMar w:top="1440" w:right="1797" w:bottom="1440" w:left="1797" w:header="851" w:footer="992" w:gutter="0"/>
          <w:cols w:space="720" w:num="1"/>
          <w:titlePg/>
          <w:docGrid w:type="lines" w:linePitch="312" w:charSpace="0"/>
        </w:sectPr>
      </w:pPr>
      <w:r>
        <w:rPr>
          <w:rFonts w:hint="eastAsia" w:ascii="仿宋" w:hAnsi="仿宋" w:eastAsia="仿宋" w:cs="仿宋"/>
          <w:color w:val="auto"/>
          <w:highlight w:val="none"/>
        </w:rPr>
        <w:t>37.3 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pPr>
        <w:pageBreakBefore/>
        <w:snapToGrid w:val="0"/>
        <w:spacing w:line="360" w:lineRule="auto"/>
        <w:jc w:val="center"/>
        <w:outlineLvl w:val="0"/>
        <w:rPr>
          <w:rFonts w:hint="eastAsia" w:ascii="仿宋" w:hAnsi="仿宋" w:eastAsia="仿宋" w:cs="仿宋"/>
          <w:b/>
          <w:bCs/>
          <w:color w:val="auto"/>
          <w:sz w:val="32"/>
          <w:szCs w:val="32"/>
          <w:highlight w:val="none"/>
        </w:rPr>
      </w:pPr>
      <w:bookmarkStart w:id="48" w:name="_Toc13352"/>
      <w:r>
        <w:rPr>
          <w:rFonts w:hint="eastAsia" w:ascii="仿宋" w:hAnsi="仿宋" w:eastAsia="仿宋" w:cs="仿宋"/>
          <w:b/>
          <w:bCs/>
          <w:color w:val="auto"/>
          <w:sz w:val="32"/>
          <w:szCs w:val="32"/>
          <w:highlight w:val="none"/>
        </w:rPr>
        <w:t>第三章  评审办法（综合评分法）</w:t>
      </w:r>
      <w:bookmarkEnd w:id="20"/>
      <w:bookmarkEnd w:id="21"/>
      <w:bookmarkEnd w:id="22"/>
      <w:bookmarkEnd w:id="23"/>
      <w:bookmarkEnd w:id="24"/>
      <w:bookmarkEnd w:id="25"/>
      <w:bookmarkEnd w:id="26"/>
      <w:bookmarkEnd w:id="27"/>
      <w:bookmarkEnd w:id="28"/>
      <w:bookmarkEnd w:id="48"/>
    </w:p>
    <w:p>
      <w:pPr>
        <w:snapToGrid w:val="0"/>
        <w:spacing w:line="40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一、评标方法：</w:t>
      </w:r>
      <w:r>
        <w:rPr>
          <w:rFonts w:hint="eastAsia" w:ascii="仿宋" w:hAnsi="仿宋" w:eastAsia="仿宋" w:cs="仿宋"/>
          <w:color w:val="auto"/>
          <w:highlight w:val="none"/>
        </w:rPr>
        <w:t>本项目采用综合评估法。</w:t>
      </w:r>
      <w:bookmarkStart w:id="49" w:name="_Toc188469662"/>
    </w:p>
    <w:p>
      <w:pPr>
        <w:snapToGrid w:val="0"/>
        <w:spacing w:line="400" w:lineRule="exact"/>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二、评标流程：</w:t>
      </w:r>
      <w:r>
        <w:rPr>
          <w:rFonts w:hint="eastAsia" w:ascii="仿宋" w:hAnsi="仿宋" w:eastAsia="仿宋" w:cs="仿宋"/>
          <w:color w:val="auto"/>
          <w:highlight w:val="none"/>
        </w:rPr>
        <w:t>评标委员会根据本评标办法对已接收的投标文件进行评审，向招标人提供评标排序结果，撰写评标报告，由招标人最终确定中标人。</w:t>
      </w:r>
      <w:bookmarkEnd w:id="49"/>
    </w:p>
    <w:p>
      <w:pPr>
        <w:snapToGrid w:val="0"/>
        <w:spacing w:line="400" w:lineRule="exact"/>
        <w:ind w:firstLine="482" w:firstLineChars="200"/>
        <w:rPr>
          <w:rFonts w:hint="eastAsia" w:ascii="仿宋" w:hAnsi="仿宋" w:eastAsia="仿宋" w:cs="仿宋"/>
          <w:b/>
          <w:bCs/>
          <w:color w:val="auto"/>
          <w:highlight w:val="none"/>
        </w:rPr>
      </w:pPr>
      <w:bookmarkStart w:id="50" w:name="_Toc188469663"/>
      <w:r>
        <w:rPr>
          <w:rFonts w:hint="eastAsia" w:ascii="仿宋" w:hAnsi="仿宋" w:eastAsia="仿宋" w:cs="仿宋"/>
          <w:b/>
          <w:bCs/>
          <w:color w:val="auto"/>
          <w:highlight w:val="none"/>
        </w:rPr>
        <w:t>三、评标程序</w:t>
      </w:r>
      <w:bookmarkEnd w:id="50"/>
      <w:r>
        <w:rPr>
          <w:rFonts w:hint="eastAsia" w:ascii="仿宋" w:hAnsi="仿宋" w:eastAsia="仿宋" w:cs="仿宋"/>
          <w:b/>
          <w:bCs/>
          <w:color w:val="auto"/>
          <w:highlight w:val="none"/>
        </w:rPr>
        <w:t>：</w:t>
      </w:r>
      <w:r>
        <w:rPr>
          <w:rFonts w:hint="eastAsia" w:ascii="仿宋" w:hAnsi="仿宋" w:eastAsia="仿宋" w:cs="仿宋"/>
          <w:color w:val="auto"/>
          <w:highlight w:val="none"/>
        </w:rPr>
        <w:t>评标程序分为资格审查、符合性评审（初步评审）、详细评审、综合评分并提出评审意见。</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1．资格审查</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 采购人或者采购代理机构对招标文件中要求的资质文件系统地进行审查，确定合格投标人。</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 只有通过资格审查合格的投标人才能进入下一阶段的评审。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2、符合性评审（初步评审）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2.1 评标委员会将首先审查投标文件是否完整，有无计算上的错误，文件签署是否合格，投标文件的总体编排是否有序。</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 其次审查投标文件是否实质上响应了招标文件的要求。实质上响应的投标是指与招标文件提出的实质性要求和条件相符，包括招标项目的技术要求、对投标人的资格要求、投标报价要求以及合同的主要条款。</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2.3 对投标文件的符合性评审应遵循以下原则：</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2.3.1 文字表示的数值与数字表示的数值不一致，以文字表示的值为准。</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2.3.2 如果投标文件实质上没有响应招标文件的要求，评标委员会可以予以拒绝。投标人不得通过修正或撤消不合要求的偏离或保留从而使其投标成为实质上响应的投标，对于投标文件中不构成实质性偏差的小的不正规、不一致或不规则，评标委员会可以接受，但这种接受不能损害或影响任何投标人的相对排序。</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3、详细评审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 评标委员会只对初审合格的投标文件进行详细评审。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3.2 评标委员会对投标文件进行技术、商务详细评审。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3.3 评标委员会质询，投标单位答疑，澄清有关问题。</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3.4 评标委员会可以要求投标人对其投标文件进行澄清，有关澄清的要求和答复应以书面形式提交。</w:t>
      </w:r>
    </w:p>
    <w:p>
      <w:pPr>
        <w:pStyle w:val="6"/>
        <w:adjustRightInd w:val="0"/>
        <w:snapToGrid w:val="0"/>
        <w:spacing w:before="0"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评标委员会按照评分标准进行综合评分并提出评审意见。</w:t>
      </w:r>
    </w:p>
    <w:p>
      <w:pPr>
        <w:numPr>
          <w:ilvl w:val="0"/>
          <w:numId w:val="2"/>
        </w:numP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定标原则</w:t>
      </w:r>
    </w:p>
    <w:p>
      <w:pPr>
        <w:pStyle w:val="4"/>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综合评分法的采购项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pageBreakBefore/>
        <w:spacing w:line="360" w:lineRule="auto"/>
        <w:ind w:firstLine="562" w:firstLineChars="200"/>
        <w:jc w:val="center"/>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《资格审查标准》</w:t>
      </w:r>
    </w:p>
    <w:tbl>
      <w:tblPr>
        <w:tblStyle w:val="20"/>
        <w:tblW w:w="5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3553"/>
        <w:gridCol w:w="5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37" w:type="pct"/>
            <w:vAlign w:val="center"/>
          </w:tcPr>
          <w:p>
            <w:pPr>
              <w:snapToGrid w:val="0"/>
              <w:rPr>
                <w:rFonts w:hint="eastAsia" w:ascii="仿宋" w:hAnsi="仿宋" w:eastAsia="仿宋" w:cs="仿宋_GB2312"/>
                <w:bCs/>
                <w:color w:val="auto"/>
                <w:sz w:val="21"/>
                <w:szCs w:val="21"/>
                <w:highlight w:val="none"/>
              </w:rPr>
            </w:pPr>
            <w:r>
              <w:rPr>
                <w:rFonts w:hint="eastAsia" w:ascii="仿宋" w:hAnsi="仿宋" w:eastAsia="仿宋" w:cs="仿宋_GB2312"/>
                <w:b/>
                <w:color w:val="auto"/>
                <w:sz w:val="21"/>
                <w:szCs w:val="21"/>
                <w:highlight w:val="none"/>
              </w:rPr>
              <w:t>序号</w:t>
            </w:r>
          </w:p>
        </w:tc>
        <w:tc>
          <w:tcPr>
            <w:tcW w:w="1866" w:type="pct"/>
            <w:vAlign w:val="center"/>
          </w:tcPr>
          <w:p>
            <w:pPr>
              <w:pStyle w:val="33"/>
              <w:adjustRightInd w:val="0"/>
              <w:snapToGrid w:val="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审查要求</w:t>
            </w:r>
          </w:p>
        </w:tc>
        <w:tc>
          <w:tcPr>
            <w:tcW w:w="2896" w:type="pct"/>
            <w:vAlign w:val="center"/>
          </w:tcPr>
          <w:p>
            <w:pPr>
              <w:pStyle w:val="33"/>
              <w:adjustRightInd w:val="0"/>
              <w:snapToGrid w:val="0"/>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审查内容和审查标准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7" w:type="pct"/>
            <w:vAlign w:val="center"/>
          </w:tcPr>
          <w:p>
            <w:pPr>
              <w:snapToGrid w:val="0"/>
              <w:jc w:val="center"/>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1</w:t>
            </w:r>
          </w:p>
        </w:tc>
        <w:tc>
          <w:tcPr>
            <w:tcW w:w="1866" w:type="pct"/>
            <w:vAlign w:val="center"/>
          </w:tcPr>
          <w:p>
            <w:pPr>
              <w:pStyle w:val="33"/>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具有独立承担民事责任的能力</w:t>
            </w:r>
          </w:p>
        </w:tc>
        <w:tc>
          <w:tcPr>
            <w:tcW w:w="2896" w:type="pct"/>
            <w:vAlign w:val="center"/>
          </w:tcPr>
          <w:p>
            <w:pPr>
              <w:pStyle w:val="33"/>
              <w:adjustRightInd w:val="0"/>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为企业（包括合伙企业）的，应提供有效的“营业执照”；投标人是非企业机构的，应提供有效的“执业许可证”、“登记证书”等证明文件;投标人是个体工商户的，应提供有效的“个体工商户营业执照”；投标人是自然人的，应提供有效的自然人身份证明。”（上述资料须复印件加盖印章）</w:t>
            </w:r>
          </w:p>
          <w:p>
            <w:pPr>
              <w:pStyle w:val="33"/>
              <w:adjustRightInd w:val="0"/>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分支机构参加投标的，应提供该分支机构或其所属法人/其他组织的相应证明文件；同时还应提供其所属法人/其他组织出具的授权其参与本项目的授权书（格式自拟，须加盖其所属法人/其他组织的印章）；对于银行、保险、石油石化、电力、电信等行业的分支机构，可以提供上述授权，也可以提供其所属法人/其他组织的有关文件或制度等能够证明授权其独立开展业务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37" w:type="pct"/>
            <w:vAlign w:val="center"/>
          </w:tcPr>
          <w:p>
            <w:pPr>
              <w:snapToGrid w:val="0"/>
              <w:jc w:val="center"/>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2</w:t>
            </w:r>
          </w:p>
        </w:tc>
        <w:tc>
          <w:tcPr>
            <w:tcW w:w="1866" w:type="pct"/>
            <w:vAlign w:val="center"/>
          </w:tcPr>
          <w:p>
            <w:pPr>
              <w:pStyle w:val="33"/>
              <w:adjustRightInd w:val="0"/>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具有良好的商业信誉和健全的财务会计制度</w:t>
            </w:r>
          </w:p>
        </w:tc>
        <w:tc>
          <w:tcPr>
            <w:tcW w:w="2896" w:type="pct"/>
            <w:vAlign w:val="center"/>
          </w:tcPr>
          <w:p>
            <w:pPr>
              <w:pStyle w:val="33"/>
              <w:adjustRightInd w:val="0"/>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须提供本单位上一年度（2024年度或2025年度）由会计师事务所出具的财务审计报告或财务报表（财务报表至少包含资产负债表、利润表、现金流量表或财务状况变动表等）或提供开标日前三个月内银行出具的资信证明；（投标人成立不足一年的提供截止开标前近3个月任意一个月的财务报表和截止开标前近1个月基本开户银行出具的资信证明；另：部分其他组织或自然人，没有经审计的财务报告，应当提供截止开标前近3个月的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37" w:type="pct"/>
            <w:vAlign w:val="center"/>
          </w:tcPr>
          <w:p>
            <w:pPr>
              <w:snapToGrid w:val="0"/>
              <w:jc w:val="center"/>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3</w:t>
            </w:r>
          </w:p>
        </w:tc>
        <w:tc>
          <w:tcPr>
            <w:tcW w:w="1866" w:type="pct"/>
            <w:vAlign w:val="center"/>
          </w:tcPr>
          <w:p>
            <w:pPr>
              <w:pStyle w:val="33"/>
              <w:adjustRightInd w:val="0"/>
              <w:snapToGrid w:val="0"/>
              <w:jc w:val="center"/>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具有履行合同所必需的设备和专业技术能力</w:t>
            </w:r>
          </w:p>
        </w:tc>
        <w:tc>
          <w:tcPr>
            <w:tcW w:w="2896" w:type="pct"/>
            <w:vAlign w:val="center"/>
          </w:tcPr>
          <w:p>
            <w:pPr>
              <w:pStyle w:val="33"/>
              <w:adjustRightInd w:val="0"/>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须提供具备履行合同所必需的设备和专业技术能力的证明材料或承诺书；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 w:type="pct"/>
            <w:vAlign w:val="center"/>
          </w:tcPr>
          <w:p>
            <w:pPr>
              <w:snapToGrid w:val="0"/>
              <w:jc w:val="center"/>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4</w:t>
            </w:r>
          </w:p>
        </w:tc>
        <w:tc>
          <w:tcPr>
            <w:tcW w:w="1866" w:type="pct"/>
            <w:vAlign w:val="center"/>
          </w:tcPr>
          <w:p>
            <w:pPr>
              <w:pStyle w:val="18"/>
              <w:widowControl/>
              <w:adjustRightInd w:val="0"/>
              <w:snapToGrid w:val="0"/>
              <w:spacing w:before="0" w:beforeAutospacing="0" w:after="0" w:afterAutospacing="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有依法缴纳税收和依法缴纳社会保障资金的记录</w:t>
            </w:r>
          </w:p>
        </w:tc>
        <w:tc>
          <w:tcPr>
            <w:tcW w:w="2896" w:type="pct"/>
            <w:vAlign w:val="center"/>
          </w:tcPr>
          <w:p>
            <w:pPr>
              <w:pStyle w:val="18"/>
              <w:widowControl/>
              <w:adjustRightInd w:val="0"/>
              <w:snapToGrid w:val="0"/>
              <w:spacing w:before="0" w:beforeAutospacing="0" w:after="0" w:afterAutospacing="0"/>
              <w:jc w:val="both"/>
              <w:rPr>
                <w:rFonts w:hint="eastAsia" w:ascii="仿宋" w:hAnsi="仿宋" w:eastAsia="仿宋" w:cs="宋体"/>
                <w:color w:val="auto"/>
                <w:sz w:val="21"/>
                <w:szCs w:val="21"/>
                <w:highlight w:val="none"/>
              </w:rPr>
            </w:pPr>
            <w:r>
              <w:rPr>
                <w:rFonts w:hint="eastAsia" w:ascii="仿宋" w:hAnsi="仿宋" w:eastAsia="仿宋" w:cs="仿宋"/>
                <w:color w:val="auto"/>
                <w:sz w:val="21"/>
                <w:szCs w:val="21"/>
                <w:highlight w:val="none"/>
              </w:rPr>
              <w:t>须提供投标文件递交截止日期之前6个月内任意一个月的完税证明及缴纳社保记录；（依法免税、依法不需要缴纳社会保障资金的应提供相应文件说明）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 w:type="pct"/>
            <w:vAlign w:val="center"/>
          </w:tcPr>
          <w:p>
            <w:pPr>
              <w:snapToGrid w:val="0"/>
              <w:jc w:val="center"/>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5</w:t>
            </w:r>
          </w:p>
        </w:tc>
        <w:tc>
          <w:tcPr>
            <w:tcW w:w="1866" w:type="pct"/>
            <w:vAlign w:val="center"/>
          </w:tcPr>
          <w:p>
            <w:pPr>
              <w:pStyle w:val="18"/>
              <w:widowControl/>
              <w:adjustRightInd w:val="0"/>
              <w:snapToGrid w:val="0"/>
              <w:spacing w:before="0" w:beforeAutospacing="0" w:after="0" w:afterAutospacing="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参加政府采购活动前三年内，在经营活动中没有重大违法记录</w:t>
            </w:r>
          </w:p>
        </w:tc>
        <w:tc>
          <w:tcPr>
            <w:tcW w:w="2896" w:type="pct"/>
            <w:vAlign w:val="center"/>
          </w:tcPr>
          <w:p>
            <w:pPr>
              <w:pStyle w:val="18"/>
              <w:widowControl/>
              <w:adjustRightInd w:val="0"/>
              <w:snapToGrid w:val="0"/>
              <w:spacing w:before="0" w:beforeAutospacing="0" w:after="0" w:afterAutospacing="0"/>
              <w:jc w:val="both"/>
              <w:rPr>
                <w:rFonts w:hint="eastAsia" w:ascii="仿宋" w:hAnsi="仿宋" w:eastAsia="仿宋" w:cs="宋体"/>
                <w:color w:val="auto"/>
                <w:sz w:val="21"/>
                <w:szCs w:val="21"/>
                <w:highlight w:val="none"/>
              </w:rPr>
            </w:pPr>
            <w:r>
              <w:rPr>
                <w:rFonts w:hint="eastAsia" w:ascii="仿宋" w:hAnsi="仿宋" w:eastAsia="仿宋" w:cs="仿宋"/>
                <w:color w:val="auto"/>
                <w:sz w:val="21"/>
                <w:szCs w:val="21"/>
                <w:highlight w:val="none"/>
              </w:rPr>
              <w:t>须提供投标人声明函原件扫描件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 w:type="pct"/>
            <w:vAlign w:val="center"/>
          </w:tcPr>
          <w:p>
            <w:pPr>
              <w:snapToGrid w:val="0"/>
              <w:jc w:val="center"/>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6</w:t>
            </w:r>
          </w:p>
        </w:tc>
        <w:tc>
          <w:tcPr>
            <w:tcW w:w="1866" w:type="pct"/>
            <w:vAlign w:val="center"/>
          </w:tcPr>
          <w:p>
            <w:pPr>
              <w:pStyle w:val="18"/>
              <w:widowControl/>
              <w:adjustRightInd w:val="0"/>
              <w:snapToGrid w:val="0"/>
              <w:spacing w:before="0" w:beforeAutospacing="0" w:after="0" w:afterAutospacing="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专门面向中小微企业</w:t>
            </w:r>
          </w:p>
        </w:tc>
        <w:tc>
          <w:tcPr>
            <w:tcW w:w="2896" w:type="pct"/>
            <w:vAlign w:val="center"/>
          </w:tcPr>
          <w:p>
            <w:pPr>
              <w:pStyle w:val="18"/>
              <w:widowControl/>
              <w:adjustRightInd w:val="0"/>
              <w:snapToGrid w:val="0"/>
              <w:spacing w:before="0" w:beforeAutospacing="0" w:after="0" w:afterAutospacing="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提供有效的中小企业声明函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37" w:type="pct"/>
            <w:vAlign w:val="center"/>
          </w:tcPr>
          <w:p>
            <w:pPr>
              <w:snapToGrid w:val="0"/>
              <w:jc w:val="center"/>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7</w:t>
            </w:r>
          </w:p>
        </w:tc>
        <w:tc>
          <w:tcPr>
            <w:tcW w:w="1866" w:type="pct"/>
            <w:vAlign w:val="center"/>
          </w:tcPr>
          <w:p>
            <w:pPr>
              <w:pStyle w:val="18"/>
              <w:widowControl/>
              <w:adjustRightInd w:val="0"/>
              <w:snapToGrid w:val="0"/>
              <w:spacing w:before="0" w:beforeAutospacing="0" w:after="0" w:afterAutospacing="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说明：（A）与采购人存在利害关系可能影响采购公正性的法人、其他组织或者个人，不得参加本次采购活动。（B）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c>
          <w:tcPr>
            <w:tcW w:w="2896" w:type="pct"/>
            <w:vAlign w:val="center"/>
          </w:tcPr>
          <w:p>
            <w:pPr>
              <w:pStyle w:val="18"/>
              <w:widowControl/>
              <w:adjustRightInd w:val="0"/>
              <w:snapToGrid w:val="0"/>
              <w:spacing w:before="0" w:beforeAutospacing="0" w:after="0" w:afterAutospacing="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须提供投标人声明函原件扫描件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237" w:type="pct"/>
            <w:vAlign w:val="center"/>
          </w:tcPr>
          <w:p>
            <w:pPr>
              <w:snapToGrid w:val="0"/>
              <w:jc w:val="center"/>
              <w:rPr>
                <w:rFonts w:hint="eastAsia" w:ascii="仿宋" w:hAnsi="仿宋" w:eastAsia="仿宋" w:cs="仿宋_GB2312"/>
                <w:color w:val="auto"/>
                <w:sz w:val="21"/>
                <w:szCs w:val="21"/>
                <w:highlight w:val="none"/>
              </w:rPr>
            </w:pPr>
            <w:r>
              <w:rPr>
                <w:rFonts w:hint="eastAsia" w:ascii="仿宋" w:hAnsi="仿宋" w:eastAsia="仿宋" w:cs="仿宋_GB2312"/>
                <w:color w:val="auto"/>
                <w:sz w:val="21"/>
                <w:szCs w:val="21"/>
                <w:highlight w:val="none"/>
              </w:rPr>
              <w:t>8</w:t>
            </w:r>
          </w:p>
        </w:tc>
        <w:tc>
          <w:tcPr>
            <w:tcW w:w="1866" w:type="pct"/>
            <w:vAlign w:val="center"/>
          </w:tcPr>
          <w:p>
            <w:pPr>
              <w:pStyle w:val="18"/>
              <w:widowControl/>
              <w:wordWrap w:val="0"/>
              <w:adjustRightInd w:val="0"/>
              <w:snapToGrid w:val="0"/>
              <w:spacing w:before="0" w:beforeAutospacing="0" w:after="0" w:afterAutospacing="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在“信用中国”（www.creditchina.gov.cn）和中国政府采购网（www.ccgp.gov.cn）网站上未被列入失信被执行人、重大税收违法案件当事人名单以及政府采购严重违法失信行为记录名单（查询时间为自公告发布之日后）</w:t>
            </w:r>
          </w:p>
        </w:tc>
        <w:tc>
          <w:tcPr>
            <w:tcW w:w="2896" w:type="pct"/>
            <w:vAlign w:val="center"/>
          </w:tcPr>
          <w:p>
            <w:pPr>
              <w:pStyle w:val="18"/>
              <w:widowControl/>
              <w:adjustRightInd w:val="0"/>
              <w:snapToGrid w:val="0"/>
              <w:spacing w:before="0" w:beforeAutospacing="0" w:after="0" w:afterAutospacing="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提供查询结果的网页打印页作为查询记录和证据，与其他采购文件一并保存。查询结果以采购人或采购代理机构查询结果为准。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jc w:val="center"/>
        </w:trPr>
        <w:tc>
          <w:tcPr>
            <w:tcW w:w="5000" w:type="pct"/>
            <w:gridSpan w:val="3"/>
            <w:vAlign w:val="center"/>
          </w:tcPr>
          <w:p>
            <w:pPr>
              <w:snapToGrid w:val="0"/>
              <w:rPr>
                <w:rFonts w:hint="eastAsia" w:ascii="仿宋" w:hAnsi="仿宋" w:eastAsia="仿宋" w:cs="宋体"/>
                <w:color w:val="auto"/>
                <w:sz w:val="21"/>
                <w:szCs w:val="21"/>
                <w:highlight w:val="none"/>
              </w:rPr>
            </w:pPr>
            <w:r>
              <w:rPr>
                <w:rFonts w:hint="eastAsia" w:ascii="仿宋" w:hAnsi="仿宋" w:eastAsia="仿宋" w:cs="宋体"/>
                <w:color w:val="auto"/>
                <w:sz w:val="21"/>
                <w:szCs w:val="21"/>
                <w:highlight w:val="none"/>
              </w:rPr>
              <w:t>注：以上审查资料必须按要求提供，未按要求提供资料的投标人以及资格评审中有一项不满足审查标准的，采购人或者采购代理机构应当认定该投标人不通过资格审查，不得进入下一阶段评审。如果造成投标人不足三个的，则认定本次招标的投标人数量没有竞争力，宣布本次招标失败。采购人将重新组织招标活动。</w:t>
            </w:r>
          </w:p>
        </w:tc>
      </w:tr>
    </w:tbl>
    <w:p>
      <w:pPr>
        <w:pageBreakBefore/>
        <w:spacing w:line="360" w:lineRule="auto"/>
        <w:ind w:firstLine="562" w:firstLineChars="200"/>
        <w:jc w:val="center"/>
        <w:rPr>
          <w:rFonts w:hint="eastAsia" w:ascii="仿宋" w:hAnsi="仿宋" w:eastAsia="仿宋" w:cs="仿宋_GB2312"/>
          <w:b/>
          <w:color w:val="auto"/>
          <w:sz w:val="28"/>
          <w:szCs w:val="28"/>
          <w:highlight w:val="none"/>
        </w:rPr>
      </w:pPr>
      <w:r>
        <w:rPr>
          <w:rFonts w:hint="eastAsia" w:ascii="仿宋" w:hAnsi="仿宋" w:eastAsia="仿宋"/>
          <w:b/>
          <w:bCs/>
          <w:color w:val="auto"/>
          <w:sz w:val="28"/>
          <w:szCs w:val="28"/>
          <w:highlight w:val="none"/>
        </w:rPr>
        <w:t>初步评审-《符合性审查》</w:t>
      </w:r>
    </w:p>
    <w:tbl>
      <w:tblPr>
        <w:tblStyle w:val="20"/>
        <w:tblW w:w="95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71"/>
        <w:gridCol w:w="625"/>
        <w:gridCol w:w="1421"/>
        <w:gridCol w:w="5780"/>
        <w:gridCol w:w="639"/>
        <w:gridCol w:w="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6" w:type="dxa"/>
            <w:gridSpan w:val="2"/>
            <w:vMerge w:val="restart"/>
            <w:vAlign w:val="center"/>
          </w:tcPr>
          <w:p>
            <w:pPr>
              <w:autoSpaceDE/>
              <w:autoSpaceDN/>
              <w:adjustRightInd/>
              <w:jc w:val="center"/>
              <w:rPr>
                <w:rFonts w:hint="eastAsia" w:ascii="仿宋" w:hAnsi="仿宋" w:eastAsia="仿宋" w:cs="仿宋"/>
                <w:b/>
                <w:bCs/>
                <w:color w:val="auto"/>
                <w:sz w:val="21"/>
                <w:szCs w:val="21"/>
                <w:highlight w:val="none"/>
              </w:rPr>
            </w:pPr>
            <w:bookmarkStart w:id="51" w:name="EBf97f626d7f2349dc98726a51f37130cf"/>
            <w:r>
              <w:rPr>
                <w:rFonts w:hint="eastAsia" w:ascii="仿宋" w:hAnsi="仿宋" w:eastAsia="仿宋" w:cs="仿宋"/>
                <w:b/>
                <w:bCs/>
                <w:color w:val="auto"/>
                <w:sz w:val="21"/>
                <w:szCs w:val="21"/>
                <w:highlight w:val="none"/>
              </w:rPr>
              <w:t>评分因素</w:t>
            </w:r>
          </w:p>
        </w:tc>
        <w:tc>
          <w:tcPr>
            <w:tcW w:w="1421" w:type="dxa"/>
            <w:vMerge w:val="restart"/>
            <w:vAlign w:val="center"/>
          </w:tcPr>
          <w:p>
            <w:pPr>
              <w:autoSpaceDE/>
              <w:autoSpaceDN/>
              <w:adjustRightInd/>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评分点</w:t>
            </w:r>
          </w:p>
        </w:tc>
        <w:tc>
          <w:tcPr>
            <w:tcW w:w="5780" w:type="dxa"/>
            <w:vMerge w:val="restart"/>
            <w:vAlign w:val="center"/>
          </w:tcPr>
          <w:p>
            <w:pPr>
              <w:autoSpaceDE/>
              <w:autoSpaceDN/>
              <w:adjustRightInd/>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评分标准</w:t>
            </w:r>
          </w:p>
        </w:tc>
        <w:tc>
          <w:tcPr>
            <w:tcW w:w="1297" w:type="dxa"/>
            <w:gridSpan w:val="2"/>
            <w:vAlign w:val="center"/>
          </w:tcPr>
          <w:p>
            <w:pPr>
              <w:autoSpaceDE/>
              <w:autoSpaceDN/>
              <w:adjustRightInd/>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36" w:hRule="atLeast"/>
          <w:jc w:val="center"/>
        </w:trPr>
        <w:tc>
          <w:tcPr>
            <w:tcW w:w="1096" w:type="dxa"/>
            <w:gridSpan w:val="2"/>
            <w:vMerge w:val="continue"/>
            <w:vAlign w:val="center"/>
          </w:tcPr>
          <w:p>
            <w:pPr>
              <w:autoSpaceDE/>
              <w:autoSpaceDN/>
              <w:adjustRightInd/>
              <w:jc w:val="center"/>
              <w:rPr>
                <w:rFonts w:hint="eastAsia" w:ascii="仿宋" w:hAnsi="仿宋" w:eastAsia="仿宋" w:cs="仿宋"/>
                <w:b/>
                <w:bCs/>
                <w:color w:val="auto"/>
                <w:sz w:val="21"/>
                <w:szCs w:val="21"/>
                <w:highlight w:val="none"/>
              </w:rPr>
            </w:pPr>
          </w:p>
        </w:tc>
        <w:tc>
          <w:tcPr>
            <w:tcW w:w="1421" w:type="dxa"/>
            <w:vMerge w:val="continue"/>
            <w:vAlign w:val="center"/>
          </w:tcPr>
          <w:p>
            <w:pPr>
              <w:autoSpaceDE/>
              <w:autoSpaceDN/>
              <w:adjustRightInd/>
              <w:jc w:val="center"/>
              <w:rPr>
                <w:rFonts w:hint="eastAsia" w:ascii="仿宋" w:hAnsi="仿宋" w:eastAsia="仿宋" w:cs="仿宋"/>
                <w:b/>
                <w:bCs/>
                <w:color w:val="auto"/>
                <w:sz w:val="21"/>
                <w:szCs w:val="21"/>
                <w:highlight w:val="none"/>
              </w:rPr>
            </w:pPr>
          </w:p>
        </w:tc>
        <w:tc>
          <w:tcPr>
            <w:tcW w:w="5780" w:type="dxa"/>
            <w:vMerge w:val="continue"/>
            <w:vAlign w:val="center"/>
          </w:tcPr>
          <w:p>
            <w:pPr>
              <w:autoSpaceDE/>
              <w:autoSpaceDN/>
              <w:adjustRightInd/>
              <w:jc w:val="center"/>
              <w:rPr>
                <w:rFonts w:hint="eastAsia" w:ascii="仿宋" w:hAnsi="仿宋" w:eastAsia="仿宋" w:cs="仿宋"/>
                <w:b/>
                <w:bCs/>
                <w:color w:val="auto"/>
                <w:sz w:val="21"/>
                <w:szCs w:val="21"/>
                <w:highlight w:val="none"/>
              </w:rPr>
            </w:pPr>
          </w:p>
        </w:tc>
        <w:tc>
          <w:tcPr>
            <w:tcW w:w="639" w:type="dxa"/>
            <w:vAlign w:val="center"/>
          </w:tcPr>
          <w:p>
            <w:pPr>
              <w:autoSpaceDE/>
              <w:autoSpaceDN/>
              <w:adjustRightInd/>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是</w:t>
            </w:r>
          </w:p>
          <w:p>
            <w:pPr>
              <w:autoSpaceDE/>
              <w:autoSpaceDN/>
              <w:adjustRightInd/>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w:t>
            </w:r>
          </w:p>
        </w:tc>
        <w:tc>
          <w:tcPr>
            <w:tcW w:w="658" w:type="dxa"/>
            <w:vAlign w:val="center"/>
          </w:tcPr>
          <w:p>
            <w:pPr>
              <w:autoSpaceDE/>
              <w:autoSpaceDN/>
              <w:adjustRightInd/>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否</w:t>
            </w:r>
          </w:p>
          <w:p>
            <w:pPr>
              <w:autoSpaceDE/>
              <w:autoSpaceDN/>
              <w:adjustRightInd/>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1" w:hRule="atLeast"/>
          <w:jc w:val="center"/>
        </w:trPr>
        <w:tc>
          <w:tcPr>
            <w:tcW w:w="471" w:type="dxa"/>
            <w:vMerge w:val="restart"/>
            <w:vAlign w:val="center"/>
          </w:tcPr>
          <w:p>
            <w:pPr>
              <w:autoSpaceDE/>
              <w:autoSpaceDN/>
              <w:adjustRightInd/>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初步评审</w:t>
            </w:r>
          </w:p>
        </w:tc>
        <w:tc>
          <w:tcPr>
            <w:tcW w:w="625" w:type="dxa"/>
            <w:vMerge w:val="restart"/>
            <w:vAlign w:val="center"/>
          </w:tcPr>
          <w:p>
            <w:pPr>
              <w:autoSpaceDE/>
              <w:autoSpaceDN/>
              <w:adjustRightInd/>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符合性检查</w:t>
            </w:r>
          </w:p>
        </w:tc>
        <w:tc>
          <w:tcPr>
            <w:tcW w:w="1421" w:type="dxa"/>
            <w:vAlign w:val="center"/>
          </w:tcPr>
          <w:p>
            <w:pPr>
              <w:autoSpaceDE/>
              <w:autoSpaceDN/>
              <w:adjustRightInd/>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投标保证金</w:t>
            </w:r>
          </w:p>
        </w:tc>
        <w:tc>
          <w:tcPr>
            <w:tcW w:w="5780" w:type="dxa"/>
            <w:vAlign w:val="center"/>
          </w:tcPr>
          <w:p>
            <w:pPr>
              <w:autoSpaceDE/>
              <w:autoSpaceDN/>
              <w:adjustRightInd/>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按照招标文件的规定提交投标保证金的</w:t>
            </w:r>
          </w:p>
        </w:tc>
        <w:tc>
          <w:tcPr>
            <w:tcW w:w="639" w:type="dxa"/>
          </w:tcPr>
          <w:p>
            <w:pPr>
              <w:autoSpaceDE/>
              <w:autoSpaceDN/>
              <w:adjustRightInd/>
              <w:jc w:val="center"/>
              <w:rPr>
                <w:rFonts w:hint="eastAsia" w:ascii="仿宋" w:hAnsi="仿宋" w:eastAsia="仿宋" w:cs="仿宋"/>
                <w:b/>
                <w:bCs/>
                <w:color w:val="auto"/>
                <w:sz w:val="21"/>
                <w:szCs w:val="21"/>
                <w:highlight w:val="none"/>
              </w:rPr>
            </w:pPr>
          </w:p>
        </w:tc>
        <w:tc>
          <w:tcPr>
            <w:tcW w:w="658" w:type="dxa"/>
            <w:vAlign w:val="center"/>
          </w:tcPr>
          <w:p>
            <w:pPr>
              <w:autoSpaceDE/>
              <w:autoSpaceDN/>
              <w:adjustRightInd/>
              <w:jc w:val="center"/>
              <w:rPr>
                <w:rFonts w:hint="eastAsia" w:ascii="仿宋" w:hAnsi="仿宋" w:eastAsia="仿宋" w:cs="仿宋"/>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8" w:hRule="atLeast"/>
          <w:jc w:val="center"/>
        </w:trPr>
        <w:tc>
          <w:tcPr>
            <w:tcW w:w="471" w:type="dxa"/>
            <w:vMerge w:val="continue"/>
          </w:tcPr>
          <w:p>
            <w:pPr>
              <w:autoSpaceDE/>
              <w:autoSpaceDN/>
              <w:adjustRightInd/>
              <w:jc w:val="center"/>
              <w:rPr>
                <w:rFonts w:hint="eastAsia" w:ascii="仿宋" w:hAnsi="仿宋" w:eastAsia="仿宋" w:cs="仿宋"/>
                <w:b/>
                <w:bCs/>
                <w:color w:val="auto"/>
                <w:sz w:val="21"/>
                <w:szCs w:val="21"/>
                <w:highlight w:val="none"/>
              </w:rPr>
            </w:pPr>
          </w:p>
        </w:tc>
        <w:tc>
          <w:tcPr>
            <w:tcW w:w="625" w:type="dxa"/>
            <w:vMerge w:val="continue"/>
            <w:vAlign w:val="center"/>
          </w:tcPr>
          <w:p>
            <w:pPr>
              <w:autoSpaceDE/>
              <w:autoSpaceDN/>
              <w:adjustRightInd/>
              <w:jc w:val="center"/>
              <w:rPr>
                <w:rFonts w:hint="eastAsia" w:ascii="仿宋" w:hAnsi="仿宋" w:eastAsia="仿宋" w:cs="仿宋"/>
                <w:b/>
                <w:bCs/>
                <w:color w:val="auto"/>
                <w:sz w:val="21"/>
                <w:szCs w:val="21"/>
                <w:highlight w:val="none"/>
              </w:rPr>
            </w:pPr>
          </w:p>
        </w:tc>
        <w:tc>
          <w:tcPr>
            <w:tcW w:w="1421" w:type="dxa"/>
            <w:vAlign w:val="center"/>
          </w:tcPr>
          <w:p>
            <w:pPr>
              <w:autoSpaceDE/>
              <w:autoSpaceDN/>
              <w:adjustRightInd/>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投标有效期</w:t>
            </w:r>
          </w:p>
        </w:tc>
        <w:tc>
          <w:tcPr>
            <w:tcW w:w="5780" w:type="dxa"/>
            <w:vAlign w:val="center"/>
          </w:tcPr>
          <w:p>
            <w:pPr>
              <w:autoSpaceDE/>
              <w:autoSpaceDN/>
              <w:adjustRightInd/>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投标文件中承诺的投标有效期满足招标文件中的规定</w:t>
            </w:r>
          </w:p>
        </w:tc>
        <w:tc>
          <w:tcPr>
            <w:tcW w:w="639" w:type="dxa"/>
          </w:tcPr>
          <w:p>
            <w:pPr>
              <w:autoSpaceDE/>
              <w:autoSpaceDN/>
              <w:adjustRightInd/>
              <w:jc w:val="center"/>
              <w:rPr>
                <w:rFonts w:hint="eastAsia" w:ascii="仿宋" w:hAnsi="仿宋" w:eastAsia="仿宋" w:cs="仿宋"/>
                <w:b/>
                <w:bCs/>
                <w:color w:val="auto"/>
                <w:sz w:val="21"/>
                <w:szCs w:val="21"/>
                <w:highlight w:val="none"/>
              </w:rPr>
            </w:pPr>
          </w:p>
        </w:tc>
        <w:tc>
          <w:tcPr>
            <w:tcW w:w="658" w:type="dxa"/>
            <w:vAlign w:val="center"/>
          </w:tcPr>
          <w:p>
            <w:pPr>
              <w:autoSpaceDE/>
              <w:autoSpaceDN/>
              <w:adjustRightInd/>
              <w:jc w:val="center"/>
              <w:rPr>
                <w:rFonts w:hint="eastAsia" w:ascii="仿宋" w:hAnsi="仿宋" w:eastAsia="仿宋" w:cs="仿宋"/>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6" w:hRule="atLeast"/>
          <w:jc w:val="center"/>
        </w:trPr>
        <w:tc>
          <w:tcPr>
            <w:tcW w:w="471" w:type="dxa"/>
            <w:vMerge w:val="continue"/>
          </w:tcPr>
          <w:p>
            <w:pPr>
              <w:autoSpaceDE/>
              <w:autoSpaceDN/>
              <w:adjustRightInd/>
              <w:jc w:val="center"/>
              <w:rPr>
                <w:rFonts w:hint="eastAsia" w:ascii="仿宋" w:hAnsi="仿宋" w:eastAsia="仿宋" w:cs="仿宋"/>
                <w:b/>
                <w:bCs/>
                <w:color w:val="auto"/>
                <w:sz w:val="21"/>
                <w:szCs w:val="21"/>
                <w:highlight w:val="none"/>
              </w:rPr>
            </w:pPr>
          </w:p>
        </w:tc>
        <w:tc>
          <w:tcPr>
            <w:tcW w:w="625" w:type="dxa"/>
            <w:vMerge w:val="continue"/>
            <w:vAlign w:val="center"/>
          </w:tcPr>
          <w:p>
            <w:pPr>
              <w:autoSpaceDE/>
              <w:autoSpaceDN/>
              <w:adjustRightInd/>
              <w:jc w:val="center"/>
              <w:rPr>
                <w:rFonts w:hint="eastAsia" w:ascii="仿宋" w:hAnsi="仿宋" w:eastAsia="仿宋" w:cs="仿宋"/>
                <w:b/>
                <w:bCs/>
                <w:color w:val="auto"/>
                <w:sz w:val="21"/>
                <w:szCs w:val="21"/>
                <w:highlight w:val="none"/>
              </w:rPr>
            </w:pPr>
          </w:p>
        </w:tc>
        <w:tc>
          <w:tcPr>
            <w:tcW w:w="1421" w:type="dxa"/>
            <w:vAlign w:val="center"/>
          </w:tcPr>
          <w:p>
            <w:pPr>
              <w:autoSpaceDE/>
              <w:autoSpaceDN/>
              <w:adjustRightInd/>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合同履约期限</w:t>
            </w:r>
          </w:p>
        </w:tc>
        <w:tc>
          <w:tcPr>
            <w:tcW w:w="5780" w:type="dxa"/>
            <w:vAlign w:val="center"/>
          </w:tcPr>
          <w:p>
            <w:pPr>
              <w:autoSpaceDE/>
              <w:autoSpaceDN/>
              <w:adjustRightInd/>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投标文件中承诺的合同履约期限满足招标文件中的规定</w:t>
            </w:r>
          </w:p>
        </w:tc>
        <w:tc>
          <w:tcPr>
            <w:tcW w:w="639" w:type="dxa"/>
          </w:tcPr>
          <w:p>
            <w:pPr>
              <w:autoSpaceDE/>
              <w:autoSpaceDN/>
              <w:adjustRightInd/>
              <w:jc w:val="center"/>
              <w:rPr>
                <w:rFonts w:hint="eastAsia" w:ascii="仿宋" w:hAnsi="仿宋" w:eastAsia="仿宋" w:cs="仿宋"/>
                <w:b/>
                <w:bCs/>
                <w:color w:val="auto"/>
                <w:sz w:val="21"/>
                <w:szCs w:val="21"/>
                <w:highlight w:val="none"/>
              </w:rPr>
            </w:pPr>
          </w:p>
        </w:tc>
        <w:tc>
          <w:tcPr>
            <w:tcW w:w="658" w:type="dxa"/>
            <w:vAlign w:val="center"/>
          </w:tcPr>
          <w:p>
            <w:pPr>
              <w:autoSpaceDE/>
              <w:autoSpaceDN/>
              <w:adjustRightInd/>
              <w:jc w:val="center"/>
              <w:rPr>
                <w:rFonts w:hint="eastAsia" w:ascii="仿宋" w:hAnsi="仿宋" w:eastAsia="仿宋" w:cs="仿宋"/>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3" w:hRule="atLeast"/>
          <w:jc w:val="center"/>
        </w:trPr>
        <w:tc>
          <w:tcPr>
            <w:tcW w:w="471" w:type="dxa"/>
            <w:vMerge w:val="continue"/>
          </w:tcPr>
          <w:p>
            <w:pPr>
              <w:autoSpaceDE/>
              <w:autoSpaceDN/>
              <w:adjustRightInd/>
              <w:jc w:val="center"/>
              <w:rPr>
                <w:rFonts w:hint="eastAsia" w:ascii="仿宋" w:hAnsi="仿宋" w:eastAsia="仿宋" w:cs="仿宋"/>
                <w:b/>
                <w:bCs/>
                <w:color w:val="auto"/>
                <w:sz w:val="21"/>
                <w:szCs w:val="21"/>
                <w:highlight w:val="none"/>
              </w:rPr>
            </w:pPr>
          </w:p>
        </w:tc>
        <w:tc>
          <w:tcPr>
            <w:tcW w:w="625" w:type="dxa"/>
            <w:vMerge w:val="continue"/>
            <w:vAlign w:val="center"/>
          </w:tcPr>
          <w:p>
            <w:pPr>
              <w:autoSpaceDE/>
              <w:autoSpaceDN/>
              <w:adjustRightInd/>
              <w:jc w:val="center"/>
              <w:rPr>
                <w:rFonts w:hint="eastAsia" w:ascii="仿宋" w:hAnsi="仿宋" w:eastAsia="仿宋" w:cs="仿宋"/>
                <w:b/>
                <w:bCs/>
                <w:color w:val="auto"/>
                <w:sz w:val="21"/>
                <w:szCs w:val="21"/>
                <w:highlight w:val="none"/>
              </w:rPr>
            </w:pPr>
          </w:p>
        </w:tc>
        <w:tc>
          <w:tcPr>
            <w:tcW w:w="1421" w:type="dxa"/>
            <w:vAlign w:val="center"/>
          </w:tcPr>
          <w:p>
            <w:pPr>
              <w:autoSpaceDE/>
              <w:autoSpaceDN/>
              <w:adjustRightInd/>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投标文件签署、盖章</w:t>
            </w:r>
          </w:p>
        </w:tc>
        <w:tc>
          <w:tcPr>
            <w:tcW w:w="5780" w:type="dxa"/>
            <w:vAlign w:val="center"/>
          </w:tcPr>
          <w:p>
            <w:pPr>
              <w:autoSpaceDE/>
              <w:autoSpaceDN/>
              <w:adjustRightInd/>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投标文件是否按照招标文件规定的要求签署、盖章</w:t>
            </w:r>
          </w:p>
        </w:tc>
        <w:tc>
          <w:tcPr>
            <w:tcW w:w="639" w:type="dxa"/>
          </w:tcPr>
          <w:p>
            <w:pPr>
              <w:autoSpaceDE/>
              <w:autoSpaceDN/>
              <w:adjustRightInd/>
              <w:jc w:val="center"/>
              <w:rPr>
                <w:rFonts w:hint="eastAsia" w:ascii="仿宋" w:hAnsi="仿宋" w:eastAsia="仿宋" w:cs="仿宋"/>
                <w:b/>
                <w:bCs/>
                <w:color w:val="auto"/>
                <w:sz w:val="21"/>
                <w:szCs w:val="21"/>
                <w:highlight w:val="none"/>
              </w:rPr>
            </w:pPr>
          </w:p>
        </w:tc>
        <w:tc>
          <w:tcPr>
            <w:tcW w:w="658" w:type="dxa"/>
            <w:vAlign w:val="center"/>
          </w:tcPr>
          <w:p>
            <w:pPr>
              <w:autoSpaceDE/>
              <w:autoSpaceDN/>
              <w:adjustRightInd/>
              <w:jc w:val="center"/>
              <w:rPr>
                <w:rFonts w:hint="eastAsia" w:ascii="仿宋" w:hAnsi="仿宋" w:eastAsia="仿宋" w:cs="仿宋"/>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71" w:type="dxa"/>
            <w:vMerge w:val="continue"/>
          </w:tcPr>
          <w:p>
            <w:pPr>
              <w:autoSpaceDE/>
              <w:autoSpaceDN/>
              <w:adjustRightInd/>
              <w:jc w:val="center"/>
              <w:rPr>
                <w:rFonts w:hint="eastAsia" w:ascii="仿宋" w:hAnsi="仿宋" w:eastAsia="仿宋" w:cs="仿宋"/>
                <w:b/>
                <w:bCs/>
                <w:color w:val="auto"/>
                <w:sz w:val="21"/>
                <w:szCs w:val="21"/>
                <w:highlight w:val="none"/>
              </w:rPr>
            </w:pPr>
          </w:p>
        </w:tc>
        <w:tc>
          <w:tcPr>
            <w:tcW w:w="625" w:type="dxa"/>
            <w:vMerge w:val="continue"/>
            <w:vAlign w:val="center"/>
          </w:tcPr>
          <w:p>
            <w:pPr>
              <w:autoSpaceDE/>
              <w:autoSpaceDN/>
              <w:adjustRightInd/>
              <w:jc w:val="center"/>
              <w:rPr>
                <w:rFonts w:hint="eastAsia" w:ascii="仿宋" w:hAnsi="仿宋" w:eastAsia="仿宋" w:cs="仿宋"/>
                <w:b/>
                <w:bCs/>
                <w:color w:val="auto"/>
                <w:sz w:val="21"/>
                <w:szCs w:val="21"/>
                <w:highlight w:val="none"/>
              </w:rPr>
            </w:pPr>
          </w:p>
        </w:tc>
        <w:tc>
          <w:tcPr>
            <w:tcW w:w="1421" w:type="dxa"/>
            <w:vAlign w:val="center"/>
          </w:tcPr>
          <w:p>
            <w:pPr>
              <w:autoSpaceDE/>
              <w:autoSpaceDN/>
              <w:adjustRightInd/>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投标报价</w:t>
            </w:r>
          </w:p>
        </w:tc>
        <w:tc>
          <w:tcPr>
            <w:tcW w:w="5780" w:type="dxa"/>
            <w:vAlign w:val="center"/>
          </w:tcPr>
          <w:p>
            <w:pPr>
              <w:autoSpaceDE/>
              <w:autoSpaceDN/>
              <w:adjustRightInd/>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报价未超过招标文件中规定的预算金额或者最高限价</w:t>
            </w:r>
          </w:p>
        </w:tc>
        <w:tc>
          <w:tcPr>
            <w:tcW w:w="639" w:type="dxa"/>
          </w:tcPr>
          <w:p>
            <w:pPr>
              <w:autoSpaceDE/>
              <w:autoSpaceDN/>
              <w:adjustRightInd/>
              <w:jc w:val="center"/>
              <w:rPr>
                <w:rFonts w:hint="eastAsia" w:ascii="仿宋" w:hAnsi="仿宋" w:eastAsia="仿宋" w:cs="仿宋"/>
                <w:b/>
                <w:bCs/>
                <w:color w:val="auto"/>
                <w:sz w:val="21"/>
                <w:szCs w:val="21"/>
                <w:highlight w:val="none"/>
              </w:rPr>
            </w:pPr>
          </w:p>
        </w:tc>
        <w:tc>
          <w:tcPr>
            <w:tcW w:w="658" w:type="dxa"/>
            <w:vAlign w:val="center"/>
          </w:tcPr>
          <w:p>
            <w:pPr>
              <w:autoSpaceDE/>
              <w:autoSpaceDN/>
              <w:adjustRightInd/>
              <w:jc w:val="center"/>
              <w:rPr>
                <w:rFonts w:hint="eastAsia" w:ascii="仿宋" w:hAnsi="仿宋" w:eastAsia="仿宋" w:cs="仿宋"/>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71" w:type="dxa"/>
            <w:vMerge w:val="continue"/>
          </w:tcPr>
          <w:p>
            <w:pPr>
              <w:autoSpaceDE/>
              <w:autoSpaceDN/>
              <w:adjustRightInd/>
              <w:jc w:val="center"/>
              <w:rPr>
                <w:rFonts w:hint="eastAsia" w:ascii="仿宋" w:hAnsi="仿宋" w:eastAsia="仿宋" w:cs="仿宋"/>
                <w:b/>
                <w:bCs/>
                <w:color w:val="auto"/>
                <w:sz w:val="21"/>
                <w:szCs w:val="21"/>
                <w:highlight w:val="none"/>
              </w:rPr>
            </w:pPr>
          </w:p>
        </w:tc>
        <w:tc>
          <w:tcPr>
            <w:tcW w:w="625" w:type="dxa"/>
            <w:vMerge w:val="continue"/>
            <w:vAlign w:val="center"/>
          </w:tcPr>
          <w:p>
            <w:pPr>
              <w:autoSpaceDE/>
              <w:autoSpaceDN/>
              <w:adjustRightInd/>
              <w:jc w:val="center"/>
              <w:rPr>
                <w:rFonts w:hint="eastAsia" w:ascii="仿宋" w:hAnsi="仿宋" w:eastAsia="仿宋" w:cs="仿宋"/>
                <w:b/>
                <w:bCs/>
                <w:color w:val="auto"/>
                <w:sz w:val="21"/>
                <w:szCs w:val="21"/>
                <w:highlight w:val="none"/>
              </w:rPr>
            </w:pPr>
          </w:p>
        </w:tc>
        <w:tc>
          <w:tcPr>
            <w:tcW w:w="1421" w:type="dxa"/>
            <w:vAlign w:val="center"/>
          </w:tcPr>
          <w:p>
            <w:pPr>
              <w:autoSpaceDE/>
              <w:autoSpaceDN/>
              <w:adjustRightInd/>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实质性响应</w:t>
            </w:r>
          </w:p>
        </w:tc>
        <w:tc>
          <w:tcPr>
            <w:tcW w:w="5780" w:type="dxa"/>
            <w:vAlign w:val="center"/>
          </w:tcPr>
          <w:p>
            <w:pPr>
              <w:autoSpaceDE/>
              <w:autoSpaceDN/>
              <w:adjustRightInd/>
              <w:jc w:val="both"/>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投标文件满足招标文件中实质性条款的要求和商务要求</w:t>
            </w:r>
            <w:ins w:id="28" w:author="闾新豪" w:date="2026-05-18T16:30:50Z">
              <w:r>
                <w:rPr>
                  <w:rFonts w:hint="eastAsia" w:ascii="仿宋" w:hAnsi="仿宋" w:eastAsia="仿宋" w:cs="仿宋"/>
                  <w:color w:val="auto"/>
                  <w:sz w:val="21"/>
                  <w:szCs w:val="21"/>
                  <w:highlight w:val="none"/>
                  <w:lang w:eastAsia="zh-CN"/>
                </w:rPr>
                <w:t>（</w:t>
              </w:r>
            </w:ins>
            <w:ins w:id="29" w:author="闾新豪" w:date="2026-05-18T16:30:53Z">
              <w:r>
                <w:rPr>
                  <w:rFonts w:hint="eastAsia" w:ascii="仿宋" w:hAnsi="仿宋" w:eastAsia="仿宋" w:cs="仿宋"/>
                  <w:color w:val="auto"/>
                  <w:sz w:val="21"/>
                  <w:szCs w:val="21"/>
                  <w:highlight w:val="none"/>
                  <w:lang w:val="zh-CN"/>
                </w:rPr>
                <w:t>技术指标中★项指标为核心指标必须满足项，不接受负偏离，若出现负偏离，做否决</w:t>
              </w:r>
            </w:ins>
            <w:ins w:id="30" w:author="闾新豪" w:date="2026-05-18T16:30:53Z">
              <w:r>
                <w:rPr>
                  <w:rFonts w:hint="eastAsia" w:ascii="仿宋" w:hAnsi="仿宋" w:eastAsia="仿宋" w:cs="仿宋"/>
                  <w:color w:val="auto"/>
                  <w:sz w:val="21"/>
                  <w:szCs w:val="21"/>
                  <w:highlight w:val="none"/>
                </w:rPr>
                <w:t>投标</w:t>
              </w:r>
            </w:ins>
            <w:ins w:id="31" w:author="闾新豪" w:date="2026-05-18T16:30:53Z">
              <w:r>
                <w:rPr>
                  <w:rFonts w:hint="eastAsia" w:ascii="仿宋" w:hAnsi="仿宋" w:eastAsia="仿宋" w:cs="仿宋"/>
                  <w:color w:val="auto"/>
                  <w:sz w:val="21"/>
                  <w:szCs w:val="21"/>
                  <w:highlight w:val="none"/>
                  <w:lang w:val="zh-CN"/>
                </w:rPr>
                <w:t>处理；</w:t>
              </w:r>
            </w:ins>
            <w:ins w:id="32" w:author="闾新豪" w:date="2026-05-18T16:30:50Z">
              <w:r>
                <w:rPr>
                  <w:rFonts w:hint="eastAsia" w:ascii="仿宋" w:hAnsi="仿宋" w:eastAsia="仿宋" w:cs="仿宋"/>
                  <w:color w:val="auto"/>
                  <w:sz w:val="21"/>
                  <w:szCs w:val="21"/>
                  <w:highlight w:val="none"/>
                  <w:lang w:eastAsia="zh-CN"/>
                </w:rPr>
                <w:t>）</w:t>
              </w:r>
            </w:ins>
          </w:p>
        </w:tc>
        <w:tc>
          <w:tcPr>
            <w:tcW w:w="639" w:type="dxa"/>
          </w:tcPr>
          <w:p>
            <w:pPr>
              <w:autoSpaceDE/>
              <w:autoSpaceDN/>
              <w:adjustRightInd/>
              <w:jc w:val="center"/>
              <w:rPr>
                <w:rFonts w:hint="eastAsia" w:ascii="仿宋" w:hAnsi="仿宋" w:eastAsia="仿宋" w:cs="仿宋"/>
                <w:b/>
                <w:bCs/>
                <w:color w:val="auto"/>
                <w:sz w:val="21"/>
                <w:szCs w:val="21"/>
                <w:highlight w:val="none"/>
              </w:rPr>
            </w:pPr>
          </w:p>
        </w:tc>
        <w:tc>
          <w:tcPr>
            <w:tcW w:w="658" w:type="dxa"/>
            <w:vAlign w:val="center"/>
          </w:tcPr>
          <w:p>
            <w:pPr>
              <w:autoSpaceDE/>
              <w:autoSpaceDN/>
              <w:adjustRightInd/>
              <w:jc w:val="center"/>
              <w:rPr>
                <w:rFonts w:hint="eastAsia" w:ascii="仿宋" w:hAnsi="仿宋" w:eastAsia="仿宋" w:cs="仿宋"/>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jc w:val="center"/>
        </w:trPr>
        <w:tc>
          <w:tcPr>
            <w:tcW w:w="471" w:type="dxa"/>
            <w:vMerge w:val="continue"/>
          </w:tcPr>
          <w:p>
            <w:pPr>
              <w:autoSpaceDE/>
              <w:autoSpaceDN/>
              <w:adjustRightInd/>
              <w:jc w:val="center"/>
              <w:rPr>
                <w:rFonts w:hint="eastAsia" w:ascii="仿宋" w:hAnsi="仿宋" w:eastAsia="仿宋" w:cs="仿宋"/>
                <w:b/>
                <w:bCs/>
                <w:color w:val="auto"/>
                <w:sz w:val="21"/>
                <w:szCs w:val="21"/>
                <w:highlight w:val="none"/>
              </w:rPr>
            </w:pPr>
          </w:p>
        </w:tc>
        <w:tc>
          <w:tcPr>
            <w:tcW w:w="625" w:type="dxa"/>
            <w:vMerge w:val="continue"/>
            <w:vAlign w:val="center"/>
          </w:tcPr>
          <w:p>
            <w:pPr>
              <w:autoSpaceDE/>
              <w:autoSpaceDN/>
              <w:adjustRightInd/>
              <w:jc w:val="center"/>
              <w:rPr>
                <w:rFonts w:hint="eastAsia" w:ascii="仿宋" w:hAnsi="仿宋" w:eastAsia="仿宋" w:cs="仿宋"/>
                <w:b/>
                <w:bCs/>
                <w:color w:val="auto"/>
                <w:sz w:val="21"/>
                <w:szCs w:val="21"/>
                <w:highlight w:val="none"/>
              </w:rPr>
            </w:pPr>
          </w:p>
        </w:tc>
        <w:tc>
          <w:tcPr>
            <w:tcW w:w="1421" w:type="dxa"/>
            <w:vAlign w:val="center"/>
          </w:tcPr>
          <w:p>
            <w:pPr>
              <w:autoSpaceDE/>
              <w:autoSpaceDN/>
              <w:adjustRightInd/>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其他条件</w:t>
            </w:r>
          </w:p>
        </w:tc>
        <w:tc>
          <w:tcPr>
            <w:tcW w:w="5780" w:type="dxa"/>
            <w:vAlign w:val="center"/>
          </w:tcPr>
          <w:p>
            <w:pPr>
              <w:autoSpaceDE/>
              <w:autoSpaceDN/>
              <w:adjustRightInd/>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投标文件是否含有采购人不能接受的附加条件</w:t>
            </w:r>
          </w:p>
        </w:tc>
        <w:tc>
          <w:tcPr>
            <w:tcW w:w="639" w:type="dxa"/>
          </w:tcPr>
          <w:p>
            <w:pPr>
              <w:autoSpaceDE/>
              <w:autoSpaceDN/>
              <w:adjustRightInd/>
              <w:jc w:val="center"/>
              <w:rPr>
                <w:rFonts w:hint="eastAsia" w:ascii="仿宋" w:hAnsi="仿宋" w:eastAsia="仿宋" w:cs="仿宋"/>
                <w:b/>
                <w:bCs/>
                <w:color w:val="auto"/>
                <w:sz w:val="21"/>
                <w:szCs w:val="21"/>
                <w:highlight w:val="none"/>
              </w:rPr>
            </w:pPr>
          </w:p>
        </w:tc>
        <w:tc>
          <w:tcPr>
            <w:tcW w:w="658" w:type="dxa"/>
            <w:vAlign w:val="center"/>
          </w:tcPr>
          <w:p>
            <w:pPr>
              <w:autoSpaceDE/>
              <w:autoSpaceDN/>
              <w:adjustRightInd/>
              <w:jc w:val="center"/>
              <w:rPr>
                <w:rFonts w:hint="eastAsia" w:ascii="仿宋" w:hAnsi="仿宋" w:eastAsia="仿宋" w:cs="仿宋"/>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4" w:hRule="atLeast"/>
          <w:jc w:val="center"/>
        </w:trPr>
        <w:tc>
          <w:tcPr>
            <w:tcW w:w="471" w:type="dxa"/>
            <w:vMerge w:val="continue"/>
          </w:tcPr>
          <w:p>
            <w:pPr>
              <w:autoSpaceDE/>
              <w:autoSpaceDN/>
              <w:adjustRightInd/>
              <w:jc w:val="center"/>
              <w:rPr>
                <w:rFonts w:hint="eastAsia" w:ascii="仿宋" w:hAnsi="仿宋" w:eastAsia="仿宋" w:cs="仿宋"/>
                <w:b/>
                <w:bCs/>
                <w:color w:val="auto"/>
                <w:sz w:val="21"/>
                <w:szCs w:val="21"/>
                <w:highlight w:val="none"/>
              </w:rPr>
            </w:pPr>
          </w:p>
        </w:tc>
        <w:tc>
          <w:tcPr>
            <w:tcW w:w="625" w:type="dxa"/>
            <w:vMerge w:val="continue"/>
            <w:vAlign w:val="center"/>
          </w:tcPr>
          <w:p>
            <w:pPr>
              <w:autoSpaceDE/>
              <w:autoSpaceDN/>
              <w:adjustRightInd/>
              <w:jc w:val="center"/>
              <w:rPr>
                <w:rFonts w:hint="eastAsia" w:ascii="仿宋" w:hAnsi="仿宋" w:eastAsia="仿宋" w:cs="仿宋"/>
                <w:b/>
                <w:bCs/>
                <w:color w:val="auto"/>
                <w:sz w:val="21"/>
                <w:szCs w:val="21"/>
                <w:highlight w:val="none"/>
              </w:rPr>
            </w:pPr>
          </w:p>
        </w:tc>
        <w:tc>
          <w:tcPr>
            <w:tcW w:w="1421" w:type="dxa"/>
            <w:vAlign w:val="center"/>
          </w:tcPr>
          <w:p>
            <w:pPr>
              <w:autoSpaceDE/>
              <w:autoSpaceDN/>
              <w:adjustRightInd/>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无效情形</w:t>
            </w:r>
          </w:p>
        </w:tc>
        <w:tc>
          <w:tcPr>
            <w:tcW w:w="5780" w:type="dxa"/>
            <w:vAlign w:val="center"/>
          </w:tcPr>
          <w:p>
            <w:pPr>
              <w:autoSpaceDE/>
              <w:autoSpaceDN/>
              <w:adjustRightInd/>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法律、法规和招标文件规定的其他无效情形</w:t>
            </w:r>
          </w:p>
        </w:tc>
        <w:tc>
          <w:tcPr>
            <w:tcW w:w="639" w:type="dxa"/>
          </w:tcPr>
          <w:p>
            <w:pPr>
              <w:autoSpaceDE/>
              <w:autoSpaceDN/>
              <w:adjustRightInd/>
              <w:jc w:val="center"/>
              <w:rPr>
                <w:rFonts w:hint="eastAsia" w:ascii="仿宋" w:hAnsi="仿宋" w:eastAsia="仿宋" w:cs="仿宋"/>
                <w:b/>
                <w:bCs/>
                <w:color w:val="auto"/>
                <w:sz w:val="21"/>
                <w:szCs w:val="21"/>
                <w:highlight w:val="none"/>
              </w:rPr>
            </w:pPr>
          </w:p>
        </w:tc>
        <w:tc>
          <w:tcPr>
            <w:tcW w:w="658" w:type="dxa"/>
            <w:vAlign w:val="center"/>
          </w:tcPr>
          <w:p>
            <w:pPr>
              <w:autoSpaceDE/>
              <w:autoSpaceDN/>
              <w:adjustRightInd/>
              <w:jc w:val="center"/>
              <w:rPr>
                <w:rFonts w:hint="eastAsia" w:ascii="仿宋" w:hAnsi="仿宋" w:eastAsia="仿宋" w:cs="仿宋"/>
                <w:b/>
                <w:bCs/>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atLeast"/>
          <w:jc w:val="center"/>
        </w:trPr>
        <w:tc>
          <w:tcPr>
            <w:tcW w:w="9594" w:type="dxa"/>
            <w:gridSpan w:val="6"/>
            <w:vAlign w:val="center"/>
          </w:tcPr>
          <w:p>
            <w:pPr>
              <w:autoSpaceDE/>
              <w:autoSpaceDN/>
              <w:adjustRightInd/>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注：以上检查内容必须全部符合检查标准，否则为无效标。</w:t>
            </w:r>
          </w:p>
        </w:tc>
      </w:tr>
      <w:bookmarkEnd w:id="51"/>
    </w:tbl>
    <w:p>
      <w:pPr>
        <w:snapToGrid w:val="0"/>
        <w:spacing w:line="360" w:lineRule="auto"/>
        <w:rPr>
          <w:rFonts w:hint="eastAsia" w:ascii="仿宋" w:hAnsi="仿宋" w:eastAsia="仿宋" w:cs="仿宋"/>
          <w:b/>
          <w:color w:val="auto"/>
          <w:highlight w:val="none"/>
        </w:rPr>
      </w:pPr>
      <w:r>
        <w:rPr>
          <w:rFonts w:hint="eastAsia" w:ascii="仿宋" w:hAnsi="仿宋" w:eastAsia="仿宋" w:cs="仿宋"/>
          <w:b/>
          <w:bCs/>
          <w:color w:val="auto"/>
          <w:highlight w:val="none"/>
        </w:rPr>
        <w:t>注：提交的图表、影印件、查询记录等文件须清晰完整，因文字模糊专家辨识造成审查不合格的由响应人自行承担相应责任。</w:t>
      </w:r>
    </w:p>
    <w:p>
      <w:pPr>
        <w:snapToGrid w:val="0"/>
        <w:spacing w:line="360" w:lineRule="auto"/>
        <w:ind w:firstLine="482" w:firstLineChars="200"/>
        <w:rPr>
          <w:rFonts w:hint="eastAsia" w:ascii="仿宋" w:hAnsi="仿宋" w:eastAsia="仿宋" w:cs="仿宋"/>
          <w:b/>
          <w:color w:val="auto"/>
          <w:highlight w:val="none"/>
        </w:rPr>
      </w:pPr>
    </w:p>
    <w:p>
      <w:pPr>
        <w:pageBreakBefore/>
        <w:spacing w:line="360" w:lineRule="auto"/>
        <w:jc w:val="center"/>
        <w:rPr>
          <w:rFonts w:hint="eastAsia" w:ascii="仿宋" w:hAnsi="仿宋" w:eastAsia="仿宋"/>
          <w:b/>
          <w:bCs/>
          <w:color w:val="auto"/>
          <w:sz w:val="28"/>
          <w:szCs w:val="28"/>
          <w:highlight w:val="none"/>
        </w:rPr>
      </w:pPr>
      <w:r>
        <w:rPr>
          <w:rFonts w:hint="eastAsia" w:ascii="仿宋" w:hAnsi="仿宋" w:eastAsia="仿宋"/>
          <w:b/>
          <w:bCs/>
          <w:color w:val="auto"/>
          <w:sz w:val="28"/>
          <w:szCs w:val="28"/>
          <w:highlight w:val="none"/>
        </w:rPr>
        <w:t>《详细评审》</w:t>
      </w:r>
    </w:p>
    <w:tbl>
      <w:tblPr>
        <w:tblStyle w:val="20"/>
        <w:tblpPr w:leftFromText="180" w:rightFromText="180" w:vertAnchor="text" w:horzAnchor="page" w:tblpX="1176" w:tblpY="289"/>
        <w:tblOverlap w:val="never"/>
        <w:tblW w:w="95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Layout w:type="fixed"/>
        <w:tblCellMar>
          <w:top w:w="0" w:type="dxa"/>
          <w:left w:w="0" w:type="dxa"/>
          <w:bottom w:w="0" w:type="dxa"/>
          <w:right w:w="0" w:type="dxa"/>
        </w:tblCellMar>
      </w:tblPr>
      <w:tblGrid>
        <w:gridCol w:w="1125"/>
        <w:gridCol w:w="1305"/>
        <w:gridCol w:w="7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568" w:hRule="atLeast"/>
        </w:trPr>
        <w:tc>
          <w:tcPr>
            <w:tcW w:w="1125" w:type="dxa"/>
            <w:shd w:val="clear" w:color="auto" w:fill="FFFFFF" w:themeFill="background1"/>
            <w:noWrap/>
            <w:vAlign w:val="center"/>
          </w:tcPr>
          <w:p>
            <w:pPr>
              <w:snapToGrid w:val="0"/>
              <w:spacing w:before="161"/>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评标项目</w:t>
            </w:r>
          </w:p>
        </w:tc>
        <w:tc>
          <w:tcPr>
            <w:tcW w:w="1305" w:type="dxa"/>
            <w:shd w:val="clear" w:color="auto" w:fill="FFFFFF" w:themeFill="background1"/>
            <w:noWrap/>
            <w:vAlign w:val="center"/>
          </w:tcPr>
          <w:p>
            <w:pPr>
              <w:snapToGrid w:val="0"/>
              <w:spacing w:before="67"/>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评审内容</w:t>
            </w:r>
          </w:p>
        </w:tc>
        <w:tc>
          <w:tcPr>
            <w:tcW w:w="7153" w:type="dxa"/>
            <w:shd w:val="clear" w:color="auto" w:fill="FFFFFF" w:themeFill="background1"/>
            <w:noWrap/>
            <w:vAlign w:val="center"/>
          </w:tcPr>
          <w:p>
            <w:pPr>
              <w:snapToGrid w:val="0"/>
              <w:spacing w:before="67"/>
              <w:ind w:left="2461" w:right="233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568" w:hRule="atLeast"/>
        </w:trPr>
        <w:tc>
          <w:tcPr>
            <w:tcW w:w="1125" w:type="dxa"/>
            <w:shd w:val="clear" w:color="auto" w:fill="FFFFFF" w:themeFill="background1"/>
            <w:noWrap/>
            <w:vAlign w:val="center"/>
          </w:tcPr>
          <w:p>
            <w:pPr>
              <w:pStyle w:val="53"/>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报价</w:t>
            </w:r>
          </w:p>
          <w:p>
            <w:pPr>
              <w:pStyle w:val="53"/>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部分</w:t>
            </w:r>
          </w:p>
          <w:p>
            <w:pPr>
              <w:pStyle w:val="53"/>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1305" w:type="dxa"/>
            <w:shd w:val="clear" w:color="auto" w:fill="FFFFFF" w:themeFill="background1"/>
            <w:noWrap/>
            <w:vAlign w:val="center"/>
          </w:tcPr>
          <w:p>
            <w:pPr>
              <w:snapToGrid w:val="0"/>
              <w:spacing w:before="18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bidi="zh-CN"/>
              </w:rPr>
              <w:t>投标</w:t>
            </w:r>
            <w:r>
              <w:rPr>
                <w:rFonts w:hint="eastAsia" w:ascii="仿宋" w:hAnsi="仿宋" w:eastAsia="仿宋" w:cs="仿宋"/>
                <w:color w:val="auto"/>
                <w:sz w:val="21"/>
                <w:szCs w:val="21"/>
                <w:highlight w:val="none"/>
              </w:rPr>
              <w:t>报价</w:t>
            </w:r>
          </w:p>
          <w:p>
            <w:pPr>
              <w:snapToGrid w:val="0"/>
              <w:spacing w:before="189"/>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（30分）</w:t>
            </w:r>
          </w:p>
        </w:tc>
        <w:tc>
          <w:tcPr>
            <w:tcW w:w="7153" w:type="dxa"/>
            <w:shd w:val="clear" w:color="auto" w:fill="FFFFFF" w:themeFill="background1"/>
            <w:noWrap/>
            <w:vAlign w:val="center"/>
          </w:tcPr>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评标基准价即满足采购文件要求且投标价格最低的投标报价，</w:t>
            </w:r>
            <w:r>
              <w:rPr>
                <w:rFonts w:hint="eastAsia" w:ascii="仿宋" w:hAnsi="仿宋" w:eastAsia="仿宋" w:cs="仿宋"/>
                <w:color w:val="auto"/>
                <w:sz w:val="21"/>
                <w:szCs w:val="21"/>
                <w:highlight w:val="none"/>
              </w:rPr>
              <w:t>其价格分为满分30分。</w:t>
            </w:r>
          </w:p>
          <w:p>
            <w:pPr>
              <w:snapToGrid w:val="0"/>
              <w:spacing w:before="1"/>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投标人的价格得分按照下列公式计算：投标报价得分＝（评标基准价/</w:t>
            </w:r>
            <w:r>
              <w:rPr>
                <w:rFonts w:hint="eastAsia" w:ascii="仿宋" w:hAnsi="仿宋" w:eastAsia="仿宋" w:cs="仿宋"/>
                <w:color w:val="auto"/>
                <w:sz w:val="21"/>
                <w:szCs w:val="21"/>
                <w:highlight w:val="none"/>
                <w:lang w:val="zh-CN" w:bidi="zh-CN"/>
              </w:rPr>
              <w:t>投标</w:t>
            </w:r>
            <w:r>
              <w:rPr>
                <w:rFonts w:hint="eastAsia" w:ascii="仿宋" w:hAnsi="仿宋" w:eastAsia="仿宋" w:cs="仿宋"/>
                <w:color w:val="auto"/>
                <w:sz w:val="21"/>
                <w:szCs w:val="21"/>
                <w:highlight w:val="none"/>
              </w:rPr>
              <w:t>报价）×30%×100</w:t>
            </w:r>
          </w:p>
          <w:p>
            <w:pPr>
              <w:snapToGrid w:val="0"/>
              <w:spacing w:before="1"/>
              <w:ind w:firstLine="422" w:firstLineChars="200"/>
              <w:rPr>
                <w:rFonts w:hint="eastAsia" w:ascii="仿宋" w:hAnsi="仿宋" w:eastAsia="仿宋" w:cs="仿宋"/>
                <w:color w:val="auto"/>
                <w:sz w:val="21"/>
                <w:szCs w:val="21"/>
                <w:highlight w:val="none"/>
              </w:rPr>
            </w:pPr>
            <w:r>
              <w:rPr>
                <w:rFonts w:hint="eastAsia" w:ascii="仿宋" w:hAnsi="仿宋" w:eastAsia="仿宋" w:cs="仿宋"/>
                <w:b/>
                <w:bCs/>
                <w:color w:val="auto"/>
                <w:sz w:val="21"/>
                <w:szCs w:val="21"/>
                <w:highlight w:val="none"/>
              </w:rPr>
              <w:t>备注：本项目专门面向中小微企业（小型、微型企业）采购项目，根据《政府采购促进中小企业发展管理办法》（财库[2020]46号）、《关于进一步加大政府采购支持中小企业力度的通知》财库〔2022〕19号）的规定，不再执行价格评审优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90" w:hRule="atLeast"/>
        </w:trPr>
        <w:tc>
          <w:tcPr>
            <w:tcW w:w="1125" w:type="dxa"/>
            <w:vMerge w:val="restart"/>
            <w:shd w:val="clear" w:color="auto" w:fill="FFFFFF" w:themeFill="background1"/>
            <w:noWrap/>
            <w:vAlign w:val="center"/>
          </w:tcPr>
          <w:p>
            <w:pPr>
              <w:snapToGrid w:val="0"/>
              <w:spacing w:before="12"/>
              <w:ind w:left="106"/>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rPr>
              <w:t>商务</w:t>
            </w:r>
            <w:r>
              <w:rPr>
                <w:rFonts w:hint="eastAsia" w:ascii="仿宋" w:hAnsi="仿宋" w:eastAsia="仿宋" w:cs="仿宋"/>
                <w:color w:val="auto"/>
                <w:sz w:val="21"/>
                <w:szCs w:val="21"/>
                <w:highlight w:val="none"/>
                <w:lang w:val="zh-CN"/>
              </w:rPr>
              <w:t>技术部分（</w:t>
            </w:r>
            <w:r>
              <w:rPr>
                <w:rFonts w:hint="eastAsia" w:ascii="仿宋" w:hAnsi="仿宋" w:eastAsia="仿宋" w:cs="仿宋"/>
                <w:color w:val="auto"/>
                <w:sz w:val="21"/>
                <w:szCs w:val="21"/>
                <w:highlight w:val="none"/>
              </w:rPr>
              <w:t>60分</w:t>
            </w:r>
            <w:r>
              <w:rPr>
                <w:rFonts w:hint="eastAsia" w:ascii="仿宋" w:hAnsi="仿宋" w:eastAsia="仿宋" w:cs="仿宋"/>
                <w:color w:val="auto"/>
                <w:sz w:val="21"/>
                <w:szCs w:val="21"/>
                <w:highlight w:val="none"/>
                <w:lang w:val="zh-CN"/>
              </w:rPr>
              <w:t>）</w:t>
            </w:r>
          </w:p>
        </w:tc>
        <w:tc>
          <w:tcPr>
            <w:tcW w:w="1305" w:type="dxa"/>
            <w:shd w:val="clear" w:color="auto" w:fill="FFFFFF" w:themeFill="background1"/>
            <w:noWrap/>
            <w:vAlign w:val="center"/>
          </w:tcPr>
          <w:p>
            <w:pPr>
              <w:pStyle w:val="53"/>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企业业绩</w:t>
            </w:r>
          </w:p>
          <w:p>
            <w:pPr>
              <w:pStyle w:val="53"/>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（9分）</w:t>
            </w:r>
          </w:p>
        </w:tc>
        <w:tc>
          <w:tcPr>
            <w:tcW w:w="7153" w:type="dxa"/>
            <w:shd w:val="clear" w:color="auto" w:fill="FFFFFF" w:themeFill="background1"/>
            <w:noWrap/>
            <w:vAlign w:val="center"/>
          </w:tcPr>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投标人提供的2023年1月1日至今类似项目业绩，每提供1项得3分，满分9分。【业绩证明材料为中标（成交）通知书或合同】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371" w:hRule="atLeast"/>
        </w:trPr>
        <w:tc>
          <w:tcPr>
            <w:tcW w:w="1125" w:type="dxa"/>
            <w:vMerge w:val="continue"/>
            <w:shd w:val="clear" w:color="auto" w:fill="FFFFFF" w:themeFill="background1"/>
            <w:noWrap/>
            <w:vAlign w:val="center"/>
          </w:tcPr>
          <w:p>
            <w:pPr>
              <w:snapToGrid w:val="0"/>
              <w:spacing w:before="1"/>
              <w:rPr>
                <w:rFonts w:hint="eastAsia" w:ascii="仿宋" w:hAnsi="仿宋" w:eastAsia="仿宋" w:cs="仿宋"/>
                <w:color w:val="auto"/>
                <w:sz w:val="21"/>
                <w:szCs w:val="21"/>
                <w:highlight w:val="none"/>
                <w:lang w:val="zh-CN" w:bidi="zh-CN"/>
              </w:rPr>
            </w:pPr>
          </w:p>
        </w:tc>
        <w:tc>
          <w:tcPr>
            <w:tcW w:w="1305" w:type="dxa"/>
            <w:shd w:val="clear" w:color="auto" w:fill="FFFFFF" w:themeFill="background1"/>
            <w:noWrap/>
            <w:vAlign w:val="center"/>
          </w:tcPr>
          <w:p>
            <w:pPr>
              <w:pStyle w:val="53"/>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技术指标</w:t>
            </w:r>
          </w:p>
          <w:p>
            <w:pPr>
              <w:pStyle w:val="53"/>
              <w:jc w:val="center"/>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rPr>
              <w:t>38分</w:t>
            </w:r>
            <w:r>
              <w:rPr>
                <w:rFonts w:hint="eastAsia" w:ascii="仿宋" w:hAnsi="仿宋" w:eastAsia="仿宋" w:cs="仿宋"/>
                <w:color w:val="auto"/>
                <w:sz w:val="21"/>
                <w:szCs w:val="21"/>
                <w:highlight w:val="none"/>
                <w:lang w:val="zh-CN"/>
              </w:rPr>
              <w:t>）</w:t>
            </w:r>
          </w:p>
        </w:tc>
        <w:tc>
          <w:tcPr>
            <w:tcW w:w="7153" w:type="dxa"/>
            <w:tcBorders>
              <w:bottom w:val="single" w:color="auto" w:sz="4" w:space="0"/>
            </w:tcBorders>
            <w:shd w:val="clear" w:color="auto" w:fill="FFFFFF" w:themeFill="background1"/>
            <w:noWrap/>
            <w:vAlign w:val="center"/>
          </w:tcPr>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所投产品参数技术要求中所有条款逐条响应（附详细的响应技术方案及证明材料）完全符合采购文件要求的</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满足所有技术参数指标得</w:t>
            </w:r>
            <w:r>
              <w:rPr>
                <w:rFonts w:hint="eastAsia" w:ascii="仿宋" w:hAnsi="仿宋" w:eastAsia="仿宋" w:cs="仿宋"/>
                <w:color w:val="auto"/>
                <w:sz w:val="21"/>
                <w:szCs w:val="21"/>
                <w:highlight w:val="none"/>
              </w:rPr>
              <w:t>满分38</w:t>
            </w:r>
            <w:r>
              <w:rPr>
                <w:rFonts w:hint="eastAsia" w:ascii="仿宋" w:hAnsi="仿宋" w:eastAsia="仿宋" w:cs="仿宋"/>
                <w:color w:val="auto"/>
                <w:sz w:val="21"/>
                <w:szCs w:val="21"/>
                <w:highlight w:val="none"/>
                <w:lang w:val="zh-CN"/>
              </w:rPr>
              <w:t>分；</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①技术指标中▲项为重要指标，每条▲项指标出现负偏离扣</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zh-CN"/>
              </w:rPr>
              <w:t>分，</w:t>
            </w:r>
            <w:r>
              <w:rPr>
                <w:rFonts w:hint="eastAsia" w:ascii="仿宋" w:hAnsi="仿宋" w:eastAsia="仿宋" w:cs="仿宋"/>
                <w:color w:val="auto"/>
                <w:sz w:val="21"/>
                <w:szCs w:val="21"/>
                <w:highlight w:val="none"/>
              </w:rPr>
              <w:t>共有四条</w:t>
            </w:r>
            <w:r>
              <w:rPr>
                <w:rFonts w:hint="eastAsia" w:ascii="仿宋" w:hAnsi="仿宋" w:eastAsia="仿宋" w:cs="仿宋"/>
                <w:color w:val="auto"/>
                <w:sz w:val="21"/>
                <w:szCs w:val="21"/>
                <w:highlight w:val="none"/>
                <w:lang w:val="zh-CN"/>
              </w:rPr>
              <w:t>▲</w:t>
            </w:r>
            <w:r>
              <w:rPr>
                <w:rFonts w:hint="eastAsia" w:ascii="仿宋" w:hAnsi="仿宋" w:eastAsia="仿宋" w:cs="仿宋"/>
                <w:color w:val="auto"/>
                <w:sz w:val="21"/>
                <w:szCs w:val="21"/>
                <w:highlight w:val="none"/>
              </w:rPr>
              <w:t>项重要指标，</w:t>
            </w:r>
            <w:r>
              <w:rPr>
                <w:rFonts w:hint="eastAsia" w:ascii="仿宋" w:hAnsi="仿宋" w:eastAsia="仿宋" w:cs="仿宋"/>
                <w:color w:val="auto"/>
                <w:sz w:val="21"/>
                <w:szCs w:val="21"/>
                <w:highlight w:val="none"/>
                <w:lang w:val="zh-CN"/>
              </w:rPr>
              <w:t>扣完为止；</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②</w:t>
            </w:r>
            <w:r>
              <w:rPr>
                <w:rFonts w:hint="eastAsia" w:ascii="仿宋" w:hAnsi="仿宋" w:eastAsia="仿宋" w:cs="仿宋"/>
                <w:color w:val="auto"/>
                <w:sz w:val="21"/>
                <w:szCs w:val="21"/>
                <w:highlight w:val="none"/>
              </w:rPr>
              <w:t>其余参数为一般参数，每条参数出现负偏离扣0.5分，共计85条一般参数，扣完为止；</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（提供检测报告或截图或产品说明书等相关证明材料）</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技术指标中★项指标为核心指标必须满足项，不接受负偏离，若出现负偏离，做否决</w:t>
            </w:r>
            <w:r>
              <w:rPr>
                <w:rFonts w:hint="eastAsia" w:ascii="仿宋" w:hAnsi="仿宋" w:eastAsia="仿宋" w:cs="仿宋"/>
                <w:color w:val="auto"/>
                <w:sz w:val="21"/>
                <w:szCs w:val="21"/>
                <w:highlight w:val="none"/>
              </w:rPr>
              <w:t>投标</w:t>
            </w:r>
            <w:r>
              <w:rPr>
                <w:rFonts w:hint="eastAsia" w:ascii="仿宋" w:hAnsi="仿宋" w:eastAsia="仿宋" w:cs="仿宋"/>
                <w:color w:val="auto"/>
                <w:sz w:val="21"/>
                <w:szCs w:val="21"/>
                <w:highlight w:val="none"/>
                <w:lang w:val="zh-CN"/>
              </w:rPr>
              <w:t xml:space="preserve">处理； </w:t>
            </w:r>
          </w:p>
          <w:p>
            <w:pPr>
              <w:snapToGrid w:val="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注：负偏离是指</w:t>
            </w:r>
            <w:r>
              <w:rPr>
                <w:rFonts w:hint="eastAsia" w:ascii="仿宋" w:hAnsi="仿宋" w:eastAsia="仿宋" w:cs="仿宋"/>
                <w:color w:val="auto"/>
                <w:sz w:val="21"/>
                <w:szCs w:val="21"/>
                <w:highlight w:val="none"/>
              </w:rPr>
              <w:t>以下任一情形</w:t>
            </w:r>
            <w:r>
              <w:rPr>
                <w:rFonts w:hint="eastAsia" w:ascii="仿宋" w:hAnsi="仿宋" w:eastAsia="仿宋" w:cs="仿宋"/>
                <w:color w:val="auto"/>
                <w:sz w:val="21"/>
                <w:szCs w:val="21"/>
                <w:highlight w:val="none"/>
                <w:lang w:val="zh-CN"/>
              </w:rPr>
              <w:t>：</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①所提供技术参数（指标要求）低于</w:t>
            </w:r>
            <w:r>
              <w:rPr>
                <w:rFonts w:hint="eastAsia" w:ascii="仿宋" w:hAnsi="仿宋" w:eastAsia="仿宋" w:cs="仿宋"/>
                <w:color w:val="auto"/>
                <w:sz w:val="21"/>
                <w:szCs w:val="21"/>
                <w:highlight w:val="none"/>
              </w:rPr>
              <w:t>招标</w:t>
            </w:r>
            <w:r>
              <w:rPr>
                <w:rFonts w:hint="eastAsia" w:ascii="仿宋" w:hAnsi="仿宋" w:eastAsia="仿宋" w:cs="仿宋"/>
                <w:color w:val="auto"/>
                <w:sz w:val="21"/>
                <w:szCs w:val="21"/>
                <w:highlight w:val="none"/>
                <w:lang w:val="zh-CN"/>
              </w:rPr>
              <w:t>文件要求的，视为负偏离；</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②技术参数响应条款（以投标文件内技术偏离表为准）与</w:t>
            </w:r>
            <w:r>
              <w:rPr>
                <w:rFonts w:hint="eastAsia" w:ascii="仿宋" w:hAnsi="仿宋" w:eastAsia="仿宋" w:cs="仿宋"/>
                <w:color w:val="auto"/>
                <w:sz w:val="21"/>
                <w:szCs w:val="21"/>
                <w:highlight w:val="none"/>
              </w:rPr>
              <w:t>招标</w:t>
            </w:r>
            <w:r>
              <w:rPr>
                <w:rFonts w:hint="eastAsia" w:ascii="仿宋" w:hAnsi="仿宋" w:eastAsia="仿宋" w:cs="仿宋"/>
                <w:color w:val="auto"/>
                <w:sz w:val="21"/>
                <w:szCs w:val="21"/>
                <w:highlight w:val="none"/>
                <w:lang w:val="zh-CN"/>
              </w:rPr>
              <w:t>文件对比有缺项、漏项的，视为负偏离；</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③投标人提供的投标文件中采购需求偏离表、产品技术规格书和产品检测报告、产品功能截图、产品说明内描述的同一产品技术参数响应值不一致的，视为负偏离。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743" w:hRule="atLeast"/>
        </w:trPr>
        <w:tc>
          <w:tcPr>
            <w:tcW w:w="1125" w:type="dxa"/>
            <w:vMerge w:val="continue"/>
            <w:shd w:val="clear" w:color="auto" w:fill="FFFFFF" w:themeFill="background1"/>
            <w:noWrap/>
            <w:vAlign w:val="center"/>
          </w:tcPr>
          <w:p>
            <w:pPr>
              <w:snapToGrid w:val="0"/>
              <w:spacing w:before="1"/>
              <w:rPr>
                <w:rFonts w:hint="eastAsia" w:ascii="仿宋" w:hAnsi="仿宋" w:eastAsia="仿宋" w:cs="仿宋"/>
                <w:color w:val="auto"/>
                <w:sz w:val="21"/>
                <w:szCs w:val="21"/>
                <w:highlight w:val="none"/>
                <w:lang w:val="zh-CN" w:bidi="zh-CN"/>
              </w:rPr>
            </w:pPr>
          </w:p>
        </w:tc>
        <w:tc>
          <w:tcPr>
            <w:tcW w:w="1305" w:type="dxa"/>
            <w:shd w:val="clear" w:color="auto" w:fill="FFFFFF" w:themeFill="background1"/>
            <w:noWrap/>
            <w:vAlign w:val="center"/>
          </w:tcPr>
          <w:p>
            <w:pPr>
              <w:autoSpaceDE/>
              <w:autoSpaceDN/>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项目实施</w:t>
            </w:r>
          </w:p>
          <w:p>
            <w:pPr>
              <w:autoSpaceDE/>
              <w:autoSpaceDN/>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方案</w:t>
            </w:r>
          </w:p>
          <w:p>
            <w:pPr>
              <w:autoSpaceDE/>
              <w:autoSpaceDN/>
              <w:snapToGrid w:val="0"/>
              <w:jc w:val="center"/>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rPr>
              <w:t>（4分）</w:t>
            </w:r>
          </w:p>
        </w:tc>
        <w:tc>
          <w:tcPr>
            <w:tcW w:w="7153" w:type="dxa"/>
            <w:tcBorders>
              <w:bottom w:val="single" w:color="auto" w:sz="4" w:space="0"/>
            </w:tcBorders>
            <w:shd w:val="clear" w:color="auto" w:fill="FFFFFF" w:themeFill="background1"/>
            <w:noWrap/>
            <w:vAlign w:val="center"/>
          </w:tcPr>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所投产品详细的产品、运送、安装调试计划及实施各阶段的人员配备情况、重点，难点及展示亮点进行准确挖掘。</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包括但不限于：</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①供货流程安排；</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②供货时间安排；</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③供货渠道、退换货方案；</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④验收方案。</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根据所提供内容进行评分，提供上述一项内容得</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zh-CN"/>
              </w:rPr>
              <w:t>分，提供的内容有一处存在缺陷的扣</w:t>
            </w:r>
            <w:r>
              <w:rPr>
                <w:rFonts w:hint="eastAsia" w:ascii="仿宋" w:hAnsi="仿宋" w:eastAsia="仿宋" w:cs="仿宋"/>
                <w:color w:val="auto"/>
                <w:sz w:val="21"/>
                <w:szCs w:val="21"/>
                <w:highlight w:val="none"/>
              </w:rPr>
              <w:t>0.5</w:t>
            </w:r>
            <w:r>
              <w:rPr>
                <w:rFonts w:hint="eastAsia" w:ascii="仿宋" w:hAnsi="仿宋" w:eastAsia="仿宋" w:cs="仿宋"/>
                <w:color w:val="auto"/>
                <w:sz w:val="21"/>
                <w:szCs w:val="21"/>
                <w:highlight w:val="none"/>
                <w:lang w:val="zh-CN"/>
              </w:rPr>
              <w:t>分，本项满分</w:t>
            </w:r>
            <w:r>
              <w:rPr>
                <w:rFonts w:hint="eastAsia" w:ascii="仿宋" w:hAnsi="仿宋" w:eastAsia="仿宋" w:cs="仿宋"/>
                <w:color w:val="auto"/>
                <w:sz w:val="21"/>
                <w:szCs w:val="21"/>
                <w:highlight w:val="none"/>
              </w:rPr>
              <w:t>4分，扣完为止，</w:t>
            </w:r>
            <w:r>
              <w:rPr>
                <w:rFonts w:hint="eastAsia" w:ascii="仿宋" w:hAnsi="仿宋" w:eastAsia="仿宋" w:cs="仿宋"/>
                <w:color w:val="auto"/>
                <w:sz w:val="21"/>
                <w:szCs w:val="21"/>
                <w:highlight w:val="none"/>
                <w:lang w:val="zh-CN"/>
              </w:rPr>
              <w:t>未提供不得分。</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（缺陷是指</w:t>
            </w:r>
            <w:r>
              <w:rPr>
                <w:rFonts w:hint="eastAsia" w:ascii="仿宋" w:hAnsi="仿宋" w:eastAsia="仿宋" w:cs="仿宋"/>
                <w:color w:val="auto"/>
                <w:sz w:val="21"/>
                <w:szCs w:val="21"/>
                <w:highlight w:val="none"/>
              </w:rPr>
              <w:t>以下任一情形</w:t>
            </w:r>
            <w:r>
              <w:rPr>
                <w:rFonts w:hint="eastAsia" w:ascii="仿宋" w:hAnsi="仿宋" w:eastAsia="仿宋" w:cs="仿宋"/>
                <w:color w:val="auto"/>
                <w:sz w:val="21"/>
                <w:szCs w:val="21"/>
                <w:highlight w:val="none"/>
                <w:lang w:val="zh-CN"/>
              </w:rPr>
              <w:t>：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905" w:hRule="atLeast"/>
        </w:trPr>
        <w:tc>
          <w:tcPr>
            <w:tcW w:w="1125" w:type="dxa"/>
            <w:vMerge w:val="continue"/>
            <w:shd w:val="clear" w:color="auto" w:fill="FFFFFF" w:themeFill="background1"/>
            <w:noWrap/>
            <w:vAlign w:val="center"/>
          </w:tcPr>
          <w:p>
            <w:pPr>
              <w:snapToGrid w:val="0"/>
              <w:spacing w:before="1"/>
              <w:rPr>
                <w:rFonts w:hint="eastAsia" w:ascii="仿宋" w:hAnsi="仿宋" w:eastAsia="仿宋" w:cs="仿宋"/>
                <w:color w:val="auto"/>
                <w:sz w:val="21"/>
                <w:szCs w:val="21"/>
                <w:highlight w:val="none"/>
                <w:lang w:val="zh-CN" w:bidi="zh-CN"/>
              </w:rPr>
            </w:pPr>
          </w:p>
        </w:tc>
        <w:tc>
          <w:tcPr>
            <w:tcW w:w="1305" w:type="dxa"/>
            <w:shd w:val="clear" w:color="auto" w:fill="FFFFFF" w:themeFill="background1"/>
            <w:noWrap/>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w:t>
            </w:r>
          </w:p>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（4分）</w:t>
            </w:r>
          </w:p>
        </w:tc>
        <w:tc>
          <w:tcPr>
            <w:tcW w:w="7153" w:type="dxa"/>
            <w:tcBorders>
              <w:bottom w:val="single" w:color="auto" w:sz="4" w:space="0"/>
            </w:tcBorders>
            <w:shd w:val="clear" w:color="auto" w:fill="FFFFFF" w:themeFill="background1"/>
            <w:noWrap/>
            <w:vAlign w:val="center"/>
          </w:tcPr>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质量保证措施方案包含：</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①质量保证的标准；</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②质量管理方法；</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③质量保障措施；</w:t>
            </w:r>
          </w:p>
          <w:p>
            <w:pPr>
              <w:snapToGrid w:val="0"/>
              <w:ind w:firstLine="420" w:firstLineChars="200"/>
              <w:rPr>
                <w:rFonts w:hint="eastAsia" w:ascii="仿宋" w:hAnsi="仿宋" w:eastAsia="仿宋" w:cs="仿宋"/>
                <w:color w:val="auto"/>
                <w:sz w:val="21"/>
                <w:szCs w:val="21"/>
                <w:highlight w:val="none"/>
                <w:lang w:val="zh-CN"/>
              </w:rPr>
            </w:pPr>
            <w:r>
              <w:rPr>
                <w:rFonts w:hint="eastAsia" w:ascii="仿宋" w:hAnsi="仿宋" w:eastAsia="仿宋" w:cs="仿宋"/>
                <w:color w:val="auto"/>
                <w:sz w:val="21"/>
                <w:szCs w:val="21"/>
                <w:highlight w:val="none"/>
                <w:lang w:val="zh-CN"/>
              </w:rPr>
              <w:t>④质量管理程序制度。</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zh-CN"/>
              </w:rPr>
              <w:t>提供一项内容得</w:t>
            </w: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val="zh-CN"/>
              </w:rPr>
              <w:t>分，提供的内容存在一处缺陷的扣</w:t>
            </w:r>
            <w:r>
              <w:rPr>
                <w:rFonts w:hint="eastAsia" w:ascii="仿宋" w:hAnsi="仿宋" w:eastAsia="仿宋" w:cs="仿宋"/>
                <w:color w:val="auto"/>
                <w:sz w:val="21"/>
                <w:szCs w:val="21"/>
                <w:highlight w:val="none"/>
              </w:rPr>
              <w:t>0.5</w:t>
            </w:r>
            <w:r>
              <w:rPr>
                <w:rFonts w:hint="eastAsia" w:ascii="仿宋" w:hAnsi="仿宋" w:eastAsia="仿宋" w:cs="仿宋"/>
                <w:color w:val="auto"/>
                <w:sz w:val="21"/>
                <w:szCs w:val="21"/>
                <w:highlight w:val="none"/>
                <w:lang w:val="zh-CN"/>
              </w:rPr>
              <w:t>分，本项满分</w:t>
            </w:r>
            <w:r>
              <w:rPr>
                <w:rFonts w:hint="eastAsia" w:ascii="仿宋" w:hAnsi="仿宋" w:eastAsia="仿宋" w:cs="仿宋"/>
                <w:color w:val="auto"/>
                <w:sz w:val="21"/>
                <w:szCs w:val="21"/>
                <w:highlight w:val="none"/>
              </w:rPr>
              <w:t>4分，扣完为止，</w:t>
            </w:r>
            <w:r>
              <w:rPr>
                <w:rFonts w:hint="eastAsia" w:ascii="仿宋" w:hAnsi="仿宋" w:eastAsia="仿宋" w:cs="仿宋"/>
                <w:color w:val="auto"/>
                <w:sz w:val="21"/>
                <w:szCs w:val="21"/>
                <w:highlight w:val="none"/>
                <w:lang w:val="zh-CN"/>
              </w:rPr>
              <w:t>未提供不得分。（缺陷是指</w:t>
            </w:r>
            <w:r>
              <w:rPr>
                <w:rFonts w:hint="eastAsia" w:ascii="仿宋" w:hAnsi="仿宋" w:eastAsia="仿宋" w:cs="仿宋"/>
                <w:color w:val="auto"/>
                <w:sz w:val="21"/>
                <w:szCs w:val="21"/>
                <w:highlight w:val="none"/>
              </w:rPr>
              <w:t>以下任一情形</w:t>
            </w:r>
            <w:r>
              <w:rPr>
                <w:rFonts w:hint="eastAsia" w:ascii="仿宋" w:hAnsi="仿宋" w:eastAsia="仿宋" w:cs="仿宋"/>
                <w:color w:val="auto"/>
                <w:sz w:val="21"/>
                <w:szCs w:val="21"/>
                <w:highlight w:val="none"/>
                <w:lang w:val="zh-CN"/>
              </w:rPr>
              <w:t>：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202" w:hRule="atLeast"/>
        </w:trPr>
        <w:tc>
          <w:tcPr>
            <w:tcW w:w="1125" w:type="dxa"/>
            <w:vMerge w:val="continue"/>
            <w:shd w:val="clear" w:color="auto" w:fill="FFFFFF" w:themeFill="background1"/>
            <w:noWrap/>
            <w:vAlign w:val="center"/>
          </w:tcPr>
          <w:p>
            <w:pPr>
              <w:snapToGrid w:val="0"/>
              <w:spacing w:before="1"/>
              <w:rPr>
                <w:rFonts w:hint="eastAsia" w:ascii="仿宋" w:hAnsi="仿宋" w:eastAsia="仿宋" w:cs="仿宋"/>
                <w:color w:val="auto"/>
                <w:sz w:val="21"/>
                <w:szCs w:val="21"/>
                <w:highlight w:val="none"/>
                <w:lang w:val="zh-CN" w:bidi="zh-CN"/>
              </w:rPr>
            </w:pPr>
          </w:p>
        </w:tc>
        <w:tc>
          <w:tcPr>
            <w:tcW w:w="1305" w:type="dxa"/>
            <w:shd w:val="clear" w:color="auto" w:fill="FFFFFF" w:themeFill="background1"/>
            <w:noWrap/>
            <w:vAlign w:val="center"/>
          </w:tcPr>
          <w:p>
            <w:pPr>
              <w:autoSpaceDE/>
              <w:autoSpaceDN/>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培训方案</w:t>
            </w:r>
          </w:p>
          <w:p>
            <w:pPr>
              <w:autoSpaceDE/>
              <w:autoSpaceDN/>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（4分）</w:t>
            </w:r>
          </w:p>
        </w:tc>
        <w:tc>
          <w:tcPr>
            <w:tcW w:w="7153" w:type="dxa"/>
            <w:tcBorders>
              <w:bottom w:val="single" w:color="auto" w:sz="4" w:space="0"/>
            </w:tcBorders>
            <w:shd w:val="clear" w:color="auto" w:fill="FFFFFF" w:themeFill="background1"/>
            <w:noWrap/>
            <w:vAlign w:val="center"/>
          </w:tcPr>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根据培训方案包括：</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①培训计划；</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②培训目标。</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上述一项内容的得2分，提供的内容存在有一处缺陷的扣1分，本项满分4分，扣完为止，未提供不得分。(内容存在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1053" w:hRule="atLeast"/>
        </w:trPr>
        <w:tc>
          <w:tcPr>
            <w:tcW w:w="1125" w:type="dxa"/>
            <w:vMerge w:val="continue"/>
            <w:shd w:val="clear" w:color="auto" w:fill="FFFFFF" w:themeFill="background1"/>
            <w:noWrap/>
            <w:vAlign w:val="center"/>
          </w:tcPr>
          <w:p>
            <w:pPr>
              <w:snapToGrid w:val="0"/>
              <w:spacing w:before="1"/>
              <w:rPr>
                <w:rFonts w:hint="eastAsia" w:ascii="仿宋" w:hAnsi="仿宋" w:eastAsia="仿宋" w:cs="仿宋"/>
                <w:color w:val="auto"/>
                <w:sz w:val="21"/>
                <w:szCs w:val="21"/>
                <w:highlight w:val="none"/>
                <w:lang w:val="zh-CN" w:bidi="zh-CN"/>
              </w:rPr>
            </w:pPr>
          </w:p>
        </w:tc>
        <w:tc>
          <w:tcPr>
            <w:tcW w:w="1305" w:type="dxa"/>
            <w:shd w:val="clear" w:color="auto" w:fill="FFFFFF" w:themeFill="background1"/>
            <w:noWrap/>
            <w:vAlign w:val="center"/>
          </w:tcPr>
          <w:p>
            <w:pPr>
              <w:pStyle w:val="53"/>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应急服务</w:t>
            </w:r>
          </w:p>
          <w:p>
            <w:pPr>
              <w:pStyle w:val="53"/>
              <w:jc w:val="center"/>
              <w:rPr>
                <w:rFonts w:hint="eastAsia" w:ascii="仿宋" w:hAnsi="仿宋" w:eastAsia="仿宋" w:cs="仿宋"/>
                <w:color w:val="auto"/>
                <w:sz w:val="21"/>
                <w:szCs w:val="21"/>
                <w:highlight w:val="none"/>
                <w:lang w:bidi="zh-CN"/>
              </w:rPr>
            </w:pPr>
            <w:r>
              <w:rPr>
                <w:rFonts w:hint="eastAsia" w:ascii="仿宋" w:hAnsi="仿宋" w:eastAsia="仿宋" w:cs="仿宋"/>
                <w:color w:val="auto"/>
                <w:sz w:val="21"/>
                <w:szCs w:val="21"/>
                <w:highlight w:val="none"/>
              </w:rPr>
              <w:t>（6分）</w:t>
            </w:r>
          </w:p>
        </w:tc>
        <w:tc>
          <w:tcPr>
            <w:tcW w:w="7153" w:type="dxa"/>
            <w:shd w:val="clear" w:color="auto" w:fill="FFFFFF" w:themeFill="background1"/>
            <w:noWrap/>
            <w:vAlign w:val="center"/>
          </w:tcPr>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提供针对本项目的应急服务方案，包括：</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①故障处理；</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②应急程序；</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③安全保障。</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方案内容进行评分，提供上述一项内容得2分，提供的内容存在有一处缺陷的扣1分，本项满分6分，扣完为止，未提供不得分。（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1053" w:hRule="atLeast"/>
        </w:trPr>
        <w:tc>
          <w:tcPr>
            <w:tcW w:w="1125" w:type="dxa"/>
            <w:vMerge w:val="continue"/>
            <w:shd w:val="clear" w:color="auto" w:fill="FFFFFF" w:themeFill="background1"/>
            <w:noWrap/>
            <w:vAlign w:val="center"/>
          </w:tcPr>
          <w:p>
            <w:pPr>
              <w:snapToGrid w:val="0"/>
              <w:spacing w:before="1"/>
              <w:rPr>
                <w:rFonts w:hint="eastAsia" w:ascii="仿宋" w:hAnsi="仿宋" w:eastAsia="仿宋" w:cs="仿宋"/>
                <w:color w:val="auto"/>
                <w:sz w:val="21"/>
                <w:szCs w:val="21"/>
                <w:highlight w:val="none"/>
                <w:lang w:val="zh-CN" w:bidi="zh-CN"/>
              </w:rPr>
            </w:pPr>
          </w:p>
        </w:tc>
        <w:tc>
          <w:tcPr>
            <w:tcW w:w="1305" w:type="dxa"/>
            <w:shd w:val="clear" w:color="auto" w:fill="FFFFFF" w:themeFill="background1"/>
            <w:noWrap/>
            <w:vAlign w:val="center"/>
          </w:tcPr>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售后服务</w:t>
            </w:r>
          </w:p>
          <w:p>
            <w:pPr>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（5分）</w:t>
            </w:r>
          </w:p>
        </w:tc>
        <w:tc>
          <w:tcPr>
            <w:tcW w:w="7153" w:type="dxa"/>
            <w:shd w:val="clear" w:color="auto" w:fill="FFFFFF" w:themeFill="background1"/>
            <w:noWrap/>
            <w:vAlign w:val="center"/>
          </w:tcPr>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根据投标人提供的售后服务方案内容进行综合评审。售后服务方案内容充分，详细具体，内容包括：</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①售后服务方案及承诺；</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②响应及处理完毕时间；</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③售后服务流程（包括故障处理、上门维护、紧急维护、重要服务、电话回访维护等）；</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④售后应急预案（包括人员安排、车辆安排等）；</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⑤售后服务记录（包括服务报告、质量考核评估、满意度调查、电话回访记录）。</w:t>
            </w:r>
          </w:p>
          <w:p>
            <w:pPr>
              <w:snapToGrid w:val="0"/>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提供上述一项内容得1分，提供的内容存在有一处缺陷的扣0.5分，本项满分5分，扣完为止，未提供不得分。（缺陷是指以下任一情形：①该项内容描述前后不一致；②该项内容所阐述的项目信息与本项目实际信息不一致；③该项内容引用的规定、规范错误；④该项内容描述不符合国家相关法律法规、政策文件、规范标准要求；⑤该项内容阐述的方式方法明显不符合本项目实际情况；⑥该项内容描述与本项目实际情况不符；⑦该项内容套用其他项目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1125" w:type="dxa"/>
            <w:vMerge w:val="continue"/>
            <w:shd w:val="clear" w:color="auto" w:fill="FFFFFF" w:themeFill="background1"/>
            <w:noWrap/>
            <w:vAlign w:val="center"/>
          </w:tcPr>
          <w:p>
            <w:pPr>
              <w:snapToGrid w:val="0"/>
              <w:rPr>
                <w:rFonts w:hint="eastAsia" w:ascii="仿宋" w:hAnsi="仿宋" w:eastAsia="仿宋" w:cs="仿宋"/>
                <w:color w:val="auto"/>
                <w:sz w:val="21"/>
                <w:szCs w:val="21"/>
                <w:highlight w:val="none"/>
              </w:rPr>
            </w:pPr>
          </w:p>
        </w:tc>
        <w:tc>
          <w:tcPr>
            <w:tcW w:w="1305" w:type="dxa"/>
            <w:shd w:val="clear" w:color="auto" w:fill="FFFFFF" w:themeFill="background1"/>
            <w:noWrap/>
            <w:vAlign w:val="center"/>
          </w:tcPr>
          <w:p>
            <w:pPr>
              <w:pStyle w:val="31"/>
              <w:adjustRightInd w:val="0"/>
              <w:snapToGrid w:val="0"/>
              <w:spacing w:before="16"/>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合计</w:t>
            </w:r>
          </w:p>
        </w:tc>
        <w:tc>
          <w:tcPr>
            <w:tcW w:w="7153" w:type="dxa"/>
            <w:shd w:val="clear" w:color="auto" w:fill="FFFFFF" w:themeFill="background1"/>
            <w:noWrap/>
            <w:vAlign w:val="center"/>
          </w:tcPr>
          <w:p>
            <w:pPr>
              <w:pStyle w:val="31"/>
              <w:adjustRightInd w:val="0"/>
              <w:snapToGrid w:val="0"/>
              <w:spacing w:before="16"/>
              <w:ind w:firstLine="210" w:firstLineChars="100"/>
              <w:jc w:val="center"/>
              <w:rPr>
                <w:rFonts w:hint="eastAsia" w:ascii="仿宋" w:hAnsi="仿宋" w:eastAsia="仿宋" w:cs="仿宋"/>
                <w:color w:val="auto"/>
                <w:szCs w:val="21"/>
                <w:highlight w:val="none"/>
              </w:rPr>
            </w:pPr>
            <w:r>
              <w:rPr>
                <w:rFonts w:hint="eastAsia" w:ascii="仿宋" w:hAnsi="仿宋" w:eastAsia="仿宋" w:cs="仿宋"/>
                <w:color w:val="auto"/>
                <w:szCs w:val="21"/>
                <w:highlight w:val="none"/>
              </w:rPr>
              <w:t>100分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hemeFill="background1"/>
          <w:tblCellMar>
            <w:top w:w="0" w:type="dxa"/>
            <w:left w:w="0" w:type="dxa"/>
            <w:bottom w:w="0" w:type="dxa"/>
            <w:right w:w="0" w:type="dxa"/>
          </w:tblCellMar>
        </w:tblPrEx>
        <w:trPr>
          <w:trHeight w:val="741" w:hRule="atLeast"/>
        </w:trPr>
        <w:tc>
          <w:tcPr>
            <w:tcW w:w="9583" w:type="dxa"/>
            <w:gridSpan w:val="3"/>
            <w:shd w:val="clear" w:color="auto" w:fill="FFFFFF" w:themeFill="background1"/>
            <w:noWrap/>
            <w:vAlign w:val="center"/>
          </w:tcPr>
          <w:p>
            <w:pPr>
              <w:snapToGrid w:val="0"/>
              <w:spacing w:before="1"/>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val="zh-CN" w:bidi="zh-CN"/>
              </w:rPr>
              <w:t>合计100分，投标人总得分=报价部分得分+商务</w:t>
            </w:r>
            <w:r>
              <w:rPr>
                <w:rFonts w:hint="eastAsia" w:ascii="仿宋" w:hAnsi="仿宋" w:eastAsia="仿宋" w:cs="仿宋"/>
                <w:color w:val="auto"/>
                <w:sz w:val="21"/>
                <w:szCs w:val="21"/>
                <w:highlight w:val="none"/>
                <w:lang w:bidi="zh-CN"/>
              </w:rPr>
              <w:t>部分</w:t>
            </w:r>
            <w:r>
              <w:rPr>
                <w:rFonts w:hint="eastAsia" w:ascii="仿宋" w:hAnsi="仿宋" w:eastAsia="仿宋" w:cs="仿宋"/>
                <w:color w:val="auto"/>
                <w:sz w:val="21"/>
                <w:szCs w:val="21"/>
                <w:highlight w:val="none"/>
                <w:lang w:val="zh-CN" w:bidi="zh-CN"/>
              </w:rPr>
              <w:t>得分+技术</w:t>
            </w:r>
            <w:r>
              <w:rPr>
                <w:rFonts w:hint="eastAsia" w:ascii="仿宋" w:hAnsi="仿宋" w:eastAsia="仿宋" w:cs="仿宋"/>
                <w:color w:val="auto"/>
                <w:sz w:val="21"/>
                <w:szCs w:val="21"/>
                <w:highlight w:val="none"/>
                <w:lang w:bidi="zh-CN"/>
              </w:rPr>
              <w:t>部分</w:t>
            </w:r>
            <w:r>
              <w:rPr>
                <w:rFonts w:hint="eastAsia" w:ascii="仿宋" w:hAnsi="仿宋" w:eastAsia="仿宋" w:cs="仿宋"/>
                <w:color w:val="auto"/>
                <w:sz w:val="21"/>
                <w:szCs w:val="21"/>
                <w:highlight w:val="none"/>
                <w:lang w:val="zh-CN" w:bidi="zh-CN"/>
              </w:rPr>
              <w:t>得分。</w:t>
            </w:r>
          </w:p>
          <w:p>
            <w:pPr>
              <w:snapToGrid w:val="0"/>
              <w:spacing w:before="1"/>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bidi="zh-CN"/>
              </w:rPr>
              <w:t>注：1.评分计算结果保留两位小数，第</w:t>
            </w:r>
            <w:r>
              <w:rPr>
                <w:rFonts w:hint="eastAsia" w:ascii="仿宋" w:hAnsi="仿宋" w:eastAsia="仿宋" w:cs="仿宋"/>
                <w:color w:val="auto"/>
                <w:sz w:val="21"/>
                <w:szCs w:val="21"/>
                <w:highlight w:val="none"/>
                <w:lang w:val="zh-CN" w:bidi="zh-CN"/>
              </w:rPr>
              <w:t>三位小数四舍五入。</w:t>
            </w:r>
          </w:p>
          <w:p>
            <w:pPr>
              <w:snapToGrid w:val="0"/>
              <w:spacing w:before="1"/>
              <w:ind w:firstLine="420" w:firstLineChars="200"/>
              <w:rPr>
                <w:rFonts w:hint="eastAsia" w:ascii="仿宋" w:hAnsi="仿宋" w:eastAsia="仿宋" w:cs="仿宋"/>
                <w:color w:val="auto"/>
                <w:sz w:val="21"/>
                <w:szCs w:val="21"/>
                <w:highlight w:val="none"/>
                <w:lang w:val="zh-CN" w:bidi="zh-CN"/>
              </w:rPr>
            </w:pPr>
            <w:r>
              <w:rPr>
                <w:rFonts w:hint="eastAsia" w:ascii="仿宋" w:hAnsi="仿宋" w:eastAsia="仿宋" w:cs="仿宋"/>
                <w:color w:val="auto"/>
                <w:sz w:val="21"/>
                <w:szCs w:val="21"/>
                <w:highlight w:val="none"/>
                <w:lang w:bidi="zh-CN"/>
              </w:rPr>
              <w:t>2.</w:t>
            </w:r>
            <w:r>
              <w:rPr>
                <w:rFonts w:hint="eastAsia" w:ascii="仿宋" w:hAnsi="仿宋" w:eastAsia="仿宋" w:cs="仿宋"/>
                <w:color w:val="auto"/>
                <w:sz w:val="21"/>
                <w:szCs w:val="21"/>
                <w:highlight w:val="none"/>
                <w:lang w:val="zh-CN" w:bidi="zh-CN"/>
              </w:rPr>
              <w:t>评标过程中，不得去掉报价中的最高报价和最低报价。</w:t>
            </w:r>
          </w:p>
          <w:p>
            <w:pPr>
              <w:snapToGrid w:val="0"/>
              <w:spacing w:before="1"/>
              <w:ind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zh-CN"/>
              </w:rPr>
              <w:t>3.详细评审分值为所有评委评分之和的平均值，详细评审分值不得去掉最高评分和最低评分。</w:t>
            </w:r>
          </w:p>
        </w:tc>
      </w:tr>
    </w:tbl>
    <w:p>
      <w:pPr>
        <w:pStyle w:val="34"/>
        <w:spacing w:line="420" w:lineRule="exact"/>
        <w:rPr>
          <w:rFonts w:hint="eastAsia" w:ascii="仿宋" w:hAnsi="仿宋" w:eastAsia="仿宋" w:cs="仿宋"/>
          <w:b/>
          <w:bCs/>
          <w:color w:val="auto"/>
          <w:highlight w:val="none"/>
          <w:lang w:val="zh-CN"/>
        </w:rPr>
      </w:pPr>
      <w:r>
        <w:rPr>
          <w:rFonts w:hint="eastAsia" w:ascii="仿宋" w:hAnsi="仿宋" w:eastAsia="仿宋" w:cs="仿宋"/>
          <w:b/>
          <w:bCs/>
          <w:color w:val="auto"/>
          <w:highlight w:val="none"/>
        </w:rPr>
        <w:t>1.</w:t>
      </w:r>
      <w:r>
        <w:rPr>
          <w:rFonts w:hint="eastAsia" w:ascii="仿宋" w:hAnsi="仿宋" w:eastAsia="仿宋" w:cs="仿宋"/>
          <w:b/>
          <w:bCs/>
          <w:color w:val="auto"/>
          <w:highlight w:val="none"/>
          <w:lang w:val="zh-CN"/>
        </w:rPr>
        <w:t>投标人的最终得分为</w:t>
      </w:r>
      <w:r>
        <w:rPr>
          <w:rFonts w:hint="eastAsia" w:ascii="仿宋" w:hAnsi="仿宋" w:eastAsia="仿宋" w:cs="仿宋"/>
          <w:b/>
          <w:bCs/>
          <w:color w:val="auto"/>
          <w:highlight w:val="none"/>
        </w:rPr>
        <w:t>报价</w:t>
      </w:r>
      <w:r>
        <w:rPr>
          <w:rFonts w:hint="eastAsia" w:ascii="仿宋" w:hAnsi="仿宋" w:eastAsia="仿宋" w:cs="仿宋"/>
          <w:b/>
          <w:bCs/>
          <w:color w:val="auto"/>
          <w:highlight w:val="none"/>
          <w:lang w:val="zh-CN"/>
        </w:rPr>
        <w:t>、商务、技术标得分之和。</w:t>
      </w:r>
    </w:p>
    <w:p>
      <w:pPr>
        <w:pStyle w:val="34"/>
        <w:spacing w:line="420" w:lineRule="exact"/>
        <w:rPr>
          <w:rFonts w:hint="eastAsia" w:ascii="仿宋" w:hAnsi="仿宋" w:eastAsia="仿宋" w:cs="仿宋"/>
          <w:b/>
          <w:bCs/>
          <w:color w:val="auto"/>
          <w:highlight w:val="none"/>
          <w:lang w:val="zh-CN"/>
        </w:rPr>
      </w:pPr>
      <w:r>
        <w:rPr>
          <w:rFonts w:hint="eastAsia" w:ascii="仿宋" w:hAnsi="仿宋" w:eastAsia="仿宋" w:cs="仿宋"/>
          <w:b/>
          <w:bCs/>
          <w:color w:val="auto"/>
          <w:highlight w:val="none"/>
        </w:rPr>
        <w:t>2.</w:t>
      </w:r>
      <w:r>
        <w:rPr>
          <w:rFonts w:hint="eastAsia" w:ascii="仿宋" w:hAnsi="仿宋" w:eastAsia="仿宋" w:cs="仿宋"/>
          <w:b/>
          <w:bCs/>
          <w:color w:val="auto"/>
          <w:highlight w:val="none"/>
          <w:lang w:val="zh-CN"/>
        </w:rPr>
        <w:t>评标委员会应当执行连续评标的原则完成全部评标工作。只有发生不可抗力导致评标工作无法继续时，评标活动方可暂停。发生评标暂停情况时，评标委员会应当封存全部投标文件和评标记录，待不可抗力的影响结束且具备继续评标的条件时，由原评标委员会继续评标。</w:t>
      </w:r>
    </w:p>
    <w:p>
      <w:pPr>
        <w:pStyle w:val="34"/>
        <w:spacing w:line="420" w:lineRule="exact"/>
        <w:rPr>
          <w:rFonts w:hint="eastAsia" w:ascii="仿宋" w:hAnsi="仿宋" w:eastAsia="仿宋" w:cs="仿宋"/>
          <w:b/>
          <w:bCs/>
          <w:color w:val="auto"/>
          <w:highlight w:val="none"/>
          <w:lang w:val="zh-CN"/>
        </w:rPr>
      </w:pPr>
      <w:r>
        <w:rPr>
          <w:rFonts w:hint="eastAsia" w:ascii="仿宋" w:hAnsi="仿宋" w:eastAsia="仿宋" w:cs="仿宋"/>
          <w:b/>
          <w:bCs/>
          <w:color w:val="auto"/>
          <w:highlight w:val="none"/>
        </w:rPr>
        <w:t>3.</w:t>
      </w:r>
      <w:r>
        <w:rPr>
          <w:rFonts w:hint="eastAsia" w:ascii="仿宋" w:hAnsi="仿宋" w:eastAsia="仿宋" w:cs="仿宋"/>
          <w:b/>
          <w:bCs/>
          <w:color w:val="auto"/>
          <w:highlight w:val="none"/>
          <w:lang w:val="zh-CN"/>
        </w:rPr>
        <w:t>除非发生下列情况之一，评标委员会成员不得在评标中途更换：(1)因不可抗拒的客观原因，不能到场或需在评标中途退出评标活动；(2)根据法律法规规定，某个或某几个评标委员会成员需要回避。退出评标的评标委员会成员，其已完成的评标行为无效。根据本招标文件规定的评标委员会成员产生方式另行确定替代者进行评标。</w:t>
      </w:r>
    </w:p>
    <w:p>
      <w:pPr>
        <w:pStyle w:val="34"/>
        <w:spacing w:line="420" w:lineRule="exact"/>
        <w:rPr>
          <w:rFonts w:hint="eastAsia" w:ascii="仿宋" w:hAnsi="仿宋" w:eastAsia="仿宋" w:cs="仿宋"/>
          <w:color w:val="auto"/>
          <w:highlight w:val="none"/>
          <w:lang w:val="zh-CN"/>
        </w:rPr>
      </w:pPr>
      <w:r>
        <w:rPr>
          <w:rFonts w:hint="eastAsia" w:ascii="仿宋" w:hAnsi="仿宋" w:eastAsia="仿宋" w:cs="仿宋"/>
          <w:b/>
          <w:bCs/>
          <w:color w:val="auto"/>
          <w:highlight w:val="none"/>
        </w:rPr>
        <w:t>4.</w:t>
      </w:r>
      <w:r>
        <w:rPr>
          <w:rFonts w:hint="eastAsia" w:ascii="仿宋" w:hAnsi="仿宋" w:eastAsia="仿宋" w:cs="仿宋"/>
          <w:b/>
          <w:bCs/>
          <w:color w:val="auto"/>
          <w:highlight w:val="none"/>
          <w:lang w:val="zh-CN"/>
        </w:rPr>
        <w:t>在任何评标环节中，需评标委员会就某项评审结论做出表决的，由评标委员会全体成员按照少数服从多数的原则，以记名投票方式表决。</w:t>
      </w:r>
    </w:p>
    <w:p>
      <w:pPr>
        <w:pageBreakBefore/>
        <w:snapToGrid w:val="0"/>
        <w:spacing w:line="360" w:lineRule="auto"/>
        <w:jc w:val="center"/>
        <w:outlineLvl w:val="0"/>
        <w:rPr>
          <w:rFonts w:hint="eastAsia" w:ascii="仿宋" w:hAnsi="仿宋" w:eastAsia="仿宋" w:cs="仿宋"/>
          <w:b/>
          <w:bCs/>
          <w:color w:val="auto"/>
          <w:sz w:val="32"/>
          <w:szCs w:val="32"/>
          <w:highlight w:val="none"/>
        </w:rPr>
      </w:pPr>
      <w:bookmarkStart w:id="52" w:name="_Toc23123"/>
      <w:bookmarkStart w:id="53" w:name="_Toc9283"/>
      <w:bookmarkStart w:id="54" w:name="_Toc20107"/>
      <w:bookmarkStart w:id="55" w:name="_Toc16345"/>
      <w:bookmarkStart w:id="56" w:name="_Toc23862"/>
      <w:bookmarkStart w:id="57" w:name="_Toc17124"/>
      <w:bookmarkStart w:id="58" w:name="_Toc7101"/>
      <w:bookmarkStart w:id="59" w:name="_Toc14983"/>
      <w:bookmarkStart w:id="60" w:name="_Toc11960"/>
      <w:bookmarkStart w:id="61" w:name="_Toc17037"/>
      <w:r>
        <w:rPr>
          <w:rFonts w:hint="eastAsia" w:ascii="仿宋" w:hAnsi="仿宋" w:eastAsia="仿宋" w:cs="仿宋"/>
          <w:b/>
          <w:bCs/>
          <w:color w:val="auto"/>
          <w:sz w:val="32"/>
          <w:szCs w:val="32"/>
          <w:highlight w:val="none"/>
          <w:lang w:val="zh-CN"/>
        </w:rPr>
        <w:t>第四章</w:t>
      </w:r>
      <w:bookmarkEnd w:id="29"/>
      <w:r>
        <w:rPr>
          <w:rFonts w:hint="eastAsia" w:ascii="仿宋" w:hAnsi="仿宋" w:eastAsia="仿宋" w:cs="仿宋"/>
          <w:b/>
          <w:bCs/>
          <w:color w:val="auto"/>
          <w:sz w:val="32"/>
          <w:szCs w:val="32"/>
          <w:highlight w:val="none"/>
        </w:rPr>
        <w:t xml:space="preserve">  采购需求</w:t>
      </w:r>
      <w:bookmarkEnd w:id="52"/>
      <w:bookmarkEnd w:id="53"/>
      <w:bookmarkEnd w:id="54"/>
      <w:bookmarkEnd w:id="55"/>
      <w:bookmarkEnd w:id="56"/>
      <w:bookmarkEnd w:id="57"/>
      <w:bookmarkEnd w:id="58"/>
      <w:bookmarkEnd w:id="59"/>
      <w:bookmarkEnd w:id="60"/>
      <w:bookmarkEnd w:id="61"/>
    </w:p>
    <w:p>
      <w:pPr>
        <w:numPr>
          <w:ilvl w:val="0"/>
          <w:numId w:val="3"/>
        </w:numPr>
        <w:rPr>
          <w:rFonts w:hint="eastAsia" w:ascii="仿宋" w:hAnsi="仿宋" w:eastAsia="仿宋" w:cs="仿宋"/>
          <w:b/>
          <w:bCs/>
          <w:color w:val="auto"/>
          <w:highlight w:val="none"/>
        </w:rPr>
      </w:pPr>
      <w:r>
        <w:rPr>
          <w:rFonts w:hint="eastAsia" w:ascii="仿宋" w:hAnsi="仿宋" w:eastAsia="仿宋" w:cs="仿宋"/>
          <w:b/>
          <w:bCs/>
          <w:color w:val="auto"/>
          <w:highlight w:val="none"/>
        </w:rPr>
        <w:t>项目名称</w:t>
      </w:r>
    </w:p>
    <w:p>
      <w:pPr>
        <w:pStyle w:val="7"/>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新疆农业大学智慧农业科技创新平台建设项目</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25"/>
        <w:gridCol w:w="6627"/>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序号</w:t>
            </w:r>
          </w:p>
        </w:tc>
        <w:tc>
          <w:tcPr>
            <w:tcW w:w="703" w:type="dxa"/>
            <w:vAlign w:val="center"/>
          </w:tcPr>
          <w:p>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设备</w:t>
            </w:r>
          </w:p>
        </w:tc>
        <w:tc>
          <w:tcPr>
            <w:tcW w:w="8077" w:type="dxa"/>
            <w:vAlign w:val="center"/>
          </w:tcPr>
          <w:p>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参数</w:t>
            </w:r>
          </w:p>
        </w:tc>
        <w:tc>
          <w:tcPr>
            <w:tcW w:w="1007" w:type="dxa"/>
            <w:vAlign w:val="center"/>
          </w:tcPr>
          <w:p>
            <w:pPr>
              <w:jc w:val="center"/>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p>
        </w:tc>
        <w:tc>
          <w:tcPr>
            <w:tcW w:w="703" w:type="dxa"/>
            <w:vAlign w:val="center"/>
          </w:tcPr>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果实视觉对靶自主授粉疏果试验开发系统</w:t>
            </w:r>
          </w:p>
        </w:tc>
        <w:tc>
          <w:tcPr>
            <w:tcW w:w="8077" w:type="dxa"/>
            <w:vAlign w:val="center"/>
          </w:tcPr>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一、项目概述</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本项目为设施农业、经济林果种植领域的智能授粉与精准疏果技术研发专用设备采购，旨在为花期识别、果实视觉对靶、自主授粉作业、智能疏果管控相关的算法开发、场景验证、性能测试提供全功能、高适配、可二次开发的软硬件一体化平台，解决农业授粉疏果技术研发中硬件平台适配性差、多系统联动开发难度高、试验数据采集不完整的痛点，支撑无人化果园、智慧设施农业的核心技术攻关与试验验证；仿真环境中可搭建水稻和棉花作物，用构建虚拟农业仿真场景。</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总体要求：本设备为集成式四驱四转向复合农业智能机器人，需实现移动底盘、多作业机器人、感知导航系统的软硬件全兼容与稳定联动，满足户外农田长期作业的环境适配要求，具备高可靠性、高扩展性与易维护性。</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二、核心技术参数要求</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（一）自主移动底盘系统</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1、整机尺寸：≥L1900mm×W1450mm×H960mm，机身结构紧凑，适配大田垄间、设施大棚等窄幅作业场景通行需求。</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2、额定载重：≥260kg，可稳定承载上部搭载的作业机器人、感知设备、作业工具及农资物料等全部作业负载。</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驱动与转向形式：采用四驱四转向全轮独立驱动结构，原生支持阿克曼转向、原地转向、横向行驶三种转向形态；其中阿克曼转向适配长距离直线作业，原地转向适配地头小空间掉头，横向行驶适配株间、垄间精准对位作业，全面覆盖农业全场景通行需求。</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4、运行速度：支持 0~5km/h 无级调速，可根据作业场景切换低速精准作业模式与高速转场模式，调速过程平顺无冲击。</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5、越障高度：不低于 150mm，可稳定通过田埂、沟渠、碎石等田间常见障碍。</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6、爬坡能力：满载状态下稳定爬坡角度不低于 15°，可适配坡地、梯田等非平整地块作业需求。</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7、离地间隙：870mm±30mm，高离地间隙设计可适配高秆作物行间通行，避免作业过程中刮蹭、损伤植株。</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8、转弯直径：不大于 2400mm±100mm，最小转弯半径适配大棚、小地块等狭窄空间作业。</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9、轮胎规格：约20 寸专用农用轮胎，轮胎直径不低于 450mm，采用深花纹防滑防陷设计，适配泥泞、松软农田路面，抓地力强，不易打滑。</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10、防护等级：底盘整机防护等级不低于 IP54，核心电气仓做密封防尘防水处理，可抵御农田作业中的扬尘、露水、灌溉喷淋等环境影响。</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11、制动方式：采用使能制动，具备失电保护功能，断电、信号中断、故障状态下可自动可靠锁止，防止溜车、失控，保障作业安全。</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12、工作环境温度：支持 0℃~+55℃宽温工作，可适应户外农业早间低温、午间高温的全时段作业环境。</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13、扩展能力：支持防撞触边、本地操控屏、农机具升降悬挂、植保喷杆等选配功能扩展，预留标准化安装接口与电气接口，改动机身结构即可完成功能升级。</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（二）电源与续航系统</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1、电池类型：采用 ≥30Ah锂电池组，配套电池管理系统，电池具备高安全性、长循环寿命特性，适配户外农业作业的充放电需求。</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2、续航能力：连续作业状态下续航时长不低于 5h，空载转场状态下最大续航时长不低于 6h，可满足单日单地块全时段作业需求。</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3、充电方式：标配手动充电模式，配套专用智能充电器，具备过充、过放、过流、短路、过热、低温充放电全维度保护功能；可选配快充模块，满电充电时长不超过 3 小时。</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4、电池性能：电池组循环寿命不低于 2000 次充放电循环，工作温度覆盖 - 10℃~60℃，具备良好的高低温适应性；BMS 系统可实时采集电池单体电压、总压、电流、温度、SOC 电量、SOH 健康度等参数，支持异常状态分级报警与保护果实视觉对靶自主授粉疏果试验开发系统。</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w:t>
            </w:r>
            <w:r>
              <w:rPr>
                <w:rFonts w:hint="eastAsia" w:ascii="仿宋" w:hAnsi="仿宋" w:eastAsia="仿宋" w:cs="仿宋"/>
                <w:color w:val="auto"/>
                <w:sz w:val="21"/>
                <w:szCs w:val="21"/>
                <w:highlight w:val="none"/>
              </w:rPr>
              <w:tab/>
            </w:r>
            <w:r>
              <w:rPr>
                <w:rFonts w:hint="eastAsia" w:ascii="仿宋" w:hAnsi="仿宋" w:eastAsia="仿宋" w:cs="仿宋"/>
                <w:color w:val="auto"/>
                <w:sz w:val="21"/>
                <w:szCs w:val="21"/>
                <w:highlight w:val="none"/>
              </w:rPr>
              <w:t>状态监控：电池全量运行数据可同步至操控终端与主控系统，支持低电量预警、自动返航功能，剩余电量低于阈值时可自动返回充电点，避免作业中途断电。</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（三）作业执行系统</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★1、配置数量：底盘底部集成安装 4 轴 SCARA 机器人共 3 台，采用分布式布局设计，可覆盖最大作业幅宽，无作业盲区。</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2、单台机器人核心参数：额定负载不低于 1kg，最大负载不低于 3kg，水平工作半径不低于 400mm，可覆盖单株作物、秧苗盘、物料框的全范围作业需求。</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3、机械性能：采用 4 轴 SCARA 结构，包含 J1/J2 旋转轴、Z 轴升降轴、R 轴旋转轴，重复定位精度不高于 ±0.02mm，最大循环节拍≤0.6s，具备高速度、高精度、高稳定性特性，适配农业高频次精准作业需求。</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4、防护等级：单台机器人本体防护等级不低于 IP54，可抵御农田扬尘、潮湿环境影响，适配户外作业场景。</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5、末端执行器：每台机器人末端原生兼容气动吸盘、柔性气动手爪两种执行器；</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6、气动配套系统：整机集成一体化气源处理单元、高精度电磁阀组、全套气动管路与快插接头；</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7、安装与维护：机器人采用快装式底座安装，可快速拆卸、维护与位置调整，适配不同作业场景的布局优化。</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8、仿真及控制：提供该机器人的数字孪生仿真，模拟控制、支持虚拟示教、集成控制与移动底盘集成仿真功能；</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（四）感知与导航系统</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1、激光雷达：标配16 线激光雷达，核心参数需满足：激光线数 16 线，10% 反射率目标物测距能力不低于 200m，水平 360° 全视场、垂直 ±15° 视场角，水平角分辨率 0.2°、垂直角分辨率 2°，测距精度不高于 ±2cm，点云数据更新率不低于 10Hz；防护等级不低于 IP67，可适应户外暴雨、暴晒、扬尘等恶劣作业环境；采用以太网数据接口，可与主控系统、导航系统无缝对接，原生支持点云数据处理、环境建模、障碍物识别功能。</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2、高精度定位系统：集成北斗 + GPS+GLONASS 多系统融合 RTK 定位模块，搭配双天线定向设计。</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3、多传感器融合定位：采用激光雷达 + RTK+IMU 惯性测量单元多传感器融合定位算法，即使在大棚、高秆作物区等卫星信号遮挡场景，也可保持连续稳定的高精度定位。</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（五）控制系统与通信</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★1、操控方式：基于射频2.4G无线遥控单元模块，支持双手操作，ABS外壳，具有1.7寸彩色液晶，支持中英文界面以及车辆状态显示，双摇杆金属波段开关控制，配置双天线。</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2、遥控性能：通视环境下遥控器稳定遥控距离不低于 50m，信号抗干扰能力强，无丢包、无延迟；遥控器带 LCD 液晶显示屏，可实时显示设备行驶状态、电池电量，配备双摇杆调速、点动控制、急停按钮、模式切换按键，操作简单便捷。</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3、无线通信：标配无线通信模块，支持远程数据传输、远程状态监控、远程固件升级、远程故障诊断功能。</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4、主控系统：采用工业级车载控制器，宽温工作、抗振动、抗电磁干扰；具备多任务并行处理能力，可同步实现底盘行驶控制、3 台机器人运动控制、感知数据处理、导航路径解算，全系统联动延迟不高于 100ms。</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仿真功能：提供该智能农业机器人的集成仿真软件，基于3D交互，支持用户拖拽模型进行农业机器人的搭建控制仿真，包含四驱移动底盘、SCARA机械臂、传感器等，软件支持模型导入及自定义模型库功能，支持在软件中的模拟控制移动底盘、SCARA机器人示教编程控制、扩展仿真安装六轴机器人、Delta机器人仿真等，以及工业PLC集成调试仿真；（提供软件功能截屏证明）</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状态监控与报警：主控系统可实时采集并显示底盘行驶速度、转向角度、电池状态、机器人作业状态、定位精度、雷达点云状态、故障代码等全量运行数据；支持分级故障报警，可实现预警提示、降功率运行、紧急停机三级保护，故障信息可本地存储与远程推送，便于快速排查与维护。</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7、急停安全保护：配置机身本地物理急停按钮、遥控器远程急停，可立即切断整机动力输出，保障人员与设备安全。</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（六）数据采集云平台</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1、平台应用：该平台基于设备的模块化数据采集，通过工业网关实现设备上云，以及数据可视化管理，能够实时记录和管理该农业智能机器人的状态及运行数据的在线监控。</w:t>
            </w:r>
          </w:p>
          <w:p>
            <w:pPr>
              <w:jc w:val="both"/>
              <w:rPr>
                <w:rFonts w:hint="eastAsia" w:ascii="仿宋" w:hAnsi="仿宋" w:eastAsia="仿宋" w:cs="仿宋"/>
                <w:color w:val="auto"/>
                <w:sz w:val="21"/>
                <w:szCs w:val="21"/>
                <w:highlight w:val="none"/>
              </w:rPr>
            </w:pPr>
            <w:ins w:id="33" w:author="a21376" w:date="2026-04-30T16:21:00Z">
              <w:r>
                <w:rPr>
                  <w:rFonts w:hint="eastAsia" w:ascii="仿宋" w:hAnsi="仿宋" w:eastAsia="仿宋" w:cs="仿宋"/>
                  <w:color w:val="auto"/>
                  <w:sz w:val="21"/>
                  <w:szCs w:val="21"/>
                  <w:highlight w:val="none"/>
                </w:rPr>
                <w:t>▲</w:t>
              </w:r>
            </w:ins>
            <w:r>
              <w:rPr>
                <w:rFonts w:hint="eastAsia" w:ascii="仿宋" w:hAnsi="仿宋" w:eastAsia="仿宋" w:cs="仿宋"/>
                <w:color w:val="auto"/>
                <w:sz w:val="21"/>
                <w:szCs w:val="21"/>
                <w:highlight w:val="none"/>
              </w:rPr>
              <w:t>2、平台功能：该平台具有数字化运维看板、网盘功能、网关上传、设备上传、账户管理等功能；</w:t>
            </w:r>
            <w:ins w:id="34" w:author="a21376" w:date="2026-04-30T16:21:00Z">
              <w:r>
                <w:rPr>
                  <w:rFonts w:hint="eastAsia" w:ascii="仿宋" w:hAnsi="仿宋" w:eastAsia="仿宋" w:cs="仿宋"/>
                  <w:color w:val="auto"/>
                  <w:sz w:val="21"/>
                  <w:szCs w:val="21"/>
                  <w:highlight w:val="none"/>
                </w:rPr>
                <w:t>（提供软件功能截屏证明）</w:t>
              </w:r>
            </w:ins>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3、数字化运维看板功能</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▲（1）采用WEB端可视化，数字化运维看板，具有图表可视化看板，能够自动统计设备连接、设备统计、用户登录图表以及数据看板工程案例展示等功能；（提供软件功能截屏证明）</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（2）、具有多种可视化看板模板，支持用户自定义选择模板、支持用户设置模板参数；</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4、工业互联网数据采集云平台功能</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▲（1）低代码数据看板功能：采用低代码编程，具有丰富的图表、图形、折线图等功能模块，可通过拖拽式进行布局和页面设计，支持文件导入、导出、保存等，支持在线预览；（提供软件功能截屏证明）</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（2）数据可视化模板功能：具有丰富的背景、可视化工程案例模板，支持用户自定义创建和分享可视化模板；</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（3）设备管理功能：支持用户自定义分区、分类进行设备添加和管理，支持用户自定义设备数据接口、自定义管理设备维护数据内容；</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（4）网关管理功能：支持用户按照分区、分类进行网关模块的添加和管理，支持自定义网关的标识、品牌、型号以及关联到设备数据的接口；</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（5）数据源管理功能：支持MQTT、数据库以及接入的监控摄像机数据源管理功能，支持用户自定义数据源和进行增删改查；</w:t>
            </w:r>
          </w:p>
        </w:tc>
        <w:tc>
          <w:tcPr>
            <w:tcW w:w="1007" w:type="dxa"/>
            <w:vAlign w:val="center"/>
          </w:tcPr>
          <w:p>
            <w:pPr>
              <w:jc w:val="both"/>
              <w:rPr>
                <w:rFonts w:hint="eastAsia" w:ascii="仿宋" w:hAnsi="仿宋" w:eastAsia="仿宋"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dxa"/>
            <w:vAlign w:val="center"/>
          </w:tcPr>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w:t>
            </w:r>
          </w:p>
        </w:tc>
        <w:tc>
          <w:tcPr>
            <w:tcW w:w="703" w:type="dxa"/>
            <w:vAlign w:val="center"/>
          </w:tcPr>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粮油作物农情感知自适应收获试验开发系统</w:t>
            </w:r>
          </w:p>
        </w:tc>
        <w:tc>
          <w:tcPr>
            <w:tcW w:w="8077" w:type="dxa"/>
            <w:vAlign w:val="center"/>
          </w:tcPr>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一、粮油作物农情智能感知开发与科研平台</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1、功能要求</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（1）包含整机本体、无人驾驶控制系统、配套附件、备品备件、专用工具及技术服务，</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（2）设备须满足粮油作物装备、农林机械感知系统、北斗定位及导航开发系统的二次开发。</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2、整机基础核心技术参数</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（1）整机规格参数</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1）外形尺寸（长×宽×高）：≤7000mm×3100mm×3400mm，</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2）整机质量：≥5900kg，</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3）割台工作幅宽：≥2700mm，</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4）最小离地间隙：≥300mm，</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5）储存容积：≥2.4 立方米，</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6）油箱容积：≥300L，</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（2）动力系统参数</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1）动力性能指标：性能不低于YCA05190-T300的国三及以上排放发动机，</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2）标定功率：≥130kW，</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3)标定转速：2200r/min，</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（3）作业性能参数</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1）喂入量：≥8.5kg/s，</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2）作业速度：3-8km/h，支持无人驾驶模式下调速，</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3）作业小时生产率：0.5-1.4hm²/h，</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4）单位作业面积消耗油量：≤42kg/hm²，</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3、核心部件与配置要求</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（1）脱粒清选系统</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1）脱粒机构：切流+横轴流双滚筒结构，主滚筒规格≥Φ550×1650mm，副滚筒规格≥Φ500×850mm，</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2）清选方式：离心式风扇，风扇直径≥Φ440mm，</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（2）行走与底盘系统</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1）底盘车架：采用16锰高强度钢材质，承载力较常规车架提升≥15%，</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2）关键传动部件：采用免维护除尘轴承，</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（3）配套配置</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1）卸粮装置：卸粮筒直径≥260mm，卸粮高度 3.3-3.8m，支持无人驾驶模式下自动卸粮控制</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2）驾驶舱：双层夹胶玻璃隔音驾驶舱，预留无人驾驶系统操控终端安装位，配备手动 / 自动模式切换物理按键</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3）基础性能：作业行走速度、续航能力较同级别常规机型有明显提升</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4、无人驾驶控制系统技术参数</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（1）高精度定位导航系统</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1）定位系统：支持北斗+GPS双系统融合差分定位，标配工业级 RTK 高精度定位终端；</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2）定位精度：RTK 动态水平定位精度≤±2.5cm，高程定位精度≤±5cm；</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3)终端防护等级：IP67，适应田间高湿、高尘、强震动作业环境；</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（2）安全防护系统</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1）障碍物避障：标配传感器避障系统，自动执行减速、停车动作；</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2）紧急停止系统：设备本体配备物理急停按钮，支持远程终端一键急停，急停指令触发后制动。</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二、无人智能感知自适应收获开发平台</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1、功能要求：平台主要适用于无人驾驶农业装备，涵盖结构感知系统技术参数:</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（1）整机外形尺寸（长×宽×高）：≤4400×2150×2950mm；</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（2）发动机：标定功率≥85kW，标定转速≥2200r/min，结构型式为直列、四冲程水冷柴油，</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（3）轴距≥2150mm，最小离地间隙≥430mm；</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（4）离合器壳体前端面至后驱动轴轴心线的水平距离≥1300mm；</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（5）最小使用质量≥3900kg，最小使用比质量≥44kg/kw；</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（6）最高设计理论行驶速度≥35km/h；</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（7）轮胎规格（前轮 / 后轮）：14.9-24/16.9-38；</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（8）液压输出组数≥2 组；</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（9）悬挂装置后置三点悬挂，悬挂类别为2类；</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（10）动力输出轴标准转速：720/760r/min，支持双转速切换；</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2、模块智能控制系统技术要求</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（1）定位与导航感知:1）支持北斗、GPS 多系统联合定位，兼容 RTK 差分定位模式，动态平面定位精度≤±2cm，田间作业横向偏差≤±3cm；</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（2）支持地块自动测绘、全路径规划，适配平行直线、梭形、环形等常规田间作业模式，具备地头自动转弯、断点续作功能；</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（3）整车电控执行开发系统</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1）与原车底盘深度集成，实现转向、油门、刹车、换挡的全自动电控控制，保留原车人工驾驶模式；</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2）可实现动力输出轴、三点悬挂、液压输出的联动控制，适配田间耕整、播种、植保等作业的自动启停与动作协同；</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（4）安全防护系统</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1）配置本地物理急停与远程急停双路急停功能，触发后可快速切断动力、驻车制动；</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2）配置障碍物检测装置，可识别作业路径内的障碍物并执行减速、停车动作，具备信号丢失、边界越界、设备异常的自动保护与报警功能；</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（5）人机交互与管理系统</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1）配置车载工业级触控显示屏，全中文操作界面，可实时显示作业状态、设置作业参数、查看故障信息；</w:t>
            </w:r>
          </w:p>
          <w:p>
            <w:pPr>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2）配套远程管理平台，可实现车辆定位、远程状态监控；</w:t>
            </w:r>
          </w:p>
        </w:tc>
        <w:tc>
          <w:tcPr>
            <w:tcW w:w="1007" w:type="dxa"/>
            <w:vAlign w:val="center"/>
          </w:tcPr>
          <w:p>
            <w:pPr>
              <w:jc w:val="both"/>
              <w:rPr>
                <w:rFonts w:hint="eastAsia" w:ascii="仿宋" w:hAnsi="仿宋" w:eastAsia="仿宋" w:cs="仿宋"/>
                <w:color w:val="auto"/>
                <w:sz w:val="21"/>
                <w:szCs w:val="21"/>
                <w:highlight w:val="none"/>
              </w:rPr>
            </w:pPr>
          </w:p>
        </w:tc>
      </w:tr>
    </w:tbl>
    <w:p>
      <w:pPr>
        <w:rPr>
          <w:rStyle w:val="68"/>
          <w:rFonts w:hint="eastAsia" w:ascii="仿宋" w:hAnsi="仿宋" w:eastAsia="仿宋" w:cs="仿宋"/>
          <w:b/>
          <w:color w:val="auto"/>
          <w:highlight w:val="none"/>
        </w:rPr>
      </w:pPr>
      <w:r>
        <w:rPr>
          <w:rStyle w:val="68"/>
          <w:rFonts w:hint="eastAsia" w:ascii="仿宋" w:hAnsi="仿宋" w:eastAsia="仿宋" w:cs="仿宋"/>
          <w:b/>
          <w:color w:val="auto"/>
          <w:highlight w:val="none"/>
        </w:rPr>
        <w:br w:type="page"/>
      </w:r>
    </w:p>
    <w:p>
      <w:pPr>
        <w:pageBreakBefore/>
        <w:snapToGrid w:val="0"/>
        <w:spacing w:line="360" w:lineRule="auto"/>
        <w:jc w:val="center"/>
        <w:outlineLvl w:val="0"/>
        <w:rPr>
          <w:rFonts w:hint="eastAsia" w:ascii="仿宋" w:hAnsi="仿宋" w:eastAsia="仿宋" w:cs="仿宋"/>
          <w:b/>
          <w:bCs/>
          <w:color w:val="auto"/>
          <w:sz w:val="32"/>
          <w:szCs w:val="32"/>
          <w:highlight w:val="none"/>
          <w:lang w:val="zh-CN"/>
        </w:rPr>
      </w:pPr>
      <w:bookmarkStart w:id="62" w:name="_Toc22502"/>
      <w:bookmarkStart w:id="63" w:name="_Toc20388"/>
      <w:bookmarkStart w:id="64" w:name="_Toc45033360"/>
      <w:bookmarkStart w:id="65" w:name="_Toc14754"/>
      <w:bookmarkStart w:id="66" w:name="_Toc18729"/>
      <w:bookmarkStart w:id="67" w:name="_Toc11951"/>
      <w:bookmarkStart w:id="68" w:name="_Toc15925"/>
      <w:bookmarkStart w:id="69" w:name="_Toc6866"/>
      <w:bookmarkStart w:id="70" w:name="_Toc22316"/>
      <w:bookmarkStart w:id="71" w:name="_Toc5391"/>
      <w:bookmarkStart w:id="72" w:name="_Toc5720"/>
      <w:r>
        <w:rPr>
          <w:rFonts w:hint="eastAsia" w:ascii="仿宋" w:hAnsi="仿宋" w:eastAsia="仿宋" w:cs="仿宋"/>
          <w:b/>
          <w:bCs/>
          <w:color w:val="auto"/>
          <w:sz w:val="32"/>
          <w:szCs w:val="32"/>
          <w:highlight w:val="none"/>
          <w:lang w:val="zh-CN"/>
        </w:rPr>
        <w:t>第五章 合同条款</w:t>
      </w:r>
      <w:bookmarkEnd w:id="62"/>
      <w:bookmarkEnd w:id="63"/>
      <w:bookmarkEnd w:id="64"/>
      <w:bookmarkEnd w:id="65"/>
      <w:bookmarkEnd w:id="66"/>
      <w:bookmarkEnd w:id="67"/>
      <w:bookmarkEnd w:id="68"/>
      <w:bookmarkEnd w:id="69"/>
      <w:bookmarkEnd w:id="70"/>
      <w:bookmarkEnd w:id="71"/>
      <w:bookmarkEnd w:id="72"/>
    </w:p>
    <w:p>
      <w:pPr>
        <w:autoSpaceDE/>
        <w:autoSpaceDN/>
        <w:adjustRightInd/>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（本合同仅供参考，具体以实际签订的为准）</w:t>
      </w:r>
    </w:p>
    <w:p>
      <w:pPr>
        <w:pStyle w:val="7"/>
        <w:jc w:val="center"/>
        <w:rPr>
          <w:rFonts w:hint="eastAsia" w:ascii="仿宋" w:hAnsi="仿宋" w:eastAsia="仿宋" w:cs="仿宋"/>
          <w:b/>
          <w:bCs/>
          <w:color w:val="auto"/>
          <w:spacing w:val="-20"/>
          <w:kern w:val="44"/>
          <w:sz w:val="32"/>
          <w:highlight w:val="none"/>
        </w:rPr>
      </w:pPr>
    </w:p>
    <w:p>
      <w:pPr>
        <w:pStyle w:val="7"/>
        <w:jc w:val="center"/>
        <w:rPr>
          <w:rFonts w:hint="eastAsia" w:ascii="仿宋" w:hAnsi="仿宋" w:eastAsia="仿宋" w:cs="仿宋"/>
          <w:b/>
          <w:bCs/>
          <w:color w:val="auto"/>
          <w:spacing w:val="-20"/>
          <w:kern w:val="44"/>
          <w:sz w:val="32"/>
          <w:highlight w:val="none"/>
        </w:rPr>
      </w:pPr>
    </w:p>
    <w:p>
      <w:pPr>
        <w:pStyle w:val="7"/>
        <w:jc w:val="center"/>
        <w:rPr>
          <w:rFonts w:hint="eastAsia" w:ascii="仿宋" w:hAnsi="仿宋" w:eastAsia="仿宋" w:cs="仿宋"/>
          <w:b/>
          <w:bCs/>
          <w:color w:val="auto"/>
          <w:spacing w:val="-20"/>
          <w:kern w:val="44"/>
          <w:sz w:val="32"/>
          <w:highlight w:val="none"/>
        </w:rPr>
      </w:pPr>
    </w:p>
    <w:p>
      <w:pPr>
        <w:pStyle w:val="7"/>
        <w:jc w:val="center"/>
        <w:rPr>
          <w:rFonts w:hint="eastAsia" w:ascii="仿宋" w:hAnsi="仿宋" w:eastAsia="仿宋" w:cs="仿宋"/>
          <w:b/>
          <w:bCs/>
          <w:color w:val="auto"/>
          <w:spacing w:val="-20"/>
          <w:kern w:val="44"/>
          <w:sz w:val="32"/>
          <w:highlight w:val="none"/>
        </w:rPr>
      </w:pPr>
    </w:p>
    <w:p>
      <w:pPr>
        <w:pStyle w:val="7"/>
        <w:jc w:val="center"/>
        <w:rPr>
          <w:rFonts w:hint="eastAsia" w:ascii="仿宋" w:hAnsi="仿宋" w:eastAsia="仿宋" w:cs="仿宋"/>
          <w:b/>
          <w:bCs/>
          <w:color w:val="auto"/>
          <w:spacing w:val="-20"/>
          <w:kern w:val="44"/>
          <w:sz w:val="32"/>
          <w:highlight w:val="none"/>
        </w:rPr>
      </w:pPr>
      <w:r>
        <w:rPr>
          <w:rFonts w:hint="eastAsia" w:ascii="仿宋" w:hAnsi="仿宋" w:eastAsia="仿宋" w:cs="仿宋"/>
          <w:b/>
          <w:bCs/>
          <w:color w:val="auto"/>
          <w:spacing w:val="-20"/>
          <w:kern w:val="44"/>
          <w:sz w:val="32"/>
          <w:highlight w:val="none"/>
        </w:rPr>
        <w:t>政府采购货物买卖合同</w:t>
      </w:r>
    </w:p>
    <w:p>
      <w:pPr>
        <w:pStyle w:val="7"/>
        <w:jc w:val="center"/>
        <w:rPr>
          <w:rFonts w:hint="eastAsia" w:ascii="仿宋" w:hAnsi="仿宋" w:eastAsia="仿宋" w:cs="仿宋"/>
          <w:b/>
          <w:bCs/>
          <w:color w:val="auto"/>
          <w:spacing w:val="-20"/>
          <w:kern w:val="44"/>
          <w:sz w:val="48"/>
          <w:szCs w:val="48"/>
          <w:highlight w:val="none"/>
        </w:rPr>
      </w:pPr>
    </w:p>
    <w:p>
      <w:pPr>
        <w:rPr>
          <w:rFonts w:hint="eastAsia" w:ascii="仿宋" w:hAnsi="仿宋" w:eastAsia="仿宋" w:cs="仿宋"/>
          <w:b/>
          <w:bCs/>
          <w:color w:val="auto"/>
          <w:spacing w:val="-20"/>
          <w:kern w:val="44"/>
          <w:sz w:val="40"/>
          <w:szCs w:val="40"/>
          <w:highlight w:val="none"/>
        </w:rPr>
      </w:pPr>
    </w:p>
    <w:p>
      <w:pPr>
        <w:rPr>
          <w:rFonts w:hint="eastAsia" w:ascii="仿宋" w:hAnsi="仿宋" w:eastAsia="仿宋" w:cs="仿宋"/>
          <w:b/>
          <w:bCs/>
          <w:color w:val="auto"/>
          <w:spacing w:val="-20"/>
          <w:kern w:val="44"/>
          <w:sz w:val="40"/>
          <w:szCs w:val="40"/>
          <w:highlight w:val="none"/>
        </w:rPr>
      </w:pPr>
    </w:p>
    <w:p>
      <w:pPr>
        <w:rPr>
          <w:rFonts w:hint="eastAsia" w:ascii="仿宋" w:hAnsi="仿宋" w:eastAsia="仿宋" w:cs="仿宋"/>
          <w:b/>
          <w:bCs/>
          <w:color w:val="auto"/>
          <w:spacing w:val="-20"/>
          <w:kern w:val="44"/>
          <w:sz w:val="40"/>
          <w:szCs w:val="40"/>
          <w:highlight w:val="none"/>
        </w:rPr>
      </w:pPr>
    </w:p>
    <w:p>
      <w:pPr>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 xml:space="preserve">                             </w:t>
      </w:r>
    </w:p>
    <w:p>
      <w:pPr>
        <w:spacing w:line="360" w:lineRule="auto"/>
        <w:ind w:left="480" w:leftChars="200"/>
        <w:rPr>
          <w:rFonts w:hint="eastAsia" w:ascii="仿宋" w:hAnsi="仿宋" w:eastAsia="仿宋" w:cs="仿宋"/>
          <w:color w:val="auto"/>
          <w:highlight w:val="none"/>
          <w:u w:val="single"/>
        </w:rPr>
      </w:pPr>
      <w:r>
        <w:rPr>
          <w:rFonts w:hint="eastAsia" w:ascii="仿宋" w:hAnsi="仿宋" w:eastAsia="仿宋" w:cs="仿宋"/>
          <w:color w:val="auto"/>
          <w:highlight w:val="none"/>
        </w:rPr>
        <w:t>合同编号：</w:t>
      </w:r>
      <w:r>
        <w:rPr>
          <w:rFonts w:hint="eastAsia" w:ascii="仿宋" w:hAnsi="仿宋" w:eastAsia="仿宋" w:cs="仿宋"/>
          <w:color w:val="auto"/>
          <w:highlight w:val="none"/>
          <w:u w:val="single"/>
        </w:rPr>
        <w:t xml:space="preserve">                             </w:t>
      </w:r>
    </w:p>
    <w:p>
      <w:pPr>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甲    方：</w:t>
      </w:r>
      <w:r>
        <w:rPr>
          <w:rFonts w:hint="eastAsia" w:ascii="仿宋" w:hAnsi="仿宋" w:eastAsia="仿宋" w:cs="仿宋"/>
          <w:color w:val="auto"/>
          <w:highlight w:val="none"/>
          <w:u w:val="single"/>
        </w:rPr>
        <w:t xml:space="preserve">                             </w:t>
      </w:r>
    </w:p>
    <w:p>
      <w:pPr>
        <w:spacing w:line="360" w:lineRule="auto"/>
        <w:ind w:left="480" w:leftChars="200"/>
        <w:rPr>
          <w:rFonts w:hint="eastAsia" w:ascii="仿宋" w:hAnsi="仿宋" w:eastAsia="仿宋" w:cs="仿宋"/>
          <w:color w:val="auto"/>
          <w:highlight w:val="none"/>
          <w:u w:val="single"/>
        </w:rPr>
      </w:pPr>
      <w:r>
        <w:rPr>
          <w:rFonts w:hint="eastAsia" w:ascii="仿宋" w:hAnsi="仿宋" w:eastAsia="仿宋" w:cs="仿宋"/>
          <w:color w:val="auto"/>
          <w:highlight w:val="none"/>
        </w:rPr>
        <w:t>乙    方：</w:t>
      </w:r>
      <w:r>
        <w:rPr>
          <w:rFonts w:hint="eastAsia" w:ascii="仿宋" w:hAnsi="仿宋" w:eastAsia="仿宋" w:cs="仿宋"/>
          <w:color w:val="auto"/>
          <w:highlight w:val="none"/>
          <w:u w:val="single"/>
        </w:rPr>
        <w:t xml:space="preserve">                             </w:t>
      </w:r>
    </w:p>
    <w:p>
      <w:pPr>
        <w:spacing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签订时间：</w:t>
      </w:r>
      <w:r>
        <w:rPr>
          <w:rFonts w:hint="eastAsia" w:ascii="仿宋" w:hAnsi="仿宋" w:eastAsia="仿宋" w:cs="仿宋"/>
          <w:color w:val="auto"/>
          <w:highlight w:val="none"/>
          <w:u w:val="single"/>
        </w:rPr>
        <w:t xml:space="preserve">                             </w:t>
      </w:r>
    </w:p>
    <w:p>
      <w:pPr>
        <w:rPr>
          <w:rFonts w:hint="eastAsia" w:ascii="仿宋" w:hAnsi="仿宋" w:eastAsia="仿宋" w:cs="仿宋"/>
          <w:color w:val="auto"/>
          <w:highlight w:val="none"/>
        </w:rPr>
      </w:pPr>
    </w:p>
    <w:p>
      <w:pPr>
        <w:jc w:val="center"/>
        <w:rPr>
          <w:rFonts w:hint="eastAsia" w:ascii="仿宋" w:hAnsi="仿宋" w:eastAsia="仿宋" w:cs="仿宋"/>
          <w:color w:val="auto"/>
          <w:sz w:val="28"/>
          <w:szCs w:val="28"/>
          <w:highlight w:val="none"/>
        </w:rPr>
      </w:pPr>
      <w:r>
        <w:rPr>
          <w:rFonts w:hint="eastAsia" w:ascii="仿宋" w:hAnsi="仿宋" w:eastAsia="仿宋" w:cs="仿宋"/>
          <w:color w:val="auto"/>
          <w:sz w:val="44"/>
          <w:szCs w:val="44"/>
          <w:highlight w:val="none"/>
        </w:rPr>
        <w:br w:type="page"/>
      </w:r>
      <w:r>
        <w:rPr>
          <w:rFonts w:hint="eastAsia" w:ascii="仿宋" w:hAnsi="仿宋" w:eastAsia="仿宋" w:cs="仿宋"/>
          <w:color w:val="auto"/>
          <w:sz w:val="28"/>
          <w:szCs w:val="28"/>
          <w:highlight w:val="none"/>
        </w:rPr>
        <w:t>使 用 说 明</w:t>
      </w:r>
    </w:p>
    <w:p>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1.本合同标准文本适用于购买现成货物的采购项目，不包括需要投标人定制开发、创新研发的货物采购项目。</w:t>
      </w:r>
    </w:p>
    <w:p>
      <w:pPr>
        <w:spacing w:line="360" w:lineRule="auto"/>
        <w:rPr>
          <w:rFonts w:hint="eastAsia" w:ascii="仿宋" w:hAnsi="仿宋" w:eastAsia="仿宋" w:cs="仿宋"/>
          <w:color w:val="auto"/>
          <w:highlight w:val="none"/>
        </w:rPr>
      </w:pPr>
      <w:r>
        <w:rPr>
          <w:rFonts w:hint="eastAsia" w:ascii="仿宋" w:hAnsi="仿宋" w:eastAsia="仿宋" w:cs="仿宋"/>
          <w:color w:val="auto"/>
          <w:highlight w:val="none"/>
        </w:rPr>
        <w:t xml:space="preserve">   2.本合同标准文本为政府采购货物买卖合同编制提供参考，可以结合采购项目具体情况，对文本作必要的调整修订后使用。</w:t>
      </w:r>
    </w:p>
    <w:p>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3.本合同标准文本各条款中，如涉及填写多家投标人、制造商，多种采购标的、分包主要内容等信息的，可根据采购项目具体情况添加信息项。</w:t>
      </w:r>
    </w:p>
    <w:p>
      <w:pPr>
        <w:ind w:firstLine="480" w:firstLineChars="200"/>
        <w:rPr>
          <w:rFonts w:hint="eastAsia" w:ascii="仿宋" w:hAnsi="仿宋" w:eastAsia="仿宋" w:cs="仿宋"/>
          <w:color w:val="auto"/>
          <w:highlight w:val="none"/>
        </w:rPr>
        <w:sectPr>
          <w:headerReference r:id="rId10" w:type="default"/>
          <w:footerReference r:id="rId11" w:type="default"/>
          <w:pgSz w:w="11906" w:h="16838"/>
          <w:pgMar w:top="1440" w:right="1800" w:bottom="1440" w:left="1800" w:header="851" w:footer="992" w:gutter="0"/>
          <w:pgNumType w:fmt="numberInDash"/>
          <w:cols w:space="720" w:num="1"/>
          <w:docGrid w:type="lines" w:linePitch="312" w:charSpace="0"/>
        </w:sectPr>
      </w:pPr>
    </w:p>
    <w:p>
      <w:pPr>
        <w:pStyle w:val="3"/>
        <w:tabs>
          <w:tab w:val="left" w:pos="0"/>
          <w:tab w:val="left" w:pos="420"/>
          <w:tab w:val="left" w:pos="1152"/>
        </w:tabs>
        <w:snapToGrid w:val="0"/>
        <w:spacing w:line="400" w:lineRule="exact"/>
        <w:jc w:val="center"/>
        <w:rPr>
          <w:rFonts w:hint="eastAsia" w:ascii="仿宋" w:hAnsi="仿宋" w:eastAsia="仿宋" w:cs="仿宋"/>
          <w:color w:val="auto"/>
          <w:sz w:val="28"/>
          <w:szCs w:val="28"/>
          <w:highlight w:val="none"/>
        </w:rPr>
      </w:pPr>
      <w:bookmarkStart w:id="73" w:name="_Toc22209"/>
      <w:bookmarkStart w:id="74" w:name="_Toc28872"/>
      <w:r>
        <w:rPr>
          <w:rFonts w:hint="eastAsia" w:ascii="仿宋" w:hAnsi="仿宋" w:eastAsia="仿宋" w:cs="仿宋"/>
          <w:color w:val="auto"/>
          <w:sz w:val="28"/>
          <w:szCs w:val="28"/>
          <w:highlight w:val="none"/>
        </w:rPr>
        <w:t>第一节 政府采购合同协议书</w:t>
      </w:r>
      <w:bookmarkEnd w:id="73"/>
      <w:bookmarkEnd w:id="74"/>
    </w:p>
    <w:p>
      <w:pPr>
        <w:snapToGrid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甲方（全称）：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（采购人、受采购人委托签订合同的单位或采购</w:t>
      </w:r>
      <w:r>
        <w:rPr>
          <w:rFonts w:hint="eastAsia" w:ascii="仿宋" w:hAnsi="仿宋" w:eastAsia="仿宋" w:cs="仿宋"/>
          <w:color w:val="auto"/>
          <w:highlight w:val="none"/>
        </w:rPr>
        <w:tab/>
      </w:r>
      <w:r>
        <w:rPr>
          <w:rFonts w:hint="eastAsia" w:ascii="仿宋" w:hAnsi="仿宋" w:eastAsia="仿宋" w:cs="仿宋"/>
          <w:color w:val="auto"/>
          <w:highlight w:val="none"/>
        </w:rPr>
        <w:t xml:space="preserve">                                   文件约定的合同甲方）</w:t>
      </w:r>
    </w:p>
    <w:p>
      <w:pPr>
        <w:snapToGrid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乙方（全称）：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（投标人）</w:t>
      </w:r>
    </w:p>
    <w:p>
      <w:pPr>
        <w:pStyle w:val="10"/>
        <w:snapToGrid w:val="0"/>
        <w:spacing w:line="4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pPr>
        <w:numPr>
          <w:ilvl w:val="0"/>
          <w:numId w:val="4"/>
        </w:numPr>
        <w:snapToGrid w:val="0"/>
        <w:spacing w:line="40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项目信息</w:t>
      </w:r>
    </w:p>
    <w:p>
      <w:pPr>
        <w:pStyle w:val="10"/>
        <w:numPr>
          <w:ilvl w:val="0"/>
          <w:numId w:val="5"/>
        </w:numPr>
        <w:snapToGrid w:val="0"/>
        <w:spacing w:line="400" w:lineRule="exact"/>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采购项目名称：</w:t>
      </w:r>
      <w:r>
        <w:rPr>
          <w:rFonts w:hint="eastAsia" w:ascii="仿宋" w:hAnsi="仿宋" w:eastAsia="仿宋" w:cs="仿宋"/>
          <w:color w:val="auto"/>
          <w:sz w:val="24"/>
          <w:szCs w:val="24"/>
          <w:highlight w:val="none"/>
          <w:u w:val="single"/>
        </w:rPr>
        <w:t xml:space="preserve">                                          </w:t>
      </w:r>
    </w:p>
    <w:p>
      <w:pPr>
        <w:pStyle w:val="10"/>
        <w:tabs>
          <w:tab w:val="left" w:pos="999"/>
        </w:tabs>
        <w:snapToGrid w:val="0"/>
        <w:spacing w:line="4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采购项目编号：</w:t>
      </w:r>
      <w:r>
        <w:rPr>
          <w:rFonts w:hint="eastAsia" w:ascii="仿宋" w:hAnsi="仿宋" w:eastAsia="仿宋" w:cs="仿宋"/>
          <w:color w:val="auto"/>
          <w:sz w:val="24"/>
          <w:szCs w:val="24"/>
          <w:highlight w:val="none"/>
          <w:u w:val="single"/>
        </w:rPr>
        <w:t xml:space="preserve">                                          </w:t>
      </w:r>
    </w:p>
    <w:p>
      <w:pPr>
        <w:pStyle w:val="10"/>
        <w:snapToGrid w:val="0"/>
        <w:spacing w:line="40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（2）采购计划编号：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（3）项目内容：</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采购标的及数量（台/套</w:t>
      </w:r>
      <w:r>
        <w:rPr>
          <w:rFonts w:hint="eastAsia" w:ascii="仿宋" w:hAnsi="仿宋" w:eastAsia="仿宋" w:cs="仿宋"/>
          <w:color w:val="auto"/>
          <w:highlight w:val="none"/>
          <w:lang w:val="en"/>
        </w:rPr>
        <w:t>/个/架/组等</w:t>
      </w: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napToGrid w:val="0"/>
        <w:spacing w:line="400" w:lineRule="exact"/>
        <w:ind w:firstLine="480" w:firstLineChars="200"/>
        <w:rPr>
          <w:rFonts w:hint="eastAsia" w:ascii="仿宋" w:hAnsi="仿宋" w:eastAsia="仿宋" w:cs="仿宋"/>
          <w:color w:val="auto"/>
          <w:highlight w:val="none"/>
          <w:lang w:val="en"/>
        </w:rPr>
      </w:pPr>
      <w:r>
        <w:rPr>
          <w:rFonts w:hint="eastAsia" w:ascii="仿宋" w:hAnsi="仿宋" w:eastAsia="仿宋" w:cs="仿宋"/>
          <w:color w:val="auto"/>
          <w:highlight w:val="none"/>
        </w:rPr>
        <w:t xml:space="preserve">     品牌：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lang w:val="en"/>
        </w:rPr>
        <w:t xml:space="preserve">     </w:t>
      </w:r>
      <w:r>
        <w:rPr>
          <w:rFonts w:hint="eastAsia" w:ascii="仿宋" w:hAnsi="仿宋" w:eastAsia="仿宋" w:cs="仿宋"/>
          <w:color w:val="auto"/>
          <w:highlight w:val="none"/>
        </w:rPr>
        <w:t>规格型号：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
        </w:rPr>
        <w:t xml:space="preserve">   </w:t>
      </w:r>
    </w:p>
    <w:p>
      <w:pPr>
        <w:snapToGrid w:val="0"/>
        <w:spacing w:line="400" w:lineRule="exact"/>
        <w:ind w:firstLine="1080" w:firstLineChars="450"/>
        <w:rPr>
          <w:rFonts w:hint="eastAsia" w:ascii="仿宋" w:hAnsi="仿宋" w:eastAsia="仿宋" w:cs="仿宋"/>
          <w:color w:val="auto"/>
          <w:highlight w:val="none"/>
          <w:u w:val="single"/>
        </w:rPr>
      </w:pPr>
      <w:r>
        <w:rPr>
          <w:rFonts w:hint="eastAsia" w:ascii="仿宋" w:hAnsi="仿宋" w:eastAsia="仿宋" w:cs="仿宋"/>
          <w:color w:val="auto"/>
          <w:highlight w:val="none"/>
        </w:rPr>
        <w:t>采购标的的技术要求、商务要求具体见附件。</w:t>
      </w:r>
    </w:p>
    <w:p>
      <w:pPr>
        <w:snapToGrid w:val="0"/>
        <w:spacing w:line="400" w:lineRule="exact"/>
        <w:ind w:firstLine="1080" w:firstLineChars="450"/>
        <w:rPr>
          <w:rFonts w:hint="eastAsia" w:ascii="仿宋" w:hAnsi="仿宋" w:eastAsia="仿宋" w:cs="仿宋"/>
          <w:color w:val="auto"/>
          <w:highlight w:val="none"/>
        </w:rPr>
      </w:pPr>
      <w:r>
        <w:rPr>
          <w:rFonts w:hint="eastAsia" w:ascii="仿宋" w:hAnsi="仿宋" w:eastAsia="仿宋" w:cs="仿宋"/>
          <w:color w:val="auto"/>
          <w:highlight w:val="none"/>
        </w:rPr>
        <w:t>①涉及信息类产品，请填写该产品关键部件的品牌、型号：</w:t>
      </w:r>
    </w:p>
    <w:p>
      <w:pPr>
        <w:snapToGrid w:val="0"/>
        <w:spacing w:line="400" w:lineRule="exact"/>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标的名称：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lang w:val="en"/>
        </w:rPr>
        <w:t xml:space="preserve">               </w:t>
      </w:r>
      <w:r>
        <w:rPr>
          <w:rFonts w:hint="eastAsia" w:ascii="仿宋" w:hAnsi="仿宋" w:eastAsia="仿宋" w:cs="仿宋"/>
          <w:color w:val="auto"/>
          <w:highlight w:val="none"/>
          <w:u w:val="single"/>
        </w:rPr>
        <w:t xml:space="preserve">    </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     关键部件：</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品牌：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型号：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pStyle w:val="64"/>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2"/>
          <w:sz w:val="24"/>
          <w:szCs w:val="24"/>
          <w:highlight w:val="none"/>
        </w:rPr>
        <w:t>关键部件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型号：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Style w:val="64"/>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关键部件：</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品牌：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型号：</w:t>
      </w:r>
      <w:r>
        <w:rPr>
          <w:rFonts w:hint="eastAsia" w:ascii="仿宋" w:hAnsi="仿宋" w:eastAsia="仿宋" w:cs="仿宋"/>
          <w:color w:val="auto"/>
          <w:sz w:val="24"/>
          <w:szCs w:val="24"/>
          <w:highlight w:val="none"/>
          <w:u w:val="single"/>
        </w:rPr>
        <w:t xml:space="preserve">       </w:t>
      </w:r>
    </w:p>
    <w:p>
      <w:pPr>
        <w:pStyle w:val="64"/>
        <w:snapToGrid w:val="0"/>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（注：关键部件是指财政部会同有关部门发布的政府采购需求标准规定的需要通过国家有关部门指定的测评机构开展的安全可靠测评的软硬件，如CPU芯片、操作系统、数据库等。）</w:t>
      </w:r>
    </w:p>
    <w:p>
      <w:pPr>
        <w:pStyle w:val="64"/>
        <w:snapToGrid w:val="0"/>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②涉及车辆采购，请填写是否属于新能源汽车：</w:t>
      </w:r>
    </w:p>
    <w:p>
      <w:pPr>
        <w:pStyle w:val="64"/>
        <w:snapToGrid w:val="0"/>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是，《政府采购品目分类目录》底级品目名称：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数量：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金额：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Style w:val="64"/>
        <w:snapToGrid w:val="0"/>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否</w:t>
      </w:r>
    </w:p>
    <w:p>
      <w:pPr>
        <w:pStyle w:val="64"/>
        <w:snapToGrid w:val="0"/>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
        </w:rPr>
        <w:t>4</w:t>
      </w:r>
      <w:r>
        <w:rPr>
          <w:rFonts w:hint="eastAsia" w:ascii="仿宋" w:hAnsi="仿宋" w:eastAsia="仿宋" w:cs="仿宋"/>
          <w:color w:val="auto"/>
          <w:sz w:val="24"/>
          <w:szCs w:val="24"/>
          <w:highlight w:val="none"/>
        </w:rPr>
        <w:t>）政府采购组织形式：</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政府集中采购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部门集中采购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分散采购</w:t>
      </w:r>
    </w:p>
    <w:p>
      <w:pPr>
        <w:pStyle w:val="64"/>
        <w:snapToGrid w:val="0"/>
        <w:ind w:firstLine="42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
        </w:rPr>
        <w:t>5</w:t>
      </w:r>
      <w:r>
        <w:rPr>
          <w:rFonts w:hint="eastAsia" w:ascii="仿宋" w:hAnsi="仿宋" w:eastAsia="仿宋" w:cs="仿宋"/>
          <w:color w:val="auto"/>
          <w:sz w:val="24"/>
          <w:szCs w:val="24"/>
          <w:highlight w:val="none"/>
        </w:rPr>
        <w:t>）政府采购方式：</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公开招标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邀请招标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竞争性谈判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竞争性磋商</w:t>
      </w:r>
    </w:p>
    <w:p>
      <w:pPr>
        <w:pStyle w:val="64"/>
        <w:snapToGrid w:val="0"/>
        <w:ind w:firstLine="42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询价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单一来源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框架协议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u w:val="single"/>
        </w:rPr>
        <w:t xml:space="preserve">          </w:t>
      </w:r>
    </w:p>
    <w:p>
      <w:pPr>
        <w:pStyle w:val="64"/>
        <w:snapToGrid w:val="0"/>
        <w:ind w:firstLine="42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（注：在框架协议采购的第二阶段，可选择使用该合同文本）</w:t>
      </w:r>
    </w:p>
    <w:p>
      <w:pPr>
        <w:pStyle w:val="64"/>
        <w:snapToGrid w:val="0"/>
        <w:ind w:firstLine="240" w:firstLineChars="10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
        </w:rPr>
        <w:t>6</w:t>
      </w:r>
      <w:r>
        <w:rPr>
          <w:rFonts w:hint="eastAsia" w:ascii="仿宋" w:hAnsi="仿宋" w:eastAsia="仿宋" w:cs="仿宋"/>
          <w:color w:val="auto"/>
          <w:sz w:val="24"/>
          <w:szCs w:val="24"/>
          <w:highlight w:val="none"/>
        </w:rPr>
        <w:t>）</w:t>
      </w:r>
      <w:r>
        <w:rPr>
          <w:rFonts w:hint="eastAsia" w:ascii="仿宋" w:hAnsi="仿宋" w:eastAsia="仿宋" w:cs="仿宋"/>
          <w:color w:val="auto"/>
          <w:kern w:val="2"/>
          <w:sz w:val="24"/>
          <w:szCs w:val="24"/>
          <w:highlight w:val="none"/>
        </w:rPr>
        <w:t>中标（成交）采购标的制造商是否为中小企业：</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 xml:space="preserve">是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否</w:t>
      </w:r>
    </w:p>
    <w:p>
      <w:pPr>
        <w:snapToGrid w:val="0"/>
        <w:spacing w:line="400" w:lineRule="exact"/>
        <w:rPr>
          <w:rFonts w:hint="eastAsia" w:ascii="仿宋" w:hAnsi="仿宋" w:eastAsia="仿宋" w:cs="仿宋"/>
          <w:iCs/>
          <w:color w:val="auto"/>
          <w:highlight w:val="none"/>
        </w:rPr>
      </w:pPr>
      <w:r>
        <w:rPr>
          <w:rFonts w:hint="eastAsia" w:ascii="仿宋" w:hAnsi="仿宋" w:eastAsia="仿宋" w:cs="仿宋"/>
          <w:color w:val="auto"/>
          <w:highlight w:val="none"/>
        </w:rPr>
        <w:t xml:space="preserve">     本合同是否为专门面向中小企业的采购合同（中小企业预留合同）：</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是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否</w:t>
      </w:r>
    </w:p>
    <w:p>
      <w:pPr>
        <w:snapToGrid w:val="0"/>
        <w:spacing w:line="400" w:lineRule="exact"/>
        <w:rPr>
          <w:rFonts w:hint="eastAsia" w:ascii="仿宋" w:hAnsi="仿宋" w:eastAsia="仿宋" w:cs="仿宋"/>
          <w:iCs/>
          <w:color w:val="auto"/>
          <w:highlight w:val="none"/>
        </w:rPr>
      </w:pPr>
      <w:r>
        <w:rPr>
          <w:rFonts w:hint="eastAsia" w:ascii="仿宋" w:hAnsi="仿宋" w:eastAsia="仿宋" w:cs="仿宋"/>
          <w:color w:val="auto"/>
          <w:highlight w:val="none"/>
        </w:rPr>
        <w:t xml:space="preserve">     若本项目不专门面向中小企业采购，是否给予小微企业评审优惠：</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是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否</w:t>
      </w:r>
    </w:p>
    <w:p>
      <w:pPr>
        <w:snapToGrid w:val="0"/>
        <w:spacing w:line="400" w:lineRule="exact"/>
        <w:rPr>
          <w:rFonts w:hint="eastAsia" w:ascii="仿宋" w:hAnsi="仿宋" w:eastAsia="仿宋" w:cs="仿宋"/>
          <w:iCs/>
          <w:color w:val="auto"/>
          <w:highlight w:val="none"/>
        </w:rPr>
      </w:pPr>
      <w:r>
        <w:rPr>
          <w:rFonts w:hint="eastAsia" w:ascii="仿宋" w:hAnsi="仿宋" w:eastAsia="仿宋" w:cs="仿宋"/>
          <w:color w:val="auto"/>
          <w:highlight w:val="none"/>
        </w:rPr>
        <w:t xml:space="preserve">       中标（成交）采购标的制造商是否为残疾人福利性单位：</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是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否</w:t>
      </w:r>
    </w:p>
    <w:p>
      <w:pPr>
        <w:snapToGrid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中标（成交）采购标的制造商是否为监狱企业：</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是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否</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
        </w:rPr>
        <w:t>7</w:t>
      </w:r>
      <w:r>
        <w:rPr>
          <w:rFonts w:hint="eastAsia" w:ascii="仿宋" w:hAnsi="仿宋" w:eastAsia="仿宋" w:cs="仿宋"/>
          <w:color w:val="auto"/>
          <w:highlight w:val="none"/>
        </w:rPr>
        <w:t>）合同是否分包：</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是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否</w:t>
      </w:r>
    </w:p>
    <w:p>
      <w:pPr>
        <w:snapToGrid w:val="0"/>
        <w:spacing w:line="400" w:lineRule="exact"/>
        <w:ind w:firstLine="960" w:firstLineChars="400"/>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分包主要内容：</w:t>
      </w:r>
      <w:r>
        <w:rPr>
          <w:rFonts w:hint="eastAsia" w:ascii="仿宋" w:hAnsi="仿宋" w:eastAsia="仿宋" w:cs="仿宋"/>
          <w:color w:val="auto"/>
          <w:highlight w:val="none"/>
          <w:u w:val="single"/>
        </w:rPr>
        <w:t xml:space="preserve">                                            </w:t>
      </w:r>
    </w:p>
    <w:p>
      <w:pPr>
        <w:snapToGrid w:val="0"/>
        <w:spacing w:line="400" w:lineRule="exact"/>
        <w:ind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 xml:space="preserve"> 分包投标人/制造商名称（如投标人和制造商不同，请分别填写）：</w:t>
      </w:r>
    </w:p>
    <w:p>
      <w:pPr>
        <w:snapToGrid w:val="0"/>
        <w:spacing w:line="400" w:lineRule="exact"/>
        <w:ind w:firstLine="960" w:firstLineChars="400"/>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u w:val="single"/>
        </w:rPr>
        <w:t xml:space="preserve">                                                          </w:t>
      </w:r>
    </w:p>
    <w:p>
      <w:pPr>
        <w:snapToGrid w:val="0"/>
        <w:spacing w:line="400" w:lineRule="exact"/>
        <w:ind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 xml:space="preserve"> 分包投标人/制造商类型（如果投标人和制造商不同，只填写制造商类型）：</w:t>
      </w:r>
    </w:p>
    <w:p>
      <w:pPr>
        <w:snapToGrid w:val="0"/>
        <w:spacing w:line="400" w:lineRule="exact"/>
        <w:ind w:firstLine="960" w:firstLineChars="400"/>
        <w:rPr>
          <w:rFonts w:hint="eastAsia" w:ascii="仿宋" w:hAnsi="仿宋" w:eastAsia="仿宋" w:cs="仿宋"/>
          <w:iCs/>
          <w:color w:val="auto"/>
          <w:highlight w:val="none"/>
        </w:rPr>
      </w:pPr>
      <w:r>
        <w:rPr>
          <w:rFonts w:hint="eastAsia" w:ascii="仿宋" w:hAnsi="仿宋" w:eastAsia="仿宋" w:cs="仿宋"/>
          <w:iCs/>
          <w:color w:val="auto"/>
          <w:highlight w:val="none"/>
        </w:rPr>
        <w:t xml:space="preserve">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大型企业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中型企业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小微型企业  </w:t>
      </w:r>
    </w:p>
    <w:p>
      <w:pPr>
        <w:snapToGrid w:val="0"/>
        <w:spacing w:line="400" w:lineRule="exact"/>
        <w:ind w:firstLine="960" w:firstLineChars="400"/>
        <w:rPr>
          <w:rFonts w:hint="eastAsia" w:ascii="仿宋" w:hAnsi="仿宋" w:eastAsia="仿宋" w:cs="仿宋"/>
          <w:color w:val="auto"/>
          <w:highlight w:val="none"/>
        </w:rPr>
      </w:pPr>
      <w:r>
        <w:rPr>
          <w:rFonts w:hint="eastAsia" w:ascii="仿宋" w:hAnsi="仿宋" w:eastAsia="仿宋" w:cs="仿宋"/>
          <w:iCs/>
          <w:color w:val="auto"/>
          <w:highlight w:val="none"/>
        </w:rPr>
        <w:t xml:space="preserve">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残疾人福利性单位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监狱企业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其他</w:t>
      </w:r>
    </w:p>
    <w:p>
      <w:pPr>
        <w:snapToGrid w:val="0"/>
        <w:spacing w:line="400" w:lineRule="exact"/>
        <w:rPr>
          <w:rFonts w:hint="eastAsia" w:ascii="仿宋" w:hAnsi="仿宋" w:eastAsia="仿宋" w:cs="仿宋"/>
          <w:iCs/>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
        </w:rPr>
        <w:t>8</w:t>
      </w:r>
      <w:r>
        <w:rPr>
          <w:rFonts w:hint="eastAsia" w:ascii="仿宋" w:hAnsi="仿宋" w:eastAsia="仿宋" w:cs="仿宋"/>
          <w:color w:val="auto"/>
          <w:highlight w:val="none"/>
        </w:rPr>
        <w:t>）中标（成交）投标人是否为外商投资企业：</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是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否</w:t>
      </w:r>
    </w:p>
    <w:p>
      <w:pPr>
        <w:pStyle w:val="64"/>
        <w:tabs>
          <w:tab w:val="left" w:pos="1340"/>
        </w:tabs>
        <w:ind w:firstLine="48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外商投资企业类型：</w:t>
      </w:r>
      <w:r>
        <w:rPr>
          <w:rFonts w:hint="eastAsia" w:ascii="仿宋" w:hAnsi="仿宋" w:eastAsia="仿宋" w:cs="仿宋"/>
          <w:iCs/>
          <w:color w:val="auto"/>
          <w:sz w:val="24"/>
          <w:szCs w:val="24"/>
          <w:highlight w:val="none"/>
        </w:rPr>
        <w:sym w:font="Wingdings" w:char="00A8"/>
      </w:r>
      <w:r>
        <w:rPr>
          <w:rFonts w:hint="eastAsia" w:ascii="仿宋" w:hAnsi="仿宋" w:eastAsia="仿宋" w:cs="仿宋"/>
          <w:color w:val="auto"/>
          <w:sz w:val="24"/>
          <w:szCs w:val="24"/>
          <w:highlight w:val="none"/>
        </w:rPr>
        <w:t xml:space="preserve">全部由外国投资者投资  </w:t>
      </w:r>
      <w:r>
        <w:rPr>
          <w:rFonts w:hint="eastAsia" w:ascii="仿宋" w:hAnsi="仿宋" w:eastAsia="仿宋" w:cs="仿宋"/>
          <w:iCs/>
          <w:color w:val="auto"/>
          <w:sz w:val="24"/>
          <w:szCs w:val="24"/>
          <w:highlight w:val="none"/>
        </w:rPr>
        <w:sym w:font="Wingdings" w:char="00A8"/>
      </w:r>
      <w:r>
        <w:rPr>
          <w:rFonts w:hint="eastAsia" w:ascii="仿宋" w:hAnsi="仿宋" w:eastAsia="仿宋" w:cs="仿宋"/>
          <w:iCs/>
          <w:color w:val="auto"/>
          <w:sz w:val="24"/>
          <w:szCs w:val="24"/>
          <w:highlight w:val="none"/>
        </w:rPr>
        <w:t>部分由外国投资者投资</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lang w:val="en"/>
        </w:rPr>
        <w:t>9</w:t>
      </w:r>
      <w:r>
        <w:rPr>
          <w:rFonts w:hint="eastAsia" w:ascii="仿宋" w:hAnsi="仿宋" w:eastAsia="仿宋" w:cs="仿宋"/>
          <w:color w:val="auto"/>
          <w:highlight w:val="none"/>
        </w:rPr>
        <w:t>）是否涉及进口产品：</w:t>
      </w:r>
    </w:p>
    <w:p>
      <w:pPr>
        <w:snapToGrid w:val="0"/>
        <w:spacing w:line="400" w:lineRule="exact"/>
        <w:ind w:firstLine="960" w:firstLineChars="400"/>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是，《政府采购品目分类目录》底级品目名称：</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金额：</w:t>
      </w:r>
      <w:r>
        <w:rPr>
          <w:rFonts w:hint="eastAsia" w:ascii="仿宋" w:hAnsi="仿宋" w:eastAsia="仿宋" w:cs="仿宋"/>
          <w:color w:val="auto"/>
          <w:highlight w:val="none"/>
          <w:u w:val="single"/>
        </w:rPr>
        <w:t xml:space="preserve">        </w:t>
      </w:r>
    </w:p>
    <w:p>
      <w:pPr>
        <w:snapToGrid w:val="0"/>
        <w:spacing w:line="400" w:lineRule="exact"/>
        <w:ind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 xml:space="preserve">        国别：</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品牌：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规格型号：</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      </w:t>
      </w:r>
    </w:p>
    <w:p>
      <w:pPr>
        <w:snapToGrid w:val="0"/>
        <w:spacing w:line="400" w:lineRule="exact"/>
        <w:ind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否</w:t>
      </w:r>
    </w:p>
    <w:p>
      <w:pPr>
        <w:tabs>
          <w:tab w:val="left" w:pos="740"/>
        </w:tabs>
        <w:snapToGrid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（1</w:t>
      </w:r>
      <w:r>
        <w:rPr>
          <w:rFonts w:hint="eastAsia" w:ascii="仿宋" w:hAnsi="仿宋" w:eastAsia="仿宋" w:cs="仿宋"/>
          <w:color w:val="auto"/>
          <w:highlight w:val="none"/>
          <w:lang w:val="en"/>
        </w:rPr>
        <w:t>0</w:t>
      </w:r>
      <w:r>
        <w:rPr>
          <w:rFonts w:hint="eastAsia" w:ascii="仿宋" w:hAnsi="仿宋" w:eastAsia="仿宋" w:cs="仿宋"/>
          <w:color w:val="auto"/>
          <w:highlight w:val="none"/>
        </w:rPr>
        <w:t>）是否涉及节能产品：</w:t>
      </w:r>
    </w:p>
    <w:p>
      <w:pPr>
        <w:tabs>
          <w:tab w:val="left" w:pos="740"/>
        </w:tabs>
        <w:snapToGrid w:val="0"/>
        <w:spacing w:line="400" w:lineRule="exact"/>
        <w:rPr>
          <w:rFonts w:hint="eastAsia" w:ascii="仿宋" w:hAnsi="仿宋" w:eastAsia="仿宋" w:cs="仿宋"/>
          <w:iCs/>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是，《节能产品政府采购品目清单》的底级品目名称：</w:t>
      </w:r>
      <w:r>
        <w:rPr>
          <w:rFonts w:hint="eastAsia" w:ascii="仿宋" w:hAnsi="仿宋" w:eastAsia="仿宋" w:cs="仿宋"/>
          <w:color w:val="auto"/>
          <w:highlight w:val="none"/>
          <w:u w:val="single"/>
        </w:rPr>
        <w:t xml:space="preserve">         </w:t>
      </w:r>
      <w:r>
        <w:rPr>
          <w:rFonts w:hint="eastAsia" w:ascii="仿宋" w:hAnsi="仿宋" w:eastAsia="仿宋" w:cs="仿宋"/>
          <w:iCs/>
          <w:color w:val="auto"/>
          <w:highlight w:val="none"/>
        </w:rPr>
        <w:t xml:space="preserve">     </w:t>
      </w:r>
    </w:p>
    <w:p>
      <w:pPr>
        <w:tabs>
          <w:tab w:val="left" w:pos="740"/>
        </w:tabs>
        <w:snapToGrid w:val="0"/>
        <w:spacing w:line="400" w:lineRule="exact"/>
        <w:rPr>
          <w:rFonts w:hint="eastAsia" w:ascii="仿宋" w:hAnsi="仿宋" w:eastAsia="仿宋" w:cs="仿宋"/>
          <w:iCs/>
          <w:color w:val="auto"/>
          <w:highlight w:val="none"/>
        </w:rPr>
      </w:pPr>
      <w:r>
        <w:rPr>
          <w:rFonts w:hint="eastAsia" w:ascii="仿宋" w:hAnsi="仿宋" w:eastAsia="仿宋" w:cs="仿宋"/>
          <w:iCs/>
          <w:color w:val="auto"/>
          <w:highlight w:val="none"/>
        </w:rPr>
        <w:t xml:space="preserve">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强制采购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优先采购    </w:t>
      </w:r>
    </w:p>
    <w:p>
      <w:pPr>
        <w:tabs>
          <w:tab w:val="left" w:pos="740"/>
        </w:tabs>
        <w:snapToGrid w:val="0"/>
        <w:spacing w:line="400" w:lineRule="exact"/>
        <w:rPr>
          <w:rFonts w:hint="eastAsia" w:ascii="仿宋" w:hAnsi="仿宋" w:eastAsia="仿宋" w:cs="仿宋"/>
          <w:color w:val="auto"/>
          <w:highlight w:val="none"/>
        </w:rPr>
      </w:pPr>
      <w:r>
        <w:rPr>
          <w:rFonts w:hint="eastAsia" w:ascii="仿宋" w:hAnsi="仿宋" w:eastAsia="仿宋" w:cs="仿宋"/>
          <w:iCs/>
          <w:color w:val="auto"/>
          <w:highlight w:val="none"/>
        </w:rPr>
        <w:t xml:space="preserve">         </w:t>
      </w: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否</w:t>
      </w:r>
    </w:p>
    <w:p>
      <w:pPr>
        <w:tabs>
          <w:tab w:val="left" w:pos="740"/>
        </w:tabs>
        <w:snapToGrid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是否涉及环境标志产品：</w:t>
      </w:r>
    </w:p>
    <w:p>
      <w:pPr>
        <w:tabs>
          <w:tab w:val="left" w:pos="740"/>
        </w:tabs>
        <w:snapToGrid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w:t>
      </w: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是，《环境标志产品政府采购品目清单》的底级品目名称：</w:t>
      </w:r>
      <w:r>
        <w:rPr>
          <w:rFonts w:hint="eastAsia" w:ascii="仿宋" w:hAnsi="仿宋" w:eastAsia="仿宋" w:cs="仿宋"/>
          <w:color w:val="auto"/>
          <w:highlight w:val="none"/>
          <w:u w:val="single"/>
        </w:rPr>
        <w:t xml:space="preserve">         </w:t>
      </w:r>
      <w:r>
        <w:rPr>
          <w:rFonts w:hint="eastAsia" w:ascii="仿宋" w:hAnsi="仿宋" w:eastAsia="仿宋" w:cs="仿宋"/>
          <w:iCs/>
          <w:color w:val="auto"/>
          <w:highlight w:val="none"/>
        </w:rPr>
        <w:t xml:space="preserve"> </w:t>
      </w:r>
    </w:p>
    <w:p>
      <w:pPr>
        <w:tabs>
          <w:tab w:val="left" w:pos="740"/>
        </w:tabs>
        <w:snapToGrid w:val="0"/>
        <w:spacing w:line="400" w:lineRule="exact"/>
        <w:rPr>
          <w:rFonts w:hint="eastAsia" w:ascii="仿宋" w:hAnsi="仿宋" w:eastAsia="仿宋" w:cs="仿宋"/>
          <w:iCs/>
          <w:color w:val="auto"/>
          <w:highlight w:val="none"/>
        </w:rPr>
      </w:pPr>
      <w:r>
        <w:rPr>
          <w:rFonts w:hint="eastAsia" w:ascii="仿宋" w:hAnsi="仿宋" w:eastAsia="仿宋" w:cs="仿宋"/>
          <w:iCs/>
          <w:color w:val="auto"/>
          <w:highlight w:val="none"/>
        </w:rPr>
        <w:t xml:space="preserve">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强制采购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优先采购    </w:t>
      </w:r>
    </w:p>
    <w:p>
      <w:pPr>
        <w:tabs>
          <w:tab w:val="left" w:pos="740"/>
        </w:tabs>
        <w:snapToGrid w:val="0"/>
        <w:spacing w:line="400" w:lineRule="exact"/>
        <w:rPr>
          <w:rFonts w:hint="eastAsia" w:ascii="仿宋" w:hAnsi="仿宋" w:eastAsia="仿宋" w:cs="仿宋"/>
          <w:color w:val="auto"/>
          <w:highlight w:val="none"/>
        </w:rPr>
      </w:pPr>
      <w:r>
        <w:rPr>
          <w:rFonts w:hint="eastAsia" w:ascii="仿宋" w:hAnsi="仿宋" w:eastAsia="仿宋" w:cs="仿宋"/>
          <w:iCs/>
          <w:color w:val="auto"/>
          <w:highlight w:val="none"/>
        </w:rPr>
        <w:t xml:space="preserve">         </w:t>
      </w: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否</w:t>
      </w:r>
    </w:p>
    <w:p>
      <w:pPr>
        <w:pStyle w:val="64"/>
        <w:snapToGrid w:val="0"/>
        <w:ind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kern w:val="2"/>
          <w:sz w:val="24"/>
          <w:szCs w:val="24"/>
          <w:highlight w:val="none"/>
        </w:rPr>
        <w:t xml:space="preserve">是否涉及绿色产品： </w:t>
      </w:r>
    </w:p>
    <w:p>
      <w:pPr>
        <w:pStyle w:val="64"/>
        <w:ind w:firstLine="420" w:firstLineChars="0"/>
        <w:rPr>
          <w:rFonts w:hint="eastAsia" w:ascii="仿宋" w:hAnsi="仿宋" w:eastAsia="仿宋" w:cs="仿宋"/>
          <w:color w:val="auto"/>
          <w:sz w:val="24"/>
          <w:szCs w:val="24"/>
          <w:highlight w:val="none"/>
          <w:u w:val="singl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是，绿色产品政府采购相关政策确定的底级品目名称：</w:t>
      </w:r>
      <w:r>
        <w:rPr>
          <w:rFonts w:hint="eastAsia" w:ascii="仿宋" w:hAnsi="仿宋" w:eastAsia="仿宋" w:cs="仿宋"/>
          <w:color w:val="auto"/>
          <w:sz w:val="24"/>
          <w:szCs w:val="24"/>
          <w:highlight w:val="none"/>
          <w:u w:val="single"/>
        </w:rPr>
        <w:t xml:space="preserve">         </w:t>
      </w:r>
    </w:p>
    <w:p>
      <w:pPr>
        <w:tabs>
          <w:tab w:val="left" w:pos="740"/>
        </w:tabs>
        <w:snapToGrid w:val="0"/>
        <w:spacing w:line="400" w:lineRule="exact"/>
        <w:rPr>
          <w:rFonts w:hint="eastAsia" w:ascii="仿宋" w:hAnsi="仿宋" w:eastAsia="仿宋" w:cs="仿宋"/>
          <w:iCs/>
          <w:color w:val="auto"/>
          <w:highlight w:val="none"/>
        </w:rPr>
      </w:pPr>
      <w:r>
        <w:rPr>
          <w:rFonts w:hint="eastAsia" w:ascii="仿宋" w:hAnsi="仿宋" w:eastAsia="仿宋" w:cs="仿宋"/>
          <w:iCs/>
          <w:color w:val="auto"/>
          <w:highlight w:val="none"/>
        </w:rPr>
        <w:t xml:space="preserve">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强制采购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优先采购    </w:t>
      </w:r>
    </w:p>
    <w:p>
      <w:pPr>
        <w:pStyle w:val="64"/>
        <w:ind w:firstLine="420" w:firstLineChars="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 xml:space="preserve">     </w:t>
      </w:r>
      <w:r>
        <w:rPr>
          <w:rFonts w:hint="eastAsia" w:ascii="仿宋" w:hAnsi="仿宋" w:eastAsia="仿宋" w:cs="仿宋"/>
          <w:color w:val="auto"/>
          <w:kern w:val="2"/>
          <w:sz w:val="24"/>
          <w:szCs w:val="24"/>
          <w:highlight w:val="none"/>
        </w:rPr>
        <w:sym w:font="Wingdings" w:char="00A8"/>
      </w:r>
      <w:r>
        <w:rPr>
          <w:rFonts w:hint="eastAsia" w:ascii="仿宋" w:hAnsi="仿宋" w:eastAsia="仿宋" w:cs="仿宋"/>
          <w:color w:val="auto"/>
          <w:kern w:val="2"/>
          <w:sz w:val="24"/>
          <w:szCs w:val="24"/>
          <w:highlight w:val="none"/>
        </w:rPr>
        <w:t>否</w:t>
      </w:r>
    </w:p>
    <w:p>
      <w:pPr>
        <w:snapToGrid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（1</w:t>
      </w:r>
      <w:r>
        <w:rPr>
          <w:rFonts w:hint="eastAsia" w:ascii="仿宋" w:hAnsi="仿宋" w:eastAsia="仿宋" w:cs="仿宋"/>
          <w:color w:val="auto"/>
          <w:highlight w:val="none"/>
          <w:lang w:val="en"/>
        </w:rPr>
        <w:t>1</w:t>
      </w:r>
      <w:r>
        <w:rPr>
          <w:rFonts w:hint="eastAsia" w:ascii="仿宋" w:hAnsi="仿宋" w:eastAsia="仿宋" w:cs="仿宋"/>
          <w:color w:val="auto"/>
          <w:highlight w:val="none"/>
        </w:rPr>
        <w:t>）涉及商品包装和快递包装的，是否参考《商品包装政府采购需求标准（试行）》、《快递包装政府采购需求标准（试行）》明确产品及相关快递服务的具体包装要求：</w:t>
      </w:r>
    </w:p>
    <w:p>
      <w:pPr>
        <w:snapToGrid w:val="0"/>
        <w:spacing w:line="400" w:lineRule="exact"/>
        <w:ind w:firstLine="960" w:firstLineChars="400"/>
        <w:rPr>
          <w:rFonts w:hint="eastAsia" w:ascii="仿宋" w:hAnsi="仿宋" w:eastAsia="仿宋" w:cs="仿宋"/>
          <w:color w:val="auto"/>
          <w:highlight w:val="none"/>
        </w:rPr>
      </w:pP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 xml:space="preserve">是       </w:t>
      </w: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 xml:space="preserve">否      </w:t>
      </w: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不涉及</w:t>
      </w:r>
    </w:p>
    <w:p>
      <w:pPr>
        <w:numPr>
          <w:ilvl w:val="0"/>
          <w:numId w:val="4"/>
        </w:numPr>
        <w:snapToGrid w:val="0"/>
        <w:spacing w:line="40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合同金额</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（1）合同金额小写：</w:t>
      </w:r>
      <w:r>
        <w:rPr>
          <w:rFonts w:hint="eastAsia" w:ascii="仿宋" w:hAnsi="仿宋" w:eastAsia="仿宋" w:cs="仿宋"/>
          <w:color w:val="auto"/>
          <w:highlight w:val="none"/>
          <w:u w:val="single"/>
        </w:rPr>
        <w:t xml:space="preserve">                           </w:t>
      </w:r>
    </w:p>
    <w:p>
      <w:pPr>
        <w:snapToGrid w:val="0"/>
        <w:spacing w:line="40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大写：</w:t>
      </w:r>
      <w:r>
        <w:rPr>
          <w:rFonts w:hint="eastAsia" w:ascii="仿宋" w:hAnsi="仿宋" w:eastAsia="仿宋" w:cs="仿宋"/>
          <w:color w:val="auto"/>
          <w:highlight w:val="none"/>
          <w:u w:val="single"/>
        </w:rPr>
        <w:t xml:space="preserve">                           </w:t>
      </w:r>
    </w:p>
    <w:p>
      <w:pPr>
        <w:snapToGrid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分包金额（如有）小写：</w:t>
      </w:r>
      <w:r>
        <w:rPr>
          <w:rFonts w:hint="eastAsia" w:ascii="仿宋" w:hAnsi="仿宋" w:eastAsia="仿宋" w:cs="仿宋"/>
          <w:color w:val="auto"/>
          <w:highlight w:val="none"/>
          <w:u w:val="single"/>
        </w:rPr>
        <w:t xml:space="preserve">                   </w:t>
      </w:r>
    </w:p>
    <w:p>
      <w:pPr>
        <w:snapToGrid w:val="0"/>
        <w:spacing w:line="400" w:lineRule="exact"/>
        <w:rPr>
          <w:rFonts w:hint="eastAsia" w:ascii="仿宋" w:hAnsi="仿宋" w:eastAsia="仿宋" w:cs="仿宋"/>
          <w:color w:val="auto"/>
          <w:highlight w:val="none"/>
          <w:u w:val="single"/>
        </w:rPr>
      </w:pPr>
      <w:r>
        <w:rPr>
          <w:rFonts w:hint="eastAsia" w:ascii="仿宋" w:hAnsi="仿宋" w:eastAsia="仿宋" w:cs="仿宋"/>
          <w:color w:val="auto"/>
          <w:highlight w:val="none"/>
        </w:rPr>
        <w:t xml:space="preserve">                     大写：</w:t>
      </w:r>
      <w:r>
        <w:rPr>
          <w:rFonts w:hint="eastAsia" w:ascii="仿宋" w:hAnsi="仿宋" w:eastAsia="仿宋" w:cs="仿宋"/>
          <w:color w:val="auto"/>
          <w:highlight w:val="none"/>
          <w:u w:val="single"/>
        </w:rPr>
        <w:t xml:space="preserve">                       </w:t>
      </w:r>
    </w:p>
    <w:p>
      <w:pPr>
        <w:snapToGrid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（注：固定单价合同应填写单价和最高限价）</w:t>
      </w:r>
    </w:p>
    <w:p>
      <w:pPr>
        <w:snapToGrid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（2）合同定价方式（采用组合定价方式的，可以勾选多项）：</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iCs/>
          <w:color w:val="auto"/>
          <w:highlight w:val="none"/>
        </w:rPr>
        <w:t xml:space="preserve">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固定总价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固定单价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固定费率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成本补偿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 xml:space="preserve">绩效激励 </w:t>
      </w:r>
      <w:r>
        <w:rPr>
          <w:rFonts w:hint="eastAsia" w:ascii="仿宋" w:hAnsi="仿宋" w:eastAsia="仿宋" w:cs="仿宋"/>
          <w:iCs/>
          <w:color w:val="auto"/>
          <w:highlight w:val="none"/>
        </w:rPr>
        <w:sym w:font="Wingdings" w:char="00A8"/>
      </w:r>
      <w:r>
        <w:rPr>
          <w:rFonts w:hint="eastAsia" w:ascii="仿宋" w:hAnsi="仿宋" w:eastAsia="仿宋" w:cs="仿宋"/>
          <w:iCs/>
          <w:color w:val="auto"/>
          <w:highlight w:val="none"/>
        </w:rPr>
        <w:t>其他</w:t>
      </w:r>
      <w:r>
        <w:rPr>
          <w:rFonts w:hint="eastAsia" w:ascii="仿宋" w:hAnsi="仿宋" w:eastAsia="仿宋" w:cs="仿宋"/>
          <w:color w:val="auto"/>
          <w:highlight w:val="none"/>
          <w:u w:val="single"/>
        </w:rPr>
        <w:t xml:space="preserve">       </w:t>
      </w:r>
    </w:p>
    <w:p>
      <w:pPr>
        <w:pStyle w:val="65"/>
        <w:spacing w:line="40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（3）付款方式（按项目实际勾选填写）：</w:t>
      </w:r>
    </w:p>
    <w:p>
      <w:pPr>
        <w:snapToGrid w:val="0"/>
        <w:spacing w:line="400" w:lineRule="exact"/>
        <w:ind w:firstLine="720" w:firstLineChars="300"/>
        <w:rPr>
          <w:rFonts w:hint="eastAsia" w:ascii="仿宋" w:hAnsi="仿宋" w:eastAsia="仿宋" w:cs="仿宋"/>
          <w:color w:val="auto"/>
          <w:highlight w:val="none"/>
          <w:u w:val="single"/>
        </w:rPr>
      </w:pP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全额付款：</w:t>
      </w:r>
      <w:r>
        <w:rPr>
          <w:rFonts w:hint="eastAsia" w:ascii="仿宋" w:hAnsi="仿宋" w:eastAsia="仿宋" w:cs="仿宋"/>
          <w:color w:val="auto"/>
          <w:highlight w:val="none"/>
          <w:u w:val="single"/>
        </w:rPr>
        <w:t xml:space="preserve">     （应明确一次性支付合同款项的条件）                    </w:t>
      </w:r>
    </w:p>
    <w:p>
      <w:pPr>
        <w:snapToGrid w:val="0"/>
        <w:spacing w:line="4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分期付款：</w:t>
      </w:r>
      <w:r>
        <w:rPr>
          <w:rFonts w:hint="eastAsia" w:ascii="仿宋" w:hAnsi="仿宋" w:eastAsia="仿宋" w:cs="仿宋"/>
          <w:color w:val="auto"/>
          <w:highlight w:val="none"/>
          <w:u w:val="single"/>
        </w:rPr>
        <w:t xml:space="preserve">  （应明确分期支付合同款项的各期比例和支付条件，各期支付条件应与分期履约验收情况挂钩） </w:t>
      </w:r>
      <w:r>
        <w:rPr>
          <w:rFonts w:hint="eastAsia" w:ascii="仿宋" w:hAnsi="仿宋" w:eastAsia="仿宋" w:cs="仿宋"/>
          <w:color w:val="auto"/>
          <w:highlight w:val="none"/>
        </w:rPr>
        <w:t>，其中涉及预付款的：</w:t>
      </w:r>
      <w:r>
        <w:rPr>
          <w:rFonts w:hint="eastAsia" w:ascii="仿宋" w:hAnsi="仿宋" w:eastAsia="仿宋" w:cs="仿宋"/>
          <w:color w:val="auto"/>
          <w:highlight w:val="none"/>
          <w:u w:val="single"/>
        </w:rPr>
        <w:t xml:space="preserve"> （应明确预付款的支付比例和支付条件） </w:t>
      </w:r>
    </w:p>
    <w:p>
      <w:pPr>
        <w:snapToGrid w:val="0"/>
        <w:spacing w:line="400" w:lineRule="exact"/>
        <w:ind w:firstLine="720" w:firstLineChars="300"/>
        <w:rPr>
          <w:rFonts w:hint="eastAsia" w:ascii="仿宋" w:hAnsi="仿宋" w:eastAsia="仿宋" w:cs="仿宋"/>
          <w:color w:val="auto"/>
          <w:highlight w:val="none"/>
          <w:u w:val="single"/>
        </w:rPr>
      </w:pP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成本补偿：</w:t>
      </w:r>
      <w:r>
        <w:rPr>
          <w:rFonts w:hint="eastAsia" w:ascii="仿宋" w:hAnsi="仿宋" w:eastAsia="仿宋" w:cs="仿宋"/>
          <w:color w:val="auto"/>
          <w:highlight w:val="none"/>
          <w:u w:val="single"/>
        </w:rPr>
        <w:t xml:space="preserve">      （应明确按照成本补偿方式的支付方式和支付条件）   </w:t>
      </w:r>
    </w:p>
    <w:p>
      <w:pPr>
        <w:snapToGrid w:val="0"/>
        <w:spacing w:line="400" w:lineRule="exact"/>
        <w:ind w:firstLine="720" w:firstLineChars="300"/>
        <w:rPr>
          <w:rFonts w:hint="eastAsia" w:ascii="仿宋" w:hAnsi="仿宋" w:eastAsia="仿宋" w:cs="仿宋"/>
          <w:color w:val="auto"/>
          <w:highlight w:val="none"/>
        </w:rPr>
      </w:pP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绩效激励：</w:t>
      </w:r>
      <w:r>
        <w:rPr>
          <w:rFonts w:hint="eastAsia" w:ascii="仿宋" w:hAnsi="仿宋" w:eastAsia="仿宋" w:cs="仿宋"/>
          <w:color w:val="auto"/>
          <w:highlight w:val="none"/>
          <w:u w:val="single"/>
        </w:rPr>
        <w:t xml:space="preserve">      （应明确按照绩效激励方式的支付方式和支付条件）   </w:t>
      </w:r>
    </w:p>
    <w:p>
      <w:pPr>
        <w:numPr>
          <w:ilvl w:val="0"/>
          <w:numId w:val="4"/>
        </w:numPr>
        <w:snapToGrid w:val="0"/>
        <w:spacing w:line="400" w:lineRule="exact"/>
        <w:ind w:firstLine="482" w:firstLineChars="200"/>
        <w:rPr>
          <w:rFonts w:hint="eastAsia" w:ascii="仿宋" w:hAnsi="仿宋" w:eastAsia="仿宋" w:cs="仿宋"/>
          <w:b/>
          <w:color w:val="auto"/>
          <w:highlight w:val="none"/>
          <w:u w:val="single"/>
        </w:rPr>
      </w:pPr>
      <w:r>
        <w:rPr>
          <w:rFonts w:hint="eastAsia" w:ascii="仿宋" w:hAnsi="仿宋" w:eastAsia="仿宋" w:cs="仿宋"/>
          <w:b/>
          <w:color w:val="auto"/>
          <w:highlight w:val="none"/>
        </w:rPr>
        <w:t>合同履行</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（1）起始日期：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日，完成日期：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pPr>
        <w:snapToGrid w:val="0"/>
        <w:spacing w:line="400" w:lineRule="exact"/>
        <w:ind w:firstLine="480" w:firstLineChars="200"/>
        <w:rPr>
          <w:rFonts w:hint="eastAsia" w:ascii="仿宋" w:hAnsi="仿宋" w:eastAsia="仿宋" w:cs="仿宋"/>
          <w:color w:val="auto"/>
          <w:highlight w:val="none"/>
          <w:u w:val="single"/>
        </w:rPr>
      </w:pPr>
      <w:r>
        <w:rPr>
          <w:rFonts w:hint="eastAsia" w:ascii="仿宋" w:hAnsi="仿宋" w:eastAsia="仿宋" w:cs="仿宋"/>
          <w:color w:val="auto"/>
          <w:highlight w:val="none"/>
        </w:rPr>
        <w:t>（2）履约地点</w:t>
      </w:r>
      <w:r>
        <w:rPr>
          <w:rFonts w:hint="eastAsia" w:ascii="仿宋" w:hAnsi="仿宋" w:eastAsia="仿宋" w:cs="仿宋"/>
          <w:bCs/>
          <w:color w:val="auto"/>
          <w:highlight w:val="none"/>
        </w:rPr>
        <w:t>：</w:t>
      </w:r>
      <w:r>
        <w:rPr>
          <w:rFonts w:hint="eastAsia" w:ascii="仿宋" w:hAnsi="仿宋" w:eastAsia="仿宋" w:cs="仿宋"/>
          <w:color w:val="auto"/>
          <w:highlight w:val="none"/>
          <w:u w:val="single"/>
        </w:rPr>
        <w:t xml:space="preserve">                             </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bCs/>
          <w:color w:val="auto"/>
          <w:highlight w:val="none"/>
        </w:rPr>
        <w:t>（3）履约担保：</w:t>
      </w:r>
      <w:r>
        <w:rPr>
          <w:rFonts w:hint="eastAsia" w:ascii="仿宋" w:hAnsi="仿宋" w:eastAsia="仿宋" w:cs="仿宋"/>
          <w:color w:val="auto"/>
          <w:highlight w:val="none"/>
        </w:rPr>
        <w:t>是否收取履约保证金：</w:t>
      </w: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 xml:space="preserve">是    </w:t>
      </w:r>
      <w:r>
        <w:rPr>
          <w:rFonts w:hint="eastAsia" w:ascii="仿宋" w:hAnsi="仿宋" w:eastAsia="仿宋" w:cs="仿宋"/>
          <w:color w:val="auto"/>
          <w:highlight w:val="none"/>
        </w:rPr>
        <w:sym w:font="Wingdings" w:char="00A8"/>
      </w:r>
      <w:r>
        <w:rPr>
          <w:rFonts w:hint="eastAsia" w:ascii="仿宋" w:hAnsi="仿宋" w:eastAsia="仿宋" w:cs="仿宋"/>
          <w:color w:val="auto"/>
          <w:highlight w:val="none"/>
        </w:rPr>
        <w:t>否</w:t>
      </w:r>
    </w:p>
    <w:p>
      <w:pPr>
        <w:pStyle w:val="64"/>
        <w:ind w:firstLine="48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 xml:space="preserve">  </w:t>
      </w:r>
      <w:r>
        <w:rPr>
          <w:rFonts w:hint="eastAsia" w:ascii="仿宋" w:hAnsi="仿宋" w:eastAsia="仿宋" w:cs="仿宋"/>
          <w:color w:val="auto"/>
          <w:sz w:val="24"/>
          <w:szCs w:val="24"/>
          <w:highlight w:val="none"/>
        </w:rPr>
        <w:t xml:space="preserve">  收取履约保证金形式：</w:t>
      </w:r>
      <w:r>
        <w:rPr>
          <w:rFonts w:hint="eastAsia" w:ascii="仿宋" w:hAnsi="仿宋" w:eastAsia="仿宋" w:cs="仿宋"/>
          <w:bCs/>
          <w:color w:val="auto"/>
          <w:sz w:val="24"/>
          <w:szCs w:val="24"/>
          <w:highlight w:val="none"/>
          <w:u w:val="single"/>
        </w:rPr>
        <w:t xml:space="preserve">                            </w:t>
      </w:r>
    </w:p>
    <w:p>
      <w:pPr>
        <w:pStyle w:val="64"/>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收取履约保证金金额：</w:t>
      </w:r>
      <w:r>
        <w:rPr>
          <w:rFonts w:hint="eastAsia" w:ascii="仿宋" w:hAnsi="仿宋" w:eastAsia="仿宋" w:cs="仿宋"/>
          <w:bCs/>
          <w:color w:val="auto"/>
          <w:sz w:val="24"/>
          <w:szCs w:val="24"/>
          <w:highlight w:val="none"/>
          <w:u w:val="single"/>
        </w:rPr>
        <w:t xml:space="preserve">                            </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bCs/>
          <w:color w:val="auto"/>
          <w:highlight w:val="none"/>
        </w:rPr>
        <w:t xml:space="preserve">    履约担保期限：</w:t>
      </w:r>
      <w:r>
        <w:rPr>
          <w:rFonts w:hint="eastAsia" w:ascii="仿宋" w:hAnsi="仿宋" w:eastAsia="仿宋" w:cs="仿宋"/>
          <w:bCs/>
          <w:color w:val="auto"/>
          <w:highlight w:val="none"/>
          <w:u w:val="single"/>
        </w:rPr>
        <w:t xml:space="preserve">                                  </w:t>
      </w:r>
    </w:p>
    <w:p>
      <w:pPr>
        <w:snapToGrid w:val="0"/>
        <w:spacing w:line="4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（4）分期履行要求：</w:t>
      </w:r>
      <w:r>
        <w:rPr>
          <w:rFonts w:hint="eastAsia" w:ascii="仿宋" w:hAnsi="仿宋" w:eastAsia="仿宋" w:cs="仿宋"/>
          <w:bCs/>
          <w:color w:val="auto"/>
          <w:highlight w:val="none"/>
          <w:u w:val="single"/>
        </w:rPr>
        <w:t xml:space="preserve">                                 </w:t>
      </w:r>
    </w:p>
    <w:p>
      <w:pPr>
        <w:snapToGrid w:val="0"/>
        <w:spacing w:line="400" w:lineRule="exact"/>
        <w:ind w:firstLine="480" w:firstLineChars="200"/>
        <w:rPr>
          <w:rFonts w:hint="eastAsia" w:ascii="仿宋" w:hAnsi="仿宋" w:eastAsia="仿宋" w:cs="仿宋"/>
          <w:color w:val="auto"/>
          <w:highlight w:val="none"/>
          <w:u w:val="single"/>
        </w:rPr>
      </w:pPr>
      <w:r>
        <w:rPr>
          <w:rFonts w:hint="eastAsia" w:ascii="仿宋" w:hAnsi="仿宋" w:eastAsia="仿宋" w:cs="仿宋"/>
          <w:bCs/>
          <w:color w:val="auto"/>
          <w:highlight w:val="none"/>
        </w:rPr>
        <w:t>（5）风险处置措施和替代方案：</w:t>
      </w:r>
      <w:r>
        <w:rPr>
          <w:rFonts w:hint="eastAsia" w:ascii="仿宋" w:hAnsi="仿宋" w:eastAsia="仿宋" w:cs="仿宋"/>
          <w:color w:val="auto"/>
          <w:highlight w:val="none"/>
          <w:u w:val="single"/>
        </w:rPr>
        <w:t xml:space="preserve">                       </w:t>
      </w:r>
    </w:p>
    <w:p>
      <w:pPr>
        <w:numPr>
          <w:ilvl w:val="0"/>
          <w:numId w:val="4"/>
        </w:numPr>
        <w:snapToGrid w:val="0"/>
        <w:spacing w:line="40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合同验收</w:t>
      </w:r>
    </w:p>
    <w:p>
      <w:pPr>
        <w:numPr>
          <w:ilvl w:val="0"/>
          <w:numId w:val="6"/>
        </w:numPr>
        <w:snapToGrid w:val="0"/>
        <w:spacing w:line="4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验收组织方式：</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 xml:space="preserve">自行组织 </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委托第三方组织</w:t>
      </w:r>
    </w:p>
    <w:p>
      <w:pPr>
        <w:snapToGrid w:val="0"/>
        <w:spacing w:line="400" w:lineRule="exact"/>
        <w:rPr>
          <w:rFonts w:hint="eastAsia" w:ascii="仿宋" w:hAnsi="仿宋" w:eastAsia="仿宋" w:cs="仿宋"/>
          <w:bCs/>
          <w:color w:val="auto"/>
          <w:highlight w:val="none"/>
        </w:rPr>
      </w:pPr>
      <w:r>
        <w:rPr>
          <w:rFonts w:hint="eastAsia" w:ascii="仿宋" w:hAnsi="仿宋" w:eastAsia="仿宋" w:cs="仿宋"/>
          <w:bCs/>
          <w:color w:val="auto"/>
          <w:highlight w:val="none"/>
        </w:rPr>
        <w:t xml:space="preserve">         验收主体：</w:t>
      </w:r>
      <w:r>
        <w:rPr>
          <w:rFonts w:hint="eastAsia" w:ascii="仿宋" w:hAnsi="仿宋" w:eastAsia="仿宋" w:cs="仿宋"/>
          <w:bCs/>
          <w:color w:val="auto"/>
          <w:highlight w:val="none"/>
          <w:u w:val="single"/>
        </w:rPr>
        <w:t xml:space="preserve">                  </w:t>
      </w:r>
    </w:p>
    <w:p>
      <w:pPr>
        <w:snapToGrid w:val="0"/>
        <w:spacing w:line="400" w:lineRule="exact"/>
        <w:rPr>
          <w:rFonts w:hint="eastAsia" w:ascii="仿宋" w:hAnsi="仿宋" w:eastAsia="仿宋" w:cs="仿宋"/>
          <w:bCs/>
          <w:color w:val="auto"/>
          <w:highlight w:val="none"/>
        </w:rPr>
      </w:pPr>
      <w:r>
        <w:rPr>
          <w:rFonts w:hint="eastAsia" w:ascii="仿宋" w:hAnsi="仿宋" w:eastAsia="仿宋" w:cs="仿宋"/>
          <w:bCs/>
          <w:color w:val="auto"/>
          <w:highlight w:val="none"/>
        </w:rPr>
        <w:t xml:space="preserve">        是否邀请本项目的其他投标人参加验收：</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 xml:space="preserve">是  </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否</w:t>
      </w:r>
    </w:p>
    <w:p>
      <w:pPr>
        <w:snapToGrid w:val="0"/>
        <w:spacing w:line="400" w:lineRule="exact"/>
        <w:ind w:firstLine="960" w:firstLineChars="400"/>
        <w:rPr>
          <w:rFonts w:hint="eastAsia" w:ascii="仿宋" w:hAnsi="仿宋" w:eastAsia="仿宋" w:cs="仿宋"/>
          <w:bCs/>
          <w:color w:val="auto"/>
          <w:highlight w:val="none"/>
        </w:rPr>
      </w:pPr>
      <w:r>
        <w:rPr>
          <w:rFonts w:hint="eastAsia" w:ascii="仿宋" w:hAnsi="仿宋" w:eastAsia="仿宋" w:cs="仿宋"/>
          <w:bCs/>
          <w:color w:val="auto"/>
          <w:highlight w:val="none"/>
        </w:rPr>
        <w:t>是否邀请专家参加验收：</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 xml:space="preserve">是  </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否</w:t>
      </w:r>
    </w:p>
    <w:p>
      <w:pPr>
        <w:snapToGrid w:val="0"/>
        <w:spacing w:line="400" w:lineRule="exact"/>
        <w:ind w:firstLine="960" w:firstLineChars="400"/>
        <w:rPr>
          <w:rFonts w:hint="eastAsia" w:ascii="仿宋" w:hAnsi="仿宋" w:eastAsia="仿宋" w:cs="仿宋"/>
          <w:bCs/>
          <w:color w:val="auto"/>
          <w:highlight w:val="none"/>
        </w:rPr>
      </w:pPr>
      <w:r>
        <w:rPr>
          <w:rFonts w:hint="eastAsia" w:ascii="仿宋" w:hAnsi="仿宋" w:eastAsia="仿宋" w:cs="仿宋"/>
          <w:bCs/>
          <w:color w:val="auto"/>
          <w:highlight w:val="none"/>
        </w:rPr>
        <w:t>是否邀请服务对象参加验收：</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 xml:space="preserve">是  </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否</w:t>
      </w:r>
    </w:p>
    <w:p>
      <w:pPr>
        <w:snapToGrid w:val="0"/>
        <w:spacing w:line="400" w:lineRule="exact"/>
        <w:ind w:firstLine="960" w:firstLineChars="400"/>
        <w:rPr>
          <w:rFonts w:hint="eastAsia" w:ascii="仿宋" w:hAnsi="仿宋" w:eastAsia="仿宋" w:cs="仿宋"/>
          <w:bCs/>
          <w:color w:val="auto"/>
          <w:highlight w:val="none"/>
        </w:rPr>
      </w:pPr>
      <w:r>
        <w:rPr>
          <w:rFonts w:hint="eastAsia" w:ascii="仿宋" w:hAnsi="仿宋" w:eastAsia="仿宋" w:cs="仿宋"/>
          <w:bCs/>
          <w:color w:val="auto"/>
          <w:highlight w:val="none"/>
        </w:rPr>
        <w:t>是否邀请第三方检测机构参加验收：</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 xml:space="preserve">是  </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否</w:t>
      </w:r>
    </w:p>
    <w:p>
      <w:pPr>
        <w:snapToGrid w:val="0"/>
        <w:spacing w:line="400" w:lineRule="exact"/>
        <w:ind w:firstLine="960" w:firstLineChars="400"/>
        <w:rPr>
          <w:rFonts w:hint="eastAsia" w:ascii="仿宋" w:hAnsi="仿宋" w:eastAsia="仿宋" w:cs="仿宋"/>
          <w:bCs/>
          <w:color w:val="auto"/>
          <w:highlight w:val="none"/>
        </w:rPr>
      </w:pPr>
      <w:r>
        <w:rPr>
          <w:rFonts w:hint="eastAsia" w:ascii="仿宋" w:hAnsi="仿宋" w:eastAsia="仿宋" w:cs="仿宋"/>
          <w:bCs/>
          <w:color w:val="auto"/>
          <w:highlight w:val="none"/>
        </w:rPr>
        <w:t>是否进行抽查检测：</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是，抽查比例：</w:t>
      </w:r>
      <w:r>
        <w:rPr>
          <w:rFonts w:hint="eastAsia" w:ascii="仿宋" w:hAnsi="仿宋" w:eastAsia="仿宋" w:cs="仿宋"/>
          <w:bCs/>
          <w:color w:val="auto"/>
          <w:highlight w:val="none"/>
          <w:u w:val="single"/>
        </w:rPr>
        <w:t xml:space="preserve">        </w:t>
      </w:r>
      <w:r>
        <w:rPr>
          <w:rFonts w:hint="eastAsia" w:ascii="仿宋" w:hAnsi="仿宋" w:eastAsia="仿宋" w:cs="仿宋"/>
          <w:bCs/>
          <w:color w:val="auto"/>
          <w:highlight w:val="none"/>
        </w:rPr>
        <w:t xml:space="preserve"> </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否</w:t>
      </w:r>
    </w:p>
    <w:p>
      <w:pPr>
        <w:snapToGrid w:val="0"/>
        <w:spacing w:line="400" w:lineRule="exact"/>
        <w:ind w:firstLine="960" w:firstLineChars="400"/>
        <w:rPr>
          <w:rFonts w:hint="eastAsia" w:ascii="仿宋" w:hAnsi="仿宋" w:eastAsia="仿宋" w:cs="仿宋"/>
          <w:bCs/>
          <w:color w:val="auto"/>
          <w:highlight w:val="none"/>
          <w:u w:val="single"/>
        </w:rPr>
      </w:pPr>
      <w:r>
        <w:rPr>
          <w:rFonts w:hint="eastAsia" w:ascii="仿宋" w:hAnsi="仿宋" w:eastAsia="仿宋" w:cs="仿宋"/>
          <w:bCs/>
          <w:color w:val="auto"/>
          <w:highlight w:val="none"/>
        </w:rPr>
        <w:t>是否存在破坏性检测：</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是，</w:t>
      </w:r>
      <w:r>
        <w:rPr>
          <w:rFonts w:hint="eastAsia" w:ascii="仿宋" w:hAnsi="仿宋" w:eastAsia="仿宋" w:cs="仿宋"/>
          <w:bCs/>
          <w:color w:val="auto"/>
          <w:highlight w:val="none"/>
          <w:u w:val="single"/>
        </w:rPr>
        <w:t>（应明确对被破坏的检测产品的处理方式）</w:t>
      </w:r>
    </w:p>
    <w:p>
      <w:pPr>
        <w:snapToGrid w:val="0"/>
        <w:spacing w:line="400" w:lineRule="exact"/>
        <w:ind w:firstLine="960" w:firstLineChars="400"/>
        <w:rPr>
          <w:rFonts w:hint="eastAsia" w:ascii="仿宋" w:hAnsi="仿宋" w:eastAsia="仿宋" w:cs="仿宋"/>
          <w:bCs/>
          <w:color w:val="auto"/>
          <w:highlight w:val="none"/>
        </w:rPr>
      </w:pPr>
      <w:r>
        <w:rPr>
          <w:rFonts w:hint="eastAsia" w:ascii="仿宋" w:hAnsi="仿宋" w:eastAsia="仿宋" w:cs="仿宋"/>
          <w:bCs/>
          <w:color w:val="auto"/>
          <w:highlight w:val="none"/>
        </w:rPr>
        <w:t xml:space="preserve">                    </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否</w:t>
      </w:r>
    </w:p>
    <w:p>
      <w:pPr>
        <w:snapToGrid w:val="0"/>
        <w:spacing w:line="400" w:lineRule="exact"/>
        <w:ind w:firstLine="960" w:firstLineChars="400"/>
        <w:rPr>
          <w:rFonts w:hint="eastAsia" w:ascii="仿宋" w:hAnsi="仿宋" w:eastAsia="仿宋" w:cs="仿宋"/>
          <w:bCs/>
          <w:color w:val="auto"/>
          <w:highlight w:val="none"/>
          <w:u w:val="single"/>
        </w:rPr>
      </w:pPr>
      <w:r>
        <w:rPr>
          <w:rFonts w:hint="eastAsia" w:ascii="仿宋" w:hAnsi="仿宋" w:eastAsia="仿宋" w:cs="仿宋"/>
          <w:bCs/>
          <w:color w:val="auto"/>
          <w:highlight w:val="none"/>
        </w:rPr>
        <w:t>验收组织的其他事项：</w:t>
      </w:r>
      <w:r>
        <w:rPr>
          <w:rFonts w:hint="eastAsia" w:ascii="仿宋" w:hAnsi="仿宋" w:eastAsia="仿宋" w:cs="仿宋"/>
          <w:bCs/>
          <w:color w:val="auto"/>
          <w:highlight w:val="none"/>
          <w:u w:val="single"/>
        </w:rPr>
        <w:t xml:space="preserve">                </w:t>
      </w:r>
    </w:p>
    <w:p>
      <w:pPr>
        <w:snapToGrid w:val="0"/>
        <w:spacing w:line="400" w:lineRule="exact"/>
        <w:ind w:firstLine="48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（2）履约验收时间：</w:t>
      </w:r>
      <w:r>
        <w:rPr>
          <w:rFonts w:hint="eastAsia" w:ascii="仿宋" w:hAnsi="仿宋" w:eastAsia="仿宋" w:cs="仿宋"/>
          <w:bCs/>
          <w:color w:val="auto"/>
          <w:highlight w:val="none"/>
          <w:u w:val="single"/>
        </w:rPr>
        <w:t xml:space="preserve">（计划于何时验收/投标人提出验收申请之日起   日内组织验收） </w:t>
      </w:r>
    </w:p>
    <w:p>
      <w:pPr>
        <w:snapToGrid w:val="0"/>
        <w:spacing w:line="4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（3）履约验收方式：</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 xml:space="preserve">一次性验收         </w:t>
      </w:r>
    </w:p>
    <w:p>
      <w:pPr>
        <w:snapToGrid w:val="0"/>
        <w:spacing w:line="400" w:lineRule="exact"/>
        <w:rPr>
          <w:rFonts w:hint="eastAsia" w:ascii="仿宋" w:hAnsi="仿宋" w:eastAsia="仿宋" w:cs="仿宋"/>
          <w:bCs/>
          <w:color w:val="auto"/>
          <w:highlight w:val="none"/>
        </w:rPr>
      </w:pPr>
      <w:r>
        <w:rPr>
          <w:rFonts w:hint="eastAsia" w:ascii="仿宋" w:hAnsi="仿宋" w:eastAsia="仿宋" w:cs="仿宋"/>
          <w:bCs/>
          <w:color w:val="auto"/>
          <w:highlight w:val="none"/>
        </w:rPr>
        <w:t xml:space="preserve">                       </w:t>
      </w:r>
      <w:r>
        <w:rPr>
          <w:rFonts w:hint="eastAsia" w:ascii="仿宋" w:hAnsi="仿宋" w:eastAsia="仿宋" w:cs="仿宋"/>
          <w:color w:val="auto"/>
          <w:highlight w:val="none"/>
        </w:rPr>
        <w:sym w:font="Wingdings" w:char="00A8"/>
      </w:r>
      <w:r>
        <w:rPr>
          <w:rFonts w:hint="eastAsia" w:ascii="仿宋" w:hAnsi="仿宋" w:eastAsia="仿宋" w:cs="仿宋"/>
          <w:bCs/>
          <w:color w:val="auto"/>
          <w:highlight w:val="none"/>
        </w:rPr>
        <w:t>分期/分项验收：</w:t>
      </w:r>
      <w:r>
        <w:rPr>
          <w:rFonts w:hint="eastAsia" w:ascii="仿宋" w:hAnsi="仿宋" w:eastAsia="仿宋" w:cs="仿宋"/>
          <w:bCs/>
          <w:color w:val="auto"/>
          <w:highlight w:val="none"/>
          <w:u w:val="single"/>
        </w:rPr>
        <w:t xml:space="preserve"> （应明确分期</w:t>
      </w:r>
      <w:r>
        <w:rPr>
          <w:rFonts w:hint="eastAsia" w:ascii="仿宋" w:hAnsi="仿宋" w:eastAsia="仿宋" w:cs="仿宋"/>
          <w:bCs/>
          <w:color w:val="auto"/>
          <w:highlight w:val="none"/>
          <w:u w:val="single"/>
          <w:lang w:val="en"/>
        </w:rPr>
        <w:t>/分项验收的工作安排</w:t>
      </w:r>
      <w:r>
        <w:rPr>
          <w:rFonts w:hint="eastAsia" w:ascii="仿宋" w:hAnsi="仿宋" w:eastAsia="仿宋" w:cs="仿宋"/>
          <w:bCs/>
          <w:color w:val="auto"/>
          <w:highlight w:val="none"/>
          <w:u w:val="single"/>
        </w:rPr>
        <w:t xml:space="preserve">）  </w:t>
      </w:r>
    </w:p>
    <w:p>
      <w:pPr>
        <w:snapToGrid w:val="0"/>
        <w:spacing w:line="4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（4）履约验收程序：</w:t>
      </w:r>
      <w:r>
        <w:rPr>
          <w:rFonts w:hint="eastAsia" w:ascii="仿宋" w:hAnsi="仿宋" w:eastAsia="仿宋" w:cs="仿宋"/>
          <w:bCs/>
          <w:color w:val="auto"/>
          <w:highlight w:val="none"/>
          <w:u w:val="single"/>
        </w:rPr>
        <w:t xml:space="preserve">                                         </w:t>
      </w:r>
    </w:p>
    <w:p>
      <w:pPr>
        <w:snapToGrid w:val="0"/>
        <w:spacing w:line="400" w:lineRule="exact"/>
        <w:ind w:firstLine="48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（5）履约验收的内容：</w:t>
      </w:r>
      <w:r>
        <w:rPr>
          <w:rFonts w:hint="eastAsia" w:ascii="仿宋" w:hAnsi="仿宋" w:eastAsia="仿宋" w:cs="仿宋"/>
          <w:bCs/>
          <w:color w:val="auto"/>
          <w:highlight w:val="none"/>
          <w:u w:val="single"/>
        </w:rPr>
        <w:t xml:space="preserve"> （应当包括每一项技术和商务要求的履约情况，特别是落实政府采购扶持中小企业，支持绿色发展和乡村振兴等政策情况）                                      </w:t>
      </w:r>
    </w:p>
    <w:p>
      <w:pPr>
        <w:snapToGrid w:val="0"/>
        <w:spacing w:line="400" w:lineRule="exact"/>
        <w:ind w:firstLine="48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（6）履约验收标准：</w:t>
      </w:r>
      <w:r>
        <w:rPr>
          <w:rFonts w:hint="eastAsia" w:ascii="仿宋" w:hAnsi="仿宋" w:eastAsia="仿宋" w:cs="仿宋"/>
          <w:bCs/>
          <w:color w:val="auto"/>
          <w:highlight w:val="none"/>
          <w:u w:val="single"/>
        </w:rPr>
        <w:t xml:space="preserve">                                         </w:t>
      </w:r>
    </w:p>
    <w:p>
      <w:pPr>
        <w:pStyle w:val="64"/>
        <w:ind w:firstLine="48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（7）是否以采购活动中投标人提供的样品作为参考：</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 xml:space="preserve">是  </w:t>
      </w:r>
      <w:r>
        <w:rPr>
          <w:rFonts w:hint="eastAsia" w:ascii="仿宋" w:hAnsi="仿宋" w:eastAsia="仿宋" w:cs="仿宋"/>
          <w:color w:val="auto"/>
          <w:sz w:val="24"/>
          <w:szCs w:val="24"/>
          <w:highlight w:val="none"/>
        </w:rPr>
        <w:sym w:font="Wingdings" w:char="00A8"/>
      </w:r>
      <w:r>
        <w:rPr>
          <w:rFonts w:hint="eastAsia" w:ascii="仿宋" w:hAnsi="仿宋" w:eastAsia="仿宋" w:cs="仿宋"/>
          <w:bCs/>
          <w:color w:val="auto"/>
          <w:sz w:val="24"/>
          <w:szCs w:val="24"/>
          <w:highlight w:val="none"/>
        </w:rPr>
        <w:t>否</w:t>
      </w:r>
    </w:p>
    <w:p>
      <w:pPr>
        <w:snapToGrid w:val="0"/>
        <w:spacing w:line="400" w:lineRule="exact"/>
        <w:ind w:firstLine="480" w:firstLineChars="200"/>
        <w:rPr>
          <w:rFonts w:hint="eastAsia" w:ascii="仿宋" w:hAnsi="仿宋" w:eastAsia="仿宋" w:cs="仿宋"/>
          <w:bCs/>
          <w:color w:val="auto"/>
          <w:highlight w:val="none"/>
          <w:u w:val="single"/>
        </w:rPr>
      </w:pPr>
      <w:r>
        <w:rPr>
          <w:rFonts w:hint="eastAsia" w:ascii="仿宋" w:hAnsi="仿宋" w:eastAsia="仿宋" w:cs="仿宋"/>
          <w:bCs/>
          <w:color w:val="auto"/>
          <w:highlight w:val="none"/>
        </w:rPr>
        <w:t>（8）履约验收其他事项：</w:t>
      </w:r>
      <w:r>
        <w:rPr>
          <w:rFonts w:hint="eastAsia" w:ascii="仿宋" w:hAnsi="仿宋" w:eastAsia="仿宋" w:cs="仿宋"/>
          <w:bCs/>
          <w:color w:val="auto"/>
          <w:highlight w:val="none"/>
          <w:u w:val="single"/>
        </w:rPr>
        <w:t xml:space="preserve">      （产权过户登记等）          </w:t>
      </w:r>
    </w:p>
    <w:p>
      <w:pPr>
        <w:numPr>
          <w:ilvl w:val="0"/>
          <w:numId w:val="4"/>
        </w:numPr>
        <w:snapToGrid w:val="0"/>
        <w:spacing w:line="40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组成合同的文件</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本协议书与下列文件一起构成合同文件，如下述文件之间有任何抵触、矛盾或歧义，应按以下顺序解释：</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（1）政府采购合同协议书及其变更、补充协议</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（2）政府采购合同专用条款</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（3）政府采购合同通用条款</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（4）中标（成交）通知书</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（5）投标（响应）文件</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（6）采购文件</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（7）有关技术文件，图纸</w:t>
      </w:r>
    </w:p>
    <w:p>
      <w:pPr>
        <w:pStyle w:val="64"/>
        <w:ind w:firstLine="480"/>
        <w:rPr>
          <w:rFonts w:hint="eastAsia" w:ascii="仿宋" w:hAnsi="仿宋" w:eastAsia="仿宋" w:cs="仿宋"/>
          <w:color w:val="auto"/>
          <w:kern w:val="2"/>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kern w:val="2"/>
          <w:sz w:val="24"/>
          <w:szCs w:val="24"/>
          <w:highlight w:val="none"/>
        </w:rPr>
        <w:t>国家法律、行政法规和规章制度规定或合同约定的作为合同组成部分的其他文件</w:t>
      </w:r>
    </w:p>
    <w:p>
      <w:pPr>
        <w:numPr>
          <w:ilvl w:val="0"/>
          <w:numId w:val="4"/>
        </w:numPr>
        <w:snapToGrid w:val="0"/>
        <w:spacing w:line="40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合同生效</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本合同自</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生效。</w:t>
      </w:r>
    </w:p>
    <w:p>
      <w:pPr>
        <w:numPr>
          <w:ilvl w:val="0"/>
          <w:numId w:val="4"/>
        </w:numPr>
        <w:snapToGrid w:val="0"/>
        <w:spacing w:line="400" w:lineRule="exact"/>
        <w:ind w:firstLine="482" w:firstLineChars="200"/>
        <w:rPr>
          <w:rFonts w:hint="eastAsia" w:ascii="仿宋" w:hAnsi="仿宋" w:eastAsia="仿宋" w:cs="仿宋"/>
          <w:b/>
          <w:color w:val="auto"/>
          <w:highlight w:val="none"/>
        </w:rPr>
      </w:pPr>
      <w:r>
        <w:rPr>
          <w:rFonts w:hint="eastAsia" w:ascii="仿宋" w:hAnsi="仿宋" w:eastAsia="仿宋" w:cs="仿宋"/>
          <w:b/>
          <w:color w:val="auto"/>
          <w:highlight w:val="none"/>
        </w:rPr>
        <w:t>合同份数</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本合同一式</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份，甲方执</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份，乙方执</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份，均具有同等法律效力。</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合同订立时间：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月</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合同订立地点：</w:t>
      </w:r>
      <w:r>
        <w:rPr>
          <w:rFonts w:hint="eastAsia" w:ascii="仿宋" w:hAnsi="仿宋" w:eastAsia="仿宋" w:cs="仿宋"/>
          <w:color w:val="auto"/>
          <w:highlight w:val="none"/>
          <w:u w:val="single"/>
        </w:rPr>
        <w:t xml:space="preserve">                           </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附件：具体标的及其技术要求和商务要求、联合协议、分包意向协议等。</w:t>
      </w:r>
    </w:p>
    <w:p>
      <w:pPr>
        <w:pStyle w:val="65"/>
        <w:spacing w:line="400" w:lineRule="exact"/>
        <w:ind w:firstLine="480"/>
        <w:rPr>
          <w:rFonts w:hint="eastAsia" w:ascii="仿宋" w:hAnsi="仿宋" w:eastAsia="仿宋" w:cs="仿宋"/>
          <w:color w:val="auto"/>
          <w:highlight w:val="none"/>
        </w:rPr>
      </w:pPr>
    </w:p>
    <w:p>
      <w:pPr>
        <w:pStyle w:val="3"/>
        <w:tabs>
          <w:tab w:val="left" w:pos="0"/>
          <w:tab w:val="left" w:pos="420"/>
          <w:tab w:val="left" w:pos="1152"/>
        </w:tabs>
        <w:spacing w:line="400" w:lineRule="exact"/>
        <w:rPr>
          <w:rFonts w:hint="eastAsia" w:ascii="仿宋" w:hAnsi="仿宋" w:eastAsia="仿宋" w:cs="仿宋"/>
          <w:color w:val="auto"/>
          <w:highlight w:val="none"/>
        </w:rPr>
      </w:pPr>
      <w:r>
        <w:rPr>
          <w:rFonts w:hint="eastAsia" w:ascii="仿宋" w:hAnsi="仿宋" w:eastAsia="仿宋" w:cs="仿宋"/>
          <w:color w:val="auto"/>
          <w:highlight w:val="none"/>
          <w:lang w:val="en"/>
        </w:rPr>
        <w:t xml:space="preserve">   </w:t>
      </w:r>
    </w:p>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65"/>
        <w:ind w:firstLine="480"/>
        <w:rPr>
          <w:rFonts w:hint="eastAsia" w:ascii="仿宋" w:hAnsi="仿宋" w:eastAsia="仿宋" w:cs="仿宋"/>
          <w:color w:val="auto"/>
          <w:highlight w:val="none"/>
        </w:rPr>
      </w:pPr>
    </w:p>
    <w:tbl>
      <w:tblPr>
        <w:tblStyle w:val="20"/>
        <w:tblW w:w="4999"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38"/>
        <w:gridCol w:w="2604"/>
        <w:gridCol w:w="2132"/>
        <w:gridCol w:w="2285"/>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甲方（采购人、受采购人委托签订合同的单位或采购文件约定的合同甲方）</w:t>
            </w:r>
          </w:p>
        </w:tc>
        <w:tc>
          <w:tcPr>
            <w:tcW w:w="2437" w:type="pct"/>
            <w:gridSpan w:val="2"/>
            <w:tcBorders>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乙方（投标人）</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单位名称（公章或合同章）</w:t>
            </w:r>
          </w:p>
        </w:tc>
        <w:tc>
          <w:tcPr>
            <w:tcW w:w="1259" w:type="pct"/>
            <w:tcBorders>
              <w:top w:val="single" w:color="auto" w:sz="2" w:space="0"/>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napToGrid w:val="0"/>
              <w:spacing w:line="300" w:lineRule="exact"/>
              <w:ind w:firstLine="115" w:firstLineChars="48"/>
              <w:jc w:val="center"/>
              <w:rPr>
                <w:rFonts w:hint="eastAsia" w:ascii="仿宋" w:hAnsi="仿宋" w:eastAsia="仿宋" w:cs="仿宋"/>
                <w:color w:val="auto"/>
                <w:highlight w:val="none"/>
              </w:rPr>
            </w:pPr>
            <w:r>
              <w:rPr>
                <w:rFonts w:hint="eastAsia" w:ascii="仿宋" w:hAnsi="仿宋" w:eastAsia="仿宋" w:cs="仿宋"/>
                <w:color w:val="auto"/>
                <w:highlight w:val="none"/>
              </w:rPr>
              <w:t>或其委托代理人（签章）</w:t>
            </w:r>
          </w:p>
        </w:tc>
        <w:tc>
          <w:tcPr>
            <w:tcW w:w="1436" w:type="pct"/>
            <w:vMerge w:val="restart"/>
            <w:tcBorders>
              <w:top w:val="single" w:color="auto" w:sz="2" w:space="0"/>
              <w:left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177" w:type="pct"/>
            <w:tcBorders>
              <w:top w:val="single" w:color="auto" w:sz="2" w:space="0"/>
              <w:left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法定代表人</w:t>
            </w:r>
          </w:p>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或其委托代理人（签章）</w:t>
            </w:r>
          </w:p>
        </w:tc>
        <w:tc>
          <w:tcPr>
            <w:tcW w:w="1259" w:type="pct"/>
            <w:tcBorders>
              <w:top w:val="single" w:color="auto" w:sz="2" w:space="0"/>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436" w:type="pct"/>
            <w:vMerge w:val="continue"/>
            <w:tcBorders>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拥有者性别</w:t>
            </w:r>
          </w:p>
        </w:tc>
        <w:tc>
          <w:tcPr>
            <w:tcW w:w="1259" w:type="pct"/>
            <w:tcBorders>
              <w:top w:val="single" w:color="auto" w:sz="2" w:space="0"/>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住  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住  所</w:t>
            </w:r>
          </w:p>
        </w:tc>
        <w:tc>
          <w:tcPr>
            <w:tcW w:w="1259" w:type="pct"/>
            <w:tcBorders>
              <w:top w:val="single" w:color="auto" w:sz="2" w:space="0"/>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联 系 人</w:t>
            </w:r>
          </w:p>
        </w:tc>
        <w:tc>
          <w:tcPr>
            <w:tcW w:w="1259" w:type="pct"/>
            <w:tcBorders>
              <w:top w:val="single" w:color="auto" w:sz="2" w:space="0"/>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联系电话</w:t>
            </w:r>
          </w:p>
        </w:tc>
        <w:tc>
          <w:tcPr>
            <w:tcW w:w="1259" w:type="pct"/>
            <w:tcBorders>
              <w:top w:val="single" w:color="auto" w:sz="2" w:space="0"/>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通信地址</w:t>
            </w:r>
          </w:p>
        </w:tc>
        <w:tc>
          <w:tcPr>
            <w:tcW w:w="1259" w:type="pct"/>
            <w:tcBorders>
              <w:top w:val="single" w:color="auto" w:sz="2" w:space="0"/>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邮政编码</w:t>
            </w:r>
          </w:p>
        </w:tc>
        <w:tc>
          <w:tcPr>
            <w:tcW w:w="1259" w:type="pct"/>
            <w:tcBorders>
              <w:top w:val="single" w:color="auto" w:sz="2" w:space="0"/>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电子邮箱</w:t>
            </w:r>
          </w:p>
        </w:tc>
        <w:tc>
          <w:tcPr>
            <w:tcW w:w="1259" w:type="pct"/>
            <w:tcBorders>
              <w:top w:val="single" w:color="auto" w:sz="2" w:space="0"/>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1259" w:type="pct"/>
            <w:tcBorders>
              <w:top w:val="single" w:color="auto" w:sz="2" w:space="0"/>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开户名称</w:t>
            </w:r>
          </w:p>
        </w:tc>
        <w:tc>
          <w:tcPr>
            <w:tcW w:w="1259" w:type="pct"/>
            <w:tcBorders>
              <w:top w:val="single" w:color="auto" w:sz="2" w:space="0"/>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开户银行</w:t>
            </w:r>
          </w:p>
        </w:tc>
        <w:tc>
          <w:tcPr>
            <w:tcW w:w="1259" w:type="pct"/>
            <w:tcBorders>
              <w:top w:val="single" w:color="auto" w:sz="2" w:space="0"/>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p>
        </w:tc>
        <w:tc>
          <w:tcPr>
            <w:tcW w:w="1177" w:type="pct"/>
            <w:tcBorders>
              <w:top w:val="single" w:color="auto" w:sz="2" w:space="0"/>
              <w:left w:val="single" w:color="auto" w:sz="2" w:space="0"/>
              <w:bottom w:val="single" w:color="auto" w:sz="2" w:space="0"/>
              <w:right w:val="single" w:color="auto" w:sz="2" w:space="0"/>
            </w:tcBorders>
            <w:vAlign w:val="center"/>
          </w:tcPr>
          <w:p>
            <w:pPr>
              <w:snapToGrid w:val="0"/>
              <w:spacing w:line="3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银行账号</w:t>
            </w:r>
          </w:p>
        </w:tc>
        <w:tc>
          <w:tcPr>
            <w:tcW w:w="1259" w:type="pct"/>
            <w:tcBorders>
              <w:top w:val="single" w:color="auto" w:sz="2" w:space="0"/>
              <w:left w:val="single" w:color="auto" w:sz="2" w:space="0"/>
              <w:bottom w:val="single" w:color="auto" w:sz="2" w:space="0"/>
            </w:tcBorders>
            <w:vAlign w:val="center"/>
          </w:tcPr>
          <w:p>
            <w:pPr>
              <w:snapToGrid w:val="0"/>
              <w:spacing w:line="300" w:lineRule="exact"/>
              <w:jc w:val="center"/>
              <w:rPr>
                <w:rFonts w:hint="eastAsia" w:ascii="仿宋" w:hAnsi="仿宋" w:eastAsia="仿宋" w:cs="仿宋"/>
                <w:color w:val="auto"/>
                <w:spacing w:val="20"/>
                <w:highlight w:val="none"/>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pPr>
              <w:pStyle w:val="10"/>
              <w:snapToGrid w:val="0"/>
              <w:spacing w:before="120" w:beforeLines="50" w:line="360" w:lineRule="auto"/>
              <w:ind w:firstLine="480"/>
              <w:jc w:val="left"/>
              <w:rPr>
                <w:rFonts w:hint="eastAsia" w:ascii="仿宋" w:hAnsi="仿宋" w:eastAsia="仿宋" w:cs="仿宋"/>
                <w:color w:val="auto"/>
                <w:spacing w:val="20"/>
                <w:sz w:val="24"/>
                <w:szCs w:val="24"/>
                <w:highlight w:val="none"/>
              </w:rPr>
            </w:pPr>
            <w:r>
              <w:rPr>
                <w:rFonts w:hint="eastAsia" w:ascii="仿宋" w:hAnsi="仿宋" w:eastAsia="仿宋" w:cs="仿宋"/>
                <w:color w:val="auto"/>
                <w:sz w:val="24"/>
                <w:szCs w:val="24"/>
                <w:highlight w:val="none"/>
              </w:rPr>
              <w:t>注：涉及联合体或其他合同主体的信息应按上表格式加列。</w:t>
            </w:r>
          </w:p>
        </w:tc>
      </w:tr>
    </w:tbl>
    <w:p>
      <w:pPr>
        <w:pStyle w:val="3"/>
        <w:tabs>
          <w:tab w:val="left" w:pos="0"/>
          <w:tab w:val="left" w:pos="420"/>
          <w:tab w:val="left" w:pos="1152"/>
        </w:tabs>
        <w:snapToGrid w:val="0"/>
        <w:spacing w:before="120" w:beforeLines="50"/>
        <w:jc w:val="center"/>
        <w:rPr>
          <w:rFonts w:hint="eastAsia" w:ascii="仿宋" w:hAnsi="仿宋" w:eastAsia="仿宋" w:cs="仿宋"/>
          <w:color w:val="auto"/>
          <w:sz w:val="28"/>
          <w:szCs w:val="28"/>
          <w:highlight w:val="none"/>
        </w:rPr>
      </w:pPr>
      <w:r>
        <w:rPr>
          <w:rFonts w:hint="eastAsia" w:ascii="仿宋" w:hAnsi="仿宋" w:eastAsia="仿宋" w:cs="仿宋"/>
          <w:color w:val="auto"/>
          <w:highlight w:val="none"/>
          <w:u w:val="single"/>
        </w:rPr>
        <w:br w:type="page"/>
      </w:r>
      <w:bookmarkStart w:id="75" w:name="_Toc10176"/>
      <w:bookmarkStart w:id="76" w:name="_Toc27624"/>
      <w:r>
        <w:rPr>
          <w:rFonts w:hint="eastAsia" w:ascii="仿宋" w:hAnsi="仿宋" w:eastAsia="仿宋" w:cs="仿宋"/>
          <w:color w:val="auto"/>
          <w:sz w:val="28"/>
          <w:szCs w:val="28"/>
          <w:highlight w:val="none"/>
        </w:rPr>
        <w:t>第二节 政府采购合同通用条款</w:t>
      </w:r>
      <w:bookmarkEnd w:id="75"/>
      <w:bookmarkEnd w:id="76"/>
    </w:p>
    <w:p>
      <w:pPr>
        <w:tabs>
          <w:tab w:val="left" w:pos="8820"/>
          <w:tab w:val="left" w:pos="9345"/>
          <w:tab w:val="left" w:pos="9765"/>
        </w:tabs>
        <w:snapToGrid w:val="0"/>
        <w:spacing w:line="400" w:lineRule="exact"/>
        <w:rPr>
          <w:rFonts w:hint="eastAsia" w:ascii="仿宋" w:hAnsi="仿宋" w:eastAsia="仿宋" w:cs="仿宋"/>
          <w:b/>
          <w:bCs/>
          <w:color w:val="auto"/>
          <w:highlight w:val="none"/>
        </w:rPr>
      </w:pPr>
      <w:r>
        <w:rPr>
          <w:rFonts w:hint="eastAsia" w:ascii="仿宋" w:hAnsi="仿宋" w:eastAsia="仿宋" w:cs="仿宋"/>
          <w:b/>
          <w:color w:val="auto"/>
          <w:highlight w:val="none"/>
        </w:rPr>
        <w:t xml:space="preserve">1. </w:t>
      </w:r>
      <w:r>
        <w:rPr>
          <w:rFonts w:hint="eastAsia" w:ascii="仿宋" w:hAnsi="仿宋" w:eastAsia="仿宋" w:cs="仿宋"/>
          <w:b/>
          <w:bCs/>
          <w:color w:val="auto"/>
          <w:highlight w:val="none"/>
        </w:rPr>
        <w:t>定义</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1.1合同当事人</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（1）采购人（以下称甲方）是指使用财政性资金，通过政府采购方式向投标人购买货物及其相关服务的国家机关、事业单位、团体组织。</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（2）投标人（以下称乙方）是指参加政府采购活动并且中标（成交），向采购人提供合同约定的货物及其相关服务的法人、非法人组织或者自然人。</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（3）其他合同主体是指除采购人和投标人以外，</w:t>
      </w:r>
      <w:r>
        <w:rPr>
          <w:rFonts w:hint="eastAsia" w:ascii="仿宋" w:hAnsi="仿宋" w:eastAsia="仿宋" w:cs="仿宋"/>
          <w:bCs/>
          <w:color w:val="auto"/>
          <w:highlight w:val="none"/>
        </w:rPr>
        <w:t>依法参与合同缔结或履行，享有权利、承担义务的合同当事人</w:t>
      </w:r>
      <w:r>
        <w:rPr>
          <w:rFonts w:hint="eastAsia" w:ascii="仿宋" w:hAnsi="仿宋" w:eastAsia="仿宋" w:cs="仿宋"/>
          <w:color w:val="auto"/>
          <w:highlight w:val="none"/>
        </w:rPr>
        <w:t>。</w:t>
      </w:r>
    </w:p>
    <w:p>
      <w:pPr>
        <w:tabs>
          <w:tab w:val="left" w:pos="570"/>
          <w:tab w:val="left" w:pos="9240"/>
          <w:tab w:val="left" w:pos="9555"/>
        </w:tabs>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1.2本合同下列术语应解释为：</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（1）“合同”系指</w:t>
      </w:r>
      <w:r>
        <w:rPr>
          <w:rFonts w:hint="eastAsia" w:ascii="仿宋" w:hAnsi="仿宋" w:eastAsia="仿宋" w:cs="仿宋"/>
          <w:bCs/>
          <w:color w:val="auto"/>
          <w:highlight w:val="none"/>
        </w:rPr>
        <w:t>合同当事人意思表示达成一致的任何协议，包括签署的</w:t>
      </w:r>
      <w:r>
        <w:rPr>
          <w:rFonts w:hint="eastAsia" w:ascii="仿宋" w:hAnsi="仿宋" w:eastAsia="仿宋" w:cs="仿宋"/>
          <w:color w:val="auto"/>
          <w:highlight w:val="none"/>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tabs>
          <w:tab w:val="left" w:pos="570"/>
          <w:tab w:val="left" w:pos="9240"/>
          <w:tab w:val="left" w:pos="9555"/>
        </w:tabs>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（2）“合同价款”系指根据本合同规定乙方在全面履行合同义务后甲方应支付给乙方的价款。</w:t>
      </w:r>
    </w:p>
    <w:p>
      <w:pPr>
        <w:tabs>
          <w:tab w:val="left" w:pos="570"/>
          <w:tab w:val="left" w:pos="9240"/>
          <w:tab w:val="left" w:pos="9555"/>
        </w:tabs>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（3）“货物”系指乙方根据本合同规定须向甲方提供的各种形态和种类的物品，包括原材料、设备、产品（包括软件）及相关的其备品备件、工具、手册及</w:t>
      </w:r>
      <w:r>
        <w:rPr>
          <w:rFonts w:hint="eastAsia" w:ascii="仿宋" w:hAnsi="仿宋" w:eastAsia="仿宋" w:cs="仿宋"/>
          <w:color w:val="auto"/>
          <w:highlight w:val="none"/>
          <w:lang w:val="en"/>
        </w:rPr>
        <w:t>其他</w:t>
      </w:r>
      <w:r>
        <w:rPr>
          <w:rFonts w:hint="eastAsia" w:ascii="仿宋" w:hAnsi="仿宋" w:eastAsia="仿宋" w:cs="仿宋"/>
          <w:color w:val="auto"/>
          <w:highlight w:val="none"/>
        </w:rPr>
        <w:t>技术资料和材料等。</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（4）“相关服务”系指根据合同规定，乙方应提供的与货物有关的技术、管理和</w:t>
      </w:r>
      <w:r>
        <w:rPr>
          <w:rFonts w:hint="eastAsia" w:ascii="仿宋" w:hAnsi="仿宋" w:eastAsia="仿宋" w:cs="仿宋"/>
          <w:color w:val="auto"/>
          <w:highlight w:val="none"/>
          <w:lang w:val="en"/>
        </w:rPr>
        <w:t>其他</w:t>
      </w:r>
      <w:r>
        <w:rPr>
          <w:rFonts w:hint="eastAsia" w:ascii="仿宋" w:hAnsi="仿宋" w:eastAsia="仿宋" w:cs="仿宋"/>
          <w:color w:val="auto"/>
          <w:highlight w:val="none"/>
        </w:rPr>
        <w:t>服务，包括但不限于：管理和质量保证、运输、保险、检验、现场准备、安装、集成、调试、培训、维修、废弃处置、技术支持等以及合同中规定乙方应承担的</w:t>
      </w:r>
      <w:r>
        <w:rPr>
          <w:rFonts w:hint="eastAsia" w:ascii="仿宋" w:hAnsi="仿宋" w:eastAsia="仿宋" w:cs="仿宋"/>
          <w:color w:val="auto"/>
          <w:highlight w:val="none"/>
          <w:lang w:val="en"/>
        </w:rPr>
        <w:t>其他</w:t>
      </w:r>
      <w:r>
        <w:rPr>
          <w:rFonts w:hint="eastAsia" w:ascii="仿宋" w:hAnsi="仿宋" w:eastAsia="仿宋" w:cs="仿宋"/>
          <w:color w:val="auto"/>
          <w:highlight w:val="none"/>
        </w:rPr>
        <w:t>义务。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（5）“分包”系指中标（成交）投标人按采购文件、投标（响应）文件的规定，根据分包意向协议，将中标（成交）项目中的部分履约内容，分给具有相应资质条件的投标人履行合同的行为。</w:t>
      </w:r>
    </w:p>
    <w:p>
      <w:pPr>
        <w:tabs>
          <w:tab w:val="left" w:pos="570"/>
          <w:tab w:val="left" w:pos="9240"/>
          <w:tab w:val="left" w:pos="9555"/>
        </w:tabs>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联合体”系指由两个以上的自然人、法人或者非法人组织组成，以一个投标人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auto"/>
          <w:highlight w:val="none"/>
        </w:rPr>
        <w:t>政府采购合同专用条款</w:t>
      </w:r>
      <w:r>
        <w:rPr>
          <w:rFonts w:hint="eastAsia" w:ascii="仿宋" w:hAnsi="仿宋" w:eastAsia="仿宋" w:cs="仿宋"/>
          <w:color w:val="auto"/>
          <w:highlight w:val="none"/>
        </w:rPr>
        <w:t>】。</w:t>
      </w:r>
    </w:p>
    <w:p>
      <w:pPr>
        <w:tabs>
          <w:tab w:val="left" w:pos="570"/>
          <w:tab w:val="left" w:pos="9240"/>
          <w:tab w:val="left" w:pos="9555"/>
        </w:tabs>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（7）其他术语解释，见【</w:t>
      </w:r>
      <w:r>
        <w:rPr>
          <w:rFonts w:hint="eastAsia" w:ascii="仿宋" w:hAnsi="仿宋" w:eastAsia="仿宋" w:cs="仿宋"/>
          <w:b/>
          <w:bCs/>
          <w:color w:val="auto"/>
          <w:highlight w:val="none"/>
        </w:rPr>
        <w:t>政府采购合同专用条款</w:t>
      </w:r>
      <w:r>
        <w:rPr>
          <w:rFonts w:hint="eastAsia" w:ascii="仿宋" w:hAnsi="仿宋" w:eastAsia="仿宋" w:cs="仿宋"/>
          <w:color w:val="auto"/>
          <w:highlight w:val="none"/>
        </w:rPr>
        <w:t>】。</w:t>
      </w:r>
    </w:p>
    <w:p>
      <w:pPr>
        <w:numPr>
          <w:ilvl w:val="0"/>
          <w:numId w:val="7"/>
        </w:numPr>
        <w:snapToGrid w:val="0"/>
        <w:spacing w:line="400" w:lineRule="exact"/>
        <w:rPr>
          <w:rFonts w:hint="eastAsia" w:ascii="仿宋" w:hAnsi="仿宋" w:eastAsia="仿宋" w:cs="仿宋"/>
          <w:b/>
          <w:bCs/>
          <w:color w:val="auto"/>
          <w:highlight w:val="none"/>
        </w:rPr>
      </w:pPr>
      <w:r>
        <w:rPr>
          <w:rFonts w:hint="eastAsia" w:ascii="仿宋" w:hAnsi="仿宋" w:eastAsia="仿宋" w:cs="仿宋"/>
          <w:b/>
          <w:color w:val="auto"/>
          <w:highlight w:val="none"/>
        </w:rPr>
        <w:t>合同标的及金额</w:t>
      </w:r>
    </w:p>
    <w:p>
      <w:pPr>
        <w:snapToGrid w:val="0"/>
        <w:spacing w:line="400" w:lineRule="exact"/>
        <w:ind w:firstLine="480" w:firstLineChars="200"/>
        <w:rPr>
          <w:rFonts w:hint="eastAsia" w:ascii="仿宋" w:hAnsi="仿宋" w:eastAsia="仿宋" w:cs="仿宋"/>
          <w:b/>
          <w:bCs/>
          <w:i/>
          <w:iCs/>
          <w:color w:val="auto"/>
          <w:highlight w:val="none"/>
        </w:rPr>
      </w:pPr>
      <w:r>
        <w:rPr>
          <w:rFonts w:hint="eastAsia" w:ascii="仿宋" w:hAnsi="仿宋" w:eastAsia="仿宋" w:cs="仿宋"/>
          <w:color w:val="auto"/>
          <w:highlight w:val="none"/>
        </w:rPr>
        <w:t>2.1 合同标的及金额应与中标（成交）结果一致。乙方为履行本合同而发生的所有费用均应包含在合同价款中，甲方不再另行支付</w:t>
      </w:r>
      <w:r>
        <w:rPr>
          <w:rFonts w:hint="eastAsia" w:ascii="仿宋" w:hAnsi="仿宋" w:eastAsia="仿宋" w:cs="仿宋"/>
          <w:color w:val="auto"/>
          <w:highlight w:val="none"/>
          <w:lang w:val="en"/>
        </w:rPr>
        <w:t>其他</w:t>
      </w:r>
      <w:r>
        <w:rPr>
          <w:rFonts w:hint="eastAsia" w:ascii="仿宋" w:hAnsi="仿宋" w:eastAsia="仿宋" w:cs="仿宋"/>
          <w:color w:val="auto"/>
          <w:highlight w:val="none"/>
        </w:rPr>
        <w:t>任何费用。</w:t>
      </w:r>
    </w:p>
    <w:p>
      <w:pPr>
        <w:snapToGrid w:val="0"/>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3. 履行合同的时间、地点和方式</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3.1 乙方应当在约定的时间、地点，按照约定方式履行合同。</w:t>
      </w:r>
    </w:p>
    <w:p>
      <w:pPr>
        <w:snapToGrid w:val="0"/>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4. 甲方的权利和义务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4.1 签署合同后，甲方应确定项目负责人（或项目联系人），负责与本合同有关的事务。甲方有权对乙方的履约行为进行检查，并及时确认乙方提交的事项。甲方应当配合乙方完成相关项目实施工作。</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4.2 甲方有权要求乙方按时提交各阶段有关安排计划，并有权定期核对乙方提供货物数量、规格、质量等内容。甲方有权督促乙方工作并要求乙方更换不符合要求的货物。</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4.3 甲方有权要求乙方对缺陷部分予以修复，并按合同约定享有货物保修及其他合同约定的权利。</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4.4 甲方应当按照合同约定及时对交付的货物进行验收，未在</w:t>
      </w:r>
      <w:r>
        <w:rPr>
          <w:rFonts w:hint="eastAsia" w:ascii="仿宋" w:hAnsi="仿宋" w:eastAsia="仿宋" w:cs="仿宋"/>
          <w:b/>
          <w:bCs/>
          <w:color w:val="auto"/>
          <w:highlight w:val="none"/>
        </w:rPr>
        <w:t>【政府采购合同专用条款】</w:t>
      </w:r>
      <w:r>
        <w:rPr>
          <w:rFonts w:hint="eastAsia" w:ascii="仿宋" w:hAnsi="仿宋" w:eastAsia="仿宋" w:cs="仿宋"/>
          <w:color w:val="auto"/>
          <w:highlight w:val="none"/>
        </w:rPr>
        <w:t>约定的期限内对乙方履约提出任何异议或者向乙方作出任何说明的，视为验收通过。</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4.5 甲方应当根据合同约定及时向乙方支付合同价款，不得以内部人员变更、履行内部付款流程等为由，拒绝或迟延支付。</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4.6 国家法律法规规定及</w:t>
      </w:r>
      <w:r>
        <w:rPr>
          <w:rFonts w:hint="eastAsia" w:ascii="仿宋" w:hAnsi="仿宋" w:eastAsia="仿宋" w:cs="仿宋"/>
          <w:b/>
          <w:bCs/>
          <w:color w:val="auto"/>
          <w:highlight w:val="none"/>
        </w:rPr>
        <w:t>【政府采购合同专用条款】</w:t>
      </w:r>
      <w:r>
        <w:rPr>
          <w:rFonts w:hint="eastAsia" w:ascii="仿宋" w:hAnsi="仿宋" w:eastAsia="仿宋" w:cs="仿宋"/>
          <w:color w:val="auto"/>
          <w:highlight w:val="none"/>
        </w:rPr>
        <w:t>约定应由甲方承担的其他义务和责任。</w:t>
      </w:r>
    </w:p>
    <w:p>
      <w:pPr>
        <w:snapToGrid w:val="0"/>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5. 乙方的权利和义务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5.1 签署合同后，乙方应确定项目负责人（或项目联系人），负责与本合同有关的事务。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7"/>
        <w:spacing w:line="400" w:lineRule="exact"/>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5.3乙方有权根据合同约定向甲方收取合同价款。</w:t>
      </w:r>
    </w:p>
    <w:p>
      <w:pPr>
        <w:pStyle w:val="7"/>
        <w:spacing w:line="400" w:lineRule="exact"/>
        <w:ind w:firstLine="422" w:firstLineChars="176"/>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5.4国家法律法规规定及</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约定应由乙方承担的其他义务和责任。</w:t>
      </w:r>
    </w:p>
    <w:p>
      <w:pPr>
        <w:numPr>
          <w:ilvl w:val="0"/>
          <w:numId w:val="8"/>
        </w:numPr>
        <w:snapToGrid w:val="0"/>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合同履行</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6.1 甲乙双方应当按照</w:t>
      </w:r>
      <w:r>
        <w:rPr>
          <w:rFonts w:hint="eastAsia" w:ascii="仿宋" w:hAnsi="仿宋" w:eastAsia="仿宋" w:cs="仿宋"/>
          <w:b/>
          <w:bCs/>
          <w:color w:val="auto"/>
          <w:highlight w:val="none"/>
        </w:rPr>
        <w:t>【政府采购合同专用条款】</w:t>
      </w:r>
      <w:r>
        <w:rPr>
          <w:rFonts w:hint="eastAsia" w:ascii="仿宋" w:hAnsi="仿宋" w:eastAsia="仿宋" w:cs="仿宋"/>
          <w:color w:val="auto"/>
          <w:highlight w:val="none"/>
        </w:rPr>
        <w:t>约定顺序履行合同义务；如果没有先后顺序的，应当同时履行。</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6.2 甲乙双方按照合同约定顺序履行合同义务时，应当先履行一方未履行的，后履行一方有权拒绝其履行请求。先履行一方履行不符合约定的，后履行一方有权拒绝其相应的履行请求。</w:t>
      </w:r>
    </w:p>
    <w:p>
      <w:pPr>
        <w:snapToGrid w:val="0"/>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7. 货物包装、运输、保险和交付要求</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7.1 本合同</w:t>
      </w:r>
      <w:r>
        <w:rPr>
          <w:rFonts w:hint="eastAsia" w:ascii="仿宋" w:hAnsi="仿宋" w:eastAsia="仿宋" w:cs="仿宋"/>
          <w:bCs/>
          <w:color w:val="auto"/>
          <w:highlight w:val="none"/>
        </w:rPr>
        <w:t>涉及商品包装、快递包装的，</w:t>
      </w:r>
      <w:r>
        <w:rPr>
          <w:rFonts w:hint="eastAsia" w:ascii="仿宋" w:hAnsi="仿宋" w:eastAsia="仿宋" w:cs="仿宋"/>
          <w:color w:val="auto"/>
          <w:highlight w:val="none"/>
        </w:rPr>
        <w:t>除</w:t>
      </w:r>
      <w:r>
        <w:rPr>
          <w:rFonts w:hint="eastAsia" w:ascii="仿宋" w:hAnsi="仿宋" w:eastAsia="仿宋" w:cs="仿宋"/>
          <w:b/>
          <w:color w:val="auto"/>
          <w:highlight w:val="none"/>
        </w:rPr>
        <w:t>【政府采购合同专用条款】</w:t>
      </w:r>
      <w:r>
        <w:rPr>
          <w:rFonts w:hint="eastAsia" w:ascii="仿宋" w:hAnsi="仿宋" w:eastAsia="仿宋" w:cs="仿宋"/>
          <w:bCs/>
          <w:color w:val="auto"/>
          <w:highlight w:val="none"/>
        </w:rPr>
        <w:t>另有约定外，</w:t>
      </w:r>
      <w:r>
        <w:rPr>
          <w:rFonts w:hint="eastAsia" w:ascii="仿宋" w:hAnsi="仿宋" w:eastAsia="仿宋" w:cs="仿宋"/>
          <w:color w:val="auto"/>
          <w:highlight w:val="none"/>
        </w:rPr>
        <w:t>包装应适应远距离运输、防潮、防震、防锈和防野蛮装卸等要求，确保货物安全无损地运抵</w:t>
      </w:r>
      <w:r>
        <w:rPr>
          <w:rFonts w:hint="eastAsia" w:ascii="仿宋" w:hAnsi="仿宋" w:eastAsia="仿宋" w:cs="仿宋"/>
          <w:b/>
          <w:color w:val="auto"/>
          <w:highlight w:val="none"/>
        </w:rPr>
        <w:t>【政府采购合同专用条款】</w:t>
      </w:r>
      <w:r>
        <w:rPr>
          <w:rFonts w:hint="eastAsia" w:ascii="仿宋" w:hAnsi="仿宋" w:eastAsia="仿宋" w:cs="仿宋"/>
          <w:bCs/>
          <w:color w:val="auto"/>
          <w:highlight w:val="none"/>
        </w:rPr>
        <w:t>约定的</w:t>
      </w:r>
      <w:r>
        <w:rPr>
          <w:rFonts w:hint="eastAsia" w:ascii="仿宋" w:hAnsi="仿宋" w:eastAsia="仿宋" w:cs="仿宋"/>
          <w:color w:val="auto"/>
          <w:highlight w:val="none"/>
        </w:rPr>
        <w:t>指定现场。</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7.2 除</w:t>
      </w:r>
      <w:r>
        <w:rPr>
          <w:rFonts w:hint="eastAsia" w:ascii="仿宋" w:hAnsi="仿宋" w:eastAsia="仿宋" w:cs="仿宋"/>
          <w:b/>
          <w:color w:val="auto"/>
          <w:highlight w:val="none"/>
        </w:rPr>
        <w:t>【政府采购合同专用条款】</w:t>
      </w:r>
      <w:r>
        <w:rPr>
          <w:rFonts w:hint="eastAsia" w:ascii="仿宋" w:hAnsi="仿宋" w:eastAsia="仿宋" w:cs="仿宋"/>
          <w:bCs/>
          <w:color w:val="auto"/>
          <w:highlight w:val="none"/>
        </w:rPr>
        <w:t>另有约定外，</w:t>
      </w:r>
      <w:r>
        <w:rPr>
          <w:rFonts w:hint="eastAsia" w:ascii="仿宋" w:hAnsi="仿宋" w:eastAsia="仿宋" w:cs="仿宋"/>
          <w:color w:val="auto"/>
          <w:highlight w:val="none"/>
        </w:rPr>
        <w:t>乙方负责办理将货物运抵本合同规定的交货地点，并装卸、交付至甲方的一切运输事项，相关费用应包含在合同价款中。</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7.3 货物保险要求按</w:t>
      </w:r>
      <w:r>
        <w:rPr>
          <w:rFonts w:hint="eastAsia" w:ascii="仿宋" w:hAnsi="仿宋" w:eastAsia="仿宋" w:cs="仿宋"/>
          <w:b/>
          <w:color w:val="auto"/>
          <w:highlight w:val="none"/>
        </w:rPr>
        <w:t>【政府采购合同专用条款】</w:t>
      </w:r>
      <w:r>
        <w:rPr>
          <w:rFonts w:hint="eastAsia" w:ascii="仿宋" w:hAnsi="仿宋" w:eastAsia="仿宋" w:cs="仿宋"/>
          <w:bCs/>
          <w:color w:val="auto"/>
          <w:highlight w:val="none"/>
        </w:rPr>
        <w:t>规定执行</w:t>
      </w:r>
      <w:r>
        <w:rPr>
          <w:rFonts w:hint="eastAsia" w:ascii="仿宋" w:hAnsi="仿宋" w:eastAsia="仿宋" w:cs="仿宋"/>
          <w:color w:val="auto"/>
          <w:highlight w:val="none"/>
        </w:rPr>
        <w:t>。</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7.5 乙方在运输到达之前应提前通知甲方，并提示货物运输装卸的注意事项，甲方配合乙方做好货物的接收工作。</w:t>
      </w:r>
    </w:p>
    <w:p>
      <w:pPr>
        <w:pStyle w:val="64"/>
        <w:ind w:firstLine="480"/>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rPr>
        <w:t>7.6 如因包装、运输问题导致货物损毁、丢失或者品质下降，甲方有权要求降价、换货、拒收部分或整批货物，由此产生的费用和损失，均由乙方承担。</w:t>
      </w:r>
    </w:p>
    <w:p>
      <w:pPr>
        <w:snapToGrid w:val="0"/>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8. 质量标准和保证</w:t>
      </w:r>
    </w:p>
    <w:p>
      <w:pPr>
        <w:pStyle w:val="12"/>
        <w:adjustRightInd w:val="0"/>
        <w:snapToGrid w:val="0"/>
        <w:spacing w:line="400" w:lineRule="exact"/>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8.1 质量标准</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12"/>
        <w:adjustRightInd w:val="0"/>
        <w:snapToGrid w:val="0"/>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（2）采用中华人民共和国法定计量单位。</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（3）乙方所提供的货物应符合国家有关安全、环保、卫生的规定。</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（4）乙方应向甲方提交所提供货物的技术文件，包括相应的中文技术文件，如：产品目录、图纸、操作手册、使用说明、维护手册或服务指南等。上述文件应包装好随货物一同发运。</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8.2 保证</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color w:val="auto"/>
          <w:highlight w:val="none"/>
        </w:rPr>
        <w:t>【政府采购合同专用条款】</w:t>
      </w:r>
      <w:r>
        <w:rPr>
          <w:rFonts w:hint="eastAsia" w:ascii="仿宋" w:hAnsi="仿宋" w:eastAsia="仿宋" w:cs="仿宋"/>
          <w:color w:val="auto"/>
          <w:highlight w:val="none"/>
        </w:rPr>
        <w:t>规定或乙方书面承诺（两者以较长的为准）的质量保证期内，本保证保持有效。</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（2）在质量保证期内所发现的缺陷，甲方应尽快以书面形式通知乙方。</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（3）乙方收到通知后，应在</w:t>
      </w:r>
      <w:r>
        <w:rPr>
          <w:rFonts w:hint="eastAsia" w:ascii="仿宋" w:hAnsi="仿宋" w:eastAsia="仿宋" w:cs="仿宋"/>
          <w:b/>
          <w:color w:val="auto"/>
          <w:highlight w:val="none"/>
        </w:rPr>
        <w:t>【政府采购合同专用条款】</w:t>
      </w:r>
      <w:r>
        <w:rPr>
          <w:rFonts w:hint="eastAsia" w:ascii="仿宋" w:hAnsi="仿宋" w:eastAsia="仿宋" w:cs="仿宋"/>
          <w:color w:val="auto"/>
          <w:highlight w:val="none"/>
        </w:rPr>
        <w:t>规定的响应时间内以合理的速度免费维修或更换有缺陷的货物或部件。</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（4）在质量保证期内，如果货物的质量或规格与合同不符，或证实货物是有缺陷的，包括潜在的缺陷或使用不符合要求的材料等，甲方可以根据本合同第15.1条规定以书面形式追究乙方的违约责任。</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（5）乙方在约定的时间内未能弥补缺陷，甲方可采取必要的补救措施，但其风险和费用将由乙方承担，甲方根据合同约定对乙方行使的其他权利不受影响。</w:t>
      </w:r>
    </w:p>
    <w:p>
      <w:pPr>
        <w:snapToGrid w:val="0"/>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9. 权利瑕疵担保</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9.1 乙方保证对其出售的货物享有合法的权利。</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9.2 乙方保证在交付的货物上不存在抵押权等担保物权。</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9.3 如甲方使用上述货物构成对第三人侵权的，则由乙方承担全部责任。</w:t>
      </w:r>
    </w:p>
    <w:p>
      <w:pPr>
        <w:snapToGrid w:val="0"/>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10. 知识产权保护</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10.1 乙方对其所销售的货物应当享有知识产权或经权利人合法授权，保证没有侵犯任何第三人的知识产权等权利。</w:t>
      </w:r>
      <w:bookmarkStart w:id="77" w:name="_Hlk163047038"/>
      <w:r>
        <w:rPr>
          <w:rFonts w:hint="eastAsia" w:ascii="仿宋" w:hAnsi="仿宋" w:eastAsia="仿宋" w:cs="仿宋"/>
          <w:color w:val="auto"/>
          <w:highlight w:val="none"/>
        </w:rPr>
        <w:t>因违反前述约定对第三人构成侵权的，应当由乙方向第三人承担法律责任；甲方依法向第三人赔偿后，有权向乙方追偿。甲方有其他损失的，乙方应当赔偿</w:t>
      </w:r>
      <w:bookmarkEnd w:id="77"/>
      <w:r>
        <w:rPr>
          <w:rFonts w:hint="eastAsia" w:ascii="仿宋" w:hAnsi="仿宋" w:eastAsia="仿宋" w:cs="仿宋"/>
          <w:color w:val="auto"/>
          <w:highlight w:val="none"/>
        </w:rPr>
        <w:t>。</w:t>
      </w:r>
    </w:p>
    <w:p>
      <w:pPr>
        <w:snapToGrid w:val="0"/>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11. 保密义务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color w:val="auto"/>
          <w:highlight w:val="none"/>
        </w:rPr>
        <w:t>【政府采购合同专用条款】</w:t>
      </w:r>
      <w:r>
        <w:rPr>
          <w:rFonts w:hint="eastAsia" w:ascii="仿宋" w:hAnsi="仿宋" w:eastAsia="仿宋" w:cs="仿宋"/>
          <w:color w:val="auto"/>
          <w:highlight w:val="none"/>
        </w:rPr>
        <w:t>中约定。</w:t>
      </w:r>
    </w:p>
    <w:p>
      <w:pPr>
        <w:snapToGrid w:val="0"/>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12. 合同价款支付</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12.1 合同价款支付按照国库集中支付制度及财政管理相关规定执行。</w:t>
      </w:r>
    </w:p>
    <w:p>
      <w:pPr>
        <w:pStyle w:val="3"/>
        <w:tabs>
          <w:tab w:val="left" w:pos="0"/>
          <w:tab w:val="left" w:pos="420"/>
          <w:tab w:val="left" w:pos="1152"/>
        </w:tabs>
        <w:spacing w:line="400" w:lineRule="exact"/>
        <w:ind w:firstLine="480" w:firstLineChars="200"/>
        <w:rPr>
          <w:rFonts w:hint="eastAsia" w:ascii="仿宋" w:hAnsi="仿宋" w:eastAsia="仿宋" w:cs="仿宋"/>
          <w:color w:val="auto"/>
          <w:highlight w:val="none"/>
        </w:rPr>
      </w:pPr>
      <w:bookmarkStart w:id="78" w:name="_Toc16436"/>
      <w:r>
        <w:rPr>
          <w:rFonts w:hint="eastAsia" w:ascii="仿宋" w:hAnsi="仿宋" w:eastAsia="仿宋" w:cs="仿宋"/>
          <w:color w:val="auto"/>
          <w:highlight w:val="none"/>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bCs/>
          <w:color w:val="auto"/>
          <w:highlight w:val="none"/>
        </w:rPr>
        <w:t>政府采购合同专用条款</w:t>
      </w:r>
      <w:r>
        <w:rPr>
          <w:rFonts w:hint="eastAsia" w:ascii="仿宋" w:hAnsi="仿宋" w:eastAsia="仿宋" w:cs="仿宋"/>
          <w:color w:val="auto"/>
          <w:highlight w:val="none"/>
        </w:rPr>
        <w:t>】中约定。</w:t>
      </w:r>
      <w:bookmarkEnd w:id="78"/>
    </w:p>
    <w:p>
      <w:pPr>
        <w:pStyle w:val="7"/>
        <w:spacing w:line="40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13. 履约保证金</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13.1 乙方应当以支票、汇票、本票或者金融机构、担保机构出具的保函等非现金形式提交。</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13.2 如果乙方出现</w:t>
      </w:r>
      <w:r>
        <w:rPr>
          <w:rFonts w:hint="eastAsia" w:ascii="仿宋" w:hAnsi="仿宋" w:eastAsia="仿宋" w:cs="仿宋"/>
          <w:b/>
          <w:bCs/>
          <w:color w:val="auto"/>
          <w:highlight w:val="none"/>
        </w:rPr>
        <w:t>【政府采购合同专用条款】</w:t>
      </w:r>
      <w:r>
        <w:rPr>
          <w:rFonts w:hint="eastAsia" w:ascii="仿宋" w:hAnsi="仿宋" w:eastAsia="仿宋" w:cs="仿宋"/>
          <w:color w:val="auto"/>
          <w:highlight w:val="none"/>
        </w:rPr>
        <w:t>约定情形的，履约保证金不予退还；如果乙方未能按合同约定全面履行义务，甲方有权从履约保证金中取得补偿或赔偿，且不影响甲方要求乙方承担合同约定的超过履约保证金的违约责任的权利。</w:t>
      </w:r>
    </w:p>
    <w:p>
      <w:pPr>
        <w:spacing w:line="400" w:lineRule="exact"/>
        <w:ind w:firstLine="420"/>
        <w:rPr>
          <w:rFonts w:hint="eastAsia" w:ascii="仿宋" w:hAnsi="仿宋" w:eastAsia="仿宋" w:cs="仿宋"/>
          <w:color w:val="auto"/>
          <w:highlight w:val="none"/>
        </w:rPr>
      </w:pPr>
      <w:r>
        <w:rPr>
          <w:rFonts w:hint="eastAsia" w:ascii="仿宋" w:hAnsi="仿宋" w:eastAsia="仿宋" w:cs="仿宋"/>
          <w:color w:val="auto"/>
          <w:highlight w:val="none"/>
        </w:rPr>
        <w:t>13.3 甲方在项目通过验收后按照</w:t>
      </w:r>
      <w:r>
        <w:rPr>
          <w:rFonts w:hint="eastAsia" w:ascii="仿宋" w:hAnsi="仿宋" w:eastAsia="仿宋" w:cs="仿宋"/>
          <w:b/>
          <w:color w:val="auto"/>
          <w:highlight w:val="none"/>
        </w:rPr>
        <w:t>【政府采购合同专用条款】</w:t>
      </w:r>
      <w:r>
        <w:rPr>
          <w:rFonts w:hint="eastAsia" w:ascii="仿宋" w:hAnsi="仿宋" w:eastAsia="仿宋" w:cs="仿宋"/>
          <w:color w:val="auto"/>
          <w:highlight w:val="none"/>
        </w:rPr>
        <w:t>规定的时间内将履约保证金退还乙方；逾期退还的，乙方可要求甲方支付违约金，违约金按照</w:t>
      </w:r>
      <w:r>
        <w:rPr>
          <w:rFonts w:hint="eastAsia" w:ascii="仿宋" w:hAnsi="仿宋" w:eastAsia="仿宋" w:cs="仿宋"/>
          <w:b/>
          <w:color w:val="auto"/>
          <w:highlight w:val="none"/>
        </w:rPr>
        <w:t>【政府采购合同专用条款】</w:t>
      </w:r>
      <w:r>
        <w:rPr>
          <w:rFonts w:hint="eastAsia" w:ascii="仿宋" w:hAnsi="仿宋" w:eastAsia="仿宋" w:cs="仿宋"/>
          <w:color w:val="auto"/>
          <w:highlight w:val="none"/>
        </w:rPr>
        <w:t>规定支付。</w:t>
      </w:r>
    </w:p>
    <w:p>
      <w:pPr>
        <w:snapToGrid w:val="0"/>
        <w:spacing w:line="400" w:lineRule="exact"/>
        <w:rPr>
          <w:rFonts w:hint="eastAsia" w:ascii="仿宋" w:hAnsi="仿宋" w:eastAsia="仿宋" w:cs="仿宋"/>
          <w:b/>
          <w:color w:val="auto"/>
          <w:highlight w:val="none"/>
        </w:rPr>
      </w:pPr>
      <w:r>
        <w:rPr>
          <w:rFonts w:hint="eastAsia" w:ascii="仿宋" w:hAnsi="仿宋" w:eastAsia="仿宋" w:cs="仿宋"/>
          <w:b/>
          <w:bCs/>
          <w:color w:val="auto"/>
          <w:highlight w:val="none"/>
        </w:rPr>
        <w:t xml:space="preserve">14. </w:t>
      </w:r>
      <w:r>
        <w:rPr>
          <w:rFonts w:hint="eastAsia" w:ascii="仿宋" w:hAnsi="仿宋" w:eastAsia="仿宋" w:cs="仿宋"/>
          <w:b/>
          <w:color w:val="auto"/>
          <w:highlight w:val="none"/>
        </w:rPr>
        <w:t>售后服务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14.1 除项目不涉及或采购活动中明确约定无须承担外，乙方还应提供下列服务：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（1）货物的现场移动、安装、调试、启动监督及技术支持；</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（2）提供货物组装和维修所需的专用工具和辅助材料；</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（3）在</w:t>
      </w:r>
      <w:r>
        <w:rPr>
          <w:rFonts w:hint="eastAsia" w:ascii="仿宋" w:hAnsi="仿宋" w:eastAsia="仿宋" w:cs="仿宋"/>
          <w:b/>
          <w:bCs/>
          <w:color w:val="auto"/>
          <w:highlight w:val="none"/>
        </w:rPr>
        <w:t>【政府采购合同专用条款】</w:t>
      </w:r>
      <w:r>
        <w:rPr>
          <w:rFonts w:hint="eastAsia" w:ascii="仿宋" w:hAnsi="仿宋" w:eastAsia="仿宋" w:cs="仿宋"/>
          <w:color w:val="auto"/>
          <w:highlight w:val="none"/>
        </w:rPr>
        <w:t>约定的期限内对所有的货物实施运行监督、维修，但前提条件是该服务并不能免除乙方在质量保证期内所承担的义务；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（4）在制造商所在地或指定现场就货物的安装、启动、运营、维护、废弃处置等对甲方操作人员进行培训；</w:t>
      </w:r>
    </w:p>
    <w:p>
      <w:pPr>
        <w:pStyle w:val="64"/>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（5）依照法律、行政法规的规定或者按照</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约定，货物在有效使用年限届满后应予回收的，乙方负有自行或者委托第三人对货物予以回收的义务；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（6）</w:t>
      </w:r>
      <w:r>
        <w:rPr>
          <w:rFonts w:hint="eastAsia" w:ascii="仿宋" w:hAnsi="仿宋" w:eastAsia="仿宋" w:cs="仿宋"/>
          <w:b/>
          <w:color w:val="auto"/>
          <w:highlight w:val="none"/>
        </w:rPr>
        <w:t>【政府采购合同专用条款】</w:t>
      </w:r>
      <w:r>
        <w:rPr>
          <w:rFonts w:hint="eastAsia" w:ascii="仿宋" w:hAnsi="仿宋" w:eastAsia="仿宋" w:cs="仿宋"/>
          <w:color w:val="auto"/>
          <w:highlight w:val="none"/>
        </w:rPr>
        <w:t>规定由乙方提供的其他服务。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14.2 乙方提供的售后服务的费用已包含在合同价款中，甲方不再另行支付。</w:t>
      </w:r>
    </w:p>
    <w:p>
      <w:pPr>
        <w:snapToGrid w:val="0"/>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15. 违约责任</w:t>
      </w:r>
    </w:p>
    <w:p>
      <w:pPr>
        <w:snapToGrid w:val="0"/>
        <w:spacing w:line="4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15.1质量瑕疵的违约责任</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乙方提供的产品不符合合同约定的质量标准或存在产品质量缺陷，甲方有权要求乙方根据</w:t>
      </w:r>
      <w:r>
        <w:rPr>
          <w:rFonts w:hint="eastAsia" w:ascii="仿宋" w:hAnsi="仿宋" w:eastAsia="仿宋" w:cs="仿宋"/>
          <w:b/>
          <w:color w:val="auto"/>
          <w:highlight w:val="none"/>
        </w:rPr>
        <w:t>【政府采购合同专用条款】</w:t>
      </w:r>
      <w:r>
        <w:rPr>
          <w:rFonts w:hint="eastAsia" w:ascii="仿宋" w:hAnsi="仿宋" w:eastAsia="仿宋" w:cs="仿宋"/>
          <w:bCs/>
          <w:color w:val="auto"/>
          <w:highlight w:val="none"/>
        </w:rPr>
        <w:t>要求</w:t>
      </w:r>
      <w:r>
        <w:rPr>
          <w:rFonts w:hint="eastAsia" w:ascii="仿宋" w:hAnsi="仿宋" w:eastAsia="仿宋" w:cs="仿宋"/>
          <w:color w:val="auto"/>
          <w:highlight w:val="none"/>
        </w:rPr>
        <w:t>及时修理、重作、更换，并承担由此给甲方造成的损失。</w:t>
      </w:r>
    </w:p>
    <w:p>
      <w:pPr>
        <w:snapToGrid w:val="0"/>
        <w:spacing w:line="4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15.2 迟延交货的违约责任</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（2）如果乙方没有按照合同规定的时间交货和提供相关服务，甲方有权从货款中扣除误期赔偿费而不影响合同项下的其他补救方法，赔偿费按</w:t>
      </w:r>
      <w:r>
        <w:rPr>
          <w:rFonts w:hint="eastAsia" w:ascii="仿宋" w:hAnsi="仿宋" w:eastAsia="仿宋" w:cs="仿宋"/>
          <w:b/>
          <w:color w:val="auto"/>
          <w:highlight w:val="none"/>
        </w:rPr>
        <w:t>【政府采购合同专用条款】</w:t>
      </w:r>
      <w:r>
        <w:rPr>
          <w:rFonts w:hint="eastAsia" w:ascii="仿宋" w:hAnsi="仿宋" w:eastAsia="仿宋" w:cs="仿宋"/>
          <w:color w:val="auto"/>
          <w:highlight w:val="none"/>
        </w:rPr>
        <w:t>规定执行。如果涉及公共利益，且赔偿金额无法弥补公共利益损失，甲方可要求继续履行或者采取其他补救措施。</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15.3 迟延支付的违约责任</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甲方存在迟延支付乙方合同款项的，应当承担</w:t>
      </w:r>
      <w:r>
        <w:rPr>
          <w:rFonts w:hint="eastAsia" w:ascii="仿宋" w:hAnsi="仿宋" w:eastAsia="仿宋" w:cs="仿宋"/>
          <w:b/>
          <w:bCs/>
          <w:color w:val="auto"/>
          <w:highlight w:val="none"/>
        </w:rPr>
        <w:t>【政府采购合同专用条款】</w:t>
      </w:r>
      <w:r>
        <w:rPr>
          <w:rFonts w:hint="eastAsia" w:ascii="仿宋" w:hAnsi="仿宋" w:eastAsia="仿宋" w:cs="仿宋"/>
          <w:color w:val="auto"/>
          <w:highlight w:val="none"/>
        </w:rPr>
        <w:t>规定的逾期付款利息。</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bCs/>
          <w:color w:val="auto"/>
          <w:highlight w:val="none"/>
        </w:rPr>
        <w:t>15.4其他违约责任根据项目实际需要按</w:t>
      </w:r>
      <w:r>
        <w:rPr>
          <w:rFonts w:hint="eastAsia" w:ascii="仿宋" w:hAnsi="仿宋" w:eastAsia="仿宋" w:cs="仿宋"/>
          <w:b/>
          <w:bCs/>
          <w:color w:val="auto"/>
          <w:highlight w:val="none"/>
        </w:rPr>
        <w:t>【政府采购合同专用条款】</w:t>
      </w:r>
      <w:r>
        <w:rPr>
          <w:rFonts w:hint="eastAsia" w:ascii="仿宋" w:hAnsi="仿宋" w:eastAsia="仿宋" w:cs="仿宋"/>
          <w:color w:val="auto"/>
          <w:highlight w:val="none"/>
        </w:rPr>
        <w:t>规定执行。</w:t>
      </w:r>
    </w:p>
    <w:p>
      <w:pPr>
        <w:numPr>
          <w:ilvl w:val="0"/>
          <w:numId w:val="9"/>
        </w:numPr>
        <w:snapToGrid w:val="0"/>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合同变更、中止与终止</w:t>
      </w:r>
    </w:p>
    <w:p>
      <w:pPr>
        <w:snapToGrid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    16.1合同的变更</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政府采购合同履行中，在不改变合同其他条款的前提下，甲方可以在合同价款10%的范围内追加与合同标的相同的货物，并就此与乙方协商一致后签订补充协议。</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16.2合同的中止</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（1）合同履行过程中因投标人就采购文件、采购过程或结果提起投诉的，甲方认为有必要的，可以中止合同的履行。</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64"/>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（3）乙方分立、合并或者变更住所的，应当及时以书面形式告知甲方。乙方没有及时告知甲方，致使合同履行发生困难的，甲方可以中止合同履行并要求乙方承担由此给甲方造成的损失。</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（4）甲方不得以行政区划调整、政府换届、机构或者职能调整以及相关责任人更替为由中止合同。</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16.3合同的终止</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（1）合同因有效期限届满而终止；</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（2）乙方未按合同约定履行，构成根本性违约的，甲方有权终止合同，并追究乙方的违约责任。</w:t>
      </w:r>
    </w:p>
    <w:p>
      <w:pPr>
        <w:pStyle w:val="64"/>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16.4 </w:t>
      </w:r>
      <w:r>
        <w:rPr>
          <w:rFonts w:hint="eastAsia" w:ascii="仿宋" w:hAnsi="仿宋" w:eastAsia="仿宋" w:cs="仿宋"/>
          <w:color w:val="auto"/>
          <w:kern w:val="2"/>
          <w:sz w:val="24"/>
          <w:szCs w:val="24"/>
          <w:highlight w:val="none"/>
        </w:rPr>
        <w:t>涉及国家利益、社会公共利益的情形</w:t>
      </w:r>
    </w:p>
    <w:p>
      <w:pPr>
        <w:pStyle w:val="64"/>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政府采购合同继续履行将损害国家利益和社会公共利益的，双方当事人应当变更、中止或者终止合同。有过错的一方应当承担赔偿责任，双方都有过错的，各自承担相应的责任。</w:t>
      </w:r>
    </w:p>
    <w:p>
      <w:pPr>
        <w:snapToGrid w:val="0"/>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17. 合同分包</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17.1 乙方不得将合同转包给其他投标人。涉及合同分包的，乙方应根据采购文件和投标（响应）文件规定进行合同分包。</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17.2 乙方执行政府采购政策向中小企业依法分包的，乙方应当按采购文件和投标（响应）文件签订分包意向协议，分包意向协议属于本合同组成部分。</w:t>
      </w:r>
    </w:p>
    <w:p>
      <w:pPr>
        <w:snapToGrid w:val="0"/>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18. 不可抗力</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18.1 不可抗力是指合同双方不能预见、不能避免且不能克服的客观情况。</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18.2 任何一方对由于不可抗力造成的部分或全部不能履行合同不承担违约责任。但迟延履行后发生不可抗力的，不能免除责任。</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snapToGrid w:val="0"/>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19. 解决争议的方法</w:t>
      </w:r>
    </w:p>
    <w:p>
      <w:pPr>
        <w:pStyle w:val="64"/>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因本合同及合同有关事项发生的争议，由甲乙双方友好协商解决。协商不成时，可以向有关组织申请调解。合同一方或双方不愿调解或调解不成的，可以通过仲裁或诉讼的方式解决争议。</w:t>
      </w:r>
    </w:p>
    <w:p>
      <w:pPr>
        <w:pStyle w:val="64"/>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19.2 选择仲裁的，应在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中明确仲裁机构及仲裁地；通过诉讼方式解决的，可以在</w:t>
      </w:r>
      <w:r>
        <w:rPr>
          <w:rFonts w:hint="eastAsia" w:ascii="仿宋" w:hAnsi="仿宋" w:eastAsia="仿宋" w:cs="仿宋"/>
          <w:b/>
          <w:bCs/>
          <w:color w:val="auto"/>
          <w:sz w:val="24"/>
          <w:szCs w:val="24"/>
          <w:highlight w:val="none"/>
        </w:rPr>
        <w:t>【政府采购合同专用条款】</w:t>
      </w:r>
      <w:r>
        <w:rPr>
          <w:rFonts w:hint="eastAsia" w:ascii="仿宋" w:hAnsi="仿宋" w:eastAsia="仿宋" w:cs="仿宋"/>
          <w:color w:val="auto"/>
          <w:sz w:val="24"/>
          <w:szCs w:val="24"/>
          <w:highlight w:val="none"/>
        </w:rPr>
        <w:t>中进一步约定选择与争议有实际联系的地点的人民法院管辖，但管辖法院的约定不得违反级别管辖和专属管辖的规定。</w:t>
      </w:r>
    </w:p>
    <w:p>
      <w:pPr>
        <w:pStyle w:val="64"/>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如甲乙双方有争议的事项不影响合同其他部分的履行，在争议解决期间，合同其他部分应当继续履行。</w:t>
      </w:r>
    </w:p>
    <w:p>
      <w:pPr>
        <w:snapToGrid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rPr>
        <w:t>20. 政府采购政策</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 xml:space="preserve">20.1 </w:t>
      </w:r>
      <w:r>
        <w:rPr>
          <w:rFonts w:hint="eastAsia" w:ascii="仿宋" w:hAnsi="仿宋" w:eastAsia="仿宋" w:cs="仿宋"/>
          <w:color w:val="auto"/>
          <w:highlight w:val="none"/>
          <w:lang w:val="en-GB"/>
        </w:rPr>
        <w:t>本合同应当按照规定执行政府采购政策。</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20.2 本合同依法执行政府采购政策的方式和内容，属于合同履约验收的范围。甲乙双方</w:t>
      </w:r>
      <w:r>
        <w:rPr>
          <w:rFonts w:hint="eastAsia" w:ascii="仿宋" w:hAnsi="仿宋" w:eastAsia="仿宋" w:cs="仿宋"/>
          <w:color w:val="auto"/>
          <w:highlight w:val="none"/>
          <w:lang w:val="en-GB"/>
        </w:rPr>
        <w:t>未按规定要求执行政府采购政策造成损失的</w:t>
      </w:r>
      <w:r>
        <w:rPr>
          <w:rFonts w:hint="eastAsia" w:ascii="仿宋" w:hAnsi="仿宋" w:eastAsia="仿宋" w:cs="仿宋"/>
          <w:color w:val="auto"/>
          <w:highlight w:val="none"/>
        </w:rPr>
        <w:t>，有过错的一方应当承担赔偿责任，双方都有过错的，各自承担相应的责任。</w:t>
      </w:r>
    </w:p>
    <w:p>
      <w:pPr>
        <w:pStyle w:val="7"/>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snapToGrid w:val="0"/>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21. 法律适用</w:t>
      </w:r>
    </w:p>
    <w:p>
      <w:pPr>
        <w:pStyle w:val="64"/>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本合同的订立、生效、解释、履行及与本合同有关的争议解决，均适用法律、行政法规。</w:t>
      </w:r>
    </w:p>
    <w:p>
      <w:pPr>
        <w:pStyle w:val="64"/>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本合同条款与法律、行政法规的强制性规定不一致的，双方当事人应按照法律、行政法规的强制性规定修改本合同的相关条款。</w:t>
      </w:r>
    </w:p>
    <w:p>
      <w:pPr>
        <w:snapToGrid w:val="0"/>
        <w:spacing w:line="400" w:lineRule="exact"/>
        <w:rPr>
          <w:rFonts w:hint="eastAsia" w:ascii="仿宋" w:hAnsi="仿宋" w:eastAsia="仿宋" w:cs="仿宋"/>
          <w:b/>
          <w:color w:val="auto"/>
          <w:highlight w:val="none"/>
        </w:rPr>
      </w:pPr>
      <w:r>
        <w:rPr>
          <w:rFonts w:hint="eastAsia" w:ascii="仿宋" w:hAnsi="仿宋" w:eastAsia="仿宋" w:cs="仿宋"/>
          <w:b/>
          <w:color w:val="auto"/>
          <w:highlight w:val="none"/>
        </w:rPr>
        <w:t>22. 通知</w:t>
      </w:r>
    </w:p>
    <w:p>
      <w:pPr>
        <w:pStyle w:val="64"/>
        <w:ind w:firstLine="48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本合同任何一方向对方发出的通知、信件、数据电文等，应当发送至本合同第一部分《政府采购合同协议书》所约定的通讯地址、联系人、联系电话或电子邮箱。</w:t>
      </w:r>
    </w:p>
    <w:p>
      <w:pPr>
        <w:pStyle w:val="64"/>
        <w:ind w:firstLine="0" w:firstLineChars="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22.2 一方当事人变更名称、住所、联系人、联系电话或电子邮箱等信息的，应当在变更后3日内及时书面通知对方，对方实际收到变更通知前的送达仍为有效送达。</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22.3本合同一方给另一方的通知均应采用书面形式，传真或快递送到本合同中规定的对方的地址和办理签收手续。</w:t>
      </w:r>
    </w:p>
    <w:p>
      <w:pPr>
        <w:snapToGrid w:val="0"/>
        <w:spacing w:line="400" w:lineRule="exact"/>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22.4通知以送达之日或通知书中规定的生效之日起生效，两者中以较迟之日为准。</w:t>
      </w:r>
    </w:p>
    <w:p>
      <w:pPr>
        <w:numPr>
          <w:ilvl w:val="0"/>
          <w:numId w:val="10"/>
        </w:numPr>
        <w:snapToGrid w:val="0"/>
        <w:spacing w:line="400" w:lineRule="exact"/>
        <w:rPr>
          <w:rFonts w:hint="eastAsia" w:ascii="仿宋" w:hAnsi="仿宋" w:eastAsia="仿宋" w:cs="仿宋"/>
          <w:b/>
          <w:bCs/>
          <w:color w:val="auto"/>
          <w:highlight w:val="none"/>
        </w:rPr>
      </w:pPr>
      <w:r>
        <w:rPr>
          <w:rFonts w:hint="eastAsia" w:ascii="仿宋" w:hAnsi="仿宋" w:eastAsia="仿宋" w:cs="仿宋"/>
          <w:b/>
          <w:bCs/>
          <w:color w:val="auto"/>
          <w:highlight w:val="none"/>
        </w:rPr>
        <w:t>合同未尽事项</w:t>
      </w:r>
    </w:p>
    <w:p>
      <w:pPr>
        <w:snapToGrid w:val="0"/>
        <w:spacing w:line="4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23.1合同未尽事项见</w:t>
      </w:r>
      <w:r>
        <w:rPr>
          <w:rFonts w:hint="eastAsia" w:ascii="仿宋" w:hAnsi="仿宋" w:eastAsia="仿宋" w:cs="仿宋"/>
          <w:b/>
          <w:color w:val="auto"/>
          <w:highlight w:val="none"/>
        </w:rPr>
        <w:t>【政府采购合同专用条款】</w:t>
      </w:r>
      <w:r>
        <w:rPr>
          <w:rFonts w:hint="eastAsia" w:ascii="仿宋" w:hAnsi="仿宋" w:eastAsia="仿宋" w:cs="仿宋"/>
          <w:bCs/>
          <w:color w:val="auto"/>
          <w:highlight w:val="none"/>
        </w:rPr>
        <w:t>。</w:t>
      </w:r>
    </w:p>
    <w:p>
      <w:pPr>
        <w:snapToGrid w:val="0"/>
        <w:spacing w:line="400" w:lineRule="exact"/>
        <w:rPr>
          <w:rFonts w:hint="eastAsia" w:ascii="仿宋" w:hAnsi="仿宋" w:eastAsia="仿宋" w:cs="仿宋"/>
          <w:color w:val="auto"/>
          <w:highlight w:val="none"/>
        </w:rPr>
      </w:pPr>
      <w:r>
        <w:rPr>
          <w:rFonts w:hint="eastAsia" w:ascii="仿宋" w:hAnsi="仿宋" w:eastAsia="仿宋" w:cs="仿宋"/>
          <w:bCs/>
          <w:color w:val="auto"/>
          <w:highlight w:val="none"/>
        </w:rPr>
        <w:t xml:space="preserve">    23.2 合同附件与合同正文具有同等的法律效力。</w:t>
      </w:r>
      <w:bookmarkStart w:id="79" w:name="_Toc20313"/>
    </w:p>
    <w:p>
      <w:pPr>
        <w:snapToGrid w:val="0"/>
        <w:jc w:val="cente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Style w:val="3"/>
        <w:tabs>
          <w:tab w:val="left" w:pos="0"/>
          <w:tab w:val="left" w:pos="420"/>
          <w:tab w:val="left" w:pos="1152"/>
        </w:tabs>
        <w:snapToGrid w:val="0"/>
        <w:jc w:val="center"/>
        <w:rPr>
          <w:rFonts w:hint="eastAsia" w:ascii="仿宋" w:hAnsi="仿宋" w:eastAsia="仿宋" w:cs="仿宋"/>
          <w:color w:val="auto"/>
          <w:sz w:val="28"/>
          <w:szCs w:val="28"/>
          <w:highlight w:val="none"/>
        </w:rPr>
      </w:pPr>
      <w:bookmarkStart w:id="80" w:name="_Toc20015"/>
      <w:r>
        <w:rPr>
          <w:rFonts w:hint="eastAsia" w:ascii="仿宋" w:hAnsi="仿宋" w:eastAsia="仿宋" w:cs="仿宋"/>
          <w:color w:val="auto"/>
          <w:sz w:val="28"/>
          <w:szCs w:val="28"/>
          <w:highlight w:val="none"/>
        </w:rPr>
        <w:t>第三节 政府采购合同专用条款</w:t>
      </w:r>
      <w:bookmarkEnd w:id="79"/>
      <w:bookmarkEnd w:id="80"/>
    </w:p>
    <w:tbl>
      <w:tblPr>
        <w:tblStyle w:val="20"/>
        <w:tblW w:w="4998"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706"/>
        <w:gridCol w:w="1852"/>
        <w:gridCol w:w="549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第1.2（6）项</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联合体具体要求</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第1.2（7）项</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其他术语解释</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第4.4款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履约验收中甲方提出异议或作出说明的期限</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第4.6款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约定甲方承担的其他义务和责任</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第5.4款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约定乙方承担的其他义务和责任</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第6.1款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履行合同义务的顺序</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Merge w:val="restar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第7.1款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包装特殊要求</w:t>
            </w:r>
          </w:p>
        </w:tc>
        <w:tc>
          <w:tcPr>
            <w:tcW w:w="3035" w:type="pct"/>
            <w:vAlign w:val="center"/>
          </w:tcPr>
          <w:p>
            <w:pPr>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Merge w:val="continue"/>
            <w:vAlign w:val="center"/>
          </w:tcPr>
          <w:p>
            <w:pPr>
              <w:snapToGrid w:val="0"/>
              <w:jc w:val="center"/>
              <w:rPr>
                <w:rFonts w:hint="eastAsia" w:ascii="仿宋" w:hAnsi="仿宋" w:eastAsia="仿宋" w:cs="仿宋"/>
                <w:color w:val="auto"/>
                <w:sz w:val="21"/>
                <w:szCs w:val="21"/>
                <w:highlight w:val="none"/>
              </w:rPr>
            </w:pP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指定现场</w:t>
            </w:r>
          </w:p>
        </w:tc>
        <w:tc>
          <w:tcPr>
            <w:tcW w:w="3035" w:type="pct"/>
            <w:vAlign w:val="center"/>
          </w:tcPr>
          <w:p>
            <w:pPr>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第7.2款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运输特殊要求</w:t>
            </w:r>
          </w:p>
        </w:tc>
        <w:tc>
          <w:tcPr>
            <w:tcW w:w="3035" w:type="pct"/>
            <w:vAlign w:val="center"/>
          </w:tcPr>
          <w:p>
            <w:pPr>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第7.3款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保险要求</w:t>
            </w:r>
          </w:p>
        </w:tc>
        <w:tc>
          <w:tcPr>
            <w:tcW w:w="3035" w:type="pct"/>
            <w:vAlign w:val="center"/>
          </w:tcPr>
          <w:p>
            <w:pPr>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第8.2（1）项</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质量保证期</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第8.2（3）项</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货物质量缺陷</w:t>
            </w:r>
          </w:p>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响应时间</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pStyle w:val="64"/>
              <w:ind w:firstLine="0" w:firstLineChars="0"/>
              <w:jc w:val="center"/>
              <w:rPr>
                <w:rFonts w:hint="eastAsia" w:ascii="仿宋" w:hAnsi="仿宋" w:eastAsia="仿宋" w:cs="仿宋"/>
                <w:color w:val="auto"/>
                <w:sz w:val="21"/>
                <w:highlight w:val="none"/>
              </w:rPr>
            </w:pPr>
            <w:r>
              <w:rPr>
                <w:rFonts w:hint="eastAsia" w:ascii="仿宋" w:hAnsi="仿宋" w:eastAsia="仿宋" w:cs="仿宋"/>
                <w:color w:val="auto"/>
                <w:sz w:val="21"/>
                <w:highlight w:val="none"/>
              </w:rPr>
              <w:t>第11.1款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其他应当保密的信息</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4"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第12.2款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合同价款支付时间</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第13.2款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履约保证金不予退还的情形</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第13.3款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履约保证金退还时间及逾期退还的违约金</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第14.1（3）项</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运行监督、维修期限</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第14.1（5）项</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货物回收的约定</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第14.1（6）项</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乙方提供的其他服务</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第15.1款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修理、重作、更换相关具体规定</w:t>
            </w:r>
          </w:p>
        </w:tc>
        <w:tc>
          <w:tcPr>
            <w:tcW w:w="3035" w:type="pct"/>
            <w:vAlign w:val="center"/>
          </w:tcPr>
          <w:p>
            <w:pPr>
              <w:snapToGrid w:val="0"/>
              <w:rPr>
                <w:rFonts w:hint="eastAsia" w:ascii="仿宋" w:hAnsi="仿宋" w:eastAsia="仿宋" w:cs="仿宋"/>
                <w:color w:val="auto"/>
                <w:sz w:val="21"/>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第15.2（2）项</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迟延交货赔偿费</w:t>
            </w:r>
          </w:p>
        </w:tc>
        <w:tc>
          <w:tcPr>
            <w:tcW w:w="3035" w:type="pct"/>
            <w:vAlign w:val="center"/>
          </w:tcPr>
          <w:p>
            <w:pPr>
              <w:snapToGrid w:val="0"/>
              <w:rPr>
                <w:rFonts w:hint="eastAsia" w:ascii="仿宋" w:hAnsi="仿宋" w:eastAsia="仿宋" w:cs="仿宋"/>
                <w:color w:val="auto"/>
                <w:sz w:val="21"/>
                <w:szCs w:val="21"/>
                <w:highlight w:val="none"/>
                <w:u w:val="single"/>
              </w:rPr>
            </w:pPr>
            <w:r>
              <w:rPr>
                <w:rFonts w:hint="eastAsia" w:ascii="仿宋" w:hAnsi="仿宋" w:eastAsia="仿宋" w:cs="仿宋"/>
                <w:color w:val="auto"/>
                <w:sz w:val="21"/>
                <w:szCs w:val="21"/>
                <w:highlight w:val="none"/>
                <w:u w:val="single"/>
              </w:rPr>
              <w:t>乙方延迟交货的，每逾期一天应按本合同总金额1%向甲方支付违约金，至本合同项下货物交付之日止，支付违约金后乙方仍需履行合同交付等义务。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第15.3款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逾期付款利息</w:t>
            </w:r>
          </w:p>
        </w:tc>
        <w:tc>
          <w:tcPr>
            <w:tcW w:w="3035" w:type="pct"/>
            <w:vAlign w:val="center"/>
          </w:tcPr>
          <w:p>
            <w:pPr>
              <w:snapToGrid w:val="0"/>
              <w:rPr>
                <w:rFonts w:hint="eastAsia" w:ascii="仿宋" w:hAnsi="仿宋" w:eastAsia="仿宋" w:cs="仿宋"/>
                <w:color w:val="auto"/>
                <w:sz w:val="21"/>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tcBorders>
              <w:bottom w:val="single" w:color="auto" w:sz="2" w:space="0"/>
              <w:right w:val="single" w:color="auto" w:sz="2" w:space="0"/>
            </w:tcBorders>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第15.4款</w:t>
            </w:r>
          </w:p>
        </w:tc>
        <w:tc>
          <w:tcPr>
            <w:tcW w:w="1022" w:type="pct"/>
            <w:tcBorders>
              <w:left w:val="single" w:color="auto" w:sz="2" w:space="0"/>
              <w:bottom w:val="single" w:color="auto" w:sz="2" w:space="0"/>
              <w:right w:val="single" w:color="auto" w:sz="2" w:space="0"/>
            </w:tcBorders>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其他违约责任</w:t>
            </w:r>
          </w:p>
        </w:tc>
        <w:tc>
          <w:tcPr>
            <w:tcW w:w="3035" w:type="pct"/>
            <w:tcBorders>
              <w:left w:val="single" w:color="auto" w:sz="2" w:space="0"/>
              <w:bottom w:val="single" w:color="auto" w:sz="2" w:space="0"/>
            </w:tcBorders>
            <w:vAlign w:val="center"/>
          </w:tcPr>
          <w:p>
            <w:pPr>
              <w:snapToGrid w:val="0"/>
              <w:rPr>
                <w:rFonts w:hint="eastAsia" w:ascii="仿宋" w:hAnsi="仿宋" w:eastAsia="仿宋" w:cs="仿宋"/>
                <w:color w:val="auto"/>
                <w:sz w:val="21"/>
                <w:szCs w:val="21"/>
                <w:highlight w:val="none"/>
                <w:u w:val="singl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tcBorders>
              <w:top w:val="single" w:color="auto" w:sz="2" w:space="0"/>
              <w:right w:val="single" w:color="auto" w:sz="2" w:space="0"/>
            </w:tcBorders>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第19.2款</w:t>
            </w:r>
          </w:p>
        </w:tc>
        <w:tc>
          <w:tcPr>
            <w:tcW w:w="1022" w:type="pct"/>
            <w:tcBorders>
              <w:top w:val="single" w:color="auto" w:sz="2" w:space="0"/>
              <w:left w:val="single" w:color="auto" w:sz="2" w:space="0"/>
              <w:right w:val="single" w:color="auto" w:sz="2" w:space="0"/>
            </w:tcBorders>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解决争议的方法</w:t>
            </w:r>
          </w:p>
        </w:tc>
        <w:tc>
          <w:tcPr>
            <w:tcW w:w="3035" w:type="pct"/>
            <w:tcBorders>
              <w:top w:val="single" w:color="auto" w:sz="2" w:space="0"/>
              <w:left w:val="single" w:color="auto" w:sz="2" w:space="0"/>
            </w:tcBorders>
            <w:vAlign w:val="center"/>
          </w:tcPr>
          <w:p>
            <w:pPr>
              <w:snapToGrid w:val="0"/>
              <w:spacing w:line="400" w:lineRule="exact"/>
              <w:rPr>
                <w:rFonts w:hint="eastAsia" w:ascii="仿宋" w:hAnsi="仿宋" w:eastAsia="仿宋" w:cs="仿宋"/>
                <w:iCs/>
                <w:color w:val="auto"/>
                <w:sz w:val="21"/>
                <w:szCs w:val="21"/>
                <w:highlight w:val="none"/>
              </w:rPr>
            </w:pPr>
            <w:r>
              <w:rPr>
                <w:rFonts w:hint="eastAsia" w:ascii="仿宋" w:hAnsi="仿宋" w:eastAsia="仿宋" w:cs="仿宋"/>
                <w:iCs/>
                <w:color w:val="auto"/>
                <w:sz w:val="21"/>
                <w:szCs w:val="21"/>
                <w:highlight w:val="none"/>
              </w:rPr>
              <w:t>因本合同及合同有关事项发生的争议，按下列第</w:t>
            </w:r>
            <w:r>
              <w:rPr>
                <w:rFonts w:hint="eastAsia" w:ascii="仿宋" w:hAnsi="仿宋" w:eastAsia="仿宋" w:cs="仿宋"/>
                <w:iCs/>
                <w:color w:val="auto"/>
                <w:sz w:val="21"/>
                <w:szCs w:val="21"/>
                <w:highlight w:val="none"/>
                <w:u w:val="single"/>
              </w:rPr>
              <w:t>（2）</w:t>
            </w:r>
            <w:r>
              <w:rPr>
                <w:rFonts w:hint="eastAsia" w:ascii="仿宋" w:hAnsi="仿宋" w:eastAsia="仿宋" w:cs="仿宋"/>
                <w:iCs/>
                <w:color w:val="auto"/>
                <w:sz w:val="21"/>
                <w:szCs w:val="21"/>
                <w:highlight w:val="none"/>
              </w:rPr>
              <w:t>种方式解决：</w:t>
            </w:r>
          </w:p>
          <w:p>
            <w:pPr>
              <w:snapToGrid w:val="0"/>
              <w:spacing w:line="400" w:lineRule="exact"/>
              <w:rPr>
                <w:rFonts w:hint="eastAsia" w:ascii="仿宋" w:hAnsi="仿宋" w:eastAsia="仿宋" w:cs="仿宋"/>
                <w:iCs/>
                <w:color w:val="auto"/>
                <w:sz w:val="21"/>
                <w:szCs w:val="21"/>
                <w:highlight w:val="none"/>
              </w:rPr>
            </w:pPr>
            <w:r>
              <w:rPr>
                <w:rFonts w:hint="eastAsia" w:ascii="仿宋" w:hAnsi="仿宋" w:eastAsia="仿宋" w:cs="仿宋"/>
                <w:iCs/>
                <w:color w:val="auto"/>
                <w:sz w:val="21"/>
                <w:szCs w:val="21"/>
                <w:highlight w:val="none"/>
              </w:rPr>
              <w:t>（1）向</w:t>
            </w:r>
            <w:r>
              <w:rPr>
                <w:rFonts w:hint="eastAsia" w:ascii="仿宋" w:hAnsi="仿宋" w:eastAsia="仿宋" w:cs="仿宋"/>
                <w:iCs/>
                <w:color w:val="auto"/>
                <w:sz w:val="21"/>
                <w:szCs w:val="21"/>
                <w:highlight w:val="none"/>
                <w:u w:val="single"/>
              </w:rPr>
              <w:t xml:space="preserve">                    </w:t>
            </w:r>
            <w:r>
              <w:rPr>
                <w:rFonts w:hint="eastAsia" w:ascii="仿宋" w:hAnsi="仿宋" w:eastAsia="仿宋" w:cs="仿宋"/>
                <w:iCs/>
                <w:color w:val="auto"/>
                <w:sz w:val="21"/>
                <w:szCs w:val="21"/>
                <w:highlight w:val="none"/>
              </w:rPr>
              <w:t>仲裁委员会申请仲裁，仲裁地点为</w:t>
            </w:r>
            <w:r>
              <w:rPr>
                <w:rFonts w:hint="eastAsia" w:ascii="仿宋" w:hAnsi="仿宋" w:eastAsia="仿宋" w:cs="仿宋"/>
                <w:iCs/>
                <w:color w:val="auto"/>
                <w:sz w:val="21"/>
                <w:szCs w:val="21"/>
                <w:highlight w:val="none"/>
                <w:u w:val="single"/>
              </w:rPr>
              <w:t xml:space="preserve">           </w:t>
            </w:r>
            <w:r>
              <w:rPr>
                <w:rFonts w:hint="eastAsia" w:ascii="仿宋" w:hAnsi="仿宋" w:eastAsia="仿宋" w:cs="仿宋"/>
                <w:iCs/>
                <w:color w:val="auto"/>
                <w:sz w:val="21"/>
                <w:szCs w:val="21"/>
                <w:highlight w:val="none"/>
              </w:rPr>
              <w:t>；</w:t>
            </w:r>
          </w:p>
          <w:p>
            <w:pPr>
              <w:snapToGrid w:val="0"/>
              <w:rPr>
                <w:rFonts w:hint="eastAsia" w:ascii="仿宋" w:hAnsi="仿宋" w:eastAsia="仿宋" w:cs="仿宋"/>
                <w:color w:val="auto"/>
                <w:sz w:val="21"/>
                <w:szCs w:val="21"/>
                <w:highlight w:val="none"/>
                <w:u w:val="single"/>
              </w:rPr>
            </w:pPr>
            <w:r>
              <w:rPr>
                <w:rFonts w:hint="eastAsia" w:ascii="仿宋" w:hAnsi="仿宋" w:eastAsia="仿宋" w:cs="仿宋"/>
                <w:iCs/>
                <w:color w:val="auto"/>
                <w:sz w:val="21"/>
                <w:szCs w:val="21"/>
                <w:highlight w:val="none"/>
              </w:rPr>
              <w:t>（2）向</w:t>
            </w:r>
            <w:r>
              <w:rPr>
                <w:rFonts w:hint="eastAsia" w:ascii="仿宋" w:hAnsi="仿宋" w:eastAsia="仿宋" w:cs="仿宋"/>
                <w:iCs/>
                <w:color w:val="auto"/>
                <w:sz w:val="21"/>
                <w:szCs w:val="21"/>
                <w:highlight w:val="none"/>
                <w:u w:val="single"/>
              </w:rPr>
              <w:t>甲方(采购人)所在地有管辖权的</w:t>
            </w:r>
            <w:r>
              <w:rPr>
                <w:rFonts w:hint="eastAsia" w:ascii="仿宋" w:hAnsi="仿宋" w:eastAsia="仿宋" w:cs="仿宋"/>
                <w:iCs/>
                <w:color w:val="auto"/>
                <w:sz w:val="21"/>
                <w:szCs w:val="21"/>
                <w:highlight w:val="none"/>
              </w:rPr>
              <w:t>人民法院起诉。</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42" w:type="pct"/>
            <w:vAlign w:val="center"/>
          </w:tcPr>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第二节</w:t>
            </w:r>
          </w:p>
          <w:p>
            <w:pPr>
              <w:snapToGrid w:val="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第23.1款</w:t>
            </w:r>
          </w:p>
        </w:tc>
        <w:tc>
          <w:tcPr>
            <w:tcW w:w="1022" w:type="pct"/>
            <w:vAlign w:val="center"/>
          </w:tcPr>
          <w:p>
            <w:pPr>
              <w:snapToGrid w:val="0"/>
              <w:rPr>
                <w:rFonts w:hint="eastAsia" w:ascii="仿宋" w:hAnsi="仿宋" w:eastAsia="仿宋" w:cs="仿宋"/>
                <w:color w:val="auto"/>
                <w:sz w:val="21"/>
                <w:szCs w:val="21"/>
                <w:highlight w:val="none"/>
              </w:rPr>
            </w:pPr>
            <w:r>
              <w:rPr>
                <w:rFonts w:hint="eastAsia" w:ascii="仿宋" w:hAnsi="仿宋" w:eastAsia="仿宋" w:cs="仿宋"/>
                <w:bCs/>
                <w:color w:val="auto"/>
                <w:sz w:val="21"/>
                <w:szCs w:val="21"/>
                <w:highlight w:val="none"/>
              </w:rPr>
              <w:t>其他专用条款</w:t>
            </w:r>
          </w:p>
        </w:tc>
        <w:tc>
          <w:tcPr>
            <w:tcW w:w="3035" w:type="pct"/>
            <w:vAlign w:val="center"/>
          </w:tcPr>
          <w:p>
            <w:pPr>
              <w:snapToGrid w:val="0"/>
              <w:rPr>
                <w:rFonts w:hint="eastAsia" w:ascii="仿宋" w:hAnsi="仿宋" w:eastAsia="仿宋" w:cs="仿宋"/>
                <w:color w:val="auto"/>
                <w:sz w:val="21"/>
                <w:szCs w:val="21"/>
                <w:highlight w:val="none"/>
              </w:rPr>
            </w:pPr>
          </w:p>
        </w:tc>
      </w:tr>
    </w:tbl>
    <w:p>
      <w:pPr>
        <w:rPr>
          <w:rFonts w:hint="eastAsia" w:ascii="仿宋" w:hAnsi="仿宋" w:eastAsia="仿宋" w:cs="仿宋"/>
          <w:color w:val="auto"/>
          <w:highlight w:val="none"/>
        </w:rPr>
      </w:pPr>
    </w:p>
    <w:p>
      <w:pPr>
        <w:pStyle w:val="34"/>
        <w:rPr>
          <w:rFonts w:hint="eastAsia" w:ascii="仿宋" w:hAnsi="仿宋" w:eastAsia="仿宋" w:cs="仿宋"/>
          <w:b/>
          <w:color w:val="auto"/>
          <w:szCs w:val="24"/>
          <w:highlight w:val="none"/>
          <w:u w:val="single"/>
        </w:rPr>
      </w:pPr>
    </w:p>
    <w:p>
      <w:pPr>
        <w:pStyle w:val="34"/>
        <w:rPr>
          <w:rFonts w:hint="eastAsia" w:ascii="仿宋" w:hAnsi="仿宋" w:eastAsia="仿宋" w:cs="仿宋"/>
          <w:b/>
          <w:color w:val="auto"/>
          <w:szCs w:val="24"/>
          <w:highlight w:val="none"/>
          <w:u w:val="single"/>
        </w:rPr>
      </w:pPr>
    </w:p>
    <w:p>
      <w:pPr>
        <w:pStyle w:val="34"/>
        <w:rPr>
          <w:rFonts w:hint="eastAsia" w:ascii="仿宋" w:hAnsi="仿宋" w:eastAsia="仿宋" w:cs="仿宋"/>
          <w:b/>
          <w:color w:val="auto"/>
          <w:sz w:val="28"/>
          <w:highlight w:val="none"/>
          <w:u w:val="single"/>
        </w:rPr>
      </w:pPr>
    </w:p>
    <w:p>
      <w:pPr>
        <w:pageBreakBefore/>
        <w:snapToGrid w:val="0"/>
        <w:spacing w:line="360" w:lineRule="auto"/>
        <w:jc w:val="center"/>
        <w:outlineLvl w:val="0"/>
        <w:rPr>
          <w:rFonts w:hint="eastAsia" w:ascii="仿宋" w:hAnsi="仿宋" w:eastAsia="仿宋" w:cs="仿宋"/>
          <w:b/>
          <w:bCs/>
          <w:color w:val="auto"/>
          <w:sz w:val="32"/>
          <w:szCs w:val="32"/>
          <w:highlight w:val="none"/>
          <w:lang w:val="zh-CN"/>
        </w:rPr>
      </w:pPr>
      <w:bookmarkStart w:id="81" w:name="_Toc23265"/>
      <w:bookmarkStart w:id="82" w:name="_Toc12262"/>
      <w:bookmarkStart w:id="83" w:name="_Toc909"/>
      <w:bookmarkStart w:id="84" w:name="_Toc13287"/>
      <w:bookmarkStart w:id="85" w:name="_Toc19978"/>
      <w:bookmarkStart w:id="86" w:name="_Toc25524"/>
      <w:bookmarkStart w:id="87" w:name="_Toc45033361"/>
      <w:bookmarkStart w:id="88" w:name="_Toc5311"/>
      <w:bookmarkStart w:id="89" w:name="_Toc26957"/>
      <w:bookmarkStart w:id="90" w:name="_Toc10084"/>
      <w:bookmarkStart w:id="91" w:name="_Toc14661"/>
      <w:r>
        <w:rPr>
          <w:rFonts w:hint="eastAsia" w:ascii="仿宋" w:hAnsi="仿宋" w:eastAsia="仿宋" w:cs="仿宋"/>
          <w:b/>
          <w:bCs/>
          <w:color w:val="auto"/>
          <w:sz w:val="32"/>
          <w:szCs w:val="32"/>
          <w:highlight w:val="none"/>
          <w:lang w:val="zh-CN"/>
        </w:rPr>
        <w:t>第六章  投标文件格式</w:t>
      </w:r>
      <w:bookmarkEnd w:id="81"/>
      <w:bookmarkEnd w:id="82"/>
      <w:bookmarkEnd w:id="83"/>
      <w:bookmarkEnd w:id="84"/>
      <w:bookmarkEnd w:id="85"/>
      <w:bookmarkEnd w:id="86"/>
      <w:bookmarkEnd w:id="87"/>
      <w:bookmarkEnd w:id="88"/>
      <w:bookmarkEnd w:id="89"/>
      <w:bookmarkEnd w:id="90"/>
      <w:bookmarkEnd w:id="91"/>
    </w:p>
    <w:p>
      <w:pPr>
        <w:spacing w:line="360" w:lineRule="auto"/>
        <w:jc w:val="center"/>
        <w:rPr>
          <w:rFonts w:hint="eastAsia" w:ascii="仿宋" w:hAnsi="仿宋" w:eastAsia="仿宋" w:cs="仿宋"/>
          <w:b/>
          <w:color w:val="auto"/>
          <w:sz w:val="28"/>
          <w:szCs w:val="28"/>
          <w:highlight w:val="none"/>
        </w:rPr>
      </w:pPr>
    </w:p>
    <w:p>
      <w:pPr>
        <w:pStyle w:val="5"/>
        <w:rPr>
          <w:color w:val="auto"/>
          <w:highlight w:val="none"/>
        </w:rPr>
      </w:pPr>
    </w:p>
    <w:p>
      <w:pPr>
        <w:spacing w:line="480" w:lineRule="auto"/>
        <w:jc w:val="center"/>
        <w:rPr>
          <w:rFonts w:hint="eastAsia" w:ascii="仿宋" w:hAnsi="仿宋" w:eastAsia="仿宋" w:cs="仿宋"/>
          <w:color w:val="auto"/>
          <w:sz w:val="28"/>
          <w:szCs w:val="28"/>
          <w:highlight w:val="none"/>
        </w:rPr>
      </w:pPr>
    </w:p>
    <w:p>
      <w:pPr>
        <w:pStyle w:val="5"/>
        <w:rPr>
          <w:color w:val="auto"/>
          <w:highlight w:val="none"/>
        </w:rPr>
      </w:pP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bookmarkStart w:id="92" w:name="_Toc12819"/>
      <w:bookmarkStart w:id="93" w:name="_Toc4606"/>
      <w:bookmarkStart w:id="94" w:name="_Toc17827"/>
      <w:bookmarkStart w:id="95" w:name="_Toc13452"/>
      <w:bookmarkStart w:id="96" w:name="_Toc16121"/>
      <w:bookmarkStart w:id="97" w:name="_Toc9049"/>
      <w:bookmarkStart w:id="98" w:name="_Toc12032"/>
      <w:bookmarkStart w:id="99" w:name="_Toc8744"/>
      <w:r>
        <w:rPr>
          <w:rFonts w:hint="eastAsia" w:ascii="仿宋" w:hAnsi="仿宋" w:eastAsia="仿宋" w:cs="仿宋"/>
          <w:color w:val="auto"/>
          <w:sz w:val="28"/>
          <w:szCs w:val="28"/>
          <w:highlight w:val="none"/>
        </w:rPr>
        <w:t>（项目名称）</w:t>
      </w:r>
      <w:bookmarkEnd w:id="92"/>
      <w:bookmarkEnd w:id="93"/>
      <w:bookmarkEnd w:id="94"/>
      <w:bookmarkEnd w:id="95"/>
      <w:bookmarkEnd w:id="96"/>
      <w:bookmarkEnd w:id="97"/>
      <w:bookmarkEnd w:id="98"/>
      <w:bookmarkEnd w:id="99"/>
    </w:p>
    <w:p>
      <w:pPr>
        <w:spacing w:line="480" w:lineRule="auto"/>
        <w:jc w:val="center"/>
        <w:rPr>
          <w:rFonts w:hint="eastAsia" w:ascii="仿宋" w:hAnsi="仿宋" w:eastAsia="仿宋" w:cs="仿宋"/>
          <w:color w:val="auto"/>
          <w:sz w:val="52"/>
          <w:szCs w:val="52"/>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bookmarkStart w:id="100" w:name="_Toc23994"/>
      <w:bookmarkStart w:id="101" w:name="_Toc24830"/>
      <w:bookmarkStart w:id="102" w:name="_Toc14205"/>
      <w:bookmarkStart w:id="103" w:name="_Toc22832"/>
      <w:bookmarkStart w:id="104" w:name="_Toc1324"/>
      <w:bookmarkStart w:id="105" w:name="_Toc2111"/>
      <w:bookmarkStart w:id="106" w:name="_Toc851"/>
      <w:bookmarkStart w:id="107" w:name="_Toc8452"/>
      <w:r>
        <w:rPr>
          <w:rFonts w:hint="eastAsia" w:ascii="仿宋" w:hAnsi="仿宋" w:eastAsia="仿宋" w:cs="仿宋"/>
          <w:color w:val="auto"/>
          <w:sz w:val="28"/>
          <w:szCs w:val="28"/>
          <w:highlight w:val="none"/>
        </w:rPr>
        <w:t>（项目编号）</w:t>
      </w:r>
      <w:bookmarkEnd w:id="100"/>
      <w:bookmarkEnd w:id="101"/>
      <w:bookmarkEnd w:id="102"/>
      <w:bookmarkEnd w:id="103"/>
      <w:bookmarkEnd w:id="104"/>
      <w:bookmarkEnd w:id="105"/>
      <w:bookmarkEnd w:id="106"/>
      <w:bookmarkEnd w:id="107"/>
    </w:p>
    <w:p>
      <w:pPr>
        <w:spacing w:line="360" w:lineRule="auto"/>
        <w:jc w:val="center"/>
        <w:rPr>
          <w:rFonts w:hint="eastAsia" w:ascii="仿宋" w:hAnsi="仿宋" w:eastAsia="仿宋" w:cs="仿宋"/>
          <w:color w:val="auto"/>
          <w:sz w:val="52"/>
          <w:szCs w:val="52"/>
          <w:highlight w:val="none"/>
        </w:rPr>
      </w:pPr>
    </w:p>
    <w:p>
      <w:pPr>
        <w:pStyle w:val="5"/>
        <w:rPr>
          <w:color w:val="auto"/>
          <w:highlight w:val="none"/>
        </w:rPr>
      </w:pPr>
    </w:p>
    <w:p>
      <w:pPr>
        <w:pStyle w:val="5"/>
        <w:rPr>
          <w:color w:val="auto"/>
          <w:highlight w:val="none"/>
        </w:rPr>
      </w:pPr>
    </w:p>
    <w:p>
      <w:pPr>
        <w:spacing w:line="360" w:lineRule="auto"/>
        <w:jc w:val="center"/>
        <w:rPr>
          <w:rFonts w:hint="eastAsia" w:ascii="仿宋" w:hAnsi="仿宋" w:eastAsia="仿宋" w:cs="仿宋"/>
          <w:b/>
          <w:bCs/>
          <w:color w:val="auto"/>
          <w:sz w:val="56"/>
          <w:szCs w:val="56"/>
          <w:highlight w:val="none"/>
          <w:lang w:val="zh-CN"/>
        </w:rPr>
      </w:pPr>
      <w:bookmarkStart w:id="108" w:name="_Toc10589"/>
      <w:bookmarkStart w:id="109" w:name="_Toc31295"/>
      <w:bookmarkStart w:id="110" w:name="_Toc28776"/>
      <w:bookmarkStart w:id="111" w:name="_Toc17404"/>
      <w:bookmarkStart w:id="112" w:name="_Toc3128"/>
      <w:bookmarkStart w:id="113" w:name="_Toc10979"/>
      <w:bookmarkStart w:id="114" w:name="_Toc16711"/>
      <w:r>
        <w:rPr>
          <w:rFonts w:hint="eastAsia" w:ascii="仿宋" w:hAnsi="仿宋" w:eastAsia="仿宋" w:cs="仿宋"/>
          <w:b/>
          <w:bCs/>
          <w:color w:val="auto"/>
          <w:sz w:val="56"/>
          <w:szCs w:val="56"/>
          <w:highlight w:val="none"/>
        </w:rPr>
        <w:t>投标</w:t>
      </w:r>
      <w:r>
        <w:rPr>
          <w:rFonts w:hint="eastAsia" w:ascii="仿宋" w:hAnsi="仿宋" w:eastAsia="仿宋" w:cs="仿宋"/>
          <w:b/>
          <w:bCs/>
          <w:color w:val="auto"/>
          <w:sz w:val="56"/>
          <w:szCs w:val="56"/>
          <w:highlight w:val="none"/>
          <w:lang w:val="zh-CN"/>
        </w:rPr>
        <w:t>文件</w:t>
      </w:r>
      <w:bookmarkEnd w:id="108"/>
      <w:bookmarkEnd w:id="109"/>
      <w:bookmarkEnd w:id="110"/>
      <w:bookmarkEnd w:id="111"/>
      <w:bookmarkEnd w:id="112"/>
      <w:bookmarkEnd w:id="113"/>
      <w:bookmarkEnd w:id="114"/>
    </w:p>
    <w:p>
      <w:pPr>
        <w:pStyle w:val="5"/>
        <w:ind w:firstLine="560"/>
        <w:rPr>
          <w:rFonts w:hint="eastAsia" w:ascii="仿宋" w:hAnsi="仿宋" w:eastAsia="仿宋" w:cs="仿宋"/>
          <w:color w:val="auto"/>
          <w:sz w:val="28"/>
          <w:szCs w:val="28"/>
          <w:highlight w:val="none"/>
          <w:lang w:val="zh-CN"/>
        </w:rPr>
      </w:pPr>
    </w:p>
    <w:p>
      <w:pPr>
        <w:pStyle w:val="5"/>
        <w:ind w:firstLine="560"/>
        <w:rPr>
          <w:rFonts w:hint="eastAsia" w:ascii="仿宋" w:hAnsi="仿宋" w:eastAsia="仿宋" w:cs="仿宋"/>
          <w:color w:val="auto"/>
          <w:sz w:val="28"/>
          <w:szCs w:val="28"/>
          <w:highlight w:val="none"/>
          <w:lang w:val="zh-CN"/>
        </w:rPr>
      </w:pPr>
    </w:p>
    <w:p>
      <w:pPr>
        <w:rPr>
          <w:rFonts w:hint="eastAsia" w:ascii="仿宋" w:hAnsi="仿宋" w:eastAsia="仿宋" w:cs="仿宋"/>
          <w:color w:val="auto"/>
          <w:sz w:val="28"/>
          <w:szCs w:val="28"/>
          <w:highlight w:val="none"/>
          <w:lang w:val="zh-CN"/>
        </w:rPr>
      </w:pPr>
    </w:p>
    <w:p>
      <w:pPr>
        <w:pStyle w:val="5"/>
        <w:ind w:firstLine="560"/>
        <w:rPr>
          <w:rFonts w:hint="eastAsia" w:ascii="仿宋" w:hAnsi="仿宋" w:eastAsia="仿宋" w:cs="仿宋"/>
          <w:color w:val="auto"/>
          <w:sz w:val="28"/>
          <w:szCs w:val="28"/>
          <w:highlight w:val="none"/>
          <w:lang w:val="zh-CN"/>
        </w:rPr>
      </w:pPr>
    </w:p>
    <w:p>
      <w:pPr>
        <w:rPr>
          <w:rFonts w:hint="eastAsia" w:ascii="仿宋" w:hAnsi="仿宋" w:eastAsia="仿宋" w:cs="仿宋"/>
          <w:color w:val="auto"/>
          <w:sz w:val="28"/>
          <w:szCs w:val="28"/>
          <w:highlight w:val="none"/>
          <w:lang w:val="zh-CN"/>
        </w:rPr>
      </w:pPr>
    </w:p>
    <w:p>
      <w:pPr>
        <w:pStyle w:val="5"/>
        <w:ind w:firstLine="560"/>
        <w:rPr>
          <w:rFonts w:hint="eastAsia" w:ascii="仿宋" w:hAnsi="仿宋" w:eastAsia="仿宋" w:cs="仿宋"/>
          <w:color w:val="auto"/>
          <w:sz w:val="28"/>
          <w:szCs w:val="28"/>
          <w:highlight w:val="none"/>
          <w:lang w:val="zh-CN"/>
        </w:rPr>
      </w:pPr>
    </w:p>
    <w:p>
      <w:pPr>
        <w:rPr>
          <w:color w:val="auto"/>
          <w:highlight w:val="none"/>
          <w:lang w:val="zh-CN"/>
        </w:rPr>
      </w:pPr>
    </w:p>
    <w:p>
      <w:pPr>
        <w:rPr>
          <w:color w:val="auto"/>
          <w:highlight w:val="none"/>
          <w:lang w:val="zh-CN"/>
        </w:rPr>
      </w:pPr>
    </w:p>
    <w:p>
      <w:pPr>
        <w:rPr>
          <w:rFonts w:hint="eastAsia" w:ascii="仿宋" w:hAnsi="仿宋" w:eastAsia="仿宋" w:cs="仿宋"/>
          <w:color w:val="auto"/>
          <w:sz w:val="28"/>
          <w:szCs w:val="28"/>
          <w:highlight w:val="none"/>
          <w:lang w:val="zh-CN"/>
        </w:rPr>
      </w:pPr>
      <w:bookmarkStart w:id="115" w:name="_Toc24163"/>
      <w:bookmarkStart w:id="116" w:name="_Toc20610"/>
      <w:bookmarkStart w:id="117" w:name="_Toc12654"/>
      <w:bookmarkStart w:id="118" w:name="_Toc21526"/>
      <w:bookmarkStart w:id="119" w:name="_Toc12958"/>
      <w:bookmarkStart w:id="120" w:name="_Toc21827"/>
      <w:bookmarkStart w:id="121" w:name="_Toc25109"/>
      <w:bookmarkStart w:id="122" w:name="_Toc16234"/>
      <w:r>
        <w:rPr>
          <w:rFonts w:hint="eastAsia" w:ascii="仿宋" w:hAnsi="仿宋" w:eastAsia="仿宋" w:cs="仿宋"/>
          <w:color w:val="auto"/>
          <w:sz w:val="28"/>
          <w:szCs w:val="28"/>
          <w:highlight w:val="none"/>
          <w:lang w:val="zh-CN"/>
        </w:rPr>
        <w:t>投标人全称</w:t>
      </w:r>
      <w:r>
        <w:rPr>
          <w:rFonts w:hint="eastAsia" w:ascii="仿宋" w:hAnsi="仿宋" w:eastAsia="仿宋" w:cs="仿宋"/>
          <w:color w:val="auto"/>
          <w:sz w:val="28"/>
          <w:szCs w:val="28"/>
          <w:highlight w:val="none"/>
        </w:rPr>
        <w:t xml:space="preserve"> (盖章)</w:t>
      </w:r>
      <w:r>
        <w:rPr>
          <w:rFonts w:hint="eastAsia" w:ascii="仿宋" w:hAnsi="仿宋" w:eastAsia="仿宋" w:cs="仿宋"/>
          <w:color w:val="auto"/>
          <w:sz w:val="28"/>
          <w:szCs w:val="28"/>
          <w:highlight w:val="none"/>
          <w:lang w:val="zh-CN"/>
        </w:rPr>
        <w:t>：</w:t>
      </w:r>
      <w:bookmarkEnd w:id="115"/>
      <w:bookmarkEnd w:id="116"/>
      <w:bookmarkEnd w:id="117"/>
      <w:bookmarkEnd w:id="118"/>
      <w:bookmarkEnd w:id="119"/>
      <w:bookmarkEnd w:id="120"/>
      <w:bookmarkEnd w:id="121"/>
      <w:bookmarkEnd w:id="122"/>
      <w:r>
        <w:rPr>
          <w:rFonts w:hint="eastAsia" w:ascii="仿宋" w:hAnsi="仿宋" w:eastAsia="仿宋" w:cs="仿宋"/>
          <w:color w:val="auto"/>
          <w:sz w:val="28"/>
          <w:szCs w:val="28"/>
          <w:highlight w:val="none"/>
          <w:u w:val="single"/>
        </w:rPr>
        <w:t xml:space="preserve">                       </w:t>
      </w:r>
    </w:p>
    <w:p>
      <w:pPr>
        <w:pStyle w:val="5"/>
        <w:ind w:firstLine="560"/>
        <w:rPr>
          <w:rFonts w:hint="eastAsia" w:ascii="仿宋" w:hAnsi="仿宋" w:eastAsia="仿宋" w:cs="仿宋"/>
          <w:color w:val="auto"/>
          <w:sz w:val="28"/>
          <w:szCs w:val="28"/>
          <w:highlight w:val="none"/>
          <w:lang w:val="zh-CN"/>
        </w:rPr>
      </w:pPr>
    </w:p>
    <w:p>
      <w:pPr>
        <w:rPr>
          <w:rFonts w:hint="eastAsia" w:ascii="仿宋" w:hAnsi="仿宋" w:eastAsia="仿宋" w:cs="仿宋"/>
          <w:color w:val="auto"/>
          <w:sz w:val="28"/>
          <w:szCs w:val="28"/>
          <w:highlight w:val="none"/>
        </w:rPr>
      </w:pPr>
      <w:bookmarkStart w:id="123" w:name="_Toc16718"/>
      <w:bookmarkStart w:id="124" w:name="_Toc17863"/>
      <w:bookmarkStart w:id="125" w:name="_Toc31976"/>
      <w:bookmarkStart w:id="126" w:name="_Toc22883"/>
      <w:bookmarkStart w:id="127" w:name="_Toc17806"/>
      <w:bookmarkStart w:id="128" w:name="_Toc19557"/>
      <w:bookmarkStart w:id="129" w:name="_Toc2489"/>
      <w:bookmarkStart w:id="130" w:name="_Toc10632"/>
      <w:r>
        <w:rPr>
          <w:rFonts w:hint="eastAsia" w:ascii="仿宋" w:hAnsi="仿宋" w:eastAsia="仿宋" w:cs="仿宋"/>
          <w:color w:val="auto"/>
          <w:sz w:val="28"/>
          <w:szCs w:val="28"/>
          <w:highlight w:val="none"/>
          <w:lang w:val="zh-CN"/>
        </w:rPr>
        <w:t>法定代表人或授权代表(</w:t>
      </w:r>
      <w:r>
        <w:rPr>
          <w:rFonts w:hint="eastAsia" w:ascii="仿宋" w:hAnsi="仿宋" w:eastAsia="仿宋" w:cs="仿宋"/>
          <w:color w:val="auto"/>
          <w:sz w:val="28"/>
          <w:szCs w:val="28"/>
          <w:highlight w:val="none"/>
        </w:rPr>
        <w:t>签字或盖章</w:t>
      </w:r>
      <w:r>
        <w:rPr>
          <w:rFonts w:hint="eastAsia" w:ascii="仿宋" w:hAnsi="仿宋" w:eastAsia="仿宋" w:cs="仿宋"/>
          <w:color w:val="auto"/>
          <w:sz w:val="28"/>
          <w:szCs w:val="28"/>
          <w:highlight w:val="none"/>
          <w:lang w:val="zh-CN"/>
        </w:rPr>
        <w:t>):</w:t>
      </w:r>
      <w:bookmarkEnd w:id="123"/>
      <w:bookmarkEnd w:id="124"/>
      <w:bookmarkEnd w:id="125"/>
      <w:bookmarkEnd w:id="126"/>
      <w:bookmarkEnd w:id="127"/>
      <w:bookmarkEnd w:id="128"/>
      <w:bookmarkEnd w:id="129"/>
      <w:bookmarkEnd w:id="130"/>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rPr>
          <w:rFonts w:hint="eastAsia" w:ascii="仿宋" w:hAnsi="仿宋" w:eastAsia="仿宋" w:cs="仿宋"/>
          <w:color w:val="auto"/>
          <w:sz w:val="28"/>
          <w:szCs w:val="28"/>
          <w:highlight w:val="none"/>
        </w:rPr>
      </w:pPr>
      <w:bookmarkStart w:id="131" w:name="_Toc11845"/>
      <w:bookmarkStart w:id="132" w:name="_Toc6088"/>
      <w:bookmarkStart w:id="133" w:name="_Toc16793"/>
      <w:bookmarkStart w:id="134" w:name="_Toc16083"/>
      <w:bookmarkStart w:id="135" w:name="_Toc3470"/>
      <w:bookmarkStart w:id="136" w:name="_Toc22428"/>
      <w:bookmarkStart w:id="137" w:name="_Toc5670"/>
      <w:bookmarkStart w:id="138" w:name="_Toc12443"/>
      <w:r>
        <w:rPr>
          <w:rFonts w:hint="eastAsia" w:ascii="仿宋" w:hAnsi="仿宋" w:eastAsia="仿宋" w:cs="仿宋"/>
          <w:color w:val="auto"/>
          <w:sz w:val="28"/>
          <w:szCs w:val="28"/>
          <w:highlight w:val="none"/>
        </w:rPr>
        <w:t>联系电话：</w:t>
      </w:r>
      <w:bookmarkEnd w:id="131"/>
      <w:bookmarkEnd w:id="132"/>
      <w:bookmarkEnd w:id="133"/>
      <w:bookmarkEnd w:id="134"/>
      <w:bookmarkEnd w:id="135"/>
      <w:bookmarkEnd w:id="136"/>
      <w:bookmarkEnd w:id="137"/>
      <w:bookmarkEnd w:id="138"/>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 xml:space="preserve">            </w:t>
      </w:r>
    </w:p>
    <w:p>
      <w:pP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rPr>
          <w:rFonts w:hint="eastAsia" w:ascii="仿宋" w:hAnsi="仿宋" w:eastAsia="仿宋" w:cs="仿宋"/>
          <w:color w:val="auto"/>
          <w:sz w:val="28"/>
          <w:szCs w:val="28"/>
          <w:highlight w:val="none"/>
        </w:rPr>
      </w:pPr>
      <w:bookmarkStart w:id="139" w:name="_Toc12492"/>
      <w:bookmarkStart w:id="140" w:name="_Toc8203"/>
      <w:bookmarkStart w:id="141" w:name="_Toc327"/>
      <w:bookmarkStart w:id="142" w:name="_Toc1067"/>
      <w:bookmarkStart w:id="143" w:name="_Toc20221"/>
      <w:bookmarkStart w:id="144" w:name="_Toc13531"/>
      <w:bookmarkStart w:id="145" w:name="_Toc29534"/>
      <w:bookmarkStart w:id="146" w:name="_Toc14535"/>
      <w:r>
        <w:rPr>
          <w:rFonts w:hint="eastAsia" w:ascii="仿宋" w:hAnsi="仿宋" w:eastAsia="仿宋" w:cs="仿宋"/>
          <w:color w:val="auto"/>
          <w:sz w:val="28"/>
          <w:szCs w:val="28"/>
          <w:highlight w:val="none"/>
        </w:rPr>
        <w:t>投标人地址：</w:t>
      </w:r>
      <w:bookmarkEnd w:id="139"/>
      <w:bookmarkEnd w:id="140"/>
      <w:bookmarkEnd w:id="141"/>
      <w:bookmarkEnd w:id="142"/>
      <w:bookmarkEnd w:id="143"/>
      <w:bookmarkEnd w:id="144"/>
      <w:bookmarkEnd w:id="145"/>
      <w:bookmarkEnd w:id="146"/>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bookmarkStart w:id="147" w:name="_Toc8896"/>
      <w:bookmarkStart w:id="148" w:name="_Toc13059"/>
      <w:bookmarkStart w:id="149" w:name="_Toc20904"/>
      <w:bookmarkStart w:id="150" w:name="_Toc29446"/>
      <w:bookmarkStart w:id="151" w:name="_Toc16959"/>
      <w:bookmarkStart w:id="152" w:name="_Toc831"/>
      <w:bookmarkStart w:id="153" w:name="_Toc26016"/>
      <w:bookmarkStart w:id="154" w:name="_Toc18778"/>
      <w:r>
        <w:rPr>
          <w:rFonts w:hint="eastAsia" w:ascii="仿宋" w:hAnsi="仿宋" w:eastAsia="仿宋" w:cs="仿宋"/>
          <w:color w:val="auto"/>
          <w:sz w:val="28"/>
          <w:szCs w:val="28"/>
          <w:highlight w:val="none"/>
        </w:rPr>
        <w:t>编制时间：    年   月   日</w:t>
      </w:r>
      <w:bookmarkEnd w:id="147"/>
      <w:bookmarkEnd w:id="148"/>
      <w:bookmarkEnd w:id="149"/>
      <w:bookmarkEnd w:id="150"/>
      <w:bookmarkEnd w:id="151"/>
      <w:bookmarkEnd w:id="152"/>
      <w:bookmarkEnd w:id="153"/>
      <w:bookmarkEnd w:id="154"/>
      <w:r>
        <w:rPr>
          <w:rFonts w:hint="eastAsia" w:ascii="仿宋" w:hAnsi="仿宋" w:eastAsia="仿宋" w:cs="仿宋"/>
          <w:color w:val="auto"/>
          <w:sz w:val="28"/>
          <w:szCs w:val="28"/>
          <w:highlight w:val="none"/>
        </w:rPr>
        <w:t xml:space="preserve"> </w:t>
      </w:r>
    </w:p>
    <w:p>
      <w:pPr>
        <w:pStyle w:val="11"/>
        <w:ind w:firstLine="600"/>
        <w:rPr>
          <w:color w:val="auto"/>
          <w:highlight w:val="none"/>
        </w:rPr>
      </w:pPr>
    </w:p>
    <w:p>
      <w:pPr>
        <w:rPr>
          <w:color w:val="auto"/>
          <w:highlight w:val="none"/>
        </w:rPr>
      </w:pPr>
    </w:p>
    <w:p>
      <w:pPr>
        <w:pStyle w:val="16"/>
        <w:rPr>
          <w:color w:val="auto"/>
          <w:highlight w:val="none"/>
        </w:rPr>
      </w:pPr>
    </w:p>
    <w:p>
      <w:pPr>
        <w:rPr>
          <w:color w:val="auto"/>
          <w:highlight w:val="none"/>
        </w:rPr>
      </w:pPr>
    </w:p>
    <w:p>
      <w:pPr>
        <w:spacing w:line="360" w:lineRule="auto"/>
        <w:ind w:firstLine="482" w:firstLineChars="150"/>
        <w:jc w:val="center"/>
        <w:rPr>
          <w:rFonts w:hint="eastAsia" w:ascii="仿宋" w:hAnsi="仿宋" w:eastAsia="仿宋" w:cs="仿宋"/>
          <w:b/>
          <w:color w:val="auto"/>
          <w:kern w:val="2"/>
          <w:sz w:val="32"/>
          <w:szCs w:val="32"/>
          <w:highlight w:val="none"/>
          <w:lang w:val="zh-CN"/>
        </w:rPr>
      </w:pPr>
      <w:bookmarkStart w:id="155" w:name="_Toc5991"/>
      <w:bookmarkStart w:id="156" w:name="_Toc8208"/>
      <w:bookmarkStart w:id="157" w:name="_Toc17164"/>
      <w:bookmarkStart w:id="158" w:name="_Toc15094"/>
      <w:bookmarkStart w:id="159" w:name="_Toc3492"/>
      <w:bookmarkStart w:id="160" w:name="_Toc4705"/>
      <w:bookmarkStart w:id="161" w:name="_Toc7410"/>
      <w:bookmarkStart w:id="162" w:name="_Toc30316"/>
      <w:r>
        <w:rPr>
          <w:rFonts w:hint="eastAsia" w:ascii="仿宋" w:hAnsi="仿宋" w:eastAsia="仿宋" w:cs="仿宋"/>
          <w:b/>
          <w:color w:val="auto"/>
          <w:kern w:val="2"/>
          <w:sz w:val="32"/>
          <w:szCs w:val="32"/>
          <w:highlight w:val="none"/>
          <w:lang w:val="zh-CN"/>
        </w:rPr>
        <w:t>目  录</w:t>
      </w:r>
      <w:bookmarkEnd w:id="155"/>
      <w:bookmarkEnd w:id="156"/>
      <w:bookmarkEnd w:id="157"/>
      <w:bookmarkEnd w:id="158"/>
      <w:bookmarkEnd w:id="159"/>
      <w:bookmarkEnd w:id="160"/>
      <w:bookmarkEnd w:id="161"/>
      <w:bookmarkEnd w:id="162"/>
    </w:p>
    <w:p>
      <w:pPr>
        <w:spacing w:line="360" w:lineRule="auto"/>
        <w:ind w:firstLine="361" w:firstLineChars="150"/>
        <w:rPr>
          <w:rFonts w:hint="eastAsia" w:ascii="仿宋" w:hAnsi="仿宋" w:eastAsia="仿宋" w:cs="仿宋"/>
          <w:b/>
          <w:color w:val="auto"/>
          <w:kern w:val="2"/>
          <w:highlight w:val="none"/>
          <w:lang w:val="zh-CN"/>
        </w:rPr>
      </w:pPr>
    </w:p>
    <w:p>
      <w:pPr>
        <w:spacing w:line="360" w:lineRule="auto"/>
        <w:ind w:firstLine="360" w:firstLineChars="150"/>
        <w:rPr>
          <w:rFonts w:hint="eastAsia" w:ascii="仿宋" w:hAnsi="仿宋" w:eastAsia="仿宋" w:cs="仿宋"/>
          <w:bCs/>
          <w:color w:val="auto"/>
          <w:kern w:val="2"/>
          <w:highlight w:val="none"/>
          <w:lang w:val="zh-CN"/>
        </w:rPr>
      </w:pPr>
      <w:bookmarkStart w:id="163" w:name="_Toc27973"/>
      <w:bookmarkStart w:id="164" w:name="_Toc28262"/>
      <w:bookmarkStart w:id="165" w:name="_Toc30947"/>
      <w:bookmarkStart w:id="166" w:name="_Toc3967"/>
      <w:bookmarkStart w:id="167" w:name="_Toc16896"/>
      <w:bookmarkStart w:id="168" w:name="_Toc20376"/>
      <w:bookmarkStart w:id="169" w:name="_Toc1970"/>
      <w:bookmarkStart w:id="170" w:name="_Toc11613"/>
      <w:bookmarkStart w:id="171" w:name="_Toc15030"/>
      <w:bookmarkStart w:id="172" w:name="_Toc7792"/>
      <w:bookmarkStart w:id="173" w:name="_Toc4965"/>
      <w:bookmarkStart w:id="174" w:name="_Toc13288"/>
      <w:r>
        <w:rPr>
          <w:rFonts w:hint="eastAsia" w:ascii="仿宋" w:hAnsi="仿宋" w:eastAsia="仿宋" w:cs="仿宋"/>
          <w:bCs/>
          <w:color w:val="auto"/>
          <w:kern w:val="2"/>
          <w:highlight w:val="none"/>
          <w:lang w:val="zh-CN"/>
        </w:rPr>
        <w:t>一、投标函</w:t>
      </w:r>
      <w:bookmarkEnd w:id="163"/>
      <w:bookmarkEnd w:id="164"/>
      <w:bookmarkEnd w:id="165"/>
      <w:bookmarkEnd w:id="166"/>
      <w:bookmarkEnd w:id="167"/>
      <w:bookmarkEnd w:id="168"/>
      <w:bookmarkEnd w:id="169"/>
      <w:bookmarkEnd w:id="170"/>
    </w:p>
    <w:p>
      <w:pPr>
        <w:spacing w:line="360" w:lineRule="auto"/>
        <w:ind w:firstLine="360" w:firstLineChars="150"/>
        <w:rPr>
          <w:rFonts w:hint="eastAsia" w:ascii="仿宋" w:hAnsi="仿宋" w:eastAsia="仿宋" w:cs="仿宋"/>
          <w:bCs/>
          <w:color w:val="auto"/>
          <w:kern w:val="2"/>
          <w:highlight w:val="none"/>
          <w:lang w:val="zh-CN"/>
        </w:rPr>
      </w:pPr>
      <w:bookmarkStart w:id="175" w:name="_Toc19961"/>
      <w:bookmarkStart w:id="176" w:name="_Toc24357"/>
      <w:bookmarkStart w:id="177" w:name="_Toc31933"/>
      <w:bookmarkStart w:id="178" w:name="_Toc28"/>
      <w:bookmarkStart w:id="179" w:name="_Toc16505"/>
      <w:bookmarkStart w:id="180" w:name="_Toc30200"/>
      <w:bookmarkStart w:id="181" w:name="_Toc17439"/>
      <w:bookmarkStart w:id="182" w:name="_Toc11212"/>
      <w:r>
        <w:rPr>
          <w:rFonts w:hint="eastAsia" w:ascii="仿宋" w:hAnsi="仿宋" w:eastAsia="仿宋" w:cs="仿宋"/>
          <w:bCs/>
          <w:color w:val="auto"/>
          <w:kern w:val="2"/>
          <w:highlight w:val="none"/>
          <w:lang w:val="zh-CN"/>
        </w:rPr>
        <w:t>二、法定代表人资格证明书及授权委托书</w:t>
      </w:r>
      <w:bookmarkEnd w:id="175"/>
      <w:bookmarkEnd w:id="176"/>
      <w:bookmarkEnd w:id="177"/>
      <w:bookmarkEnd w:id="178"/>
      <w:bookmarkEnd w:id="179"/>
      <w:bookmarkEnd w:id="180"/>
      <w:bookmarkEnd w:id="181"/>
      <w:bookmarkEnd w:id="182"/>
    </w:p>
    <w:p>
      <w:pPr>
        <w:spacing w:line="360" w:lineRule="auto"/>
        <w:ind w:firstLine="360" w:firstLineChars="150"/>
        <w:rPr>
          <w:rFonts w:hint="eastAsia" w:ascii="仿宋" w:hAnsi="仿宋" w:eastAsia="仿宋" w:cs="仿宋"/>
          <w:bCs/>
          <w:color w:val="auto"/>
          <w:kern w:val="2"/>
          <w:highlight w:val="none"/>
          <w:lang w:val="zh-CN"/>
        </w:rPr>
      </w:pPr>
      <w:bookmarkStart w:id="183" w:name="_Toc19648"/>
      <w:bookmarkStart w:id="184" w:name="_Toc26852"/>
      <w:bookmarkStart w:id="185" w:name="_Toc17704"/>
      <w:bookmarkStart w:id="186" w:name="_Toc28309"/>
      <w:bookmarkStart w:id="187" w:name="_Toc22013"/>
      <w:bookmarkStart w:id="188" w:name="_Toc3818"/>
      <w:bookmarkStart w:id="189" w:name="_Toc30625"/>
      <w:bookmarkStart w:id="190" w:name="_Toc18766"/>
      <w:r>
        <w:rPr>
          <w:rFonts w:hint="eastAsia" w:ascii="仿宋" w:hAnsi="仿宋" w:eastAsia="仿宋" w:cs="仿宋"/>
          <w:bCs/>
          <w:color w:val="auto"/>
          <w:kern w:val="2"/>
          <w:highlight w:val="none"/>
          <w:lang w:val="zh-CN"/>
        </w:rPr>
        <w:t>三、资格证明文件</w:t>
      </w:r>
      <w:bookmarkEnd w:id="183"/>
      <w:bookmarkEnd w:id="184"/>
      <w:bookmarkEnd w:id="185"/>
      <w:bookmarkEnd w:id="186"/>
      <w:bookmarkEnd w:id="187"/>
      <w:bookmarkEnd w:id="188"/>
      <w:bookmarkEnd w:id="189"/>
      <w:bookmarkEnd w:id="190"/>
    </w:p>
    <w:p>
      <w:pPr>
        <w:spacing w:line="360" w:lineRule="auto"/>
        <w:ind w:firstLine="360" w:firstLineChars="150"/>
        <w:rPr>
          <w:rFonts w:hint="eastAsia" w:ascii="仿宋" w:hAnsi="仿宋" w:eastAsia="仿宋" w:cs="仿宋"/>
          <w:bCs/>
          <w:color w:val="auto"/>
          <w:kern w:val="2"/>
          <w:highlight w:val="none"/>
          <w:lang w:val="zh-CN"/>
        </w:rPr>
      </w:pPr>
      <w:bookmarkStart w:id="191" w:name="_Toc12732"/>
      <w:bookmarkStart w:id="192" w:name="_Toc30312"/>
      <w:bookmarkStart w:id="193" w:name="_Toc1226"/>
      <w:bookmarkStart w:id="194" w:name="_Toc1560"/>
      <w:bookmarkStart w:id="195" w:name="_Toc25421"/>
      <w:bookmarkStart w:id="196" w:name="_Toc24543"/>
      <w:bookmarkStart w:id="197" w:name="_Toc3860"/>
      <w:bookmarkStart w:id="198" w:name="_Toc27213"/>
      <w:r>
        <w:rPr>
          <w:rFonts w:hint="eastAsia" w:ascii="仿宋" w:hAnsi="仿宋" w:eastAsia="仿宋" w:cs="仿宋"/>
          <w:bCs/>
          <w:color w:val="auto"/>
          <w:kern w:val="2"/>
          <w:highlight w:val="none"/>
          <w:lang w:val="zh-CN"/>
        </w:rPr>
        <w:t>四、开标一览表</w:t>
      </w:r>
      <w:bookmarkEnd w:id="191"/>
      <w:bookmarkEnd w:id="192"/>
      <w:bookmarkEnd w:id="193"/>
      <w:bookmarkEnd w:id="194"/>
      <w:bookmarkEnd w:id="195"/>
      <w:bookmarkEnd w:id="196"/>
      <w:bookmarkEnd w:id="197"/>
      <w:bookmarkEnd w:id="198"/>
    </w:p>
    <w:p>
      <w:pPr>
        <w:spacing w:line="360" w:lineRule="auto"/>
        <w:ind w:firstLine="360" w:firstLineChars="150"/>
        <w:rPr>
          <w:rFonts w:hint="eastAsia" w:ascii="仿宋" w:hAnsi="仿宋" w:eastAsia="仿宋" w:cs="仿宋"/>
          <w:bCs/>
          <w:color w:val="auto"/>
          <w:kern w:val="2"/>
          <w:highlight w:val="none"/>
          <w:lang w:val="zh-CN"/>
        </w:rPr>
      </w:pPr>
      <w:bookmarkStart w:id="199" w:name="_Toc27405"/>
      <w:bookmarkStart w:id="200" w:name="_Toc30067"/>
      <w:bookmarkStart w:id="201" w:name="_Toc22055"/>
      <w:bookmarkStart w:id="202" w:name="_Toc15902"/>
      <w:bookmarkStart w:id="203" w:name="_Toc8323"/>
      <w:bookmarkStart w:id="204" w:name="_Toc6014"/>
      <w:bookmarkStart w:id="205" w:name="_Toc23897"/>
      <w:bookmarkStart w:id="206" w:name="_Toc12362"/>
      <w:r>
        <w:rPr>
          <w:rFonts w:hint="eastAsia" w:ascii="仿宋" w:hAnsi="仿宋" w:eastAsia="仿宋" w:cs="仿宋"/>
          <w:bCs/>
          <w:color w:val="auto"/>
          <w:kern w:val="2"/>
          <w:highlight w:val="none"/>
          <w:lang w:val="zh-CN"/>
        </w:rPr>
        <w:t>五、投标报价明细表</w:t>
      </w:r>
      <w:bookmarkEnd w:id="199"/>
      <w:bookmarkEnd w:id="200"/>
      <w:bookmarkEnd w:id="201"/>
      <w:bookmarkEnd w:id="202"/>
      <w:bookmarkEnd w:id="203"/>
      <w:bookmarkEnd w:id="204"/>
      <w:bookmarkEnd w:id="205"/>
      <w:bookmarkEnd w:id="206"/>
    </w:p>
    <w:p>
      <w:pPr>
        <w:spacing w:line="360" w:lineRule="auto"/>
        <w:ind w:firstLine="360" w:firstLineChars="150"/>
        <w:rPr>
          <w:rFonts w:hint="eastAsia" w:ascii="仿宋" w:hAnsi="仿宋" w:eastAsia="仿宋" w:cs="仿宋"/>
          <w:bCs/>
          <w:color w:val="auto"/>
          <w:kern w:val="2"/>
          <w:highlight w:val="none"/>
          <w:lang w:val="zh-CN"/>
        </w:rPr>
      </w:pPr>
      <w:bookmarkStart w:id="207" w:name="_Toc1840"/>
      <w:bookmarkStart w:id="208" w:name="_Toc25374"/>
      <w:bookmarkStart w:id="209" w:name="_Toc9055"/>
      <w:bookmarkStart w:id="210" w:name="_Toc747"/>
      <w:bookmarkStart w:id="211" w:name="_Toc14074"/>
      <w:bookmarkStart w:id="212" w:name="_Toc8390"/>
      <w:bookmarkStart w:id="213" w:name="_Toc13245"/>
      <w:bookmarkStart w:id="214" w:name="_Toc15410"/>
      <w:r>
        <w:rPr>
          <w:rFonts w:hint="eastAsia" w:ascii="仿宋" w:hAnsi="仿宋" w:eastAsia="仿宋" w:cs="仿宋"/>
          <w:bCs/>
          <w:color w:val="auto"/>
          <w:kern w:val="2"/>
          <w:highlight w:val="none"/>
          <w:lang w:val="zh-CN"/>
        </w:rPr>
        <w:t>六、近年（20</w:t>
      </w:r>
      <w:r>
        <w:rPr>
          <w:rFonts w:hint="eastAsia" w:ascii="仿宋" w:hAnsi="仿宋" w:eastAsia="仿宋" w:cs="仿宋"/>
          <w:bCs/>
          <w:color w:val="auto"/>
          <w:kern w:val="2"/>
          <w:highlight w:val="none"/>
        </w:rPr>
        <w:t>23</w:t>
      </w:r>
      <w:r>
        <w:rPr>
          <w:rFonts w:hint="eastAsia" w:ascii="仿宋" w:hAnsi="仿宋" w:eastAsia="仿宋" w:cs="仿宋"/>
          <w:bCs/>
          <w:color w:val="auto"/>
          <w:kern w:val="2"/>
          <w:highlight w:val="none"/>
          <w:lang w:val="zh-CN"/>
        </w:rPr>
        <w:t>年1月1日至今）类似项目业绩</w:t>
      </w:r>
      <w:bookmarkEnd w:id="207"/>
      <w:bookmarkEnd w:id="208"/>
      <w:bookmarkEnd w:id="209"/>
      <w:bookmarkEnd w:id="210"/>
      <w:bookmarkEnd w:id="211"/>
      <w:bookmarkEnd w:id="212"/>
      <w:bookmarkEnd w:id="213"/>
      <w:bookmarkEnd w:id="214"/>
    </w:p>
    <w:p>
      <w:pPr>
        <w:spacing w:line="360" w:lineRule="auto"/>
        <w:ind w:firstLine="360" w:firstLineChars="150"/>
        <w:rPr>
          <w:rFonts w:hint="eastAsia" w:ascii="仿宋" w:hAnsi="仿宋" w:eastAsia="仿宋" w:cs="仿宋"/>
          <w:bCs/>
          <w:color w:val="auto"/>
          <w:kern w:val="2"/>
          <w:highlight w:val="none"/>
          <w:lang w:val="zh-CN"/>
        </w:rPr>
      </w:pPr>
      <w:bookmarkStart w:id="215" w:name="_Toc19569"/>
      <w:bookmarkStart w:id="216" w:name="_Toc29375"/>
      <w:bookmarkStart w:id="217" w:name="_Toc26191"/>
      <w:bookmarkStart w:id="218" w:name="_Toc1462"/>
      <w:bookmarkStart w:id="219" w:name="_Toc23376"/>
      <w:bookmarkStart w:id="220" w:name="_Toc306"/>
      <w:bookmarkStart w:id="221" w:name="_Toc2037"/>
      <w:bookmarkStart w:id="222" w:name="_Toc19316"/>
      <w:r>
        <w:rPr>
          <w:rFonts w:hint="eastAsia" w:ascii="仿宋" w:hAnsi="仿宋" w:eastAsia="仿宋" w:cs="仿宋"/>
          <w:bCs/>
          <w:color w:val="auto"/>
          <w:kern w:val="2"/>
          <w:highlight w:val="none"/>
          <w:lang w:val="zh-CN"/>
        </w:rPr>
        <w:t>七、</w:t>
      </w:r>
      <w:bookmarkEnd w:id="215"/>
      <w:bookmarkEnd w:id="216"/>
      <w:bookmarkEnd w:id="217"/>
      <w:bookmarkEnd w:id="218"/>
      <w:bookmarkEnd w:id="219"/>
      <w:bookmarkEnd w:id="220"/>
      <w:bookmarkEnd w:id="221"/>
      <w:bookmarkEnd w:id="222"/>
      <w:r>
        <w:rPr>
          <w:rFonts w:hint="eastAsia" w:ascii="仿宋" w:hAnsi="仿宋" w:eastAsia="仿宋" w:cs="宋体"/>
          <w:color w:val="auto"/>
          <w:highlight w:val="none"/>
          <w:lang w:val="zh-CN"/>
        </w:rPr>
        <w:t>拟配备人员一览表</w:t>
      </w:r>
    </w:p>
    <w:p>
      <w:pPr>
        <w:spacing w:line="360" w:lineRule="auto"/>
        <w:ind w:firstLine="360" w:firstLineChars="150"/>
        <w:rPr>
          <w:rFonts w:hint="eastAsia" w:ascii="仿宋" w:hAnsi="仿宋" w:eastAsia="仿宋" w:cs="仿宋"/>
          <w:bCs/>
          <w:color w:val="auto"/>
          <w:kern w:val="2"/>
          <w:highlight w:val="none"/>
          <w:lang w:val="zh-CN"/>
        </w:rPr>
      </w:pPr>
      <w:bookmarkStart w:id="223" w:name="_Toc16615"/>
      <w:bookmarkStart w:id="224" w:name="_Toc17801"/>
      <w:bookmarkStart w:id="225" w:name="_Toc25911"/>
      <w:bookmarkStart w:id="226" w:name="_Toc4286"/>
      <w:bookmarkStart w:id="227" w:name="_Toc22255"/>
      <w:bookmarkStart w:id="228" w:name="_Toc30677"/>
      <w:bookmarkStart w:id="229" w:name="_Toc14814"/>
      <w:bookmarkStart w:id="230" w:name="_Toc165"/>
      <w:r>
        <w:rPr>
          <w:rFonts w:hint="eastAsia" w:ascii="仿宋" w:hAnsi="仿宋" w:eastAsia="仿宋" w:cs="仿宋"/>
          <w:bCs/>
          <w:color w:val="auto"/>
          <w:kern w:val="2"/>
          <w:highlight w:val="none"/>
          <w:lang w:val="zh-CN"/>
        </w:rPr>
        <w:t>八、商务条款偏离说明表</w:t>
      </w:r>
      <w:bookmarkEnd w:id="223"/>
      <w:bookmarkEnd w:id="224"/>
      <w:bookmarkEnd w:id="225"/>
      <w:bookmarkEnd w:id="226"/>
      <w:bookmarkEnd w:id="227"/>
      <w:bookmarkEnd w:id="228"/>
      <w:bookmarkEnd w:id="229"/>
      <w:bookmarkEnd w:id="230"/>
    </w:p>
    <w:p>
      <w:pPr>
        <w:spacing w:line="360" w:lineRule="auto"/>
        <w:ind w:firstLine="360" w:firstLineChars="150"/>
        <w:rPr>
          <w:rFonts w:hint="eastAsia" w:ascii="仿宋" w:hAnsi="仿宋" w:eastAsia="仿宋" w:cs="仿宋"/>
          <w:bCs/>
          <w:color w:val="auto"/>
          <w:kern w:val="2"/>
          <w:highlight w:val="none"/>
        </w:rPr>
      </w:pPr>
      <w:bookmarkStart w:id="231" w:name="_Toc26162"/>
      <w:bookmarkStart w:id="232" w:name="_Toc25968"/>
      <w:bookmarkStart w:id="233" w:name="_Toc19552"/>
      <w:bookmarkStart w:id="234" w:name="_Toc15606"/>
      <w:bookmarkStart w:id="235" w:name="_Toc13876"/>
      <w:bookmarkStart w:id="236" w:name="_Toc7920"/>
      <w:bookmarkStart w:id="237" w:name="_Toc12003"/>
      <w:bookmarkStart w:id="238" w:name="_Toc14918"/>
      <w:r>
        <w:rPr>
          <w:rFonts w:hint="eastAsia" w:ascii="仿宋" w:hAnsi="仿宋" w:eastAsia="仿宋" w:cs="仿宋"/>
          <w:bCs/>
          <w:color w:val="auto"/>
          <w:kern w:val="2"/>
          <w:highlight w:val="none"/>
          <w:lang w:val="zh-CN"/>
        </w:rPr>
        <w:t>九、技术文件</w:t>
      </w:r>
      <w:bookmarkEnd w:id="231"/>
      <w:bookmarkEnd w:id="232"/>
      <w:bookmarkEnd w:id="233"/>
      <w:bookmarkEnd w:id="234"/>
      <w:bookmarkEnd w:id="235"/>
      <w:bookmarkEnd w:id="236"/>
      <w:bookmarkEnd w:id="237"/>
      <w:bookmarkEnd w:id="238"/>
    </w:p>
    <w:p>
      <w:pPr>
        <w:spacing w:line="360" w:lineRule="auto"/>
        <w:ind w:firstLine="360" w:firstLineChars="150"/>
        <w:rPr>
          <w:rFonts w:hint="eastAsia" w:ascii="仿宋" w:hAnsi="仿宋" w:eastAsia="仿宋" w:cs="仿宋"/>
          <w:bCs/>
          <w:color w:val="auto"/>
          <w:kern w:val="2"/>
          <w:highlight w:val="none"/>
          <w:lang w:val="zh-CN"/>
        </w:rPr>
      </w:pPr>
      <w:bookmarkStart w:id="239" w:name="_Toc11540"/>
      <w:bookmarkStart w:id="240" w:name="_Toc10388"/>
      <w:bookmarkStart w:id="241" w:name="_Toc9689"/>
      <w:bookmarkStart w:id="242" w:name="_Toc31272"/>
      <w:bookmarkStart w:id="243" w:name="_Toc3780"/>
      <w:bookmarkStart w:id="244" w:name="_Toc31412"/>
      <w:bookmarkStart w:id="245" w:name="_Toc31453"/>
      <w:bookmarkStart w:id="246" w:name="_Toc21841"/>
      <w:r>
        <w:rPr>
          <w:rFonts w:hint="eastAsia" w:ascii="仿宋" w:hAnsi="仿宋" w:eastAsia="仿宋" w:cs="仿宋"/>
          <w:bCs/>
          <w:color w:val="auto"/>
          <w:kern w:val="2"/>
          <w:highlight w:val="none"/>
          <w:lang w:val="zh-CN"/>
        </w:rPr>
        <w:t>十、技术条款偏离表</w:t>
      </w:r>
      <w:bookmarkEnd w:id="239"/>
      <w:bookmarkEnd w:id="240"/>
      <w:bookmarkEnd w:id="241"/>
      <w:bookmarkEnd w:id="242"/>
      <w:bookmarkEnd w:id="243"/>
      <w:bookmarkEnd w:id="244"/>
      <w:bookmarkEnd w:id="245"/>
      <w:bookmarkEnd w:id="246"/>
    </w:p>
    <w:p>
      <w:pPr>
        <w:spacing w:line="360" w:lineRule="auto"/>
        <w:ind w:firstLine="360" w:firstLineChars="150"/>
        <w:rPr>
          <w:rFonts w:hint="eastAsia" w:ascii="仿宋" w:hAnsi="仿宋" w:eastAsia="仿宋" w:cs="仿宋"/>
          <w:bCs/>
          <w:color w:val="auto"/>
          <w:kern w:val="2"/>
          <w:highlight w:val="none"/>
          <w:lang w:val="zh-CN"/>
        </w:rPr>
      </w:pPr>
      <w:bookmarkStart w:id="247" w:name="_Toc14173"/>
      <w:bookmarkStart w:id="248" w:name="_Toc8188"/>
      <w:bookmarkStart w:id="249" w:name="_Toc15121"/>
      <w:bookmarkStart w:id="250" w:name="_Toc23342"/>
      <w:bookmarkStart w:id="251" w:name="_Toc29918"/>
      <w:bookmarkStart w:id="252" w:name="_Toc14668"/>
      <w:bookmarkStart w:id="253" w:name="_Toc8707"/>
      <w:bookmarkStart w:id="254" w:name="_Toc2416"/>
      <w:r>
        <w:rPr>
          <w:rFonts w:hint="eastAsia" w:ascii="仿宋" w:hAnsi="仿宋" w:eastAsia="仿宋" w:cs="仿宋"/>
          <w:bCs/>
          <w:color w:val="auto"/>
          <w:kern w:val="2"/>
          <w:highlight w:val="none"/>
          <w:lang w:val="zh-CN"/>
        </w:rPr>
        <w:t>十</w:t>
      </w:r>
      <w:r>
        <w:rPr>
          <w:rFonts w:hint="eastAsia" w:ascii="仿宋" w:hAnsi="仿宋" w:eastAsia="仿宋" w:cs="仿宋"/>
          <w:bCs/>
          <w:color w:val="auto"/>
          <w:kern w:val="2"/>
          <w:highlight w:val="none"/>
        </w:rPr>
        <w:t>一</w:t>
      </w:r>
      <w:r>
        <w:rPr>
          <w:rFonts w:hint="eastAsia" w:ascii="仿宋" w:hAnsi="仿宋" w:eastAsia="仿宋" w:cs="仿宋"/>
          <w:bCs/>
          <w:color w:val="auto"/>
          <w:kern w:val="2"/>
          <w:highlight w:val="none"/>
          <w:lang w:val="zh-CN"/>
        </w:rPr>
        <w:t>、其他材料</w:t>
      </w:r>
      <w:bookmarkEnd w:id="247"/>
      <w:bookmarkEnd w:id="248"/>
      <w:bookmarkEnd w:id="249"/>
      <w:bookmarkEnd w:id="250"/>
      <w:bookmarkEnd w:id="251"/>
      <w:bookmarkEnd w:id="252"/>
      <w:bookmarkEnd w:id="253"/>
      <w:bookmarkEnd w:id="254"/>
    </w:p>
    <w:p>
      <w:pPr>
        <w:pStyle w:val="36"/>
        <w:adjustRightInd w:val="0"/>
        <w:snapToGrid w:val="0"/>
        <w:spacing w:line="360" w:lineRule="auto"/>
        <w:ind w:firstLine="480" w:firstLineChars="200"/>
        <w:jc w:val="both"/>
        <w:rPr>
          <w:rFonts w:hint="eastAsia" w:ascii="仿宋" w:hAnsi="仿宋" w:eastAsia="仿宋" w:cs="仿宋"/>
          <w:b w:val="0"/>
          <w:bCs/>
          <w:color w:val="auto"/>
          <w:kern w:val="2"/>
          <w:sz w:val="24"/>
          <w:highlight w:val="none"/>
        </w:rPr>
      </w:pPr>
    </w:p>
    <w:p>
      <w:pPr>
        <w:pStyle w:val="36"/>
        <w:adjustRightInd w:val="0"/>
        <w:snapToGrid w:val="0"/>
        <w:spacing w:line="360" w:lineRule="auto"/>
        <w:ind w:firstLine="480" w:firstLineChars="200"/>
        <w:jc w:val="both"/>
        <w:rPr>
          <w:rFonts w:hint="eastAsia" w:ascii="仿宋" w:hAnsi="仿宋" w:eastAsia="仿宋" w:cs="仿宋"/>
          <w:b w:val="0"/>
          <w:bCs/>
          <w:color w:val="auto"/>
          <w:kern w:val="2"/>
          <w:sz w:val="24"/>
          <w:highlight w:val="none"/>
        </w:rPr>
      </w:pPr>
    </w:p>
    <w:p>
      <w:pPr>
        <w:pStyle w:val="36"/>
        <w:adjustRightInd w:val="0"/>
        <w:snapToGrid w:val="0"/>
        <w:spacing w:line="360" w:lineRule="auto"/>
        <w:ind w:firstLine="482" w:firstLineChars="200"/>
        <w:jc w:val="both"/>
        <w:rPr>
          <w:rFonts w:hint="eastAsia" w:ascii="仿宋" w:hAnsi="仿宋" w:eastAsia="仿宋" w:cs="仿宋"/>
          <w:color w:val="auto"/>
          <w:kern w:val="2"/>
          <w:sz w:val="24"/>
          <w:highlight w:val="none"/>
        </w:rPr>
      </w:pPr>
      <w:r>
        <w:rPr>
          <w:rFonts w:hint="eastAsia" w:ascii="仿宋" w:hAnsi="仿宋" w:eastAsia="仿宋" w:cs="仿宋"/>
          <w:color w:val="auto"/>
          <w:kern w:val="2"/>
          <w:sz w:val="24"/>
          <w:highlight w:val="none"/>
        </w:rPr>
        <w:t>注：格式自拟，包括但不限于上述内容，必须注明页码</w:t>
      </w:r>
      <w:bookmarkEnd w:id="171"/>
      <w:bookmarkEnd w:id="172"/>
      <w:bookmarkEnd w:id="173"/>
      <w:bookmarkEnd w:id="174"/>
    </w:p>
    <w:p>
      <w:pPr>
        <w:spacing w:line="360" w:lineRule="auto"/>
        <w:ind w:firstLine="361" w:firstLineChars="150"/>
        <w:rPr>
          <w:rFonts w:hint="eastAsia" w:ascii="仿宋" w:hAnsi="仿宋" w:eastAsia="仿宋" w:cs="仿宋"/>
          <w:b/>
          <w:color w:val="auto"/>
          <w:highlight w:val="none"/>
        </w:rPr>
      </w:pPr>
    </w:p>
    <w:p>
      <w:pPr>
        <w:pStyle w:val="5"/>
        <w:ind w:firstLine="422"/>
        <w:rPr>
          <w:rFonts w:hint="eastAsia" w:ascii="仿宋" w:hAnsi="仿宋" w:eastAsia="仿宋" w:cs="仿宋"/>
          <w:b/>
          <w:color w:val="auto"/>
          <w:highlight w:val="none"/>
        </w:rPr>
      </w:pPr>
    </w:p>
    <w:p>
      <w:pPr>
        <w:rPr>
          <w:rFonts w:hint="eastAsia" w:ascii="仿宋" w:hAnsi="仿宋" w:eastAsia="仿宋" w:cs="仿宋"/>
          <w:b/>
          <w:color w:val="auto"/>
          <w:highlight w:val="none"/>
        </w:rPr>
      </w:pPr>
    </w:p>
    <w:p>
      <w:pPr>
        <w:pStyle w:val="5"/>
        <w:ind w:firstLine="422"/>
        <w:rPr>
          <w:rFonts w:hint="eastAsia" w:ascii="仿宋" w:hAnsi="仿宋" w:eastAsia="仿宋" w:cs="仿宋"/>
          <w:b/>
          <w:color w:val="auto"/>
          <w:highlight w:val="none"/>
        </w:rPr>
      </w:pPr>
    </w:p>
    <w:p>
      <w:pPr>
        <w:rPr>
          <w:rFonts w:hint="eastAsia" w:ascii="仿宋" w:hAnsi="仿宋" w:eastAsia="仿宋" w:cs="仿宋"/>
          <w:b/>
          <w:color w:val="auto"/>
          <w:highlight w:val="none"/>
        </w:rPr>
      </w:pPr>
    </w:p>
    <w:p>
      <w:pPr>
        <w:pStyle w:val="5"/>
        <w:ind w:firstLine="422"/>
        <w:rPr>
          <w:rFonts w:hint="eastAsia" w:ascii="仿宋" w:hAnsi="仿宋" w:eastAsia="仿宋" w:cs="仿宋"/>
          <w:b/>
          <w:color w:val="auto"/>
          <w:highlight w:val="none"/>
        </w:rPr>
      </w:pPr>
    </w:p>
    <w:p>
      <w:pPr>
        <w:rPr>
          <w:rFonts w:hint="eastAsia" w:ascii="仿宋" w:hAnsi="仿宋" w:eastAsia="仿宋" w:cs="仿宋"/>
          <w:b/>
          <w:color w:val="auto"/>
          <w:highlight w:val="none"/>
        </w:rPr>
      </w:pPr>
    </w:p>
    <w:p>
      <w:pPr>
        <w:pStyle w:val="5"/>
        <w:ind w:firstLine="422"/>
        <w:rPr>
          <w:rFonts w:hint="eastAsia" w:ascii="仿宋" w:hAnsi="仿宋" w:eastAsia="仿宋" w:cs="仿宋"/>
          <w:b/>
          <w:color w:val="auto"/>
          <w:highlight w:val="none"/>
        </w:rPr>
      </w:pPr>
    </w:p>
    <w:p>
      <w:pPr>
        <w:rPr>
          <w:color w:val="auto"/>
          <w:highlight w:val="none"/>
        </w:rPr>
      </w:pPr>
    </w:p>
    <w:p>
      <w:pPr>
        <w:pageBreakBefore/>
        <w:snapToGrid w:val="0"/>
        <w:spacing w:line="360" w:lineRule="auto"/>
        <w:jc w:val="center"/>
        <w:rPr>
          <w:rFonts w:hint="eastAsia" w:ascii="仿宋" w:hAnsi="仿宋" w:eastAsia="仿宋" w:cs="仿宋"/>
          <w:b/>
          <w:color w:val="auto"/>
          <w:sz w:val="28"/>
          <w:szCs w:val="28"/>
          <w:highlight w:val="none"/>
        </w:rPr>
      </w:pPr>
      <w:bookmarkStart w:id="255" w:name="_Toc25022"/>
      <w:bookmarkStart w:id="256" w:name="_Toc14206"/>
      <w:bookmarkStart w:id="257" w:name="_Toc27215"/>
      <w:bookmarkStart w:id="258" w:name="_Toc3557"/>
      <w:bookmarkStart w:id="259" w:name="_Toc13743"/>
      <w:bookmarkStart w:id="260" w:name="_Toc26835"/>
      <w:bookmarkStart w:id="261" w:name="_Toc3890"/>
      <w:bookmarkStart w:id="262" w:name="_Toc10970"/>
      <w:bookmarkStart w:id="263" w:name="_Toc25376"/>
      <w:bookmarkStart w:id="264" w:name="_Toc22061"/>
      <w:bookmarkStart w:id="265" w:name="_Toc3269"/>
      <w:bookmarkStart w:id="266" w:name="_Toc17935"/>
      <w:bookmarkStart w:id="267" w:name="_Toc8360"/>
      <w:r>
        <w:rPr>
          <w:rFonts w:hint="eastAsia" w:ascii="仿宋" w:hAnsi="仿宋" w:eastAsia="仿宋" w:cs="仿宋"/>
          <w:b/>
          <w:color w:val="auto"/>
          <w:sz w:val="28"/>
          <w:szCs w:val="28"/>
          <w:highlight w:val="none"/>
        </w:rPr>
        <w:t>一、投标函</w:t>
      </w:r>
      <w:bookmarkEnd w:id="255"/>
      <w:bookmarkEnd w:id="256"/>
      <w:bookmarkEnd w:id="257"/>
      <w:bookmarkEnd w:id="258"/>
      <w:bookmarkEnd w:id="259"/>
      <w:bookmarkEnd w:id="260"/>
      <w:bookmarkEnd w:id="261"/>
      <w:bookmarkEnd w:id="262"/>
      <w:bookmarkEnd w:id="263"/>
      <w:bookmarkEnd w:id="264"/>
      <w:bookmarkEnd w:id="265"/>
      <w:bookmarkEnd w:id="266"/>
      <w:bookmarkEnd w:id="267"/>
    </w:p>
    <w:p>
      <w:pPr>
        <w:pStyle w:val="37"/>
        <w:widowControl/>
        <w:adjustRightInd w:val="0"/>
        <w:snapToGrid w:val="0"/>
        <w:spacing w:line="360" w:lineRule="auto"/>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（采购人）：</w:t>
      </w:r>
    </w:p>
    <w:p>
      <w:pPr>
        <w:pStyle w:val="37"/>
        <w:widowControl/>
        <w:adjustRightInd w:val="0"/>
        <w:snapToGrid w:val="0"/>
        <w:spacing w:line="360" w:lineRule="auto"/>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（采购代理机构）：</w:t>
      </w:r>
    </w:p>
    <w:p>
      <w:pPr>
        <w:pStyle w:val="37"/>
        <w:widowControl/>
        <w:adjustRightInd w:val="0"/>
        <w:snapToGrid w:val="0"/>
        <w:spacing w:line="360" w:lineRule="auto"/>
        <w:ind w:left="0" w:leftChars="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(投标人名称)授权</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(投标人委托代理人姓名)</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(职务)为我方代表，参加贵方组织的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(项目名称、项目编号)招标的有关活动，并对此项目进行投标。为此：</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1、我方同意在本项目招标文件中规定的投标有效期内遵守本投标文件中的承诺且在此期限期满之前均具有约束力。</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2、我方承诺已经具备《中华人民共和国政府采购法》中规定的参加政府采购活动的投标人应当具备的条件：</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2）具有良好的商业信誉和健全的财务会计制度；</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5）参加此项采购活动前三年内，在经营活动中没有重大违法记录；</w:t>
      </w:r>
    </w:p>
    <w:p>
      <w:pPr>
        <w:pStyle w:val="37"/>
        <w:widowControl/>
        <w:adjustRightInd w:val="0"/>
        <w:snapToGrid w:val="0"/>
        <w:spacing w:line="360" w:lineRule="auto"/>
        <w:ind w:left="0" w:leftChars="0" w:firstLine="480" w:firstLineChars="200"/>
        <w:rPr>
          <w:color w:val="auto"/>
          <w:highlight w:val="none"/>
        </w:rPr>
      </w:pPr>
      <w:r>
        <w:rPr>
          <w:rFonts w:hint="eastAsia" w:ascii="仿宋" w:hAnsi="仿宋" w:eastAsia="仿宋" w:cs="仿宋"/>
          <w:color w:val="auto"/>
          <w:sz w:val="24"/>
          <w:highlight w:val="none"/>
        </w:rPr>
        <w:t>6）法律、行政法规规定的其他条件。</w:t>
      </w:r>
    </w:p>
    <w:p>
      <w:pPr>
        <w:pStyle w:val="38"/>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3、提供投标人须知规定的全部投标文件。</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4、我方承诺：保证在与业主签订合同后立即开展工作，非业主原因，我方保证合同履约期限为：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，投标有效期为：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，交货地点：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5、我方承诺：完全确满足和响应招标文件中的各项技术和服务要求，若有偏差，已在投标文件偏离表中予以明特别说明。</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6.我方承诺：与在本项目中设计编制技术规格的机构及其附属机构无任何直接隶属关系和利益关联。</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7、保证忠实地执行双方所签订的合同，并承担合同规定的责任和义务。</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我方承诺：投标文件所提供的一切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pPr>
        <w:pStyle w:val="38"/>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9、我方承诺：采购人若需追加采购本项目招标文件所列服务的，在不改变合同其他实质性条款的前提下，按合同相关服务条款保证提供服务。</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10、我方承诺：接受招标文件中的全部条款且无任何异议，保证遵守招标文件的规定。</w:t>
      </w:r>
    </w:p>
    <w:p>
      <w:pPr>
        <w:pStyle w:val="38"/>
        <w:adjustRightInd w:val="0"/>
        <w:snapToGrid w:val="0"/>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11、完全理解投标报价若未响应招标文件要求时，投标将被拒绝。</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12、如果在开标后规定的投标有效期内撤回投标，我方的投标保证金可被贵方没收。</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13、我方完全理解贵方不一定接受最低价的投标或收到的任何投标。</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14、我方已详细审核全部投标文件，包括投标文件修改书（如有的话）、参考资料及有关附件，确认无误。</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15、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1）提供虚假材料谋取中标、成交的；</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2）采取不正当手段诋毁、排挤其他投标人的；</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3）与采购人、其他投标人或者采购代理机构工作人员恶意串通的；</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4）向采购人、采购代理机构工作人员行贿或者提供其他不正当利益的；</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5）在采购过程中与采购人进行协商谈判的；</w:t>
      </w:r>
    </w:p>
    <w:p>
      <w:pPr>
        <w:pStyle w:val="37"/>
        <w:widowControl/>
        <w:adjustRightInd w:val="0"/>
        <w:snapToGrid w:val="0"/>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6）拒绝有关部门监督检查或提供虚假情况的。</w:t>
      </w:r>
    </w:p>
    <w:p>
      <w:pPr>
        <w:pStyle w:val="37"/>
        <w:widowControl/>
        <w:adjustRightInd w:val="0"/>
        <w:snapToGrid w:val="0"/>
        <w:spacing w:line="360" w:lineRule="auto"/>
        <w:ind w:left="115" w:leftChars="48" w:firstLine="361" w:firstLineChars="150"/>
        <w:rPr>
          <w:rFonts w:hint="eastAsia" w:ascii="仿宋" w:hAnsi="仿宋" w:eastAsia="仿宋" w:cs="仿宋"/>
          <w:b/>
          <w:color w:val="auto"/>
          <w:sz w:val="24"/>
          <w:highlight w:val="none"/>
        </w:rPr>
      </w:pP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投标人名称：</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(盖章)</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法定代表人或委托代理人：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(签字或盖章)</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kern w:val="0"/>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kern w:val="0"/>
          <w:sz w:val="24"/>
          <w:szCs w:val="24"/>
          <w:highlight w:val="none"/>
        </w:rPr>
        <w:t>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kern w:val="0"/>
          <w:sz w:val="24"/>
          <w:szCs w:val="24"/>
          <w:highlight w:val="none"/>
        </w:rPr>
        <w:t>日</w:t>
      </w:r>
    </w:p>
    <w:p>
      <w:pPr>
        <w:pStyle w:val="37"/>
        <w:widowControl/>
        <w:adjustRightInd w:val="0"/>
        <w:snapToGrid w:val="0"/>
        <w:spacing w:line="360" w:lineRule="auto"/>
        <w:ind w:left="0" w:leftChars="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说明：除可填报项目外，对本投标函的任何修改将被视为非实质性响应投标，从而导致该投标被拒绝。</w:t>
      </w:r>
    </w:p>
    <w:p>
      <w:pPr>
        <w:rPr>
          <w:rFonts w:hint="eastAsia" w:ascii="仿宋" w:hAnsi="仿宋" w:eastAsia="仿宋" w:cs="仿宋_GB2312"/>
          <w:color w:val="auto"/>
          <w:szCs w:val="21"/>
          <w:highlight w:val="none"/>
        </w:rPr>
      </w:pPr>
    </w:p>
    <w:p>
      <w:pPr>
        <w:jc w:val="center"/>
        <w:rPr>
          <w:rFonts w:hint="eastAsia" w:ascii="仿宋" w:hAnsi="仿宋" w:eastAsia="仿宋"/>
          <w:b/>
          <w:bCs/>
          <w:color w:val="auto"/>
          <w:sz w:val="32"/>
          <w:szCs w:val="32"/>
          <w:highlight w:val="none"/>
        </w:rPr>
      </w:pPr>
      <w:bookmarkStart w:id="268" w:name="_Toc514163725"/>
      <w:bookmarkStart w:id="269" w:name="_Toc514163612"/>
    </w:p>
    <w:p>
      <w:pPr>
        <w:jc w:val="center"/>
        <w:rPr>
          <w:rFonts w:hint="eastAsia" w:ascii="仿宋" w:hAnsi="仿宋" w:eastAsia="仿宋"/>
          <w:b/>
          <w:bCs/>
          <w:color w:val="auto"/>
          <w:sz w:val="32"/>
          <w:szCs w:val="32"/>
          <w:highlight w:val="none"/>
        </w:rPr>
      </w:pPr>
    </w:p>
    <w:p>
      <w:pPr>
        <w:jc w:val="center"/>
        <w:rPr>
          <w:rFonts w:hint="eastAsia" w:ascii="仿宋" w:hAnsi="仿宋" w:eastAsia="仿宋"/>
          <w:b/>
          <w:bCs/>
          <w:color w:val="auto"/>
          <w:sz w:val="32"/>
          <w:szCs w:val="32"/>
          <w:highlight w:val="none"/>
        </w:rPr>
      </w:pPr>
    </w:p>
    <w:p>
      <w:pPr>
        <w:jc w:val="center"/>
        <w:rPr>
          <w:rFonts w:hint="eastAsia" w:ascii="仿宋" w:hAnsi="仿宋" w:eastAsia="仿宋"/>
          <w:b/>
          <w:bCs/>
          <w:color w:val="auto"/>
          <w:sz w:val="32"/>
          <w:szCs w:val="32"/>
          <w:highlight w:val="none"/>
        </w:rPr>
      </w:pPr>
    </w:p>
    <w:bookmarkEnd w:id="268"/>
    <w:bookmarkEnd w:id="269"/>
    <w:p>
      <w:pPr>
        <w:pageBreakBefore/>
        <w:snapToGrid w:val="0"/>
        <w:spacing w:line="360" w:lineRule="auto"/>
        <w:jc w:val="center"/>
        <w:rPr>
          <w:rFonts w:hint="eastAsia" w:ascii="仿宋" w:hAnsi="仿宋" w:eastAsia="仿宋" w:cs="仿宋"/>
          <w:b/>
          <w:color w:val="auto"/>
          <w:sz w:val="28"/>
          <w:szCs w:val="28"/>
          <w:highlight w:val="none"/>
        </w:rPr>
      </w:pPr>
      <w:bookmarkStart w:id="270" w:name="_Toc18238"/>
      <w:bookmarkStart w:id="271" w:name="_Toc6979"/>
      <w:bookmarkStart w:id="272" w:name="_Toc8716"/>
      <w:bookmarkStart w:id="273" w:name="_Toc26784"/>
      <w:bookmarkStart w:id="274" w:name="_Toc32193"/>
      <w:bookmarkStart w:id="275" w:name="_Toc19025"/>
      <w:bookmarkStart w:id="276" w:name="_Toc23808"/>
      <w:bookmarkStart w:id="277" w:name="_Toc17340"/>
      <w:bookmarkStart w:id="278" w:name="_Toc3544"/>
      <w:bookmarkStart w:id="279" w:name="_Toc26436"/>
      <w:bookmarkStart w:id="280" w:name="_Toc12435"/>
      <w:bookmarkStart w:id="281" w:name="_Toc488"/>
      <w:bookmarkStart w:id="282" w:name="_Toc14285"/>
      <w:bookmarkStart w:id="283" w:name="_Toc514163726"/>
      <w:bookmarkStart w:id="284" w:name="_Toc514163613"/>
      <w:r>
        <w:rPr>
          <w:rFonts w:hint="eastAsia" w:ascii="仿宋" w:hAnsi="仿宋" w:eastAsia="仿宋" w:cs="仿宋"/>
          <w:b/>
          <w:color w:val="auto"/>
          <w:sz w:val="28"/>
          <w:szCs w:val="28"/>
          <w:highlight w:val="none"/>
        </w:rPr>
        <w:t>二、法定代表人资格证明书及授权委托书</w:t>
      </w:r>
      <w:bookmarkEnd w:id="270"/>
      <w:bookmarkEnd w:id="271"/>
      <w:bookmarkEnd w:id="272"/>
      <w:bookmarkEnd w:id="273"/>
      <w:bookmarkEnd w:id="274"/>
      <w:bookmarkEnd w:id="275"/>
      <w:bookmarkEnd w:id="276"/>
      <w:bookmarkEnd w:id="277"/>
      <w:bookmarkEnd w:id="278"/>
      <w:bookmarkEnd w:id="279"/>
      <w:bookmarkEnd w:id="280"/>
      <w:bookmarkEnd w:id="281"/>
      <w:bookmarkEnd w:id="282"/>
    </w:p>
    <w:p>
      <w:pPr>
        <w:snapToGrid w:val="0"/>
        <w:spacing w:line="360" w:lineRule="auto"/>
        <w:jc w:val="center"/>
        <w:rPr>
          <w:rFonts w:hint="eastAsia" w:ascii="仿宋" w:hAnsi="仿宋" w:eastAsia="仿宋" w:cs="仿宋"/>
          <w:b/>
          <w:color w:val="auto"/>
          <w:sz w:val="28"/>
          <w:szCs w:val="28"/>
          <w:highlight w:val="none"/>
        </w:rPr>
      </w:pPr>
      <w:bookmarkStart w:id="285" w:name="_Toc480371721"/>
      <w:bookmarkStart w:id="286" w:name="_Toc480368595"/>
      <w:bookmarkStart w:id="287" w:name="_Toc480368653"/>
      <w:bookmarkStart w:id="288" w:name="_Toc480368424"/>
      <w:bookmarkStart w:id="289" w:name="_Toc5401"/>
      <w:bookmarkStart w:id="290" w:name="_Toc18836"/>
      <w:bookmarkStart w:id="291" w:name="_Toc12348"/>
      <w:bookmarkStart w:id="292" w:name="_Toc25553"/>
      <w:bookmarkStart w:id="293" w:name="_Toc12445"/>
      <w:r>
        <w:rPr>
          <w:rFonts w:hint="eastAsia" w:ascii="仿宋" w:hAnsi="仿宋" w:eastAsia="仿宋" w:cs="仿宋"/>
          <w:b/>
          <w:color w:val="auto"/>
          <w:sz w:val="28"/>
          <w:szCs w:val="28"/>
          <w:highlight w:val="none"/>
        </w:rPr>
        <w:t>法定代表人资格证明</w:t>
      </w:r>
      <w:bookmarkEnd w:id="285"/>
      <w:bookmarkEnd w:id="286"/>
      <w:bookmarkEnd w:id="287"/>
      <w:bookmarkEnd w:id="288"/>
      <w:r>
        <w:rPr>
          <w:rFonts w:hint="eastAsia" w:ascii="仿宋" w:hAnsi="仿宋" w:eastAsia="仿宋" w:cs="仿宋"/>
          <w:b/>
          <w:color w:val="auto"/>
          <w:sz w:val="28"/>
          <w:szCs w:val="28"/>
          <w:highlight w:val="none"/>
        </w:rPr>
        <w:t>书</w:t>
      </w:r>
      <w:bookmarkEnd w:id="289"/>
      <w:bookmarkEnd w:id="290"/>
      <w:bookmarkEnd w:id="291"/>
      <w:bookmarkEnd w:id="292"/>
      <w:bookmarkEnd w:id="293"/>
    </w:p>
    <w:p>
      <w:pPr>
        <w:pStyle w:val="41"/>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（代理机构名称）</w:t>
      </w:r>
      <w:r>
        <w:rPr>
          <w:rFonts w:hint="eastAsia" w:ascii="仿宋" w:hAnsi="仿宋" w:eastAsia="仿宋" w:cs="仿宋"/>
          <w:color w:val="auto"/>
          <w:sz w:val="24"/>
          <w:szCs w:val="24"/>
          <w:highlight w:val="none"/>
        </w:rPr>
        <w:t>：</w:t>
      </w:r>
    </w:p>
    <w:p>
      <w:pPr>
        <w:pStyle w:val="4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兹有</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公司法定代表人，代表我公司办理一切社会公务事宜，具有法律效力。 </w:t>
      </w:r>
    </w:p>
    <w:p>
      <w:pPr>
        <w:pStyle w:val="4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附法定代表人基本情况： </w:t>
      </w:r>
    </w:p>
    <w:p>
      <w:pPr>
        <w:pStyle w:val="4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姓名：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性别：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年龄：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职务： </w:t>
      </w:r>
      <w:r>
        <w:rPr>
          <w:rFonts w:hint="eastAsia" w:ascii="仿宋" w:hAnsi="仿宋" w:eastAsia="仿宋" w:cs="仿宋"/>
          <w:color w:val="auto"/>
          <w:sz w:val="24"/>
          <w:szCs w:val="24"/>
          <w:highlight w:val="none"/>
          <w:u w:val="single"/>
        </w:rPr>
        <w:t xml:space="preserve">         </w:t>
      </w:r>
    </w:p>
    <w:p>
      <w:pPr>
        <w:pStyle w:val="4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p>
    <w:p>
      <w:pPr>
        <w:pStyle w:val="4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通讯地址：</w:t>
      </w:r>
      <w:r>
        <w:rPr>
          <w:rFonts w:hint="eastAsia" w:ascii="仿宋" w:hAnsi="仿宋" w:eastAsia="仿宋" w:cs="仿宋"/>
          <w:color w:val="auto"/>
          <w:sz w:val="24"/>
          <w:szCs w:val="24"/>
          <w:highlight w:val="none"/>
          <w:u w:val="single"/>
        </w:rPr>
        <w:t xml:space="preserve">                      </w:t>
      </w:r>
    </w:p>
    <w:p>
      <w:pPr>
        <w:pStyle w:val="41"/>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电话号码：</w:t>
      </w:r>
      <w:r>
        <w:rPr>
          <w:rFonts w:hint="eastAsia" w:ascii="仿宋" w:hAnsi="仿宋" w:eastAsia="仿宋" w:cs="仿宋"/>
          <w:color w:val="auto"/>
          <w:sz w:val="24"/>
          <w:szCs w:val="24"/>
          <w:highlight w:val="none"/>
          <w:u w:val="single"/>
        </w:rPr>
        <w:t xml:space="preserve">                      </w:t>
      </w:r>
    </w:p>
    <w:p>
      <w:pPr>
        <w:pStyle w:val="4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pPr>
        <w:pStyle w:val="41"/>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tbl>
      <w:tblPr>
        <w:tblStyle w:val="20"/>
        <w:tblW w:w="7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5" w:hRule="atLeast"/>
          <w:jc w:val="center"/>
        </w:trPr>
        <w:tc>
          <w:tcPr>
            <w:tcW w:w="7886" w:type="dxa"/>
            <w:tcBorders>
              <w:top w:val="single" w:color="auto" w:sz="4" w:space="0"/>
              <w:left w:val="single" w:color="auto" w:sz="4" w:space="0"/>
              <w:bottom w:val="single" w:color="auto" w:sz="4" w:space="0"/>
              <w:right w:val="single" w:color="auto" w:sz="4" w:space="0"/>
            </w:tcBorders>
          </w:tcPr>
          <w:p>
            <w:pPr>
              <w:pStyle w:val="41"/>
              <w:adjustRightInd w:val="0"/>
              <w:snapToGrid w:val="0"/>
              <w:spacing w:line="360" w:lineRule="auto"/>
              <w:jc w:val="center"/>
              <w:rPr>
                <w:rFonts w:hint="eastAsia" w:ascii="仿宋" w:hAnsi="仿宋" w:eastAsia="仿宋" w:cs="仿宋"/>
                <w:color w:val="auto"/>
                <w:sz w:val="24"/>
                <w:szCs w:val="24"/>
                <w:highlight w:val="none"/>
              </w:rPr>
            </w:pPr>
          </w:p>
          <w:p>
            <w:pPr>
              <w:pStyle w:val="41"/>
              <w:adjustRightInd w:val="0"/>
              <w:snapToGrid w:val="0"/>
              <w:spacing w:line="360" w:lineRule="auto"/>
              <w:jc w:val="center"/>
              <w:rPr>
                <w:rFonts w:hint="eastAsia" w:ascii="仿宋" w:hAnsi="仿宋" w:eastAsia="仿宋" w:cs="仿宋"/>
                <w:color w:val="auto"/>
                <w:sz w:val="24"/>
                <w:szCs w:val="24"/>
                <w:highlight w:val="none"/>
              </w:rPr>
            </w:pPr>
          </w:p>
          <w:p>
            <w:pPr>
              <w:pStyle w:val="41"/>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法定代表人《居民身份证》复印件正反面</w:t>
            </w:r>
          </w:p>
        </w:tc>
      </w:tr>
    </w:tbl>
    <w:p>
      <w:pPr>
        <w:pStyle w:val="41"/>
        <w:adjustRightInd w:val="0"/>
        <w:snapToGrid w:val="0"/>
        <w:spacing w:line="360" w:lineRule="auto"/>
        <w:rPr>
          <w:rFonts w:hint="eastAsia" w:ascii="仿宋" w:hAnsi="仿宋" w:eastAsia="仿宋" w:cs="仿宋"/>
          <w:color w:val="auto"/>
          <w:sz w:val="24"/>
          <w:szCs w:val="24"/>
          <w:highlight w:val="none"/>
        </w:rPr>
      </w:pPr>
    </w:p>
    <w:p>
      <w:pPr>
        <w:pStyle w:val="41"/>
        <w:adjustRightInd w:val="0"/>
        <w:snapToGrid w:val="0"/>
        <w:spacing w:line="360" w:lineRule="auto"/>
        <w:rPr>
          <w:rFonts w:hint="eastAsia" w:ascii="仿宋" w:hAnsi="仿宋" w:eastAsia="仿宋" w:cs="仿宋"/>
          <w:color w:val="auto"/>
          <w:sz w:val="24"/>
          <w:szCs w:val="24"/>
          <w:highlight w:val="none"/>
        </w:rPr>
      </w:pPr>
    </w:p>
    <w:p>
      <w:pPr>
        <w:pStyle w:val="42"/>
        <w:tabs>
          <w:tab w:val="left" w:pos="8786"/>
        </w:tabs>
        <w:adjustRightInd w:val="0"/>
        <w:snapToGrid w:val="0"/>
        <w:spacing w:after="0" w:line="36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rPr>
        <w:tab/>
      </w:r>
      <w:r>
        <w:rPr>
          <w:rFonts w:hint="eastAsia" w:ascii="仿宋" w:hAnsi="仿宋" w:eastAsia="仿宋" w:cs="仿宋"/>
          <w:b/>
          <w:color w:val="auto"/>
          <w:sz w:val="24"/>
          <w:highlight w:val="none"/>
        </w:rPr>
        <w:t>投标人名称：                    (盖章)</w:t>
      </w:r>
    </w:p>
    <w:p>
      <w:pPr>
        <w:pStyle w:val="42"/>
        <w:tabs>
          <w:tab w:val="left" w:pos="8786"/>
        </w:tabs>
        <w:adjustRightInd w:val="0"/>
        <w:snapToGrid w:val="0"/>
        <w:spacing w:after="0" w:line="360" w:lineRule="auto"/>
        <w:rPr>
          <w:rFonts w:hint="eastAsia" w:ascii="仿宋" w:hAnsi="仿宋" w:eastAsia="仿宋" w:cs="仿宋"/>
          <w:b/>
          <w:color w:val="auto"/>
          <w:sz w:val="24"/>
          <w:highlight w:val="none"/>
        </w:rPr>
      </w:pPr>
    </w:p>
    <w:p>
      <w:pPr>
        <w:pStyle w:val="42"/>
        <w:tabs>
          <w:tab w:val="left" w:pos="8786"/>
        </w:tabs>
        <w:adjustRightInd w:val="0"/>
        <w:snapToGrid w:val="0"/>
        <w:spacing w:after="0" w:line="360" w:lineRule="auto"/>
        <w:rPr>
          <w:rFonts w:hint="eastAsia" w:ascii="仿宋" w:hAnsi="仿宋" w:eastAsia="仿宋" w:cs="仿宋"/>
          <w:b/>
          <w:color w:val="auto"/>
          <w:sz w:val="24"/>
          <w:highlight w:val="none"/>
        </w:rPr>
      </w:pPr>
    </w:p>
    <w:p>
      <w:pPr>
        <w:pStyle w:val="42"/>
        <w:tabs>
          <w:tab w:val="left" w:pos="8786"/>
        </w:tabs>
        <w:adjustRightInd w:val="0"/>
        <w:snapToGrid w:val="0"/>
        <w:spacing w:after="0"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日期：           年           月           日</w:t>
      </w:r>
    </w:p>
    <w:p>
      <w:pPr>
        <w:pageBreakBefore/>
        <w:snapToGrid w:val="0"/>
        <w:spacing w:line="360" w:lineRule="auto"/>
        <w:jc w:val="center"/>
        <w:rPr>
          <w:rFonts w:hint="eastAsia" w:ascii="仿宋" w:hAnsi="仿宋" w:eastAsia="仿宋" w:cs="仿宋"/>
          <w:b/>
          <w:color w:val="auto"/>
          <w:sz w:val="28"/>
          <w:szCs w:val="28"/>
          <w:highlight w:val="none"/>
        </w:rPr>
      </w:pPr>
      <w:bookmarkStart w:id="294" w:name="_Toc613"/>
      <w:bookmarkStart w:id="295" w:name="_Toc155"/>
      <w:bookmarkStart w:id="296" w:name="_Toc23633"/>
      <w:bookmarkStart w:id="297" w:name="_Toc32739"/>
      <w:bookmarkStart w:id="298" w:name="_Toc29301"/>
      <w:r>
        <w:rPr>
          <w:rFonts w:hint="eastAsia" w:ascii="仿宋" w:hAnsi="仿宋" w:eastAsia="仿宋" w:cs="仿宋"/>
          <w:b/>
          <w:color w:val="auto"/>
          <w:sz w:val="28"/>
          <w:szCs w:val="28"/>
          <w:highlight w:val="none"/>
        </w:rPr>
        <w:t>法定代表人授权委托书</w:t>
      </w:r>
      <w:bookmarkEnd w:id="294"/>
      <w:bookmarkEnd w:id="295"/>
      <w:bookmarkEnd w:id="296"/>
      <w:bookmarkEnd w:id="297"/>
      <w:bookmarkEnd w:id="298"/>
    </w:p>
    <w:p>
      <w:pPr>
        <w:pStyle w:val="41"/>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（代理机构名称）</w:t>
      </w:r>
      <w:r>
        <w:rPr>
          <w:rFonts w:hint="eastAsia" w:ascii="仿宋" w:hAnsi="仿宋" w:eastAsia="仿宋" w:cs="仿宋"/>
          <w:color w:val="auto"/>
          <w:sz w:val="24"/>
          <w:szCs w:val="24"/>
          <w:highlight w:val="none"/>
        </w:rPr>
        <w:t>：</w:t>
      </w:r>
    </w:p>
    <w:p>
      <w:pPr>
        <w:pStyle w:val="41"/>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同志为我公司参加贵单位组织的编号为</w:t>
      </w:r>
      <w:r>
        <w:rPr>
          <w:rFonts w:hint="eastAsia" w:ascii="仿宋" w:hAnsi="仿宋" w:eastAsia="仿宋" w:cs="仿宋"/>
          <w:color w:val="auto"/>
          <w:sz w:val="24"/>
          <w:szCs w:val="24"/>
          <w:highlight w:val="none"/>
          <w:u w:val="single"/>
        </w:rPr>
        <w:t>（项目编号）</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（项目名称）</w:t>
      </w:r>
      <w:r>
        <w:rPr>
          <w:rFonts w:hint="eastAsia" w:ascii="仿宋" w:hAnsi="仿宋" w:eastAsia="仿宋" w:cs="仿宋"/>
          <w:color w:val="auto"/>
          <w:sz w:val="24"/>
          <w:szCs w:val="24"/>
          <w:highlight w:val="none"/>
        </w:rPr>
        <w:t>采购活动的委托代理人，全权代表我公司处理在该项目采购活动中的一切事宜。</w:t>
      </w:r>
    </w:p>
    <w:p>
      <w:pPr>
        <w:pStyle w:val="41"/>
        <w:adjustRightInd w:val="0"/>
        <w:snapToGrid w:val="0"/>
        <w:spacing w:line="360" w:lineRule="auto"/>
        <w:rPr>
          <w:rFonts w:hint="eastAsia" w:ascii="仿宋" w:hAnsi="仿宋" w:eastAsia="仿宋" w:cs="仿宋"/>
          <w:color w:val="auto"/>
          <w:sz w:val="24"/>
          <w:szCs w:val="24"/>
          <w:highlight w:val="none"/>
        </w:rPr>
      </w:pPr>
    </w:p>
    <w:p>
      <w:pPr>
        <w:pStyle w:val="41"/>
        <w:tabs>
          <w:tab w:val="left" w:pos="6163"/>
        </w:tabs>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rPr>
        <w:tab/>
      </w:r>
    </w:p>
    <w:p>
      <w:pPr>
        <w:pStyle w:val="41"/>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代理人工作单位：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Style w:val="41"/>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 </w:t>
      </w:r>
    </w:p>
    <w:p>
      <w:pPr>
        <w:pStyle w:val="41"/>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41"/>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身份证号码：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Style w:val="41"/>
        <w:adjustRightInd w:val="0"/>
        <w:snapToGrid w:val="0"/>
        <w:spacing w:line="360" w:lineRule="auto"/>
        <w:ind w:left="-101" w:leftChars="-42" w:firstLine="600" w:firstLineChars="250"/>
        <w:rPr>
          <w:rFonts w:hint="eastAsia" w:ascii="仿宋" w:hAnsi="仿宋" w:eastAsia="仿宋" w:cs="仿宋"/>
          <w:color w:val="auto"/>
          <w:sz w:val="24"/>
          <w:szCs w:val="24"/>
          <w:highlight w:val="none"/>
          <w:u w:val="single"/>
        </w:rPr>
      </w:pPr>
    </w:p>
    <w:tbl>
      <w:tblPr>
        <w:tblStyle w:val="20"/>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41"/>
              <w:adjustRightInd w:val="0"/>
              <w:snapToGrid w:val="0"/>
              <w:spacing w:line="360" w:lineRule="auto"/>
              <w:rPr>
                <w:rFonts w:hint="eastAsia" w:ascii="仿宋" w:hAnsi="仿宋" w:eastAsia="仿宋" w:cs="仿宋"/>
                <w:color w:val="auto"/>
                <w:sz w:val="24"/>
                <w:szCs w:val="24"/>
                <w:highlight w:val="none"/>
              </w:rPr>
            </w:pPr>
          </w:p>
          <w:p>
            <w:pPr>
              <w:pStyle w:val="41"/>
              <w:adjustRightInd w:val="0"/>
              <w:snapToGrid w:val="0"/>
              <w:spacing w:line="360" w:lineRule="auto"/>
              <w:rPr>
                <w:rFonts w:hint="eastAsia" w:ascii="仿宋" w:hAnsi="仿宋" w:eastAsia="仿宋" w:cs="仿宋"/>
                <w:color w:val="auto"/>
                <w:sz w:val="24"/>
                <w:szCs w:val="24"/>
                <w:highlight w:val="none"/>
              </w:rPr>
            </w:pPr>
          </w:p>
          <w:p>
            <w:pPr>
              <w:pStyle w:val="41"/>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法定代表人身份证正反面</w:t>
            </w:r>
          </w:p>
        </w:tc>
      </w:tr>
    </w:tbl>
    <w:p>
      <w:pPr>
        <w:pStyle w:val="41"/>
        <w:adjustRightInd w:val="0"/>
        <w:snapToGrid w:val="0"/>
        <w:spacing w:line="360" w:lineRule="auto"/>
        <w:ind w:left="-101" w:leftChars="-42" w:firstLine="600" w:firstLineChars="250"/>
        <w:rPr>
          <w:rFonts w:hint="eastAsia" w:ascii="仿宋" w:hAnsi="仿宋" w:eastAsia="仿宋" w:cs="仿宋"/>
          <w:color w:val="auto"/>
          <w:sz w:val="24"/>
          <w:szCs w:val="24"/>
          <w:highlight w:val="none"/>
          <w:u w:val="single"/>
        </w:rPr>
      </w:pPr>
    </w:p>
    <w:p>
      <w:pPr>
        <w:pStyle w:val="41"/>
        <w:adjustRightInd w:val="0"/>
        <w:snapToGrid w:val="0"/>
        <w:spacing w:line="360" w:lineRule="auto"/>
        <w:ind w:left="-101" w:leftChars="-42" w:firstLine="600" w:firstLineChars="250"/>
        <w:rPr>
          <w:rFonts w:hint="eastAsia" w:ascii="仿宋" w:hAnsi="仿宋" w:eastAsia="仿宋" w:cs="仿宋"/>
          <w:color w:val="auto"/>
          <w:sz w:val="24"/>
          <w:szCs w:val="24"/>
          <w:highlight w:val="none"/>
          <w:u w:val="single"/>
        </w:rPr>
      </w:pPr>
    </w:p>
    <w:tbl>
      <w:tblPr>
        <w:tblStyle w:val="20"/>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41"/>
              <w:adjustRightInd w:val="0"/>
              <w:snapToGrid w:val="0"/>
              <w:spacing w:line="360" w:lineRule="auto"/>
              <w:rPr>
                <w:rFonts w:hint="eastAsia" w:ascii="仿宋" w:hAnsi="仿宋" w:eastAsia="仿宋" w:cs="仿宋"/>
                <w:color w:val="auto"/>
                <w:sz w:val="24"/>
                <w:szCs w:val="24"/>
                <w:highlight w:val="none"/>
              </w:rPr>
            </w:pPr>
          </w:p>
          <w:p>
            <w:pPr>
              <w:pStyle w:val="41"/>
              <w:adjustRightInd w:val="0"/>
              <w:snapToGrid w:val="0"/>
              <w:spacing w:line="360" w:lineRule="auto"/>
              <w:rPr>
                <w:rFonts w:hint="eastAsia" w:ascii="仿宋" w:hAnsi="仿宋" w:eastAsia="仿宋" w:cs="仿宋"/>
                <w:color w:val="auto"/>
                <w:sz w:val="24"/>
                <w:szCs w:val="24"/>
                <w:highlight w:val="none"/>
              </w:rPr>
            </w:pPr>
          </w:p>
          <w:p>
            <w:pPr>
              <w:pStyle w:val="41"/>
              <w:adjustRightInd w:val="0"/>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被授权人身份证正反面</w:t>
            </w:r>
          </w:p>
        </w:tc>
      </w:tr>
    </w:tbl>
    <w:p>
      <w:pPr>
        <w:pStyle w:val="42"/>
        <w:tabs>
          <w:tab w:val="left" w:pos="8786"/>
        </w:tabs>
        <w:adjustRightInd w:val="0"/>
        <w:snapToGrid w:val="0"/>
        <w:spacing w:after="0" w:line="360" w:lineRule="auto"/>
        <w:rPr>
          <w:rFonts w:hint="eastAsia" w:ascii="仿宋" w:hAnsi="仿宋" w:eastAsia="仿宋" w:cs="仿宋"/>
          <w:b/>
          <w:color w:val="auto"/>
          <w:sz w:val="24"/>
          <w:highlight w:val="none"/>
        </w:rPr>
      </w:pPr>
    </w:p>
    <w:p>
      <w:pPr>
        <w:pStyle w:val="42"/>
        <w:tabs>
          <w:tab w:val="left" w:pos="8786"/>
        </w:tabs>
        <w:adjustRightInd w:val="0"/>
        <w:snapToGrid w:val="0"/>
        <w:spacing w:after="0" w:line="360" w:lineRule="auto"/>
        <w:rPr>
          <w:rFonts w:hint="eastAsia" w:ascii="仿宋" w:hAnsi="仿宋" w:eastAsia="仿宋" w:cs="仿宋"/>
          <w:b/>
          <w:color w:val="auto"/>
          <w:sz w:val="24"/>
          <w:highlight w:val="none"/>
        </w:rPr>
      </w:pPr>
    </w:p>
    <w:bookmarkEnd w:id="283"/>
    <w:bookmarkEnd w:id="284"/>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u w:val="single"/>
        </w:rPr>
      </w:pPr>
      <w:bookmarkStart w:id="299" w:name="_Toc11982"/>
      <w:bookmarkStart w:id="300" w:name="_Toc18775"/>
      <w:bookmarkStart w:id="301" w:name="_Toc15531"/>
      <w:bookmarkStart w:id="302" w:name="_Toc30995"/>
      <w:bookmarkStart w:id="303" w:name="_Toc581"/>
      <w:bookmarkStart w:id="304" w:name="_Toc14851"/>
      <w:bookmarkStart w:id="305" w:name="_Toc5455"/>
      <w:bookmarkStart w:id="306" w:name="_Toc21564"/>
      <w:bookmarkStart w:id="307" w:name="_Toc11007"/>
      <w:bookmarkStart w:id="308" w:name="_Toc514163730"/>
      <w:bookmarkStart w:id="309" w:name="_Toc514163617"/>
      <w:r>
        <w:rPr>
          <w:rFonts w:hint="eastAsia" w:ascii="仿宋" w:hAnsi="仿宋" w:eastAsia="仿宋" w:cs="仿宋"/>
          <w:b/>
          <w:bCs/>
          <w:color w:val="auto"/>
          <w:sz w:val="24"/>
          <w:szCs w:val="24"/>
          <w:highlight w:val="none"/>
        </w:rPr>
        <w:t>投标人名称：</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(盖章)</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法定代表人或委托代理人：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(签字或盖章)</w:t>
      </w:r>
    </w:p>
    <w:p>
      <w:pPr>
        <w:pStyle w:val="4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日</w:t>
      </w:r>
    </w:p>
    <w:p>
      <w:pPr>
        <w:pageBreakBefore/>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三、资格证明文件</w:t>
      </w:r>
      <w:bookmarkEnd w:id="299"/>
      <w:bookmarkEnd w:id="300"/>
      <w:bookmarkEnd w:id="301"/>
      <w:bookmarkEnd w:id="302"/>
      <w:bookmarkEnd w:id="303"/>
      <w:bookmarkEnd w:id="304"/>
      <w:bookmarkEnd w:id="305"/>
      <w:bookmarkEnd w:id="306"/>
      <w:bookmarkEnd w:id="307"/>
    </w:p>
    <w:p>
      <w:pPr>
        <w:pStyle w:val="44"/>
        <w:spacing w:line="360" w:lineRule="auto"/>
        <w:ind w:firstLine="241" w:firstLineChars="100"/>
        <w:outlineLvl w:val="2"/>
        <w:rPr>
          <w:rFonts w:hint="eastAsia" w:ascii="仿宋" w:hAnsi="仿宋" w:eastAsia="仿宋" w:cs="宋体"/>
          <w:bCs/>
          <w:color w:val="auto"/>
          <w:sz w:val="24"/>
          <w:highlight w:val="none"/>
        </w:rPr>
      </w:pPr>
      <w:r>
        <w:rPr>
          <w:rFonts w:hint="eastAsia" w:ascii="仿宋" w:hAnsi="仿宋" w:eastAsia="仿宋" w:cs="仿宋"/>
          <w:color w:val="auto"/>
          <w:sz w:val="24"/>
          <w:highlight w:val="none"/>
        </w:rPr>
        <w:t>投标人对照招标文件第三章评审办法（综合评分法）的《资格审查标准》要求提供相应证明材料。</w:t>
      </w:r>
    </w:p>
    <w:p>
      <w:pPr>
        <w:pStyle w:val="44"/>
        <w:spacing w:line="360" w:lineRule="auto"/>
        <w:outlineLvl w:val="2"/>
        <w:rPr>
          <w:rFonts w:hint="eastAsia" w:ascii="仿宋" w:hAnsi="仿宋" w:eastAsia="仿宋" w:cs="宋体"/>
          <w:bCs/>
          <w:color w:val="auto"/>
          <w:sz w:val="24"/>
          <w:highlight w:val="none"/>
        </w:rPr>
      </w:pPr>
    </w:p>
    <w:p>
      <w:pPr>
        <w:pStyle w:val="44"/>
        <w:spacing w:line="360" w:lineRule="auto"/>
        <w:outlineLvl w:val="2"/>
        <w:rPr>
          <w:rFonts w:hint="eastAsia" w:ascii="仿宋" w:hAnsi="仿宋" w:eastAsia="仿宋" w:cs="宋体"/>
          <w:bCs/>
          <w:color w:val="auto"/>
          <w:sz w:val="24"/>
          <w:highlight w:val="none"/>
        </w:rPr>
      </w:pPr>
    </w:p>
    <w:p>
      <w:pPr>
        <w:pStyle w:val="44"/>
        <w:adjustRightInd w:val="0"/>
        <w:snapToGrid w:val="0"/>
        <w:spacing w:line="360" w:lineRule="auto"/>
        <w:jc w:val="both"/>
        <w:rPr>
          <w:rFonts w:hint="eastAsia" w:ascii="仿宋" w:hAnsi="仿宋" w:eastAsia="仿宋" w:cs="仿宋"/>
          <w:color w:val="auto"/>
          <w:sz w:val="24"/>
          <w:highlight w:val="none"/>
        </w:rPr>
      </w:pPr>
    </w:p>
    <w:p>
      <w:pPr>
        <w:pageBreakBefore/>
        <w:snapToGrid w:val="0"/>
        <w:spacing w:line="360" w:lineRule="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附件1：</w:t>
      </w:r>
    </w:p>
    <w:p>
      <w:pPr>
        <w:widowControl/>
        <w:snapToGrid w:val="0"/>
        <w:spacing w:line="360" w:lineRule="auto"/>
        <w:jc w:val="center"/>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lang w:bidi="ar"/>
        </w:rPr>
        <w:t>投标人声明函</w:t>
      </w:r>
    </w:p>
    <w:p>
      <w:pPr>
        <w:widowControl/>
        <w:snapToGrid w:val="0"/>
        <w:spacing w:line="360" w:lineRule="auto"/>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致：</w:t>
      </w:r>
      <w:r>
        <w:rPr>
          <w:rFonts w:hint="eastAsia" w:ascii="仿宋" w:hAnsi="仿宋" w:eastAsia="仿宋" w:cs="仿宋"/>
          <w:color w:val="auto"/>
          <w:spacing w:val="6"/>
          <w:highlight w:val="none"/>
          <w:u w:val="single"/>
        </w:rPr>
        <w:t>采购人、采购代理机构</w:t>
      </w:r>
      <w:r>
        <w:rPr>
          <w:rFonts w:hint="eastAsia" w:ascii="仿宋" w:hAnsi="仿宋" w:eastAsia="仿宋" w:cs="仿宋"/>
          <w:color w:val="auto"/>
          <w:spacing w:val="6"/>
          <w:highlight w:val="none"/>
        </w:rPr>
        <w:t xml:space="preserve">： </w:t>
      </w:r>
    </w:p>
    <w:p>
      <w:pPr>
        <w:widowControl/>
        <w:snapToGrid w:val="0"/>
        <w:spacing w:line="360" w:lineRule="auto"/>
        <w:ind w:firstLine="504" w:firstLineChars="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 xml:space="preserve">本公司郑重承诺： </w:t>
      </w:r>
    </w:p>
    <w:p>
      <w:pPr>
        <w:widowControl/>
        <w:snapToGrid w:val="0"/>
        <w:spacing w:line="360" w:lineRule="auto"/>
        <w:ind w:firstLine="504" w:firstLineChars="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1.我公司承诺，参加本项目政府采购活动前三年内，在经营活动中没有因违法经营受到刑事处罚或者责令停产停业、吊销许可证或者执照、较大数额罚款等行政处罚（如果因违法经营被禁止在一定期限内参加政府采购活动，期限已经届满）。</w:t>
      </w:r>
    </w:p>
    <w:p>
      <w:pPr>
        <w:widowControl/>
        <w:snapToGrid w:val="0"/>
        <w:spacing w:line="360" w:lineRule="auto"/>
        <w:ind w:firstLine="504" w:firstLineChars="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2.我单位不存在以下情形：</w:t>
      </w:r>
    </w:p>
    <w:p>
      <w:pPr>
        <w:widowControl/>
        <w:snapToGrid w:val="0"/>
        <w:spacing w:line="360" w:lineRule="auto"/>
        <w:ind w:firstLine="504" w:firstLineChars="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p>
      <w:pPr>
        <w:widowControl/>
        <w:snapToGrid w:val="0"/>
        <w:spacing w:line="360" w:lineRule="auto"/>
        <w:ind w:firstLine="504" w:firstLineChars="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与采购人存在利害关系可能影响采购公正性的法人、其他组织或者个人，不得参加本次采购活动。</w:t>
      </w:r>
    </w:p>
    <w:p>
      <w:pPr>
        <w:widowControl/>
        <w:snapToGrid w:val="0"/>
        <w:spacing w:line="360" w:lineRule="auto"/>
        <w:ind w:firstLine="504" w:firstLineChars="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3.我公司承诺在投标过程中，保证不与其他单位围标、串标，不出让投标资格，不采取不正当手段诋毁、排挤其他投标投标人，不向采购代理机构、评标委员会成员行贿。</w:t>
      </w:r>
    </w:p>
    <w:p>
      <w:pPr>
        <w:widowControl/>
        <w:snapToGrid w:val="0"/>
        <w:spacing w:line="360" w:lineRule="auto"/>
        <w:ind w:firstLine="504" w:firstLineChars="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 xml:space="preserve">4.若在本次项目的招标投标的全过程中，被查实我公司提供的资料及上述承诺不属实，或提供的相关资料不属实或不满足招标文件的要求，则采购人有权取消我公司的投标及中标资格，且我公司将无条件承担由此给本次招标带来的一切后果(包括经济损失)。 </w:t>
      </w:r>
    </w:p>
    <w:p>
      <w:pPr>
        <w:widowControl/>
        <w:snapToGrid w:val="0"/>
        <w:spacing w:line="360" w:lineRule="auto"/>
        <w:ind w:firstLine="504" w:firstLineChars="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特此承诺！</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投标人名称：</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(盖章)</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法定代表人或委托代理人：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(签字或盖章)</w:t>
      </w:r>
    </w:p>
    <w:p>
      <w:pPr>
        <w:pStyle w:val="4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日</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p>
    <w:p>
      <w:pPr>
        <w:pStyle w:val="45"/>
        <w:adjustRightInd w:val="0"/>
        <w:snapToGrid w:val="0"/>
        <w:spacing w:line="360" w:lineRule="auto"/>
        <w:ind w:right="-97"/>
        <w:rPr>
          <w:rFonts w:hint="eastAsia" w:ascii="仿宋" w:hAnsi="仿宋" w:eastAsia="仿宋" w:cs="仿宋"/>
          <w:b/>
          <w:color w:val="auto"/>
          <w:sz w:val="24"/>
          <w:highlight w:val="none"/>
        </w:rPr>
      </w:pPr>
    </w:p>
    <w:p>
      <w:pPr>
        <w:pStyle w:val="45"/>
        <w:pageBreakBefore/>
        <w:adjustRightInd w:val="0"/>
        <w:snapToGrid w:val="0"/>
        <w:spacing w:line="360" w:lineRule="auto"/>
        <w:ind w:right="-96"/>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附件2：</w:t>
      </w:r>
    </w:p>
    <w:p>
      <w:pPr>
        <w:pStyle w:val="45"/>
        <w:adjustRightInd w:val="0"/>
        <w:snapToGrid w:val="0"/>
        <w:spacing w:line="360" w:lineRule="auto"/>
        <w:ind w:right="-97"/>
        <w:jc w:val="center"/>
        <w:rPr>
          <w:rFonts w:hint="eastAsia" w:ascii="仿宋" w:hAnsi="仿宋" w:eastAsia="仿宋" w:cs="仿宋"/>
          <w:b/>
          <w:color w:val="auto"/>
          <w:sz w:val="28"/>
          <w:szCs w:val="24"/>
          <w:highlight w:val="none"/>
        </w:rPr>
      </w:pPr>
      <w:r>
        <w:rPr>
          <w:rFonts w:hint="eastAsia" w:ascii="仿宋" w:hAnsi="仿宋" w:eastAsia="仿宋" w:cs="仿宋"/>
          <w:b/>
          <w:color w:val="auto"/>
          <w:sz w:val="28"/>
          <w:szCs w:val="24"/>
          <w:highlight w:val="none"/>
        </w:rPr>
        <w:t>中小企业声明函（货物）</w:t>
      </w:r>
    </w:p>
    <w:p>
      <w:pPr>
        <w:widowControl/>
        <w:spacing w:before="100" w:beforeAutospacing="1" w:after="100" w:afterAutospacing="1" w:line="360" w:lineRule="auto"/>
        <w:ind w:firstLine="480" w:firstLineChars="200"/>
        <w:rPr>
          <w:rFonts w:hint="eastAsia" w:ascii="仿宋" w:hAnsi="仿宋" w:eastAsia="仿宋" w:cs="宋体"/>
          <w:color w:val="auto"/>
          <w:highlight w:val="none"/>
        </w:rPr>
      </w:pPr>
      <w:r>
        <w:rPr>
          <w:rFonts w:hint="eastAsia" w:ascii="仿宋" w:hAnsi="仿宋" w:eastAsia="仿宋" w:cs="宋体"/>
          <w:color w:val="auto"/>
          <w:highlight w:val="none"/>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widowControl/>
        <w:spacing w:before="100" w:beforeAutospacing="1" w:after="100" w:afterAutospacing="1" w:line="360" w:lineRule="auto"/>
        <w:ind w:firstLine="480" w:firstLineChars="200"/>
        <w:rPr>
          <w:rFonts w:hint="eastAsia" w:ascii="仿宋" w:hAnsi="仿宋" w:eastAsia="仿宋" w:cs="宋体"/>
          <w:color w:val="auto"/>
          <w:highlight w:val="none"/>
        </w:rPr>
      </w:pPr>
      <w:r>
        <w:rPr>
          <w:rFonts w:hint="eastAsia" w:ascii="仿宋" w:hAnsi="仿宋" w:eastAsia="仿宋" w:cs="宋体"/>
          <w:color w:val="auto"/>
          <w:highlight w:val="none"/>
        </w:rPr>
        <w:t>1.</w:t>
      </w:r>
      <w:r>
        <w:rPr>
          <w:rFonts w:hint="eastAsia" w:ascii="仿宋" w:hAnsi="仿宋" w:eastAsia="仿宋" w:cs="宋体"/>
          <w:color w:val="auto"/>
          <w:highlight w:val="none"/>
          <w:u w:val="single"/>
        </w:rPr>
        <w:t>（标的名称）</w:t>
      </w:r>
      <w:r>
        <w:rPr>
          <w:rFonts w:hint="eastAsia" w:ascii="仿宋" w:hAnsi="仿宋" w:eastAsia="仿宋" w:cs="宋体"/>
          <w:color w:val="auto"/>
          <w:highlight w:val="none"/>
        </w:rPr>
        <w:t>，属于</w:t>
      </w:r>
      <w:r>
        <w:rPr>
          <w:rFonts w:hint="eastAsia" w:ascii="仿宋" w:hAnsi="仿宋" w:eastAsia="仿宋" w:cs="宋体"/>
          <w:color w:val="auto"/>
          <w:highlight w:val="none"/>
          <w:u w:val="single"/>
        </w:rPr>
        <w:t>（采购文件中明确的所属行业）</w:t>
      </w:r>
      <w:r>
        <w:rPr>
          <w:rFonts w:hint="eastAsia" w:ascii="仿宋" w:hAnsi="仿宋" w:eastAsia="仿宋" w:cs="宋体"/>
          <w:color w:val="auto"/>
          <w:highlight w:val="none"/>
        </w:rPr>
        <w:t>；制造商为</w:t>
      </w:r>
      <w:r>
        <w:rPr>
          <w:rFonts w:hint="eastAsia" w:ascii="仿宋" w:hAnsi="仿宋" w:eastAsia="仿宋" w:cs="宋体"/>
          <w:color w:val="auto"/>
          <w:highlight w:val="none"/>
          <w:u w:val="single"/>
        </w:rPr>
        <w:t>（企业名称）</w:t>
      </w:r>
      <w:r>
        <w:rPr>
          <w:rFonts w:hint="eastAsia" w:ascii="仿宋" w:hAnsi="仿宋" w:eastAsia="仿宋" w:cs="宋体"/>
          <w:color w:val="auto"/>
          <w:highlight w:val="none"/>
        </w:rPr>
        <w:t>，从业人员</w:t>
      </w:r>
      <w:r>
        <w:rPr>
          <w:rFonts w:hint="eastAsia" w:ascii="仿宋" w:hAnsi="仿宋" w:eastAsia="仿宋" w:cs="宋体"/>
          <w:color w:val="auto"/>
          <w:highlight w:val="none"/>
          <w:u w:val="single"/>
        </w:rPr>
        <w:t xml:space="preserve">  </w:t>
      </w:r>
      <w:r>
        <w:rPr>
          <w:rFonts w:hint="eastAsia" w:ascii="仿宋" w:hAnsi="仿宋" w:eastAsia="仿宋" w:cs="宋体"/>
          <w:color w:val="auto"/>
          <w:highlight w:val="none"/>
        </w:rPr>
        <w:t>人，营业收入为</w:t>
      </w:r>
      <w:r>
        <w:rPr>
          <w:rFonts w:hint="eastAsia" w:ascii="仿宋" w:hAnsi="仿宋" w:eastAsia="仿宋" w:cs="宋体"/>
          <w:color w:val="auto"/>
          <w:highlight w:val="none"/>
          <w:u w:val="single"/>
        </w:rPr>
        <w:t xml:space="preserve">  </w:t>
      </w:r>
      <w:r>
        <w:rPr>
          <w:rFonts w:hint="eastAsia" w:ascii="仿宋" w:hAnsi="仿宋" w:eastAsia="仿宋" w:cs="宋体"/>
          <w:color w:val="auto"/>
          <w:highlight w:val="none"/>
        </w:rPr>
        <w:t>万元，资产总额为</w:t>
      </w:r>
      <w:r>
        <w:rPr>
          <w:rFonts w:hint="eastAsia" w:ascii="仿宋" w:hAnsi="仿宋" w:eastAsia="仿宋" w:cs="宋体"/>
          <w:color w:val="auto"/>
          <w:highlight w:val="none"/>
          <w:u w:val="single"/>
        </w:rPr>
        <w:t xml:space="preserve">  </w:t>
      </w:r>
      <w:r>
        <w:rPr>
          <w:rFonts w:hint="eastAsia" w:ascii="仿宋" w:hAnsi="仿宋" w:eastAsia="仿宋" w:cs="宋体"/>
          <w:color w:val="auto"/>
          <w:highlight w:val="none"/>
        </w:rPr>
        <w:t>万元，属于</w:t>
      </w:r>
      <w:r>
        <w:rPr>
          <w:rFonts w:hint="eastAsia" w:ascii="仿宋" w:hAnsi="仿宋" w:eastAsia="仿宋" w:cs="宋体"/>
          <w:color w:val="auto"/>
          <w:highlight w:val="none"/>
          <w:u w:val="single"/>
        </w:rPr>
        <w:t>（中型企业、小型企业、微型企业）</w:t>
      </w:r>
      <w:r>
        <w:rPr>
          <w:rFonts w:hint="eastAsia" w:ascii="仿宋" w:hAnsi="仿宋" w:eastAsia="仿宋" w:cs="宋体"/>
          <w:color w:val="auto"/>
          <w:highlight w:val="none"/>
        </w:rPr>
        <w:t>；</w:t>
      </w:r>
    </w:p>
    <w:p>
      <w:pPr>
        <w:widowControl/>
        <w:spacing w:before="100" w:beforeAutospacing="1" w:after="100" w:afterAutospacing="1" w:line="360" w:lineRule="auto"/>
        <w:ind w:firstLine="480" w:firstLineChars="200"/>
        <w:rPr>
          <w:rFonts w:hint="eastAsia" w:ascii="仿宋" w:hAnsi="仿宋" w:eastAsia="仿宋" w:cs="宋体"/>
          <w:color w:val="auto"/>
          <w:highlight w:val="none"/>
        </w:rPr>
      </w:pPr>
      <w:r>
        <w:rPr>
          <w:rFonts w:hint="eastAsia" w:ascii="仿宋" w:hAnsi="仿宋" w:eastAsia="仿宋" w:cs="宋体"/>
          <w:color w:val="auto"/>
          <w:highlight w:val="none"/>
        </w:rPr>
        <w:t xml:space="preserve">2. </w:t>
      </w:r>
      <w:r>
        <w:rPr>
          <w:rFonts w:hint="eastAsia" w:ascii="仿宋" w:hAnsi="仿宋" w:eastAsia="仿宋" w:cs="宋体"/>
          <w:color w:val="auto"/>
          <w:highlight w:val="none"/>
          <w:u w:val="single"/>
        </w:rPr>
        <w:t>（标的名称）</w:t>
      </w:r>
      <w:r>
        <w:rPr>
          <w:rFonts w:hint="eastAsia" w:ascii="仿宋" w:hAnsi="仿宋" w:eastAsia="仿宋" w:cs="宋体"/>
          <w:color w:val="auto"/>
          <w:highlight w:val="none"/>
        </w:rPr>
        <w:t>，属于</w:t>
      </w:r>
      <w:r>
        <w:rPr>
          <w:rFonts w:hint="eastAsia" w:ascii="仿宋" w:hAnsi="仿宋" w:eastAsia="仿宋" w:cs="宋体"/>
          <w:color w:val="auto"/>
          <w:highlight w:val="none"/>
          <w:u w:val="single"/>
        </w:rPr>
        <w:t>（采购文件中明确的所属行业）</w:t>
      </w:r>
      <w:r>
        <w:rPr>
          <w:rFonts w:hint="eastAsia" w:ascii="仿宋" w:hAnsi="仿宋" w:eastAsia="仿宋" w:cs="宋体"/>
          <w:color w:val="auto"/>
          <w:highlight w:val="none"/>
        </w:rPr>
        <w:t>；制造商为</w:t>
      </w:r>
      <w:r>
        <w:rPr>
          <w:rFonts w:hint="eastAsia" w:ascii="仿宋" w:hAnsi="仿宋" w:eastAsia="仿宋" w:cs="宋体"/>
          <w:color w:val="auto"/>
          <w:highlight w:val="none"/>
          <w:u w:val="single"/>
        </w:rPr>
        <w:t>（企业名称）</w:t>
      </w:r>
      <w:r>
        <w:rPr>
          <w:rFonts w:hint="eastAsia" w:ascii="仿宋" w:hAnsi="仿宋" w:eastAsia="仿宋" w:cs="宋体"/>
          <w:color w:val="auto"/>
          <w:highlight w:val="none"/>
        </w:rPr>
        <w:t>，从业人员</w:t>
      </w:r>
      <w:r>
        <w:rPr>
          <w:rFonts w:hint="eastAsia" w:ascii="仿宋" w:hAnsi="仿宋" w:eastAsia="仿宋" w:cs="宋体"/>
          <w:color w:val="auto"/>
          <w:highlight w:val="none"/>
          <w:u w:val="single"/>
        </w:rPr>
        <w:t xml:space="preserve">  </w:t>
      </w:r>
      <w:r>
        <w:rPr>
          <w:rFonts w:hint="eastAsia" w:ascii="仿宋" w:hAnsi="仿宋" w:eastAsia="仿宋" w:cs="宋体"/>
          <w:color w:val="auto"/>
          <w:highlight w:val="none"/>
        </w:rPr>
        <w:t>人，营业收入为</w:t>
      </w:r>
      <w:r>
        <w:rPr>
          <w:rFonts w:hint="eastAsia" w:ascii="仿宋" w:hAnsi="仿宋" w:eastAsia="仿宋" w:cs="宋体"/>
          <w:color w:val="auto"/>
          <w:highlight w:val="none"/>
          <w:u w:val="single"/>
        </w:rPr>
        <w:t xml:space="preserve">  </w:t>
      </w:r>
      <w:r>
        <w:rPr>
          <w:rFonts w:hint="eastAsia" w:ascii="仿宋" w:hAnsi="仿宋" w:eastAsia="仿宋" w:cs="宋体"/>
          <w:color w:val="auto"/>
          <w:highlight w:val="none"/>
        </w:rPr>
        <w:t>万元，资产总额为</w:t>
      </w:r>
      <w:r>
        <w:rPr>
          <w:rFonts w:hint="eastAsia" w:ascii="仿宋" w:hAnsi="仿宋" w:eastAsia="仿宋" w:cs="宋体"/>
          <w:color w:val="auto"/>
          <w:highlight w:val="none"/>
          <w:u w:val="single"/>
        </w:rPr>
        <w:t xml:space="preserve">  </w:t>
      </w:r>
      <w:r>
        <w:rPr>
          <w:rFonts w:hint="eastAsia" w:ascii="仿宋" w:hAnsi="仿宋" w:eastAsia="仿宋" w:cs="宋体"/>
          <w:color w:val="auto"/>
          <w:highlight w:val="none"/>
        </w:rPr>
        <w:t>万元，属于</w:t>
      </w:r>
      <w:r>
        <w:rPr>
          <w:rFonts w:hint="eastAsia" w:ascii="仿宋" w:hAnsi="仿宋" w:eastAsia="仿宋" w:cs="宋体"/>
          <w:color w:val="auto"/>
          <w:highlight w:val="none"/>
          <w:u w:val="single"/>
        </w:rPr>
        <w:t>（中型企业、小型企业、微型企业）</w:t>
      </w:r>
      <w:r>
        <w:rPr>
          <w:rFonts w:hint="eastAsia" w:ascii="仿宋" w:hAnsi="仿宋" w:eastAsia="仿宋" w:cs="宋体"/>
          <w:color w:val="auto"/>
          <w:highlight w:val="none"/>
        </w:rPr>
        <w:t>；</w:t>
      </w:r>
    </w:p>
    <w:p>
      <w:pPr>
        <w:widowControl/>
        <w:spacing w:before="100" w:beforeAutospacing="1" w:after="100" w:afterAutospacing="1" w:line="300" w:lineRule="exact"/>
        <w:ind w:firstLine="480" w:firstLineChars="200"/>
        <w:rPr>
          <w:rFonts w:hint="eastAsia" w:ascii="仿宋" w:hAnsi="仿宋" w:eastAsia="仿宋" w:cs="宋体"/>
          <w:color w:val="auto"/>
          <w:highlight w:val="none"/>
        </w:rPr>
      </w:pPr>
      <w:r>
        <w:rPr>
          <w:rFonts w:hint="eastAsia" w:ascii="仿宋" w:hAnsi="仿宋" w:eastAsia="仿宋" w:cs="宋体"/>
          <w:color w:val="auto"/>
          <w:highlight w:val="none"/>
        </w:rPr>
        <w:t>……</w:t>
      </w:r>
    </w:p>
    <w:p>
      <w:pPr>
        <w:widowControl/>
        <w:spacing w:before="100" w:beforeAutospacing="1" w:after="100" w:afterAutospacing="1" w:line="360" w:lineRule="auto"/>
        <w:ind w:firstLine="480" w:firstLineChars="200"/>
        <w:rPr>
          <w:rFonts w:hint="eastAsia" w:ascii="仿宋" w:hAnsi="仿宋" w:eastAsia="仿宋" w:cs="宋体"/>
          <w:color w:val="auto"/>
          <w:highlight w:val="none"/>
        </w:rPr>
      </w:pPr>
      <w:r>
        <w:rPr>
          <w:rFonts w:hint="eastAsia" w:ascii="仿宋" w:hAnsi="仿宋" w:eastAsia="仿宋" w:cs="宋体"/>
          <w:color w:val="auto"/>
          <w:highlight w:val="none"/>
        </w:rPr>
        <w:t>以上企业，不属于大企业的分支机构，不存在控股股东为大企业的情形，也不存在与大企业的负责人为同一人的情形。</w:t>
      </w:r>
    </w:p>
    <w:p>
      <w:pPr>
        <w:widowControl/>
        <w:spacing w:before="100" w:beforeAutospacing="1" w:after="100" w:afterAutospacing="1" w:line="360" w:lineRule="auto"/>
        <w:ind w:firstLine="480" w:firstLineChars="200"/>
        <w:rPr>
          <w:rFonts w:hint="eastAsia" w:ascii="仿宋" w:hAnsi="仿宋" w:eastAsia="仿宋" w:cs="宋体"/>
          <w:color w:val="auto"/>
          <w:highlight w:val="none"/>
        </w:rPr>
      </w:pPr>
      <w:r>
        <w:rPr>
          <w:rFonts w:hint="eastAsia" w:ascii="仿宋" w:hAnsi="仿宋" w:eastAsia="仿宋" w:cs="宋体"/>
          <w:color w:val="auto"/>
          <w:highlight w:val="none"/>
        </w:rPr>
        <w:t>本企业对上述声明内容的真实性负责。如有虚假，将依法承担相应责任。</w:t>
      </w:r>
    </w:p>
    <w:p>
      <w:pPr>
        <w:pStyle w:val="39"/>
        <w:adjustRightInd w:val="0"/>
        <w:snapToGrid w:val="0"/>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宋体"/>
          <w:color w:val="auto"/>
          <w:kern w:val="0"/>
          <w:sz w:val="24"/>
          <w:highlight w:val="none"/>
        </w:rPr>
        <w:t xml:space="preserve">                      </w:t>
      </w: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(盖章)</w:t>
      </w:r>
    </w:p>
    <w:p>
      <w:pPr>
        <w:widowControl/>
        <w:spacing w:before="100" w:beforeAutospacing="1" w:after="100" w:afterAutospacing="1" w:line="360" w:lineRule="auto"/>
        <w:ind w:firstLine="480" w:firstLineChars="200"/>
        <w:rPr>
          <w:rFonts w:hint="eastAsia" w:ascii="仿宋" w:hAnsi="仿宋" w:eastAsia="仿宋"/>
          <w:b/>
          <w:color w:val="auto"/>
          <w:sz w:val="18"/>
          <w:szCs w:val="18"/>
          <w:highlight w:val="none"/>
        </w:rPr>
      </w:pPr>
      <w:r>
        <w:rPr>
          <w:rFonts w:hint="eastAsia" w:ascii="仿宋" w:hAnsi="仿宋" w:eastAsia="仿宋" w:cs="宋体"/>
          <w:color w:val="auto"/>
          <w:highlight w:val="none"/>
        </w:rPr>
        <w:t xml:space="preserve">                      日期：</w:t>
      </w:r>
    </w:p>
    <w:p>
      <w:pPr>
        <w:snapToGrid w:val="0"/>
        <w:spacing w:line="360" w:lineRule="auto"/>
        <w:ind w:firstLine="361" w:firstLineChars="200"/>
        <w:rPr>
          <w:rFonts w:hint="eastAsia" w:ascii="仿宋" w:hAnsi="仿宋" w:eastAsia="仿宋"/>
          <w:b/>
          <w:color w:val="auto"/>
          <w:sz w:val="18"/>
          <w:szCs w:val="18"/>
          <w:highlight w:val="none"/>
        </w:rPr>
      </w:pPr>
      <w:r>
        <w:rPr>
          <w:rFonts w:hint="eastAsia" w:ascii="仿宋" w:hAnsi="仿宋" w:eastAsia="仿宋"/>
          <w:b/>
          <w:color w:val="auto"/>
          <w:sz w:val="18"/>
          <w:szCs w:val="18"/>
          <w:highlight w:val="none"/>
        </w:rPr>
        <w:t>注1：从业人员、营业收入、资产总额填报上一年度数据，无上一年度数据的新成立企业可不填报。</w:t>
      </w:r>
    </w:p>
    <w:p>
      <w:pPr>
        <w:snapToGrid w:val="0"/>
        <w:spacing w:line="360" w:lineRule="auto"/>
        <w:ind w:firstLine="361" w:firstLineChars="200"/>
        <w:rPr>
          <w:rFonts w:hint="eastAsia" w:ascii="仿宋" w:hAnsi="仿宋" w:eastAsia="仿宋"/>
          <w:b/>
          <w:color w:val="auto"/>
          <w:sz w:val="18"/>
          <w:szCs w:val="18"/>
          <w:highlight w:val="none"/>
        </w:rPr>
      </w:pPr>
      <w:r>
        <w:rPr>
          <w:rFonts w:hint="eastAsia" w:ascii="仿宋" w:hAnsi="仿宋" w:eastAsia="仿宋"/>
          <w:b/>
          <w:color w:val="auto"/>
          <w:sz w:val="18"/>
          <w:szCs w:val="18"/>
          <w:highlight w:val="none"/>
        </w:rPr>
        <w:t>注2：中小企业应当按照《办法》规定和《中小企业划型标准规定》（工信部联企业〔2011〕300号），如实填写并提交《中小企业声明函》，任何单位和个人不得要求中小企业投标人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pPr>
        <w:pageBreakBefore/>
        <w:spacing w:line="440" w:lineRule="exact"/>
        <w:ind w:firstLine="141" w:firstLineChars="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附件3：</w:t>
      </w:r>
    </w:p>
    <w:p>
      <w:pPr>
        <w:spacing w:line="360" w:lineRule="auto"/>
        <w:ind w:firstLine="141" w:firstLineChars="5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监狱企业声明函</w:t>
      </w:r>
    </w:p>
    <w:p>
      <w:pPr>
        <w:spacing w:line="360" w:lineRule="auto"/>
        <w:jc w:val="center"/>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（监狱企业适用）</w:t>
      </w:r>
    </w:p>
    <w:p>
      <w:pPr>
        <w:spacing w:line="360" w:lineRule="auto"/>
        <w:ind w:firstLine="567" w:firstLineChars="225"/>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本公司郑重声明，根据《关于政府采购支持监狱企业发展有关问题的通知》（财库[2014]68号）的规定，本公司为监狱企业。</w:t>
      </w:r>
    </w:p>
    <w:p>
      <w:pPr>
        <w:spacing w:line="360" w:lineRule="auto"/>
        <w:ind w:firstLine="567" w:firstLineChars="225"/>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本公司参加</w:t>
      </w:r>
      <w:r>
        <w:rPr>
          <w:rFonts w:hint="eastAsia" w:ascii="仿宋" w:hAnsi="仿宋" w:eastAsia="仿宋" w:cs="仿宋"/>
          <w:color w:val="auto"/>
          <w:spacing w:val="6"/>
          <w:highlight w:val="none"/>
          <w:u w:val="single"/>
        </w:rPr>
        <w:t xml:space="preserve">        </w:t>
      </w:r>
      <w:r>
        <w:rPr>
          <w:rFonts w:hint="eastAsia" w:ascii="仿宋" w:hAnsi="仿宋" w:eastAsia="仿宋" w:cs="仿宋"/>
          <w:color w:val="auto"/>
          <w:spacing w:val="6"/>
          <w:highlight w:val="none"/>
        </w:rPr>
        <w:t>单位的</w:t>
      </w:r>
      <w:r>
        <w:rPr>
          <w:rFonts w:hint="eastAsia" w:ascii="仿宋" w:hAnsi="仿宋" w:eastAsia="仿宋" w:cs="仿宋"/>
          <w:color w:val="auto"/>
          <w:spacing w:val="6"/>
          <w:highlight w:val="none"/>
          <w:u w:val="single"/>
        </w:rPr>
        <w:t xml:space="preserve">        </w:t>
      </w:r>
      <w:r>
        <w:rPr>
          <w:rFonts w:hint="eastAsia" w:ascii="仿宋" w:hAnsi="仿宋" w:eastAsia="仿宋" w:cs="仿宋"/>
          <w:color w:val="auto"/>
          <w:spacing w:val="6"/>
          <w:highlight w:val="none"/>
        </w:rPr>
        <w:t>项目采购活动，采购活动提供本企业（填写制造的货物，由本企业承担工程、提供服务）。</w:t>
      </w:r>
    </w:p>
    <w:p>
      <w:pPr>
        <w:spacing w:line="360" w:lineRule="auto"/>
        <w:ind w:firstLine="567" w:firstLineChars="225"/>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本条所称货物不包括使用大型企业注册商标的货物和服务。</w:t>
      </w:r>
    </w:p>
    <w:p>
      <w:pPr>
        <w:spacing w:line="360" w:lineRule="auto"/>
        <w:ind w:firstLine="567" w:firstLineChars="225"/>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本公司对上述声明的真实性负责。如有虚假，将依法承担相应责任。</w:t>
      </w:r>
    </w:p>
    <w:p>
      <w:pPr>
        <w:spacing w:line="360" w:lineRule="auto"/>
        <w:ind w:firstLine="5103" w:firstLineChars="2025"/>
        <w:rPr>
          <w:rFonts w:hint="eastAsia" w:ascii="仿宋" w:hAnsi="仿宋" w:eastAsia="仿宋" w:cs="仿宋"/>
          <w:color w:val="auto"/>
          <w:spacing w:val="6"/>
          <w:highlight w:val="none"/>
        </w:rPr>
      </w:pPr>
    </w:p>
    <w:p>
      <w:pPr>
        <w:pStyle w:val="11"/>
        <w:ind w:firstLine="600"/>
        <w:rPr>
          <w:color w:val="auto"/>
          <w:highlight w:val="none"/>
        </w:rPr>
      </w:pP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投标人名称：</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(盖章)</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法定代表人或委托代理人：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(签字或盖章)</w:t>
      </w:r>
    </w:p>
    <w:p>
      <w:pPr>
        <w:pStyle w:val="4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日</w:t>
      </w:r>
    </w:p>
    <w:p>
      <w:pPr>
        <w:spacing w:line="360" w:lineRule="auto"/>
        <w:ind w:firstLine="1260" w:firstLineChars="500"/>
        <w:rPr>
          <w:rFonts w:hint="eastAsia" w:ascii="仿宋" w:hAnsi="仿宋" w:eastAsia="仿宋" w:cs="仿宋"/>
          <w:color w:val="auto"/>
          <w:spacing w:val="6"/>
          <w:highlight w:val="none"/>
        </w:rPr>
      </w:pPr>
    </w:p>
    <w:p>
      <w:pPr>
        <w:spacing w:line="440" w:lineRule="exact"/>
        <w:ind w:firstLine="141" w:firstLineChars="50"/>
        <w:rPr>
          <w:rFonts w:hint="eastAsia" w:ascii="仿宋" w:hAnsi="仿宋" w:eastAsia="仿宋" w:cs="仿宋"/>
          <w:b/>
          <w:color w:val="auto"/>
          <w:sz w:val="28"/>
          <w:szCs w:val="28"/>
          <w:highlight w:val="none"/>
        </w:rPr>
      </w:pPr>
    </w:p>
    <w:p>
      <w:pPr>
        <w:spacing w:line="440" w:lineRule="exact"/>
        <w:ind w:firstLine="141" w:firstLineChars="50"/>
        <w:rPr>
          <w:rFonts w:hint="eastAsia" w:ascii="仿宋" w:hAnsi="仿宋" w:eastAsia="仿宋" w:cs="仿宋"/>
          <w:b/>
          <w:color w:val="auto"/>
          <w:sz w:val="28"/>
          <w:szCs w:val="28"/>
          <w:highlight w:val="none"/>
        </w:rPr>
      </w:pPr>
    </w:p>
    <w:p>
      <w:pPr>
        <w:spacing w:line="440" w:lineRule="exact"/>
        <w:ind w:firstLine="141" w:firstLineChars="50"/>
        <w:rPr>
          <w:rFonts w:hint="eastAsia" w:ascii="仿宋" w:hAnsi="仿宋" w:eastAsia="仿宋" w:cs="仿宋"/>
          <w:b/>
          <w:color w:val="auto"/>
          <w:sz w:val="28"/>
          <w:szCs w:val="28"/>
          <w:highlight w:val="none"/>
        </w:rPr>
      </w:pPr>
    </w:p>
    <w:p>
      <w:pPr>
        <w:spacing w:line="440" w:lineRule="exact"/>
        <w:ind w:firstLine="141" w:firstLineChars="50"/>
        <w:rPr>
          <w:rFonts w:hint="eastAsia" w:ascii="仿宋" w:hAnsi="仿宋" w:eastAsia="仿宋" w:cs="仿宋"/>
          <w:b/>
          <w:color w:val="auto"/>
          <w:sz w:val="28"/>
          <w:szCs w:val="28"/>
          <w:highlight w:val="none"/>
        </w:rPr>
      </w:pPr>
    </w:p>
    <w:p>
      <w:pPr>
        <w:pStyle w:val="11"/>
        <w:ind w:firstLine="562"/>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pStyle w:val="11"/>
        <w:ind w:firstLine="562"/>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pStyle w:val="11"/>
        <w:ind w:firstLine="562"/>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pStyle w:val="11"/>
        <w:ind w:firstLine="562"/>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pStyle w:val="11"/>
        <w:ind w:firstLine="562"/>
        <w:rPr>
          <w:rFonts w:hint="eastAsia" w:ascii="仿宋" w:hAnsi="仿宋" w:eastAsia="仿宋" w:cs="仿宋"/>
          <w:b/>
          <w:color w:val="auto"/>
          <w:sz w:val="28"/>
          <w:szCs w:val="28"/>
          <w:highlight w:val="none"/>
        </w:rPr>
      </w:pPr>
    </w:p>
    <w:p>
      <w:pPr>
        <w:spacing w:line="440" w:lineRule="exact"/>
        <w:ind w:firstLine="141" w:firstLineChars="5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附件4：</w:t>
      </w:r>
    </w:p>
    <w:p>
      <w:pPr>
        <w:spacing w:line="440" w:lineRule="exact"/>
        <w:ind w:firstLine="141" w:firstLineChars="5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残疾人福利性单位声明函</w:t>
      </w:r>
    </w:p>
    <w:p>
      <w:pPr>
        <w:spacing w:line="440" w:lineRule="exact"/>
        <w:rPr>
          <w:rFonts w:hint="eastAsia" w:ascii="仿宋" w:hAnsi="仿宋" w:eastAsia="仿宋" w:cs="仿宋"/>
          <w:b/>
          <w:bCs/>
          <w:color w:val="auto"/>
          <w:spacing w:val="6"/>
          <w:highlight w:val="none"/>
        </w:rPr>
      </w:pPr>
    </w:p>
    <w:p>
      <w:pPr>
        <w:widowControl/>
        <w:snapToGrid w:val="0"/>
        <w:spacing w:line="440" w:lineRule="exact"/>
        <w:ind w:firstLine="504" w:firstLineChars="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eastAsia="仿宋" w:cs="仿宋"/>
          <w:color w:val="auto"/>
          <w:spacing w:val="6"/>
          <w:highlight w:val="none"/>
          <w:u w:val="single"/>
        </w:rPr>
        <w:t xml:space="preserve">        </w:t>
      </w:r>
      <w:r>
        <w:rPr>
          <w:rFonts w:hint="eastAsia" w:ascii="仿宋" w:hAnsi="仿宋" w:eastAsia="仿宋" w:cs="仿宋"/>
          <w:color w:val="auto"/>
          <w:spacing w:val="6"/>
          <w:highlight w:val="none"/>
        </w:rPr>
        <w:t>单位的</w:t>
      </w:r>
      <w:r>
        <w:rPr>
          <w:rFonts w:hint="eastAsia" w:ascii="仿宋" w:hAnsi="仿宋" w:eastAsia="仿宋" w:cs="仿宋"/>
          <w:color w:val="auto"/>
          <w:spacing w:val="6"/>
          <w:highlight w:val="none"/>
          <w:u w:val="single"/>
        </w:rPr>
        <w:t xml:space="preserve">        </w:t>
      </w:r>
      <w:r>
        <w:rPr>
          <w:rFonts w:hint="eastAsia" w:ascii="仿宋" w:hAnsi="仿宋" w:eastAsia="仿宋" w:cs="仿宋"/>
          <w:color w:val="auto"/>
          <w:spacing w:val="6"/>
          <w:highlight w:val="none"/>
        </w:rPr>
        <w:t>项目采购活动提供本单位制造的货物（由本单位承担工程/提供服务），或者提供其他残疾人福利性单位制造的货物（不包括使用非残疾人福利性单位注册商标的货物）。</w:t>
      </w:r>
    </w:p>
    <w:p>
      <w:pPr>
        <w:widowControl/>
        <w:snapToGrid w:val="0"/>
        <w:spacing w:line="440" w:lineRule="exact"/>
        <w:ind w:firstLine="504" w:firstLineChars="200"/>
        <w:rPr>
          <w:rFonts w:hint="eastAsia" w:ascii="仿宋" w:hAnsi="仿宋" w:eastAsia="仿宋" w:cs="仿宋"/>
          <w:color w:val="auto"/>
          <w:spacing w:val="6"/>
          <w:highlight w:val="none"/>
        </w:rPr>
      </w:pPr>
      <w:r>
        <w:rPr>
          <w:rFonts w:hint="eastAsia" w:ascii="仿宋" w:hAnsi="仿宋" w:eastAsia="仿宋" w:cs="仿宋"/>
          <w:color w:val="auto"/>
          <w:spacing w:val="6"/>
          <w:highlight w:val="none"/>
        </w:rPr>
        <w:t>本单位对上述声明的真实性负责。如有虚假，将依法承担相应责任。</w:t>
      </w:r>
    </w:p>
    <w:p>
      <w:pPr>
        <w:widowControl/>
        <w:snapToGrid w:val="0"/>
        <w:spacing w:line="440" w:lineRule="exact"/>
        <w:ind w:firstLine="504" w:firstLineChars="200"/>
        <w:rPr>
          <w:rFonts w:hint="eastAsia" w:ascii="仿宋" w:hAnsi="仿宋" w:eastAsia="仿宋" w:cs="仿宋"/>
          <w:color w:val="auto"/>
          <w:spacing w:val="6"/>
          <w:highlight w:val="none"/>
        </w:rPr>
      </w:pPr>
    </w:p>
    <w:p>
      <w:pPr>
        <w:widowControl/>
        <w:snapToGrid w:val="0"/>
        <w:spacing w:line="360" w:lineRule="auto"/>
        <w:rPr>
          <w:rFonts w:hint="eastAsia" w:ascii="仿宋" w:hAnsi="仿宋" w:eastAsia="仿宋" w:cs="仿宋"/>
          <w:b/>
          <w:bCs/>
          <w:color w:val="auto"/>
          <w:spacing w:val="6"/>
          <w:highlight w:val="none"/>
        </w:rPr>
      </w:pPr>
      <w:r>
        <w:rPr>
          <w:rFonts w:hint="eastAsia" w:ascii="仿宋" w:hAnsi="仿宋" w:eastAsia="仿宋" w:cs="仿宋"/>
          <w:b/>
          <w:bCs/>
          <w:color w:val="auto"/>
          <w:spacing w:val="6"/>
          <w:highlight w:val="none"/>
        </w:rPr>
        <w:t>单位名称：</w:t>
      </w:r>
      <w:r>
        <w:rPr>
          <w:rFonts w:hint="eastAsia" w:ascii="仿宋" w:hAnsi="仿宋" w:eastAsia="仿宋" w:cs="仿宋"/>
          <w:b/>
          <w:bCs/>
          <w:color w:val="auto"/>
          <w:highlight w:val="none"/>
          <w:u w:val="single"/>
        </w:rPr>
        <w:t xml:space="preserve">                    </w:t>
      </w:r>
      <w:r>
        <w:rPr>
          <w:rFonts w:hint="eastAsia" w:ascii="仿宋" w:hAnsi="仿宋" w:eastAsia="仿宋" w:cs="仿宋"/>
          <w:b/>
          <w:bCs/>
          <w:color w:val="auto"/>
          <w:highlight w:val="none"/>
        </w:rPr>
        <w:t>(盖章)</w:t>
      </w:r>
    </w:p>
    <w:p>
      <w:pPr>
        <w:pStyle w:val="7"/>
        <w:snapToGrid w:val="0"/>
        <w:rPr>
          <w:rFonts w:hint="eastAsia" w:ascii="仿宋" w:hAnsi="仿宋" w:eastAsia="仿宋" w:cs="仿宋"/>
          <w:b/>
          <w:bCs/>
          <w:color w:val="auto"/>
          <w:spacing w:val="24"/>
          <w:sz w:val="24"/>
          <w:highlight w:val="none"/>
        </w:rPr>
      </w:pPr>
      <w:r>
        <w:rPr>
          <w:rFonts w:hint="eastAsia" w:ascii="仿宋" w:hAnsi="仿宋" w:eastAsia="仿宋" w:cs="仿宋"/>
          <w:b/>
          <w:bCs/>
          <w:color w:val="auto"/>
          <w:spacing w:val="24"/>
          <w:sz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 xml:space="preserve"> 日</w:t>
      </w:r>
    </w:p>
    <w:p>
      <w:pPr>
        <w:pStyle w:val="12"/>
        <w:spacing w:line="360" w:lineRule="auto"/>
        <w:ind w:firstLine="361" w:firstLineChars="150"/>
        <w:rPr>
          <w:rFonts w:hint="eastAsia" w:ascii="仿宋" w:hAnsi="仿宋" w:eastAsia="仿宋" w:cs="仿宋"/>
          <w:b/>
          <w:bCs/>
          <w:color w:val="auto"/>
          <w:sz w:val="24"/>
          <w:highlight w:val="none"/>
          <w:em w:val="dot"/>
        </w:rPr>
      </w:pPr>
    </w:p>
    <w:p>
      <w:pPr>
        <w:pStyle w:val="5"/>
        <w:spacing w:line="360" w:lineRule="auto"/>
        <w:ind w:firstLine="0" w:firstLineChars="0"/>
        <w:rPr>
          <w:rFonts w:hint="eastAsia" w:ascii="仿宋" w:hAnsi="仿宋" w:eastAsia="仿宋" w:cs="仿宋"/>
          <w:b/>
          <w:bCs/>
          <w:color w:val="auto"/>
          <w:kern w:val="0"/>
          <w:sz w:val="24"/>
          <w:highlight w:val="none"/>
        </w:rPr>
      </w:pPr>
    </w:p>
    <w:p>
      <w:pPr>
        <w:spacing w:line="440" w:lineRule="exact"/>
        <w:rPr>
          <w:rFonts w:hint="eastAsia" w:ascii="仿宋" w:hAnsi="仿宋" w:eastAsia="仿宋" w:cs="仿宋"/>
          <w:b/>
          <w:color w:val="auto"/>
          <w:sz w:val="28"/>
          <w:szCs w:val="28"/>
          <w:highlight w:val="none"/>
        </w:rPr>
      </w:pPr>
    </w:p>
    <w:p>
      <w:pPr>
        <w:spacing w:line="440" w:lineRule="exact"/>
        <w:rPr>
          <w:rFonts w:hint="eastAsia" w:ascii="仿宋" w:hAnsi="仿宋" w:eastAsia="仿宋" w:cs="仿宋"/>
          <w:b/>
          <w:color w:val="auto"/>
          <w:sz w:val="28"/>
          <w:szCs w:val="28"/>
          <w:highlight w:val="none"/>
        </w:rPr>
      </w:pPr>
    </w:p>
    <w:p>
      <w:pPr>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附件5：</w:t>
      </w:r>
    </w:p>
    <w:p>
      <w:pPr>
        <w:spacing w:line="360" w:lineRule="auto"/>
        <w:rPr>
          <w:rFonts w:hint="eastAsia" w:ascii="仿宋" w:hAnsi="仿宋" w:eastAsia="仿宋" w:cs="仿宋"/>
          <w:color w:val="auto"/>
          <w:szCs w:val="21"/>
          <w:highlight w:val="none"/>
          <w:lang w:bidi="zh-CN"/>
        </w:rPr>
      </w:pPr>
      <w:r>
        <w:rPr>
          <w:rFonts w:hint="eastAsia" w:ascii="仿宋" w:hAnsi="仿宋" w:eastAsia="仿宋" w:cs="仿宋"/>
          <w:color w:val="auto"/>
          <w:szCs w:val="21"/>
          <w:highlight w:val="none"/>
          <w:lang w:bidi="zh-CN"/>
        </w:rPr>
        <w:t>1、保证金汇汇款凭证或有效期内的保函</w:t>
      </w:r>
    </w:p>
    <w:p>
      <w:pPr>
        <w:spacing w:line="440" w:lineRule="exact"/>
        <w:ind w:firstLine="141" w:firstLineChars="50"/>
        <w:rPr>
          <w:rFonts w:hint="eastAsia" w:ascii="仿宋" w:hAnsi="仿宋" w:eastAsia="仿宋" w:cs="仿宋"/>
          <w:b/>
          <w:color w:val="auto"/>
          <w:sz w:val="28"/>
          <w:szCs w:val="28"/>
          <w:highlight w:val="none"/>
        </w:rPr>
      </w:pPr>
    </w:p>
    <w:p>
      <w:pPr>
        <w:spacing w:line="440" w:lineRule="exact"/>
        <w:ind w:firstLine="141" w:firstLineChars="50"/>
        <w:rPr>
          <w:rFonts w:hint="eastAsia" w:ascii="仿宋" w:hAnsi="仿宋" w:eastAsia="仿宋" w:cs="仿宋"/>
          <w:b/>
          <w:color w:val="auto"/>
          <w:sz w:val="28"/>
          <w:szCs w:val="28"/>
          <w:highlight w:val="none"/>
        </w:rPr>
      </w:pPr>
    </w:p>
    <w:p>
      <w:pPr>
        <w:spacing w:line="440" w:lineRule="exact"/>
        <w:ind w:firstLine="141" w:firstLineChars="50"/>
        <w:rPr>
          <w:rFonts w:hint="eastAsia" w:ascii="仿宋" w:hAnsi="仿宋" w:eastAsia="仿宋" w:cs="仿宋"/>
          <w:b/>
          <w:color w:val="auto"/>
          <w:sz w:val="28"/>
          <w:szCs w:val="28"/>
          <w:highlight w:val="none"/>
        </w:rPr>
      </w:pPr>
      <w:bookmarkStart w:id="310" w:name="_Toc30613"/>
    </w:p>
    <w:p>
      <w:pPr>
        <w:spacing w:line="440" w:lineRule="exact"/>
        <w:ind w:firstLine="141" w:firstLineChars="50"/>
        <w:rPr>
          <w:rFonts w:hint="eastAsia" w:ascii="仿宋" w:hAnsi="仿宋" w:eastAsia="仿宋" w:cs="仿宋"/>
          <w:b/>
          <w:color w:val="auto"/>
          <w:sz w:val="28"/>
          <w:szCs w:val="28"/>
          <w:highlight w:val="none"/>
        </w:rPr>
      </w:pPr>
    </w:p>
    <w:p>
      <w:pPr>
        <w:spacing w:line="440" w:lineRule="exact"/>
        <w:ind w:firstLine="141" w:firstLineChars="50"/>
        <w:rPr>
          <w:rFonts w:hint="eastAsia" w:ascii="仿宋" w:hAnsi="仿宋" w:eastAsia="仿宋" w:cs="仿宋"/>
          <w:b/>
          <w:color w:val="auto"/>
          <w:sz w:val="28"/>
          <w:szCs w:val="28"/>
          <w:highlight w:val="none"/>
        </w:rPr>
      </w:pPr>
    </w:p>
    <w:p>
      <w:pPr>
        <w:pStyle w:val="47"/>
        <w:adjustRightInd w:val="0"/>
        <w:snapToGrid w:val="0"/>
        <w:spacing w:line="360" w:lineRule="auto"/>
        <w:rPr>
          <w:rFonts w:hint="eastAsia" w:ascii="仿宋" w:hAnsi="仿宋" w:eastAsia="仿宋" w:cs="仿宋"/>
          <w:b/>
          <w:bCs/>
          <w:color w:val="auto"/>
          <w:sz w:val="24"/>
          <w:szCs w:val="24"/>
          <w:highlight w:val="none"/>
        </w:rPr>
      </w:pPr>
    </w:p>
    <w:p>
      <w:pPr>
        <w:pStyle w:val="7"/>
        <w:rPr>
          <w:rFonts w:hint="eastAsia" w:ascii="仿宋" w:hAnsi="仿宋" w:eastAsia="仿宋" w:cs="仿宋"/>
          <w:b/>
          <w:bCs/>
          <w:color w:val="auto"/>
          <w:szCs w:val="28"/>
          <w:highlight w:val="none"/>
        </w:rPr>
      </w:pPr>
    </w:p>
    <w:p>
      <w:pPr>
        <w:spacing w:line="360" w:lineRule="auto"/>
        <w:rPr>
          <w:rFonts w:hint="eastAsia" w:ascii="仿宋" w:hAnsi="仿宋" w:eastAsia="仿宋" w:cs="仿宋"/>
          <w:color w:val="auto"/>
          <w:szCs w:val="21"/>
          <w:highlight w:val="none"/>
          <w:lang w:bidi="zh-CN"/>
        </w:rPr>
      </w:pPr>
    </w:p>
    <w:p>
      <w:pPr>
        <w:spacing w:line="360" w:lineRule="auto"/>
        <w:rPr>
          <w:rFonts w:hint="eastAsia" w:ascii="仿宋" w:hAnsi="仿宋" w:eastAsia="仿宋" w:cs="仿宋"/>
          <w:color w:val="auto"/>
          <w:szCs w:val="21"/>
          <w:highlight w:val="none"/>
          <w:lang w:bidi="zh-CN"/>
        </w:rPr>
      </w:pPr>
    </w:p>
    <w:p>
      <w:pPr>
        <w:rPr>
          <w:rFonts w:hint="eastAsia" w:ascii="仿宋" w:hAnsi="仿宋" w:eastAsia="仿宋" w:cs="仿宋"/>
          <w:b/>
          <w:color w:val="auto"/>
          <w:highlight w:val="none"/>
        </w:rPr>
      </w:pPr>
    </w:p>
    <w:p>
      <w:pPr>
        <w:pageBreakBefore/>
        <w:snapToGrid w:val="0"/>
        <w:spacing w:line="360" w:lineRule="auto"/>
        <w:jc w:val="center"/>
        <w:rPr>
          <w:rFonts w:hint="eastAsia" w:ascii="仿宋" w:hAnsi="仿宋" w:eastAsia="仿宋" w:cs="仿宋"/>
          <w:b/>
          <w:color w:val="auto"/>
          <w:sz w:val="28"/>
          <w:szCs w:val="28"/>
          <w:highlight w:val="none"/>
        </w:rPr>
      </w:pPr>
      <w:bookmarkStart w:id="311" w:name="_Toc22684"/>
      <w:bookmarkStart w:id="312" w:name="_Toc18760"/>
      <w:bookmarkStart w:id="313" w:name="_Toc22654"/>
      <w:bookmarkStart w:id="314" w:name="_Toc31559"/>
      <w:bookmarkStart w:id="315" w:name="_Toc10628"/>
      <w:bookmarkStart w:id="316" w:name="_Toc5239"/>
      <w:bookmarkStart w:id="317" w:name="_Toc15756"/>
      <w:r>
        <w:rPr>
          <w:rFonts w:hint="eastAsia" w:ascii="仿宋" w:hAnsi="仿宋" w:eastAsia="仿宋" w:cs="仿宋"/>
          <w:b/>
          <w:color w:val="auto"/>
          <w:sz w:val="28"/>
          <w:szCs w:val="28"/>
          <w:highlight w:val="none"/>
        </w:rPr>
        <w:t>四、开标一览表</w:t>
      </w:r>
      <w:bookmarkEnd w:id="310"/>
      <w:bookmarkEnd w:id="311"/>
      <w:bookmarkEnd w:id="312"/>
      <w:bookmarkEnd w:id="313"/>
      <w:bookmarkEnd w:id="314"/>
      <w:bookmarkEnd w:id="315"/>
      <w:bookmarkEnd w:id="316"/>
      <w:bookmarkEnd w:id="317"/>
    </w:p>
    <w:p>
      <w:pPr>
        <w:pStyle w:val="48"/>
        <w:adjustRightInd w:val="0"/>
        <w:snapToGrid w:val="0"/>
        <w:spacing w:line="360" w:lineRule="auto"/>
        <w:ind w:left="0" w:leftChars="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 xml:space="preserve">                 </w:t>
      </w:r>
    </w:p>
    <w:tbl>
      <w:tblPr>
        <w:tblStyle w:val="20"/>
        <w:tblW w:w="9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676" w:type="dxa"/>
            <w:tcBorders>
              <w:bottom w:val="single" w:color="auto" w:sz="4" w:space="0"/>
            </w:tcBorders>
            <w:vAlign w:val="center"/>
          </w:tcPr>
          <w:p>
            <w:pPr>
              <w:pStyle w:val="49"/>
              <w:tabs>
                <w:tab w:val="left" w:pos="1337"/>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项目名称</w:t>
            </w:r>
          </w:p>
        </w:tc>
        <w:tc>
          <w:tcPr>
            <w:tcW w:w="7383" w:type="dxa"/>
            <w:tcBorders>
              <w:bottom w:val="single" w:color="auto" w:sz="4" w:space="0"/>
            </w:tcBorders>
            <w:vAlign w:val="center"/>
          </w:tcPr>
          <w:p>
            <w:pPr>
              <w:pStyle w:val="49"/>
              <w:tabs>
                <w:tab w:val="left" w:pos="1337"/>
              </w:tabs>
              <w:adjustRightInd w:val="0"/>
              <w:snapToGrid w:val="0"/>
              <w:spacing w:line="360" w:lineRule="auto"/>
              <w:rPr>
                <w:rFonts w:hint="eastAsia" w:ascii="仿宋" w:hAnsi="仿宋" w:eastAsia="仿宋" w:cs="仿宋"/>
                <w:bCs/>
                <w:color w:val="auto"/>
                <w:sz w:val="24"/>
                <w:highlight w:val="none"/>
              </w:rPr>
            </w:pPr>
            <w:r>
              <w:rPr>
                <w:rFonts w:hint="eastAsia" w:ascii="仿宋" w:hAnsi="仿宋" w:eastAsia="仿宋" w:cs="仿宋"/>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jc w:val="center"/>
        </w:trPr>
        <w:tc>
          <w:tcPr>
            <w:tcW w:w="1676" w:type="dxa"/>
            <w:tcBorders>
              <w:bottom w:val="single" w:color="auto" w:sz="4" w:space="0"/>
            </w:tcBorders>
            <w:vAlign w:val="center"/>
          </w:tcPr>
          <w:p>
            <w:pPr>
              <w:pStyle w:val="49"/>
              <w:tabs>
                <w:tab w:val="left" w:pos="1337"/>
              </w:tabs>
              <w:adjustRightInd w:val="0"/>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项目编号</w:t>
            </w:r>
          </w:p>
        </w:tc>
        <w:tc>
          <w:tcPr>
            <w:tcW w:w="7383" w:type="dxa"/>
            <w:tcBorders>
              <w:bottom w:val="single" w:color="auto" w:sz="4" w:space="0"/>
            </w:tcBorders>
            <w:vAlign w:val="center"/>
          </w:tcPr>
          <w:p>
            <w:pPr>
              <w:pStyle w:val="49"/>
              <w:tabs>
                <w:tab w:val="left" w:pos="1337"/>
              </w:tabs>
              <w:adjustRightInd w:val="0"/>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1676" w:type="dxa"/>
            <w:vAlign w:val="center"/>
          </w:tcPr>
          <w:p>
            <w:pPr>
              <w:pStyle w:val="49"/>
              <w:tabs>
                <w:tab w:val="left" w:pos="1337"/>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投标报价</w:t>
            </w:r>
          </w:p>
        </w:tc>
        <w:tc>
          <w:tcPr>
            <w:tcW w:w="7383" w:type="dxa"/>
            <w:vAlign w:val="center"/>
          </w:tcPr>
          <w:p>
            <w:pPr>
              <w:pStyle w:val="49"/>
              <w:tabs>
                <w:tab w:val="left" w:pos="1337"/>
              </w:tabs>
              <w:adjustRightInd w:val="0"/>
              <w:snapToGrid w:val="0"/>
              <w:spacing w:line="360" w:lineRule="auto"/>
              <w:rPr>
                <w:rFonts w:hint="eastAsia" w:ascii="仿宋" w:hAnsi="仿宋" w:eastAsia="仿宋" w:cs="仿宋"/>
                <w:bCs/>
                <w:color w:val="auto"/>
                <w:sz w:val="24"/>
                <w:highlight w:val="none"/>
              </w:rPr>
            </w:pPr>
          </w:p>
          <w:p>
            <w:pPr>
              <w:pStyle w:val="49"/>
              <w:tabs>
                <w:tab w:val="left" w:pos="1337"/>
              </w:tabs>
              <w:adjustRightInd w:val="0"/>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小写：</w:t>
            </w:r>
            <w:r>
              <w:rPr>
                <w:rFonts w:hint="eastAsia" w:ascii="仿宋" w:hAnsi="仿宋" w:eastAsia="仿宋" w:cs="仿宋"/>
                <w:bCs/>
                <w:color w:val="auto"/>
                <w:sz w:val="24"/>
                <w:highlight w:val="none"/>
                <w:u w:val="single"/>
              </w:rPr>
              <w:t xml:space="preserve">                          </w:t>
            </w:r>
          </w:p>
          <w:p>
            <w:pPr>
              <w:pStyle w:val="49"/>
              <w:tabs>
                <w:tab w:val="left" w:pos="1337"/>
              </w:tabs>
              <w:adjustRightInd w:val="0"/>
              <w:snapToGrid w:val="0"/>
              <w:spacing w:line="360" w:lineRule="auto"/>
              <w:rPr>
                <w:rFonts w:hint="eastAsia" w:ascii="仿宋" w:hAnsi="仿宋" w:eastAsia="仿宋" w:cs="仿宋"/>
                <w:bCs/>
                <w:color w:val="auto"/>
                <w:sz w:val="24"/>
                <w:highlight w:val="none"/>
              </w:rPr>
            </w:pPr>
          </w:p>
          <w:p>
            <w:pPr>
              <w:pStyle w:val="49"/>
              <w:tabs>
                <w:tab w:val="left" w:pos="1337"/>
              </w:tabs>
              <w:adjustRightInd w:val="0"/>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大写：</w:t>
            </w:r>
            <w:r>
              <w:rPr>
                <w:rFonts w:hint="eastAsia" w:ascii="仿宋" w:hAnsi="仿宋" w:eastAsia="仿宋" w:cs="仿宋"/>
                <w:bCs/>
                <w:color w:val="auto"/>
                <w:sz w:val="24"/>
                <w:highlight w:val="none"/>
                <w:u w:val="single"/>
              </w:rPr>
              <w:t xml:space="preserve">                          </w:t>
            </w:r>
          </w:p>
          <w:p>
            <w:pPr>
              <w:pStyle w:val="49"/>
              <w:tabs>
                <w:tab w:val="left" w:pos="1337"/>
              </w:tabs>
              <w:adjustRightInd w:val="0"/>
              <w:snapToGrid w:val="0"/>
              <w:spacing w:line="360" w:lineRule="auto"/>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1676" w:type="dxa"/>
            <w:vAlign w:val="center"/>
          </w:tcPr>
          <w:p>
            <w:pPr>
              <w:pStyle w:val="49"/>
              <w:tabs>
                <w:tab w:val="left" w:pos="1337"/>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合同履约期限</w:t>
            </w:r>
          </w:p>
        </w:tc>
        <w:tc>
          <w:tcPr>
            <w:tcW w:w="7383" w:type="dxa"/>
            <w:vAlign w:val="center"/>
          </w:tcPr>
          <w:p>
            <w:pPr>
              <w:pStyle w:val="49"/>
              <w:tabs>
                <w:tab w:val="left" w:pos="1337"/>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76" w:type="dxa"/>
            <w:vAlign w:val="center"/>
          </w:tcPr>
          <w:p>
            <w:pPr>
              <w:pStyle w:val="49"/>
              <w:tabs>
                <w:tab w:val="left" w:pos="1337"/>
              </w:tabs>
              <w:adjustRightInd w:val="0"/>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交货地点</w:t>
            </w:r>
          </w:p>
        </w:tc>
        <w:tc>
          <w:tcPr>
            <w:tcW w:w="7383" w:type="dxa"/>
            <w:vAlign w:val="center"/>
          </w:tcPr>
          <w:p>
            <w:pPr>
              <w:pStyle w:val="49"/>
              <w:tabs>
                <w:tab w:val="left" w:pos="1337"/>
              </w:tabs>
              <w:adjustRightInd w:val="0"/>
              <w:snapToGrid w:val="0"/>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059" w:type="dxa"/>
            <w:gridSpan w:val="2"/>
            <w:vAlign w:val="center"/>
          </w:tcPr>
          <w:p>
            <w:pPr>
              <w:pStyle w:val="49"/>
              <w:tabs>
                <w:tab w:val="left" w:pos="1337"/>
              </w:tabs>
              <w:adjustRightInd w:val="0"/>
              <w:snapToGrid w:val="0"/>
              <w:spacing w:line="360" w:lineRule="auto"/>
              <w:rPr>
                <w:rFonts w:hint="eastAsia" w:ascii="仿宋" w:hAnsi="仿宋" w:eastAsia="仿宋" w:cs="仿宋"/>
                <w:color w:val="auto"/>
                <w:sz w:val="24"/>
                <w:highlight w:val="none"/>
              </w:rPr>
            </w:pPr>
            <w:r>
              <w:rPr>
                <w:rFonts w:hint="eastAsia" w:ascii="仿宋" w:hAnsi="仿宋" w:eastAsia="仿宋" w:cs="仿宋"/>
                <w:bCs/>
                <w:color w:val="auto"/>
                <w:sz w:val="24"/>
                <w:highlight w:val="none"/>
              </w:rPr>
              <w:t>备注：</w:t>
            </w:r>
            <w:r>
              <w:rPr>
                <w:rFonts w:hint="eastAsia" w:ascii="仿宋" w:hAnsi="仿宋" w:eastAsia="仿宋" w:cs="仿宋"/>
                <w:bCs/>
                <w:color w:val="auto"/>
                <w:sz w:val="24"/>
                <w:highlight w:val="none"/>
                <w:u w:val="single"/>
              </w:rPr>
              <w:t xml:space="preserve">                                      </w:t>
            </w:r>
          </w:p>
        </w:tc>
      </w:tr>
    </w:tbl>
    <w:p>
      <w:pPr>
        <w:pStyle w:val="49"/>
        <w:adjustRightInd w:val="0"/>
        <w:snapToGrid w:val="0"/>
        <w:spacing w:line="360" w:lineRule="auto"/>
        <w:rPr>
          <w:rFonts w:hint="eastAsia" w:ascii="仿宋" w:hAnsi="仿宋" w:eastAsia="仿宋" w:cs="仿宋"/>
          <w:color w:val="auto"/>
          <w:sz w:val="24"/>
          <w:highlight w:val="none"/>
        </w:rPr>
      </w:pPr>
    </w:p>
    <w:p>
      <w:pPr>
        <w:pStyle w:val="49"/>
        <w:adjustRightInd w:val="0"/>
        <w:snapToGrid w:val="0"/>
        <w:spacing w:line="360" w:lineRule="auto"/>
        <w:rPr>
          <w:rFonts w:hint="eastAsia" w:ascii="仿宋" w:hAnsi="仿宋" w:eastAsia="仿宋" w:cs="仿宋"/>
          <w:color w:val="auto"/>
          <w:sz w:val="24"/>
          <w:highlight w:val="none"/>
        </w:rPr>
      </w:pPr>
      <w:bookmarkStart w:id="318" w:name="_Toc29502"/>
      <w:bookmarkStart w:id="319" w:name="_Toc20966"/>
      <w:bookmarkStart w:id="320" w:name="_Toc19061"/>
      <w:bookmarkStart w:id="321" w:name="_Toc25726"/>
      <w:bookmarkStart w:id="322" w:name="_Toc22970"/>
      <w:bookmarkStart w:id="323" w:name="_Toc19258"/>
      <w:bookmarkStart w:id="324" w:name="_Toc2625"/>
      <w:bookmarkStart w:id="325" w:name="_Toc19733"/>
      <w:r>
        <w:rPr>
          <w:rFonts w:hint="eastAsia" w:ascii="仿宋" w:hAnsi="仿宋" w:eastAsia="仿宋" w:cs="仿宋"/>
          <w:color w:val="auto"/>
          <w:sz w:val="24"/>
          <w:highlight w:val="none"/>
        </w:rPr>
        <w:t>说明：1、投标人严格按照规定的格式填写。投标总价作为评审及定标的依据。</w:t>
      </w:r>
    </w:p>
    <w:p>
      <w:pPr>
        <w:pStyle w:val="49"/>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2、任何有选择或有条件的投标总价或填写多个报价，均将导致投标被拒绝。</w:t>
      </w:r>
    </w:p>
    <w:p>
      <w:pPr>
        <w:pStyle w:val="49"/>
        <w:adjustRightInd w:val="0"/>
        <w:snapToGrid w:val="0"/>
        <w:spacing w:line="360" w:lineRule="auto"/>
        <w:ind w:firstLine="720" w:firstLineChars="300"/>
        <w:rPr>
          <w:rFonts w:hint="eastAsia" w:ascii="仿宋" w:hAnsi="仿宋" w:eastAsia="仿宋" w:cs="仿宋"/>
          <w:color w:val="auto"/>
          <w:sz w:val="24"/>
          <w:highlight w:val="none"/>
        </w:rPr>
      </w:pPr>
      <w:r>
        <w:rPr>
          <w:rFonts w:hint="eastAsia" w:ascii="仿宋" w:hAnsi="仿宋" w:eastAsia="仿宋" w:cs="仿宋"/>
          <w:color w:val="auto"/>
          <w:sz w:val="24"/>
          <w:highlight w:val="none"/>
        </w:rPr>
        <w:t>3、中文大写金额用汉字，如壹、贰、叁、肆、伍、陆、柒、捌、玖、拾、佰、仟、万、亿、元、角、分、零、整（正）等。如：小写：1234567.89 元，大写：壹佰贰拾叁万肆仟伍佰陆拾柒元捌角玖分。</w:t>
      </w:r>
    </w:p>
    <w:p>
      <w:pPr>
        <w:pStyle w:val="49"/>
        <w:adjustRightInd w:val="0"/>
        <w:snapToGrid w:val="0"/>
        <w:spacing w:line="360" w:lineRule="auto"/>
        <w:ind w:left="360" w:firstLine="723" w:firstLineChars="300"/>
        <w:rPr>
          <w:rFonts w:hint="eastAsia" w:ascii="仿宋" w:hAnsi="仿宋" w:eastAsia="仿宋" w:cs="仿宋"/>
          <w:b/>
          <w:bCs/>
          <w:color w:val="auto"/>
          <w:sz w:val="24"/>
          <w:highlight w:val="none"/>
        </w:rPr>
      </w:pPr>
    </w:p>
    <w:p>
      <w:pPr>
        <w:pStyle w:val="49"/>
        <w:adjustRightInd w:val="0"/>
        <w:snapToGrid w:val="0"/>
        <w:spacing w:line="360" w:lineRule="auto"/>
        <w:ind w:left="360" w:firstLine="723" w:firstLineChars="300"/>
        <w:rPr>
          <w:rFonts w:hint="eastAsia" w:ascii="仿宋" w:hAnsi="仿宋" w:eastAsia="仿宋" w:cs="仿宋"/>
          <w:b/>
          <w:bCs/>
          <w:color w:val="auto"/>
          <w:sz w:val="24"/>
          <w:highlight w:val="none"/>
        </w:rPr>
      </w:pP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投标人名称：</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(盖章)</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法定代表人或委托代理人：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(签字或盖章)</w:t>
      </w:r>
    </w:p>
    <w:p>
      <w:pPr>
        <w:pStyle w:val="4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日</w:t>
      </w:r>
    </w:p>
    <w:p>
      <w:pPr>
        <w:pStyle w:val="39"/>
        <w:adjustRightInd w:val="0"/>
        <w:snapToGrid w:val="0"/>
        <w:spacing w:line="360" w:lineRule="auto"/>
        <w:ind w:firstLine="482" w:firstLineChars="200"/>
        <w:rPr>
          <w:rFonts w:hint="eastAsia" w:ascii="仿宋" w:hAnsi="仿宋" w:eastAsia="仿宋" w:cs="仿宋"/>
          <w:b/>
          <w:color w:val="auto"/>
          <w:kern w:val="0"/>
          <w:sz w:val="24"/>
          <w:highlight w:val="none"/>
        </w:rPr>
      </w:pPr>
    </w:p>
    <w:p>
      <w:pPr>
        <w:pStyle w:val="50"/>
        <w:pageBreakBefore/>
        <w:adjustRightInd w:val="0"/>
        <w:snapToGrid w:val="0"/>
        <w:spacing w:line="360" w:lineRule="auto"/>
        <w:ind w:right="-91"/>
        <w:jc w:val="center"/>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五、投标报价明细表</w:t>
      </w:r>
      <w:bookmarkEnd w:id="318"/>
      <w:bookmarkEnd w:id="319"/>
      <w:bookmarkEnd w:id="320"/>
      <w:bookmarkEnd w:id="321"/>
      <w:bookmarkEnd w:id="322"/>
      <w:bookmarkEnd w:id="323"/>
      <w:bookmarkEnd w:id="324"/>
      <w:bookmarkEnd w:id="325"/>
    </w:p>
    <w:tbl>
      <w:tblPr>
        <w:tblStyle w:val="20"/>
        <w:tblW w:w="50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1096"/>
        <w:gridCol w:w="1531"/>
        <w:gridCol w:w="1203"/>
        <w:gridCol w:w="764"/>
        <w:gridCol w:w="832"/>
        <w:gridCol w:w="1010"/>
        <w:gridCol w:w="1201"/>
        <w:gridCol w:w="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vAlign w:val="center"/>
          </w:tcPr>
          <w:p>
            <w:pP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序号</w:t>
            </w:r>
          </w:p>
        </w:tc>
        <w:tc>
          <w:tcPr>
            <w:tcW w:w="596" w:type="pct"/>
            <w:noWrap/>
            <w:vAlign w:val="center"/>
          </w:tcPr>
          <w:p>
            <w:pP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货物名称</w:t>
            </w:r>
          </w:p>
        </w:tc>
        <w:tc>
          <w:tcPr>
            <w:tcW w:w="834" w:type="pct"/>
            <w:noWrap/>
            <w:vAlign w:val="center"/>
          </w:tcPr>
          <w:p>
            <w:pP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规格型号</w:t>
            </w:r>
          </w:p>
        </w:tc>
        <w:tc>
          <w:tcPr>
            <w:tcW w:w="655" w:type="pct"/>
            <w:noWrap/>
            <w:vAlign w:val="center"/>
          </w:tcPr>
          <w:p>
            <w:pP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制造商</w:t>
            </w:r>
          </w:p>
        </w:tc>
        <w:tc>
          <w:tcPr>
            <w:tcW w:w="416" w:type="pct"/>
            <w:noWrap/>
            <w:vAlign w:val="center"/>
          </w:tcPr>
          <w:p>
            <w:pP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单位</w:t>
            </w:r>
          </w:p>
        </w:tc>
        <w:tc>
          <w:tcPr>
            <w:tcW w:w="453" w:type="pct"/>
            <w:noWrap/>
            <w:vAlign w:val="center"/>
          </w:tcPr>
          <w:p>
            <w:pP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数量</w:t>
            </w:r>
          </w:p>
        </w:tc>
        <w:tc>
          <w:tcPr>
            <w:tcW w:w="550" w:type="pct"/>
            <w:noWrap/>
            <w:vAlign w:val="center"/>
          </w:tcPr>
          <w:p>
            <w:pP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单价</w:t>
            </w:r>
          </w:p>
          <w:p>
            <w:pP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（元）</w:t>
            </w:r>
          </w:p>
        </w:tc>
        <w:tc>
          <w:tcPr>
            <w:tcW w:w="652" w:type="pct"/>
            <w:noWrap/>
            <w:vAlign w:val="center"/>
          </w:tcPr>
          <w:p>
            <w:pP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合价</w:t>
            </w:r>
          </w:p>
          <w:p>
            <w:pP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（元）</w:t>
            </w:r>
          </w:p>
        </w:tc>
        <w:tc>
          <w:tcPr>
            <w:tcW w:w="483" w:type="pct"/>
            <w:noWrap/>
            <w:vAlign w:val="center"/>
          </w:tcPr>
          <w:p>
            <w:pP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pPr>
              <w:snapToGrid w:val="0"/>
              <w:rPr>
                <w:rFonts w:hint="eastAsia" w:ascii="仿宋" w:hAnsi="仿宋" w:eastAsia="仿宋" w:cs="仿宋"/>
                <w:color w:val="auto"/>
                <w:sz w:val="22"/>
                <w:szCs w:val="22"/>
                <w:highlight w:val="none"/>
              </w:rPr>
            </w:pPr>
          </w:p>
        </w:tc>
        <w:tc>
          <w:tcPr>
            <w:tcW w:w="596" w:type="pct"/>
            <w:noWrap/>
          </w:tcPr>
          <w:p>
            <w:pPr>
              <w:snapToGrid w:val="0"/>
              <w:rPr>
                <w:rFonts w:hint="eastAsia" w:ascii="仿宋" w:hAnsi="仿宋" w:eastAsia="仿宋" w:cs="仿宋"/>
                <w:color w:val="auto"/>
                <w:sz w:val="22"/>
                <w:szCs w:val="22"/>
                <w:highlight w:val="none"/>
              </w:rPr>
            </w:pPr>
          </w:p>
        </w:tc>
        <w:tc>
          <w:tcPr>
            <w:tcW w:w="834" w:type="pct"/>
            <w:noWrap/>
          </w:tcPr>
          <w:p>
            <w:pPr>
              <w:snapToGrid w:val="0"/>
              <w:rPr>
                <w:rFonts w:hint="eastAsia" w:ascii="仿宋" w:hAnsi="仿宋" w:eastAsia="仿宋" w:cs="仿宋"/>
                <w:color w:val="auto"/>
                <w:sz w:val="22"/>
                <w:szCs w:val="22"/>
                <w:highlight w:val="none"/>
              </w:rPr>
            </w:pPr>
          </w:p>
        </w:tc>
        <w:tc>
          <w:tcPr>
            <w:tcW w:w="655" w:type="pct"/>
            <w:noWrap/>
          </w:tcPr>
          <w:p>
            <w:pPr>
              <w:snapToGrid w:val="0"/>
              <w:rPr>
                <w:rFonts w:hint="eastAsia" w:ascii="仿宋" w:hAnsi="仿宋" w:eastAsia="仿宋" w:cs="仿宋"/>
                <w:color w:val="auto"/>
                <w:sz w:val="22"/>
                <w:szCs w:val="22"/>
                <w:highlight w:val="none"/>
              </w:rPr>
            </w:pPr>
          </w:p>
        </w:tc>
        <w:tc>
          <w:tcPr>
            <w:tcW w:w="416" w:type="pct"/>
            <w:noWrap/>
          </w:tcPr>
          <w:p>
            <w:pPr>
              <w:snapToGrid w:val="0"/>
              <w:rPr>
                <w:rFonts w:hint="eastAsia" w:ascii="仿宋" w:hAnsi="仿宋" w:eastAsia="仿宋" w:cs="仿宋"/>
                <w:color w:val="auto"/>
                <w:sz w:val="22"/>
                <w:szCs w:val="22"/>
                <w:highlight w:val="none"/>
              </w:rPr>
            </w:pPr>
          </w:p>
        </w:tc>
        <w:tc>
          <w:tcPr>
            <w:tcW w:w="453" w:type="pct"/>
            <w:noWrap/>
          </w:tcPr>
          <w:p>
            <w:pPr>
              <w:snapToGrid w:val="0"/>
              <w:rPr>
                <w:rFonts w:hint="eastAsia" w:ascii="仿宋" w:hAnsi="仿宋" w:eastAsia="仿宋" w:cs="仿宋"/>
                <w:color w:val="auto"/>
                <w:sz w:val="22"/>
                <w:szCs w:val="22"/>
                <w:highlight w:val="none"/>
              </w:rPr>
            </w:pPr>
          </w:p>
        </w:tc>
        <w:tc>
          <w:tcPr>
            <w:tcW w:w="550" w:type="pct"/>
            <w:noWrap/>
          </w:tcPr>
          <w:p>
            <w:pPr>
              <w:snapToGrid w:val="0"/>
              <w:rPr>
                <w:rFonts w:hint="eastAsia" w:ascii="仿宋" w:hAnsi="仿宋" w:eastAsia="仿宋" w:cs="仿宋"/>
                <w:color w:val="auto"/>
                <w:sz w:val="22"/>
                <w:szCs w:val="22"/>
                <w:highlight w:val="none"/>
              </w:rPr>
            </w:pPr>
          </w:p>
        </w:tc>
        <w:tc>
          <w:tcPr>
            <w:tcW w:w="652" w:type="pct"/>
            <w:noWrap/>
          </w:tcPr>
          <w:p>
            <w:pPr>
              <w:snapToGrid w:val="0"/>
              <w:rPr>
                <w:rFonts w:hint="eastAsia" w:ascii="仿宋" w:hAnsi="仿宋" w:eastAsia="仿宋" w:cs="仿宋"/>
                <w:color w:val="auto"/>
                <w:sz w:val="22"/>
                <w:szCs w:val="22"/>
                <w:highlight w:val="none"/>
              </w:rPr>
            </w:pPr>
          </w:p>
        </w:tc>
        <w:tc>
          <w:tcPr>
            <w:tcW w:w="483" w:type="pct"/>
            <w:noWrap/>
          </w:tcPr>
          <w:p>
            <w:pPr>
              <w:snapToGrid w:val="0"/>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pPr>
              <w:snapToGrid w:val="0"/>
              <w:rPr>
                <w:rFonts w:hint="eastAsia" w:ascii="仿宋" w:hAnsi="仿宋" w:eastAsia="仿宋" w:cs="仿宋"/>
                <w:color w:val="auto"/>
                <w:sz w:val="22"/>
                <w:szCs w:val="22"/>
                <w:highlight w:val="none"/>
              </w:rPr>
            </w:pPr>
          </w:p>
        </w:tc>
        <w:tc>
          <w:tcPr>
            <w:tcW w:w="596" w:type="pct"/>
            <w:noWrap/>
          </w:tcPr>
          <w:p>
            <w:pPr>
              <w:snapToGrid w:val="0"/>
              <w:rPr>
                <w:rFonts w:hint="eastAsia" w:ascii="仿宋" w:hAnsi="仿宋" w:eastAsia="仿宋" w:cs="仿宋"/>
                <w:color w:val="auto"/>
                <w:sz w:val="22"/>
                <w:szCs w:val="22"/>
                <w:highlight w:val="none"/>
              </w:rPr>
            </w:pPr>
          </w:p>
        </w:tc>
        <w:tc>
          <w:tcPr>
            <w:tcW w:w="834" w:type="pct"/>
            <w:noWrap/>
          </w:tcPr>
          <w:p>
            <w:pPr>
              <w:snapToGrid w:val="0"/>
              <w:rPr>
                <w:rFonts w:hint="eastAsia" w:ascii="仿宋" w:hAnsi="仿宋" w:eastAsia="仿宋" w:cs="仿宋"/>
                <w:color w:val="auto"/>
                <w:sz w:val="22"/>
                <w:szCs w:val="22"/>
                <w:highlight w:val="none"/>
              </w:rPr>
            </w:pPr>
          </w:p>
        </w:tc>
        <w:tc>
          <w:tcPr>
            <w:tcW w:w="655" w:type="pct"/>
            <w:noWrap/>
          </w:tcPr>
          <w:p>
            <w:pPr>
              <w:snapToGrid w:val="0"/>
              <w:rPr>
                <w:rFonts w:hint="eastAsia" w:ascii="仿宋" w:hAnsi="仿宋" w:eastAsia="仿宋" w:cs="仿宋"/>
                <w:color w:val="auto"/>
                <w:sz w:val="22"/>
                <w:szCs w:val="22"/>
                <w:highlight w:val="none"/>
              </w:rPr>
            </w:pPr>
          </w:p>
        </w:tc>
        <w:tc>
          <w:tcPr>
            <w:tcW w:w="416" w:type="pct"/>
            <w:noWrap/>
          </w:tcPr>
          <w:p>
            <w:pPr>
              <w:snapToGrid w:val="0"/>
              <w:rPr>
                <w:rFonts w:hint="eastAsia" w:ascii="仿宋" w:hAnsi="仿宋" w:eastAsia="仿宋" w:cs="仿宋"/>
                <w:color w:val="auto"/>
                <w:sz w:val="22"/>
                <w:szCs w:val="22"/>
                <w:highlight w:val="none"/>
              </w:rPr>
            </w:pPr>
          </w:p>
        </w:tc>
        <w:tc>
          <w:tcPr>
            <w:tcW w:w="453" w:type="pct"/>
            <w:noWrap/>
          </w:tcPr>
          <w:p>
            <w:pPr>
              <w:snapToGrid w:val="0"/>
              <w:rPr>
                <w:rFonts w:hint="eastAsia" w:ascii="仿宋" w:hAnsi="仿宋" w:eastAsia="仿宋" w:cs="仿宋"/>
                <w:color w:val="auto"/>
                <w:sz w:val="22"/>
                <w:szCs w:val="22"/>
                <w:highlight w:val="none"/>
              </w:rPr>
            </w:pPr>
          </w:p>
        </w:tc>
        <w:tc>
          <w:tcPr>
            <w:tcW w:w="550" w:type="pct"/>
            <w:noWrap/>
          </w:tcPr>
          <w:p>
            <w:pPr>
              <w:snapToGrid w:val="0"/>
              <w:rPr>
                <w:rFonts w:hint="eastAsia" w:ascii="仿宋" w:hAnsi="仿宋" w:eastAsia="仿宋" w:cs="仿宋"/>
                <w:color w:val="auto"/>
                <w:sz w:val="22"/>
                <w:szCs w:val="22"/>
                <w:highlight w:val="none"/>
              </w:rPr>
            </w:pPr>
          </w:p>
        </w:tc>
        <w:tc>
          <w:tcPr>
            <w:tcW w:w="652" w:type="pct"/>
            <w:noWrap/>
          </w:tcPr>
          <w:p>
            <w:pPr>
              <w:snapToGrid w:val="0"/>
              <w:rPr>
                <w:rFonts w:hint="eastAsia" w:ascii="仿宋" w:hAnsi="仿宋" w:eastAsia="仿宋" w:cs="仿宋"/>
                <w:color w:val="auto"/>
                <w:sz w:val="22"/>
                <w:szCs w:val="22"/>
                <w:highlight w:val="none"/>
              </w:rPr>
            </w:pPr>
          </w:p>
        </w:tc>
        <w:tc>
          <w:tcPr>
            <w:tcW w:w="483" w:type="pct"/>
            <w:noWrap/>
          </w:tcPr>
          <w:p>
            <w:pPr>
              <w:snapToGrid w:val="0"/>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pPr>
              <w:snapToGrid w:val="0"/>
              <w:rPr>
                <w:rFonts w:hint="eastAsia" w:ascii="仿宋" w:hAnsi="仿宋" w:eastAsia="仿宋" w:cs="仿宋"/>
                <w:color w:val="auto"/>
                <w:sz w:val="22"/>
                <w:szCs w:val="22"/>
                <w:highlight w:val="none"/>
              </w:rPr>
            </w:pPr>
          </w:p>
        </w:tc>
        <w:tc>
          <w:tcPr>
            <w:tcW w:w="596" w:type="pct"/>
            <w:noWrap/>
          </w:tcPr>
          <w:p>
            <w:pPr>
              <w:snapToGrid w:val="0"/>
              <w:rPr>
                <w:rFonts w:hint="eastAsia" w:ascii="仿宋" w:hAnsi="仿宋" w:eastAsia="仿宋" w:cs="仿宋"/>
                <w:color w:val="auto"/>
                <w:sz w:val="22"/>
                <w:szCs w:val="22"/>
                <w:highlight w:val="none"/>
              </w:rPr>
            </w:pPr>
          </w:p>
        </w:tc>
        <w:tc>
          <w:tcPr>
            <w:tcW w:w="834" w:type="pct"/>
            <w:noWrap/>
          </w:tcPr>
          <w:p>
            <w:pPr>
              <w:snapToGrid w:val="0"/>
              <w:rPr>
                <w:rFonts w:hint="eastAsia" w:ascii="仿宋" w:hAnsi="仿宋" w:eastAsia="仿宋" w:cs="仿宋"/>
                <w:color w:val="auto"/>
                <w:sz w:val="22"/>
                <w:szCs w:val="22"/>
                <w:highlight w:val="none"/>
              </w:rPr>
            </w:pPr>
          </w:p>
        </w:tc>
        <w:tc>
          <w:tcPr>
            <w:tcW w:w="655" w:type="pct"/>
            <w:noWrap/>
          </w:tcPr>
          <w:p>
            <w:pPr>
              <w:snapToGrid w:val="0"/>
              <w:rPr>
                <w:rFonts w:hint="eastAsia" w:ascii="仿宋" w:hAnsi="仿宋" w:eastAsia="仿宋" w:cs="仿宋"/>
                <w:color w:val="auto"/>
                <w:sz w:val="22"/>
                <w:szCs w:val="22"/>
                <w:highlight w:val="none"/>
              </w:rPr>
            </w:pPr>
          </w:p>
        </w:tc>
        <w:tc>
          <w:tcPr>
            <w:tcW w:w="416" w:type="pct"/>
            <w:noWrap/>
          </w:tcPr>
          <w:p>
            <w:pPr>
              <w:snapToGrid w:val="0"/>
              <w:rPr>
                <w:rFonts w:hint="eastAsia" w:ascii="仿宋" w:hAnsi="仿宋" w:eastAsia="仿宋" w:cs="仿宋"/>
                <w:color w:val="auto"/>
                <w:sz w:val="22"/>
                <w:szCs w:val="22"/>
                <w:highlight w:val="none"/>
              </w:rPr>
            </w:pPr>
          </w:p>
        </w:tc>
        <w:tc>
          <w:tcPr>
            <w:tcW w:w="453" w:type="pct"/>
            <w:noWrap/>
          </w:tcPr>
          <w:p>
            <w:pPr>
              <w:snapToGrid w:val="0"/>
              <w:rPr>
                <w:rFonts w:hint="eastAsia" w:ascii="仿宋" w:hAnsi="仿宋" w:eastAsia="仿宋" w:cs="仿宋"/>
                <w:color w:val="auto"/>
                <w:sz w:val="22"/>
                <w:szCs w:val="22"/>
                <w:highlight w:val="none"/>
              </w:rPr>
            </w:pPr>
          </w:p>
        </w:tc>
        <w:tc>
          <w:tcPr>
            <w:tcW w:w="550" w:type="pct"/>
            <w:noWrap/>
          </w:tcPr>
          <w:p>
            <w:pPr>
              <w:snapToGrid w:val="0"/>
              <w:rPr>
                <w:rFonts w:hint="eastAsia" w:ascii="仿宋" w:hAnsi="仿宋" w:eastAsia="仿宋" w:cs="仿宋"/>
                <w:color w:val="auto"/>
                <w:sz w:val="22"/>
                <w:szCs w:val="22"/>
                <w:highlight w:val="none"/>
              </w:rPr>
            </w:pPr>
          </w:p>
        </w:tc>
        <w:tc>
          <w:tcPr>
            <w:tcW w:w="652" w:type="pct"/>
            <w:noWrap/>
          </w:tcPr>
          <w:p>
            <w:pPr>
              <w:snapToGrid w:val="0"/>
              <w:rPr>
                <w:rFonts w:hint="eastAsia" w:ascii="仿宋" w:hAnsi="仿宋" w:eastAsia="仿宋" w:cs="仿宋"/>
                <w:color w:val="auto"/>
                <w:sz w:val="22"/>
                <w:szCs w:val="22"/>
                <w:highlight w:val="none"/>
              </w:rPr>
            </w:pPr>
          </w:p>
        </w:tc>
        <w:tc>
          <w:tcPr>
            <w:tcW w:w="483" w:type="pct"/>
            <w:noWrap/>
          </w:tcPr>
          <w:p>
            <w:pPr>
              <w:snapToGrid w:val="0"/>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pPr>
              <w:snapToGrid w:val="0"/>
              <w:rPr>
                <w:rFonts w:hint="eastAsia" w:ascii="仿宋" w:hAnsi="仿宋" w:eastAsia="仿宋" w:cs="仿宋"/>
                <w:color w:val="auto"/>
                <w:sz w:val="22"/>
                <w:szCs w:val="22"/>
                <w:highlight w:val="none"/>
              </w:rPr>
            </w:pPr>
          </w:p>
        </w:tc>
        <w:tc>
          <w:tcPr>
            <w:tcW w:w="596" w:type="pct"/>
            <w:noWrap/>
          </w:tcPr>
          <w:p>
            <w:pPr>
              <w:snapToGrid w:val="0"/>
              <w:rPr>
                <w:rFonts w:hint="eastAsia" w:ascii="仿宋" w:hAnsi="仿宋" w:eastAsia="仿宋" w:cs="仿宋"/>
                <w:color w:val="auto"/>
                <w:sz w:val="22"/>
                <w:szCs w:val="22"/>
                <w:highlight w:val="none"/>
              </w:rPr>
            </w:pPr>
          </w:p>
        </w:tc>
        <w:tc>
          <w:tcPr>
            <w:tcW w:w="834" w:type="pct"/>
            <w:noWrap/>
          </w:tcPr>
          <w:p>
            <w:pPr>
              <w:snapToGrid w:val="0"/>
              <w:rPr>
                <w:rFonts w:hint="eastAsia" w:ascii="仿宋" w:hAnsi="仿宋" w:eastAsia="仿宋" w:cs="仿宋"/>
                <w:color w:val="auto"/>
                <w:sz w:val="22"/>
                <w:szCs w:val="22"/>
                <w:highlight w:val="none"/>
              </w:rPr>
            </w:pPr>
          </w:p>
        </w:tc>
        <w:tc>
          <w:tcPr>
            <w:tcW w:w="655" w:type="pct"/>
            <w:noWrap/>
          </w:tcPr>
          <w:p>
            <w:pPr>
              <w:snapToGrid w:val="0"/>
              <w:rPr>
                <w:rFonts w:hint="eastAsia" w:ascii="仿宋" w:hAnsi="仿宋" w:eastAsia="仿宋" w:cs="仿宋"/>
                <w:color w:val="auto"/>
                <w:sz w:val="22"/>
                <w:szCs w:val="22"/>
                <w:highlight w:val="none"/>
              </w:rPr>
            </w:pPr>
          </w:p>
        </w:tc>
        <w:tc>
          <w:tcPr>
            <w:tcW w:w="416" w:type="pct"/>
            <w:noWrap/>
          </w:tcPr>
          <w:p>
            <w:pPr>
              <w:snapToGrid w:val="0"/>
              <w:rPr>
                <w:rFonts w:hint="eastAsia" w:ascii="仿宋" w:hAnsi="仿宋" w:eastAsia="仿宋" w:cs="仿宋"/>
                <w:color w:val="auto"/>
                <w:sz w:val="22"/>
                <w:szCs w:val="22"/>
                <w:highlight w:val="none"/>
              </w:rPr>
            </w:pPr>
          </w:p>
        </w:tc>
        <w:tc>
          <w:tcPr>
            <w:tcW w:w="453" w:type="pct"/>
            <w:noWrap/>
          </w:tcPr>
          <w:p>
            <w:pPr>
              <w:snapToGrid w:val="0"/>
              <w:rPr>
                <w:rFonts w:hint="eastAsia" w:ascii="仿宋" w:hAnsi="仿宋" w:eastAsia="仿宋" w:cs="仿宋"/>
                <w:color w:val="auto"/>
                <w:sz w:val="22"/>
                <w:szCs w:val="22"/>
                <w:highlight w:val="none"/>
              </w:rPr>
            </w:pPr>
          </w:p>
        </w:tc>
        <w:tc>
          <w:tcPr>
            <w:tcW w:w="550" w:type="pct"/>
            <w:noWrap/>
          </w:tcPr>
          <w:p>
            <w:pPr>
              <w:snapToGrid w:val="0"/>
              <w:rPr>
                <w:rFonts w:hint="eastAsia" w:ascii="仿宋" w:hAnsi="仿宋" w:eastAsia="仿宋" w:cs="仿宋"/>
                <w:color w:val="auto"/>
                <w:sz w:val="22"/>
                <w:szCs w:val="22"/>
                <w:highlight w:val="none"/>
              </w:rPr>
            </w:pPr>
          </w:p>
        </w:tc>
        <w:tc>
          <w:tcPr>
            <w:tcW w:w="652" w:type="pct"/>
            <w:noWrap/>
          </w:tcPr>
          <w:p>
            <w:pPr>
              <w:snapToGrid w:val="0"/>
              <w:rPr>
                <w:rFonts w:hint="eastAsia" w:ascii="仿宋" w:hAnsi="仿宋" w:eastAsia="仿宋" w:cs="仿宋"/>
                <w:color w:val="auto"/>
                <w:sz w:val="22"/>
                <w:szCs w:val="22"/>
                <w:highlight w:val="none"/>
              </w:rPr>
            </w:pPr>
          </w:p>
        </w:tc>
        <w:tc>
          <w:tcPr>
            <w:tcW w:w="483" w:type="pct"/>
            <w:noWrap/>
          </w:tcPr>
          <w:p>
            <w:pPr>
              <w:snapToGrid w:val="0"/>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pPr>
              <w:snapToGrid w:val="0"/>
              <w:rPr>
                <w:rFonts w:hint="eastAsia" w:ascii="仿宋" w:hAnsi="仿宋" w:eastAsia="仿宋" w:cs="仿宋"/>
                <w:color w:val="auto"/>
                <w:sz w:val="22"/>
                <w:szCs w:val="22"/>
                <w:highlight w:val="none"/>
              </w:rPr>
            </w:pPr>
          </w:p>
        </w:tc>
        <w:tc>
          <w:tcPr>
            <w:tcW w:w="596" w:type="pct"/>
            <w:noWrap/>
          </w:tcPr>
          <w:p>
            <w:pPr>
              <w:snapToGrid w:val="0"/>
              <w:rPr>
                <w:rFonts w:hint="eastAsia" w:ascii="仿宋" w:hAnsi="仿宋" w:eastAsia="仿宋" w:cs="仿宋"/>
                <w:color w:val="auto"/>
                <w:sz w:val="22"/>
                <w:szCs w:val="22"/>
                <w:highlight w:val="none"/>
              </w:rPr>
            </w:pPr>
          </w:p>
        </w:tc>
        <w:tc>
          <w:tcPr>
            <w:tcW w:w="834" w:type="pct"/>
            <w:noWrap/>
          </w:tcPr>
          <w:p>
            <w:pPr>
              <w:snapToGrid w:val="0"/>
              <w:rPr>
                <w:rFonts w:hint="eastAsia" w:ascii="仿宋" w:hAnsi="仿宋" w:eastAsia="仿宋" w:cs="仿宋"/>
                <w:color w:val="auto"/>
                <w:sz w:val="22"/>
                <w:szCs w:val="22"/>
                <w:highlight w:val="none"/>
              </w:rPr>
            </w:pPr>
          </w:p>
        </w:tc>
        <w:tc>
          <w:tcPr>
            <w:tcW w:w="655" w:type="pct"/>
            <w:noWrap/>
          </w:tcPr>
          <w:p>
            <w:pPr>
              <w:snapToGrid w:val="0"/>
              <w:rPr>
                <w:rFonts w:hint="eastAsia" w:ascii="仿宋" w:hAnsi="仿宋" w:eastAsia="仿宋" w:cs="仿宋"/>
                <w:color w:val="auto"/>
                <w:sz w:val="22"/>
                <w:szCs w:val="22"/>
                <w:highlight w:val="none"/>
              </w:rPr>
            </w:pPr>
          </w:p>
        </w:tc>
        <w:tc>
          <w:tcPr>
            <w:tcW w:w="416" w:type="pct"/>
            <w:noWrap/>
          </w:tcPr>
          <w:p>
            <w:pPr>
              <w:snapToGrid w:val="0"/>
              <w:rPr>
                <w:rFonts w:hint="eastAsia" w:ascii="仿宋" w:hAnsi="仿宋" w:eastAsia="仿宋" w:cs="仿宋"/>
                <w:color w:val="auto"/>
                <w:sz w:val="22"/>
                <w:szCs w:val="22"/>
                <w:highlight w:val="none"/>
              </w:rPr>
            </w:pPr>
          </w:p>
        </w:tc>
        <w:tc>
          <w:tcPr>
            <w:tcW w:w="453" w:type="pct"/>
            <w:noWrap/>
          </w:tcPr>
          <w:p>
            <w:pPr>
              <w:snapToGrid w:val="0"/>
              <w:rPr>
                <w:rFonts w:hint="eastAsia" w:ascii="仿宋" w:hAnsi="仿宋" w:eastAsia="仿宋" w:cs="仿宋"/>
                <w:color w:val="auto"/>
                <w:sz w:val="22"/>
                <w:szCs w:val="22"/>
                <w:highlight w:val="none"/>
              </w:rPr>
            </w:pPr>
          </w:p>
        </w:tc>
        <w:tc>
          <w:tcPr>
            <w:tcW w:w="550" w:type="pct"/>
            <w:noWrap/>
          </w:tcPr>
          <w:p>
            <w:pPr>
              <w:snapToGrid w:val="0"/>
              <w:rPr>
                <w:rFonts w:hint="eastAsia" w:ascii="仿宋" w:hAnsi="仿宋" w:eastAsia="仿宋" w:cs="仿宋"/>
                <w:color w:val="auto"/>
                <w:sz w:val="22"/>
                <w:szCs w:val="22"/>
                <w:highlight w:val="none"/>
              </w:rPr>
            </w:pPr>
          </w:p>
        </w:tc>
        <w:tc>
          <w:tcPr>
            <w:tcW w:w="652" w:type="pct"/>
            <w:noWrap/>
          </w:tcPr>
          <w:p>
            <w:pPr>
              <w:snapToGrid w:val="0"/>
              <w:rPr>
                <w:rFonts w:hint="eastAsia" w:ascii="仿宋" w:hAnsi="仿宋" w:eastAsia="仿宋" w:cs="仿宋"/>
                <w:color w:val="auto"/>
                <w:sz w:val="22"/>
                <w:szCs w:val="22"/>
                <w:highlight w:val="none"/>
              </w:rPr>
            </w:pPr>
          </w:p>
        </w:tc>
        <w:tc>
          <w:tcPr>
            <w:tcW w:w="483" w:type="pct"/>
            <w:noWrap/>
          </w:tcPr>
          <w:p>
            <w:pPr>
              <w:snapToGrid w:val="0"/>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pPr>
              <w:snapToGrid w:val="0"/>
              <w:rPr>
                <w:rFonts w:hint="eastAsia" w:ascii="仿宋" w:hAnsi="仿宋" w:eastAsia="仿宋" w:cs="仿宋"/>
                <w:color w:val="auto"/>
                <w:sz w:val="22"/>
                <w:szCs w:val="22"/>
                <w:highlight w:val="none"/>
              </w:rPr>
            </w:pPr>
          </w:p>
        </w:tc>
        <w:tc>
          <w:tcPr>
            <w:tcW w:w="596" w:type="pct"/>
            <w:noWrap/>
          </w:tcPr>
          <w:p>
            <w:pPr>
              <w:snapToGrid w:val="0"/>
              <w:rPr>
                <w:rFonts w:hint="eastAsia" w:ascii="仿宋" w:hAnsi="仿宋" w:eastAsia="仿宋" w:cs="仿宋"/>
                <w:color w:val="auto"/>
                <w:sz w:val="22"/>
                <w:szCs w:val="22"/>
                <w:highlight w:val="none"/>
              </w:rPr>
            </w:pPr>
          </w:p>
        </w:tc>
        <w:tc>
          <w:tcPr>
            <w:tcW w:w="834" w:type="pct"/>
            <w:noWrap/>
          </w:tcPr>
          <w:p>
            <w:pPr>
              <w:snapToGrid w:val="0"/>
              <w:rPr>
                <w:rFonts w:hint="eastAsia" w:ascii="仿宋" w:hAnsi="仿宋" w:eastAsia="仿宋" w:cs="仿宋"/>
                <w:color w:val="auto"/>
                <w:sz w:val="22"/>
                <w:szCs w:val="22"/>
                <w:highlight w:val="none"/>
              </w:rPr>
            </w:pPr>
          </w:p>
        </w:tc>
        <w:tc>
          <w:tcPr>
            <w:tcW w:w="655" w:type="pct"/>
            <w:noWrap/>
          </w:tcPr>
          <w:p>
            <w:pPr>
              <w:snapToGrid w:val="0"/>
              <w:rPr>
                <w:rFonts w:hint="eastAsia" w:ascii="仿宋" w:hAnsi="仿宋" w:eastAsia="仿宋" w:cs="仿宋"/>
                <w:color w:val="auto"/>
                <w:sz w:val="22"/>
                <w:szCs w:val="22"/>
                <w:highlight w:val="none"/>
              </w:rPr>
            </w:pPr>
          </w:p>
        </w:tc>
        <w:tc>
          <w:tcPr>
            <w:tcW w:w="416" w:type="pct"/>
            <w:noWrap/>
          </w:tcPr>
          <w:p>
            <w:pPr>
              <w:snapToGrid w:val="0"/>
              <w:rPr>
                <w:rFonts w:hint="eastAsia" w:ascii="仿宋" w:hAnsi="仿宋" w:eastAsia="仿宋" w:cs="仿宋"/>
                <w:color w:val="auto"/>
                <w:sz w:val="22"/>
                <w:szCs w:val="22"/>
                <w:highlight w:val="none"/>
              </w:rPr>
            </w:pPr>
          </w:p>
        </w:tc>
        <w:tc>
          <w:tcPr>
            <w:tcW w:w="453" w:type="pct"/>
            <w:noWrap/>
          </w:tcPr>
          <w:p>
            <w:pPr>
              <w:snapToGrid w:val="0"/>
              <w:rPr>
                <w:rFonts w:hint="eastAsia" w:ascii="仿宋" w:hAnsi="仿宋" w:eastAsia="仿宋" w:cs="仿宋"/>
                <w:color w:val="auto"/>
                <w:sz w:val="22"/>
                <w:szCs w:val="22"/>
                <w:highlight w:val="none"/>
              </w:rPr>
            </w:pPr>
          </w:p>
        </w:tc>
        <w:tc>
          <w:tcPr>
            <w:tcW w:w="550" w:type="pct"/>
            <w:noWrap/>
          </w:tcPr>
          <w:p>
            <w:pPr>
              <w:snapToGrid w:val="0"/>
              <w:rPr>
                <w:rFonts w:hint="eastAsia" w:ascii="仿宋" w:hAnsi="仿宋" w:eastAsia="仿宋" w:cs="仿宋"/>
                <w:color w:val="auto"/>
                <w:sz w:val="22"/>
                <w:szCs w:val="22"/>
                <w:highlight w:val="none"/>
              </w:rPr>
            </w:pPr>
          </w:p>
        </w:tc>
        <w:tc>
          <w:tcPr>
            <w:tcW w:w="652" w:type="pct"/>
            <w:noWrap/>
          </w:tcPr>
          <w:p>
            <w:pPr>
              <w:snapToGrid w:val="0"/>
              <w:rPr>
                <w:rFonts w:hint="eastAsia" w:ascii="仿宋" w:hAnsi="仿宋" w:eastAsia="仿宋" w:cs="仿宋"/>
                <w:color w:val="auto"/>
                <w:sz w:val="22"/>
                <w:szCs w:val="22"/>
                <w:highlight w:val="none"/>
              </w:rPr>
            </w:pPr>
          </w:p>
        </w:tc>
        <w:tc>
          <w:tcPr>
            <w:tcW w:w="483" w:type="pct"/>
            <w:noWrap/>
          </w:tcPr>
          <w:p>
            <w:pPr>
              <w:snapToGrid w:val="0"/>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57" w:type="pct"/>
            <w:noWrap/>
          </w:tcPr>
          <w:p>
            <w:pPr>
              <w:snapToGrid w:val="0"/>
              <w:rPr>
                <w:rFonts w:hint="eastAsia" w:ascii="仿宋" w:hAnsi="仿宋" w:eastAsia="仿宋" w:cs="仿宋"/>
                <w:color w:val="auto"/>
                <w:sz w:val="22"/>
                <w:szCs w:val="22"/>
                <w:highlight w:val="none"/>
              </w:rPr>
            </w:pPr>
          </w:p>
        </w:tc>
        <w:tc>
          <w:tcPr>
            <w:tcW w:w="596" w:type="pct"/>
            <w:noWrap/>
          </w:tcPr>
          <w:p>
            <w:pPr>
              <w:snapToGrid w:val="0"/>
              <w:rPr>
                <w:rFonts w:hint="eastAsia" w:ascii="仿宋" w:hAnsi="仿宋" w:eastAsia="仿宋" w:cs="仿宋"/>
                <w:color w:val="auto"/>
                <w:sz w:val="22"/>
                <w:szCs w:val="22"/>
                <w:highlight w:val="none"/>
              </w:rPr>
            </w:pPr>
          </w:p>
        </w:tc>
        <w:tc>
          <w:tcPr>
            <w:tcW w:w="834" w:type="pct"/>
            <w:noWrap/>
          </w:tcPr>
          <w:p>
            <w:pPr>
              <w:snapToGrid w:val="0"/>
              <w:rPr>
                <w:rFonts w:hint="eastAsia" w:ascii="仿宋" w:hAnsi="仿宋" w:eastAsia="仿宋" w:cs="仿宋"/>
                <w:color w:val="auto"/>
                <w:sz w:val="22"/>
                <w:szCs w:val="22"/>
                <w:highlight w:val="none"/>
              </w:rPr>
            </w:pPr>
          </w:p>
        </w:tc>
        <w:tc>
          <w:tcPr>
            <w:tcW w:w="655" w:type="pct"/>
            <w:noWrap/>
          </w:tcPr>
          <w:p>
            <w:pPr>
              <w:snapToGrid w:val="0"/>
              <w:rPr>
                <w:rFonts w:hint="eastAsia" w:ascii="仿宋" w:hAnsi="仿宋" w:eastAsia="仿宋" w:cs="仿宋"/>
                <w:color w:val="auto"/>
                <w:sz w:val="22"/>
                <w:szCs w:val="22"/>
                <w:highlight w:val="none"/>
              </w:rPr>
            </w:pPr>
          </w:p>
        </w:tc>
        <w:tc>
          <w:tcPr>
            <w:tcW w:w="416" w:type="pct"/>
            <w:noWrap/>
          </w:tcPr>
          <w:p>
            <w:pPr>
              <w:snapToGrid w:val="0"/>
              <w:rPr>
                <w:rFonts w:hint="eastAsia" w:ascii="仿宋" w:hAnsi="仿宋" w:eastAsia="仿宋" w:cs="仿宋"/>
                <w:color w:val="auto"/>
                <w:sz w:val="22"/>
                <w:szCs w:val="22"/>
                <w:highlight w:val="none"/>
              </w:rPr>
            </w:pPr>
          </w:p>
        </w:tc>
        <w:tc>
          <w:tcPr>
            <w:tcW w:w="453" w:type="pct"/>
            <w:noWrap/>
          </w:tcPr>
          <w:p>
            <w:pPr>
              <w:snapToGrid w:val="0"/>
              <w:rPr>
                <w:rFonts w:hint="eastAsia" w:ascii="仿宋" w:hAnsi="仿宋" w:eastAsia="仿宋" w:cs="仿宋"/>
                <w:color w:val="auto"/>
                <w:sz w:val="22"/>
                <w:szCs w:val="22"/>
                <w:highlight w:val="none"/>
              </w:rPr>
            </w:pPr>
          </w:p>
        </w:tc>
        <w:tc>
          <w:tcPr>
            <w:tcW w:w="550" w:type="pct"/>
            <w:noWrap/>
          </w:tcPr>
          <w:p>
            <w:pPr>
              <w:snapToGrid w:val="0"/>
              <w:rPr>
                <w:rFonts w:hint="eastAsia" w:ascii="仿宋" w:hAnsi="仿宋" w:eastAsia="仿宋" w:cs="仿宋"/>
                <w:color w:val="auto"/>
                <w:sz w:val="22"/>
                <w:szCs w:val="22"/>
                <w:highlight w:val="none"/>
              </w:rPr>
            </w:pPr>
          </w:p>
        </w:tc>
        <w:tc>
          <w:tcPr>
            <w:tcW w:w="652" w:type="pct"/>
            <w:noWrap/>
          </w:tcPr>
          <w:p>
            <w:pPr>
              <w:snapToGrid w:val="0"/>
              <w:rPr>
                <w:rFonts w:hint="eastAsia" w:ascii="仿宋" w:hAnsi="仿宋" w:eastAsia="仿宋" w:cs="仿宋"/>
                <w:color w:val="auto"/>
                <w:sz w:val="22"/>
                <w:szCs w:val="22"/>
                <w:highlight w:val="none"/>
              </w:rPr>
            </w:pPr>
          </w:p>
        </w:tc>
        <w:tc>
          <w:tcPr>
            <w:tcW w:w="483" w:type="pct"/>
            <w:noWrap/>
          </w:tcPr>
          <w:p>
            <w:pPr>
              <w:snapToGrid w:val="0"/>
              <w:rPr>
                <w:rFonts w:hint="eastAsia" w:ascii="仿宋" w:hAnsi="仿宋" w:eastAsia="仿宋" w:cs="仿宋"/>
                <w:color w:val="auto"/>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54" w:type="pct"/>
            <w:gridSpan w:val="2"/>
            <w:noWrap/>
          </w:tcPr>
          <w:p>
            <w:pPr>
              <w:snapToGrid w:val="0"/>
              <w:jc w:val="center"/>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总报价</w:t>
            </w:r>
          </w:p>
        </w:tc>
        <w:tc>
          <w:tcPr>
            <w:tcW w:w="3562" w:type="pct"/>
            <w:gridSpan w:val="6"/>
            <w:tcBorders>
              <w:bottom w:val="single" w:color="auto" w:sz="4" w:space="0"/>
            </w:tcBorders>
            <w:noWrap/>
          </w:tcPr>
          <w:p>
            <w:pPr>
              <w:snapToGrid w:val="0"/>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金额：小写：</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w:t>
            </w:r>
          </w:p>
          <w:p>
            <w:pPr>
              <w:snapToGrid w:val="0"/>
              <w:ind w:firstLine="660" w:firstLineChars="3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大写：</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元</w:t>
            </w:r>
          </w:p>
        </w:tc>
        <w:tc>
          <w:tcPr>
            <w:tcW w:w="483" w:type="pct"/>
            <w:tcBorders>
              <w:bottom w:val="single" w:color="auto" w:sz="4" w:space="0"/>
            </w:tcBorders>
            <w:noWrap/>
          </w:tcPr>
          <w:p>
            <w:pPr>
              <w:snapToGrid w:val="0"/>
              <w:rPr>
                <w:rFonts w:hint="eastAsia" w:ascii="仿宋" w:hAnsi="仿宋" w:eastAsia="仿宋" w:cs="仿宋"/>
                <w:color w:val="auto"/>
                <w:sz w:val="22"/>
                <w:szCs w:val="22"/>
                <w:highlight w:val="none"/>
              </w:rPr>
            </w:pPr>
          </w:p>
        </w:tc>
      </w:tr>
    </w:tbl>
    <w:p>
      <w:pPr>
        <w:widowControl/>
        <w:snapToGrid w:val="0"/>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注：</w:t>
      </w:r>
    </w:p>
    <w:p>
      <w:pPr>
        <w:widowControl/>
        <w:snapToGrid w:val="0"/>
        <w:spacing w:line="360" w:lineRule="auto"/>
        <w:rPr>
          <w:rFonts w:hint="eastAsia" w:ascii="仿宋" w:hAnsi="仿宋" w:eastAsia="仿宋" w:cs="仿宋"/>
          <w:color w:val="auto"/>
          <w:highlight w:val="none"/>
        </w:rPr>
      </w:pPr>
      <w:r>
        <w:rPr>
          <w:rFonts w:hint="eastAsia" w:ascii="仿宋" w:hAnsi="仿宋" w:eastAsia="仿宋" w:cs="仿宋"/>
          <w:b/>
          <w:bCs/>
          <w:color w:val="auto"/>
          <w:highlight w:val="none"/>
        </w:rPr>
        <w:t xml:space="preserve">1.此表为《开标一览表》的报价明细表，总计金额须与开标一览表中金额一致。 </w:t>
      </w:r>
    </w:p>
    <w:p>
      <w:pPr>
        <w:pStyle w:val="39"/>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2.以上报价包含但不限于书籍购置费用、包装费、运输费、装卸费、税费、售后服务费等一切相关费用，采购单位不再额外支付任何其他费用。</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p>
    <w:p>
      <w:pPr>
        <w:snapToGrid w:val="0"/>
        <w:spacing w:line="360" w:lineRule="auto"/>
        <w:ind w:firstLine="482" w:firstLineChars="200"/>
        <w:jc w:val="both"/>
        <w:rPr>
          <w:rFonts w:hint="eastAsia" w:ascii="仿宋" w:hAnsi="仿宋" w:eastAsia="仿宋" w:cs="仿宋"/>
          <w:b/>
          <w:bCs/>
          <w:color w:val="auto"/>
          <w:kern w:val="2"/>
          <w:highlight w:val="none"/>
        </w:rPr>
      </w:pPr>
      <w:bookmarkStart w:id="326" w:name="_Toc30645"/>
      <w:bookmarkStart w:id="327" w:name="_Toc23223"/>
      <w:bookmarkStart w:id="328" w:name="_Toc3403"/>
      <w:bookmarkStart w:id="329" w:name="_Toc5961"/>
      <w:bookmarkStart w:id="330" w:name="_Toc30851"/>
      <w:bookmarkStart w:id="331" w:name="_Toc20544"/>
      <w:bookmarkStart w:id="332" w:name="_Toc4465"/>
      <w:bookmarkStart w:id="333" w:name="_Toc11136"/>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投标人名称：</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(盖章)</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法定代表人或委托代理人：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(签字或盖章)</w:t>
      </w:r>
    </w:p>
    <w:p>
      <w:pPr>
        <w:pStyle w:val="4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日</w:t>
      </w:r>
    </w:p>
    <w:p>
      <w:pPr>
        <w:pStyle w:val="50"/>
        <w:pageBreakBefore/>
        <w:adjustRightInd w:val="0"/>
        <w:snapToGrid w:val="0"/>
        <w:spacing w:line="360" w:lineRule="auto"/>
        <w:ind w:right="-91"/>
        <w:jc w:val="center"/>
        <w:rPr>
          <w:rFonts w:hint="eastAsia" w:ascii="仿宋" w:hAnsi="仿宋" w:eastAsia="仿宋" w:cs="仿宋"/>
          <w:color w:val="auto"/>
          <w:sz w:val="24"/>
          <w:highlight w:val="none"/>
        </w:rPr>
      </w:pPr>
      <w:r>
        <w:rPr>
          <w:rFonts w:hint="eastAsia" w:ascii="仿宋" w:hAnsi="仿宋" w:eastAsia="仿宋" w:cs="仿宋"/>
          <w:b/>
          <w:color w:val="auto"/>
          <w:kern w:val="0"/>
          <w:sz w:val="28"/>
          <w:szCs w:val="28"/>
          <w:highlight w:val="none"/>
        </w:rPr>
        <w:t>六、近年（2023年1月1日至今）类似项目业绩</w:t>
      </w:r>
      <w:bookmarkEnd w:id="326"/>
      <w:bookmarkEnd w:id="327"/>
      <w:bookmarkEnd w:id="328"/>
      <w:bookmarkEnd w:id="329"/>
      <w:bookmarkEnd w:id="330"/>
      <w:bookmarkEnd w:id="331"/>
      <w:bookmarkEnd w:id="332"/>
      <w:bookmarkEnd w:id="333"/>
    </w:p>
    <w:p>
      <w:pPr>
        <w:pStyle w:val="47"/>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Style w:val="47"/>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tbl>
      <w:tblPr>
        <w:tblStyle w:val="20"/>
        <w:tblW w:w="9424" w:type="dxa"/>
        <w:jc w:val="center"/>
        <w:tblLayout w:type="fixed"/>
        <w:tblCellMar>
          <w:top w:w="0" w:type="dxa"/>
          <w:left w:w="108" w:type="dxa"/>
          <w:bottom w:w="0" w:type="dxa"/>
          <w:right w:w="108" w:type="dxa"/>
        </w:tblCellMar>
      </w:tblPr>
      <w:tblGrid>
        <w:gridCol w:w="778"/>
        <w:gridCol w:w="1681"/>
        <w:gridCol w:w="1425"/>
        <w:gridCol w:w="2566"/>
        <w:gridCol w:w="2093"/>
        <w:gridCol w:w="881"/>
      </w:tblGrid>
      <w:tr>
        <w:tblPrEx>
          <w:tblCellMar>
            <w:top w:w="0" w:type="dxa"/>
            <w:left w:w="108" w:type="dxa"/>
            <w:bottom w:w="0" w:type="dxa"/>
            <w:right w:w="108" w:type="dxa"/>
          </w:tblCellMar>
        </w:tblPrEx>
        <w:trPr>
          <w:trHeight w:val="598" w:hRule="atLeast"/>
          <w:jc w:val="center"/>
        </w:trPr>
        <w:tc>
          <w:tcPr>
            <w:tcW w:w="778"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16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项目名称</w:t>
            </w:r>
          </w:p>
        </w:tc>
        <w:tc>
          <w:tcPr>
            <w:tcW w:w="142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项目内容</w:t>
            </w:r>
          </w:p>
        </w:tc>
        <w:tc>
          <w:tcPr>
            <w:tcW w:w="256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合同/中标金额（万元）</w:t>
            </w:r>
          </w:p>
        </w:tc>
        <w:tc>
          <w:tcPr>
            <w:tcW w:w="2093"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签约及完成时间</w:t>
            </w:r>
          </w:p>
        </w:tc>
        <w:tc>
          <w:tcPr>
            <w:tcW w:w="8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备注</w:t>
            </w: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56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093"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8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56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093"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8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56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093"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8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56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093"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8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56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093"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8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56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093"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8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55" w:hRule="atLeast"/>
          <w:jc w:val="center"/>
        </w:trPr>
        <w:tc>
          <w:tcPr>
            <w:tcW w:w="778"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56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093"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8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r>
      <w:tr>
        <w:tblPrEx>
          <w:tblCellMar>
            <w:top w:w="0" w:type="dxa"/>
            <w:left w:w="108" w:type="dxa"/>
            <w:bottom w:w="0" w:type="dxa"/>
            <w:right w:w="108" w:type="dxa"/>
          </w:tblCellMar>
        </w:tblPrEx>
        <w:trPr>
          <w:trHeight w:val="673" w:hRule="atLeast"/>
          <w:jc w:val="center"/>
        </w:trPr>
        <w:tc>
          <w:tcPr>
            <w:tcW w:w="778"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6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566"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2093"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c>
          <w:tcPr>
            <w:tcW w:w="881" w:type="dxa"/>
            <w:tcBorders>
              <w:top w:val="single" w:color="auto" w:sz="6" w:space="0"/>
              <w:left w:val="single" w:color="auto" w:sz="6" w:space="0"/>
              <w:bottom w:val="single" w:color="auto" w:sz="6" w:space="0"/>
              <w:right w:val="single" w:color="auto" w:sz="6" w:space="0"/>
            </w:tcBorders>
            <w:vAlign w:val="center"/>
          </w:tcPr>
          <w:p>
            <w:pPr>
              <w:snapToGrid w:val="0"/>
              <w:spacing w:line="360" w:lineRule="auto"/>
              <w:rPr>
                <w:rFonts w:hint="eastAsia" w:ascii="仿宋" w:hAnsi="仿宋" w:eastAsia="仿宋" w:cs="仿宋"/>
                <w:color w:val="auto"/>
                <w:highlight w:val="none"/>
              </w:rPr>
            </w:pPr>
          </w:p>
        </w:tc>
      </w:tr>
    </w:tbl>
    <w:p>
      <w:pPr>
        <w:pStyle w:val="47"/>
        <w:adjustRightInd w:val="0"/>
        <w:snapToGrid w:val="0"/>
        <w:spacing w:line="360" w:lineRule="auto"/>
        <w:jc w:val="left"/>
        <w:rPr>
          <w:rFonts w:hint="eastAsia" w:ascii="仿宋" w:hAnsi="仿宋" w:eastAsia="仿宋" w:cs="仿宋"/>
          <w:color w:val="auto"/>
          <w:sz w:val="24"/>
          <w:szCs w:val="24"/>
          <w:highlight w:val="none"/>
        </w:rPr>
      </w:pPr>
    </w:p>
    <w:p>
      <w:pPr>
        <w:pStyle w:val="47"/>
        <w:adjustRightInd w:val="0"/>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说明：1．项目内容请详细说明所承担的具体工作内容；</w:t>
      </w:r>
    </w:p>
    <w:p>
      <w:pPr>
        <w:pStyle w:val="47"/>
        <w:adjustRightInd w:val="0"/>
        <w:snapToGrid w:val="0"/>
        <w:spacing w:line="360" w:lineRule="auto"/>
        <w:ind w:left="960" w:leftChars="30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2.本表后附中标（成交）通知书或合同或协议关键页（至少包括首页、签章页，体现签订日期、服务内容），详细评审标准要求的资料复印件并加盖公章。</w:t>
      </w:r>
    </w:p>
    <w:p>
      <w:pPr>
        <w:pStyle w:val="47"/>
        <w:adjustRightInd w:val="0"/>
        <w:snapToGrid w:val="0"/>
        <w:spacing w:line="360" w:lineRule="auto"/>
        <w:ind w:left="960" w:leftChars="300" w:hanging="240" w:hanging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3.如近年来，投标人法人机构发生合法变更或重组或法人名称变更时，应提供相关部门的合法批件或其他相关证明材料来证明其所附业绩的继承性。</w:t>
      </w:r>
    </w:p>
    <w:p>
      <w:pPr>
        <w:pStyle w:val="47"/>
        <w:adjustRightInd w:val="0"/>
        <w:snapToGrid w:val="0"/>
        <w:spacing w:line="360" w:lineRule="auto"/>
        <w:rPr>
          <w:rFonts w:hint="eastAsia" w:ascii="仿宋" w:hAnsi="仿宋" w:eastAsia="仿宋" w:cs="仿宋"/>
          <w:color w:val="auto"/>
          <w:sz w:val="24"/>
          <w:szCs w:val="24"/>
          <w:highlight w:val="none"/>
        </w:rPr>
      </w:pP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u w:val="single"/>
        </w:rPr>
      </w:pPr>
      <w:bookmarkStart w:id="334" w:name="_Toc11718"/>
      <w:bookmarkStart w:id="335" w:name="_Toc22545"/>
      <w:bookmarkStart w:id="336" w:name="_Toc5780"/>
      <w:bookmarkStart w:id="337" w:name="_Toc4569"/>
      <w:bookmarkStart w:id="338" w:name="_Toc32648"/>
      <w:bookmarkStart w:id="339" w:name="_Toc3751"/>
      <w:bookmarkStart w:id="340" w:name="_Toc16745"/>
      <w:bookmarkStart w:id="341" w:name="_Toc1586"/>
      <w:bookmarkStart w:id="342" w:name="_Toc6669"/>
      <w:bookmarkStart w:id="343" w:name="_Toc20687"/>
      <w:bookmarkStart w:id="344" w:name="_Toc32179"/>
      <w:r>
        <w:rPr>
          <w:rFonts w:hint="eastAsia" w:ascii="仿宋" w:hAnsi="仿宋" w:eastAsia="仿宋" w:cs="仿宋"/>
          <w:b/>
          <w:bCs/>
          <w:color w:val="auto"/>
          <w:sz w:val="24"/>
          <w:szCs w:val="24"/>
          <w:highlight w:val="none"/>
        </w:rPr>
        <w:t>投标人名称：</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(盖章)</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法定代表人或委托代理人：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(签字或盖章)</w:t>
      </w:r>
    </w:p>
    <w:p>
      <w:pPr>
        <w:pStyle w:val="4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日</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p>
    <w:p>
      <w:pPr>
        <w:pageBreakBefore/>
        <w:autoSpaceDE/>
        <w:autoSpaceDN/>
        <w:snapToGrid w:val="0"/>
        <w:spacing w:before="189"/>
        <w:jc w:val="center"/>
        <w:rPr>
          <w:rFonts w:hint="eastAsia" w:ascii="仿宋" w:hAnsi="仿宋" w:eastAsia="仿宋" w:cs="仿宋"/>
          <w:b/>
          <w:bCs/>
          <w:color w:val="auto"/>
          <w:highlight w:val="none"/>
        </w:rPr>
      </w:pPr>
      <w:r>
        <w:rPr>
          <w:rFonts w:hint="eastAsia" w:ascii="仿宋" w:hAnsi="仿宋" w:eastAsia="仿宋" w:cs="仿宋"/>
          <w:b/>
          <w:color w:val="auto"/>
          <w:sz w:val="28"/>
          <w:szCs w:val="28"/>
          <w:highlight w:val="none"/>
        </w:rPr>
        <w:t>七、</w:t>
      </w:r>
      <w:bookmarkEnd w:id="334"/>
      <w:bookmarkEnd w:id="335"/>
      <w:bookmarkEnd w:id="336"/>
      <w:bookmarkEnd w:id="337"/>
      <w:bookmarkEnd w:id="338"/>
      <w:bookmarkEnd w:id="339"/>
      <w:bookmarkEnd w:id="340"/>
      <w:bookmarkEnd w:id="341"/>
      <w:bookmarkEnd w:id="342"/>
      <w:bookmarkEnd w:id="343"/>
      <w:bookmarkEnd w:id="344"/>
      <w:r>
        <w:rPr>
          <w:rFonts w:hint="eastAsia" w:ascii="仿宋" w:hAnsi="仿宋" w:eastAsia="仿宋" w:cs="仿宋"/>
          <w:b/>
          <w:color w:val="auto"/>
          <w:sz w:val="28"/>
          <w:szCs w:val="28"/>
          <w:highlight w:val="none"/>
          <w:lang w:val="zh-CN"/>
        </w:rPr>
        <w:t>拟配备人员一览表</w:t>
      </w:r>
    </w:p>
    <w:p>
      <w:pPr>
        <w:pStyle w:val="47"/>
        <w:adjustRightInd w:val="0"/>
        <w:snapToGrid w:val="0"/>
        <w:spacing w:line="360" w:lineRule="auto"/>
        <w:rPr>
          <w:rFonts w:hint="eastAsia" w:ascii="仿宋" w:hAnsi="仿宋" w:eastAsia="仿宋" w:cs="仿宋"/>
          <w:color w:val="auto"/>
          <w:sz w:val="24"/>
          <w:szCs w:val="24"/>
          <w:highlight w:val="none"/>
        </w:rPr>
      </w:pPr>
    </w:p>
    <w:tbl>
      <w:tblPr>
        <w:tblStyle w:val="20"/>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493"/>
        <w:gridCol w:w="1493"/>
        <w:gridCol w:w="1493"/>
        <w:gridCol w:w="1493"/>
        <w:gridCol w:w="1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lang w:val="zh-CN"/>
              </w:rPr>
              <w:t>序号</w:t>
            </w: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lang w:val="zh-CN"/>
              </w:rPr>
              <w:t>姓名</w:t>
            </w: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lang w:val="zh-CN"/>
              </w:rPr>
              <w:t>性别</w:t>
            </w: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lang w:val="zh-CN"/>
              </w:rPr>
              <w:t>工作年限</w:t>
            </w: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lang w:val="zh-CN"/>
              </w:rPr>
              <w:t>联系方式</w:t>
            </w: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r>
              <w:rPr>
                <w:rFonts w:hint="eastAsia" w:ascii="仿宋" w:hAnsi="仿宋" w:eastAsia="仿宋" w:cs="宋体"/>
                <w:color w:val="auto"/>
                <w:sz w:val="24"/>
                <w:highlight w:val="none"/>
                <w:lang w:val="zh-CN"/>
              </w:rPr>
              <w:t>在本项目中的职务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c>
          <w:tcPr>
            <w:tcW w:w="1493" w:type="dxa"/>
            <w:vAlign w:val="center"/>
          </w:tcPr>
          <w:p>
            <w:pPr>
              <w:pStyle w:val="5"/>
              <w:spacing w:line="360" w:lineRule="auto"/>
              <w:ind w:firstLine="0" w:firstLineChars="0"/>
              <w:jc w:val="center"/>
              <w:rPr>
                <w:rFonts w:hint="eastAsia" w:ascii="仿宋" w:hAnsi="仿宋" w:eastAsia="仿宋" w:cs="宋体"/>
                <w:color w:val="auto"/>
                <w:sz w:val="24"/>
                <w:highlight w:val="none"/>
                <w:lang w:val="zh-CN"/>
              </w:rPr>
            </w:pPr>
          </w:p>
        </w:tc>
      </w:tr>
    </w:tbl>
    <w:p>
      <w:pPr>
        <w:snapToGrid w:val="0"/>
        <w:spacing w:line="360" w:lineRule="auto"/>
        <w:ind w:firstLine="482"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后附身份证、相关证书、学历证扫描件或学信网查询记录、劳动合同，复印件并加盖投标人公章。</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u w:val="single"/>
        </w:rPr>
      </w:pPr>
      <w:r>
        <w:rPr>
          <w:rFonts w:hint="eastAsia" w:ascii="仿宋" w:hAnsi="仿宋" w:eastAsia="仿宋" w:cs="仿宋"/>
          <w:b/>
          <w:bCs/>
          <w:color w:val="auto"/>
          <w:sz w:val="24"/>
          <w:szCs w:val="24"/>
          <w:highlight w:val="none"/>
        </w:rPr>
        <w:t>投标人名称：</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(盖章)</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法定代表人或委托代理人：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(签字或盖章)</w:t>
      </w:r>
    </w:p>
    <w:p>
      <w:pPr>
        <w:pStyle w:val="4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日</w:t>
      </w:r>
    </w:p>
    <w:p>
      <w:pPr>
        <w:pStyle w:val="47"/>
        <w:adjustRightInd w:val="0"/>
        <w:snapToGrid w:val="0"/>
        <w:spacing w:line="360" w:lineRule="auto"/>
        <w:rPr>
          <w:rFonts w:hint="eastAsia" w:ascii="仿宋" w:hAnsi="仿宋" w:eastAsia="仿宋" w:cs="仿宋"/>
          <w:b/>
          <w:bCs/>
          <w:color w:val="auto"/>
          <w:sz w:val="24"/>
          <w:szCs w:val="24"/>
          <w:highlight w:val="none"/>
        </w:rPr>
      </w:pPr>
    </w:p>
    <w:p>
      <w:pPr>
        <w:pStyle w:val="5"/>
        <w:pageBreakBefore/>
        <w:adjustRightInd w:val="0"/>
        <w:snapToGrid w:val="0"/>
        <w:spacing w:line="360" w:lineRule="auto"/>
        <w:ind w:firstLine="0" w:firstLineChars="0"/>
        <w:jc w:val="center"/>
        <w:rPr>
          <w:rFonts w:hint="eastAsia" w:ascii="仿宋" w:hAnsi="仿宋" w:eastAsia="仿宋" w:cs="仿宋"/>
          <w:b/>
          <w:color w:val="auto"/>
          <w:kern w:val="0"/>
          <w:sz w:val="28"/>
          <w:szCs w:val="28"/>
          <w:highlight w:val="none"/>
        </w:rPr>
      </w:pPr>
      <w:bookmarkStart w:id="345" w:name="_Toc11807"/>
      <w:bookmarkStart w:id="346" w:name="_Toc8138"/>
      <w:bookmarkStart w:id="347" w:name="_Toc25694"/>
      <w:bookmarkStart w:id="348" w:name="_Toc11523"/>
      <w:bookmarkStart w:id="349" w:name="_Toc30466"/>
      <w:bookmarkStart w:id="350" w:name="_Toc10709"/>
      <w:bookmarkStart w:id="351" w:name="_Toc28085"/>
      <w:bookmarkStart w:id="352" w:name="_Toc1240"/>
      <w:r>
        <w:rPr>
          <w:rFonts w:hint="eastAsia" w:ascii="仿宋" w:hAnsi="仿宋" w:eastAsia="仿宋" w:cs="仿宋"/>
          <w:b/>
          <w:color w:val="auto"/>
          <w:kern w:val="0"/>
          <w:sz w:val="28"/>
          <w:szCs w:val="28"/>
          <w:highlight w:val="none"/>
        </w:rPr>
        <w:t>八、商务条款偏离说明表</w:t>
      </w:r>
      <w:bookmarkEnd w:id="345"/>
      <w:bookmarkEnd w:id="346"/>
      <w:bookmarkEnd w:id="347"/>
      <w:bookmarkEnd w:id="348"/>
      <w:bookmarkEnd w:id="349"/>
      <w:bookmarkEnd w:id="350"/>
      <w:bookmarkEnd w:id="351"/>
      <w:bookmarkEnd w:id="352"/>
    </w:p>
    <w:p>
      <w:pPr>
        <w:pStyle w:val="47"/>
        <w:adjustRightInd w:val="0"/>
        <w:snapToGrid w:val="0"/>
        <w:spacing w:line="360" w:lineRule="auto"/>
        <w:rPr>
          <w:rFonts w:hint="eastAsia" w:ascii="仿宋" w:hAnsi="仿宋" w:eastAsia="仿宋" w:cs="仿宋"/>
          <w:color w:val="auto"/>
          <w:sz w:val="24"/>
          <w:szCs w:val="24"/>
          <w:highlight w:val="none"/>
        </w:rPr>
      </w:pPr>
    </w:p>
    <w:p>
      <w:pPr>
        <w:pStyle w:val="47"/>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Style w:val="47"/>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5"/>
        <w:gridCol w:w="2822"/>
        <w:gridCol w:w="1682"/>
        <w:gridCol w:w="2142"/>
        <w:gridCol w:w="12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205" w:type="dxa"/>
            <w:tcBorders>
              <w:top w:val="single" w:color="auto" w:sz="12" w:space="0"/>
              <w:lef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序号</w:t>
            </w:r>
          </w:p>
        </w:tc>
        <w:tc>
          <w:tcPr>
            <w:tcW w:w="2822" w:type="dxa"/>
            <w:tcBorders>
              <w:top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招标文件的商务条款</w:t>
            </w:r>
          </w:p>
        </w:tc>
        <w:tc>
          <w:tcPr>
            <w:tcW w:w="1682" w:type="dxa"/>
            <w:tcBorders>
              <w:top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投标文件的商务条款</w:t>
            </w:r>
          </w:p>
        </w:tc>
        <w:tc>
          <w:tcPr>
            <w:tcW w:w="2142" w:type="dxa"/>
            <w:tcBorders>
              <w:top w:val="single" w:color="auto" w:sz="12" w:space="0"/>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bCs/>
                <w:color w:val="auto"/>
                <w:sz w:val="24"/>
                <w:highlight w:val="none"/>
                <w:lang w:eastAsia="zh-Hans"/>
              </w:rPr>
            </w:pPr>
            <w:r>
              <w:rPr>
                <w:rFonts w:hint="eastAsia" w:ascii="仿宋" w:hAnsi="仿宋" w:eastAsia="仿宋" w:cs="仿宋"/>
                <w:bCs/>
                <w:color w:val="auto"/>
                <w:sz w:val="24"/>
                <w:highlight w:val="none"/>
                <w:lang w:eastAsia="zh-Hans"/>
              </w:rPr>
              <w:t>偏离说明（符合/</w:t>
            </w:r>
          </w:p>
          <w:p>
            <w:pPr>
              <w:pStyle w:val="51"/>
              <w:tabs>
                <w:tab w:val="left" w:pos="1337"/>
              </w:tabs>
              <w:adjustRightInd w:val="0"/>
              <w:snapToGrid w:val="0"/>
              <w:spacing w:line="360" w:lineRule="auto"/>
              <w:jc w:val="center"/>
              <w:rPr>
                <w:rFonts w:hint="eastAsia" w:ascii="仿宋" w:hAnsi="仿宋" w:eastAsia="仿宋" w:cs="仿宋"/>
                <w:bCs/>
                <w:color w:val="auto"/>
                <w:sz w:val="24"/>
                <w:highlight w:val="none"/>
                <w:lang w:eastAsia="zh-Hans"/>
              </w:rPr>
            </w:pPr>
            <w:r>
              <w:rPr>
                <w:rFonts w:hint="eastAsia" w:ascii="仿宋" w:hAnsi="仿宋" w:eastAsia="仿宋" w:cs="仿宋"/>
                <w:bCs/>
                <w:color w:val="auto"/>
                <w:sz w:val="24"/>
                <w:highlight w:val="none"/>
                <w:lang w:eastAsia="zh-Hans"/>
              </w:rPr>
              <w:t>正偏离/负偏离）</w:t>
            </w:r>
          </w:p>
        </w:tc>
        <w:tc>
          <w:tcPr>
            <w:tcW w:w="1206" w:type="dxa"/>
            <w:tcBorders>
              <w:top w:val="single" w:color="auto" w:sz="12" w:space="0"/>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822" w:type="dxa"/>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682" w:type="dxa"/>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142" w:type="dxa"/>
            <w:tcBorders>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206" w:type="dxa"/>
            <w:tcBorders>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822" w:type="dxa"/>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682" w:type="dxa"/>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142" w:type="dxa"/>
            <w:tcBorders>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206" w:type="dxa"/>
            <w:tcBorders>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205" w:type="dxa"/>
            <w:tcBorders>
              <w:lef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822" w:type="dxa"/>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682" w:type="dxa"/>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142" w:type="dxa"/>
            <w:tcBorders>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206" w:type="dxa"/>
            <w:tcBorders>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1205" w:type="dxa"/>
            <w:tcBorders>
              <w:left w:val="single" w:color="auto" w:sz="12" w:space="0"/>
              <w:bottom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822" w:type="dxa"/>
            <w:tcBorders>
              <w:bottom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682" w:type="dxa"/>
            <w:tcBorders>
              <w:bottom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142" w:type="dxa"/>
            <w:tcBorders>
              <w:bottom w:val="single" w:color="auto" w:sz="12" w:space="0"/>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206" w:type="dxa"/>
            <w:tcBorders>
              <w:bottom w:val="single" w:color="auto" w:sz="12" w:space="0"/>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r>
    </w:tbl>
    <w:p>
      <w:pPr>
        <w:pStyle w:val="5"/>
        <w:adjustRightInd w:val="0"/>
        <w:snapToGrid w:val="0"/>
        <w:spacing w:line="360" w:lineRule="auto"/>
        <w:ind w:firstLine="0" w:firstLineChars="0"/>
        <w:jc w:val="center"/>
        <w:rPr>
          <w:rFonts w:hint="eastAsia" w:ascii="仿宋" w:hAnsi="仿宋" w:eastAsia="仿宋" w:cs="仿宋"/>
          <w:b/>
          <w:bCs/>
          <w:color w:val="auto"/>
          <w:sz w:val="24"/>
          <w:highlight w:val="none"/>
        </w:rPr>
      </w:pPr>
    </w:p>
    <w:p>
      <w:pPr>
        <w:snapToGrid w:val="0"/>
        <w:spacing w:line="360" w:lineRule="auto"/>
        <w:rPr>
          <w:rFonts w:hint="eastAsia" w:ascii="仿宋" w:hAnsi="仿宋" w:eastAsia="仿宋" w:cs="仿宋"/>
          <w:color w:val="auto"/>
          <w:highlight w:val="none"/>
        </w:rPr>
      </w:pPr>
    </w:p>
    <w:p>
      <w:pPr>
        <w:snapToGrid w:val="0"/>
        <w:spacing w:line="360" w:lineRule="auto"/>
        <w:rPr>
          <w:rFonts w:hint="eastAsia" w:ascii="仿宋" w:hAnsi="仿宋" w:eastAsia="仿宋" w:cs="仿宋"/>
          <w:b/>
          <w:color w:val="auto"/>
          <w:highlight w:val="none"/>
        </w:rPr>
      </w:pPr>
      <w:r>
        <w:rPr>
          <w:rFonts w:hint="eastAsia" w:ascii="仿宋" w:hAnsi="仿宋" w:eastAsia="仿宋" w:cs="仿宋"/>
          <w:b/>
          <w:color w:val="auto"/>
          <w:highlight w:val="none"/>
        </w:rPr>
        <w:t>说明：1.如投标人提交的商务服务条款与招标文件的要求存在正偏离或负偏离，需逐项在偏离一栏中详细说明。</w:t>
      </w:r>
    </w:p>
    <w:p>
      <w:pPr>
        <w:snapToGrid w:val="0"/>
        <w:spacing w:line="360" w:lineRule="auto"/>
        <w:ind w:firstLine="723" w:firstLineChars="300"/>
        <w:rPr>
          <w:rFonts w:hint="eastAsia" w:ascii="仿宋" w:hAnsi="仿宋" w:eastAsia="仿宋" w:cs="仿宋"/>
          <w:b/>
          <w:color w:val="auto"/>
          <w:highlight w:val="none"/>
        </w:rPr>
      </w:pPr>
      <w:r>
        <w:rPr>
          <w:rFonts w:hint="eastAsia" w:ascii="仿宋" w:hAnsi="仿宋" w:eastAsia="仿宋" w:cs="仿宋"/>
          <w:b/>
          <w:color w:val="auto"/>
          <w:highlight w:val="none"/>
        </w:rPr>
        <w:t>2.如投标人能完全按照此部分要求承诺（响应）并实施，“投标文件的商务条款”可填写“完全按照采购文件商务条款响应”，“</w:t>
      </w:r>
      <w:r>
        <w:rPr>
          <w:rFonts w:hint="eastAsia" w:ascii="仿宋" w:hAnsi="仿宋" w:eastAsia="仿宋" w:cs="仿宋"/>
          <w:b/>
          <w:color w:val="auto"/>
          <w:highlight w:val="none"/>
          <w:lang w:eastAsia="zh-Hans"/>
        </w:rPr>
        <w:t>偏离说明</w:t>
      </w:r>
      <w:r>
        <w:rPr>
          <w:rFonts w:hint="eastAsia" w:ascii="仿宋" w:hAnsi="仿宋" w:eastAsia="仿宋" w:cs="仿宋"/>
          <w:b/>
          <w:color w:val="auto"/>
          <w:highlight w:val="none"/>
        </w:rPr>
        <w:t>”可填写“无偏离”。</w:t>
      </w:r>
    </w:p>
    <w:p>
      <w:pPr>
        <w:pStyle w:val="52"/>
        <w:adjustRightInd w:val="0"/>
        <w:snapToGrid w:val="0"/>
        <w:spacing w:line="360" w:lineRule="auto"/>
        <w:jc w:val="center"/>
        <w:rPr>
          <w:rFonts w:hint="eastAsia" w:ascii="仿宋" w:hAnsi="仿宋" w:eastAsia="仿宋" w:cs="仿宋"/>
          <w:color w:val="auto"/>
          <w:sz w:val="24"/>
          <w:highlight w:val="none"/>
        </w:rPr>
      </w:pPr>
    </w:p>
    <w:p>
      <w:pPr>
        <w:pStyle w:val="52"/>
        <w:adjustRightInd w:val="0"/>
        <w:snapToGrid w:val="0"/>
        <w:spacing w:line="360" w:lineRule="auto"/>
        <w:jc w:val="center"/>
        <w:rPr>
          <w:rFonts w:hint="eastAsia" w:ascii="仿宋" w:hAnsi="仿宋" w:eastAsia="仿宋" w:cs="仿宋"/>
          <w:color w:val="auto"/>
          <w:sz w:val="24"/>
          <w:highlight w:val="none"/>
        </w:rPr>
      </w:pP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u w:val="single"/>
        </w:rPr>
      </w:pPr>
      <w:bookmarkStart w:id="353" w:name="_Toc19796"/>
      <w:bookmarkStart w:id="354" w:name="_Toc13636"/>
      <w:bookmarkStart w:id="355" w:name="_Toc20139"/>
      <w:bookmarkStart w:id="356" w:name="_Toc6806"/>
      <w:bookmarkStart w:id="357" w:name="_Toc24325"/>
      <w:bookmarkStart w:id="358" w:name="_Toc3569"/>
      <w:bookmarkStart w:id="359" w:name="_Toc12887"/>
      <w:bookmarkStart w:id="360" w:name="_Toc15588"/>
      <w:r>
        <w:rPr>
          <w:rFonts w:hint="eastAsia" w:ascii="仿宋" w:hAnsi="仿宋" w:eastAsia="仿宋" w:cs="仿宋"/>
          <w:b/>
          <w:bCs/>
          <w:color w:val="auto"/>
          <w:sz w:val="24"/>
          <w:szCs w:val="24"/>
          <w:highlight w:val="none"/>
        </w:rPr>
        <w:t>投标人名称：</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(盖章)</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法定代表人或委托代理人：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(签字或盖章)</w:t>
      </w:r>
    </w:p>
    <w:p>
      <w:pPr>
        <w:pStyle w:val="4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日</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p>
    <w:p>
      <w:pPr>
        <w:pStyle w:val="50"/>
        <w:pageBreakBefore/>
        <w:adjustRightInd w:val="0"/>
        <w:snapToGrid w:val="0"/>
        <w:spacing w:line="360" w:lineRule="auto"/>
        <w:ind w:right="-91"/>
        <w:jc w:val="center"/>
        <w:rPr>
          <w:rFonts w:hint="eastAsia" w:ascii="仿宋" w:hAnsi="仿宋" w:eastAsia="仿宋" w:cs="仿宋"/>
          <w:b/>
          <w:bCs/>
          <w:color w:val="auto"/>
          <w:sz w:val="24"/>
          <w:highlight w:val="none"/>
        </w:rPr>
      </w:pPr>
      <w:r>
        <w:rPr>
          <w:rFonts w:hint="eastAsia" w:ascii="仿宋" w:hAnsi="仿宋" w:eastAsia="仿宋" w:cs="仿宋"/>
          <w:b/>
          <w:color w:val="auto"/>
          <w:kern w:val="0"/>
          <w:sz w:val="28"/>
          <w:szCs w:val="28"/>
          <w:highlight w:val="none"/>
        </w:rPr>
        <w:t>九、技术文件</w:t>
      </w:r>
      <w:bookmarkEnd w:id="353"/>
      <w:bookmarkEnd w:id="354"/>
      <w:bookmarkEnd w:id="355"/>
      <w:bookmarkEnd w:id="356"/>
      <w:bookmarkEnd w:id="357"/>
      <w:bookmarkEnd w:id="358"/>
      <w:bookmarkEnd w:id="359"/>
      <w:bookmarkEnd w:id="360"/>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此处内容可对照评审标准提供相应方案，充分体现所投项目服务对于评分标准的响应程度和优势，格式自拟。</w:t>
      </w:r>
    </w:p>
    <w:p>
      <w:pPr>
        <w:pStyle w:val="7"/>
        <w:rPr>
          <w:color w:val="auto"/>
          <w:highlight w:val="none"/>
          <w:lang w:val="zh-CN"/>
        </w:rPr>
      </w:pPr>
      <w:bookmarkStart w:id="361" w:name="_Toc31651"/>
      <w:bookmarkStart w:id="362" w:name="_Toc24404"/>
      <w:bookmarkStart w:id="363" w:name="_Toc26902"/>
      <w:bookmarkStart w:id="364" w:name="_Toc29237"/>
    </w:p>
    <w:p>
      <w:pPr>
        <w:rPr>
          <w:color w:val="auto"/>
          <w:highlight w:val="none"/>
        </w:rPr>
      </w:pPr>
    </w:p>
    <w:p>
      <w:pPr>
        <w:snapToGrid w:val="0"/>
        <w:spacing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说明：技术文件的编制原则，一是按招标文件要求，提供相应说明、资料、表格以证明所投货物是否响应招标文件要求；二是对应项目评审标准，充分体现所投服务对于评分标准的响应程度和优势。</w:t>
      </w:r>
      <w:bookmarkEnd w:id="361"/>
      <w:bookmarkEnd w:id="362"/>
      <w:bookmarkEnd w:id="363"/>
      <w:bookmarkEnd w:id="364"/>
      <w:bookmarkStart w:id="365" w:name="_Toc5977"/>
      <w:bookmarkStart w:id="366" w:name="_Toc13764"/>
      <w:bookmarkStart w:id="367" w:name="_Toc24632"/>
      <w:bookmarkStart w:id="368" w:name="_Toc27969"/>
      <w:bookmarkStart w:id="369" w:name="_Toc24767"/>
      <w:bookmarkStart w:id="370" w:name="_Toc16767"/>
      <w:bookmarkStart w:id="371" w:name="_Toc31694"/>
      <w:bookmarkStart w:id="372" w:name="_Toc7614"/>
    </w:p>
    <w:p>
      <w:pPr>
        <w:pStyle w:val="53"/>
        <w:overflowPunct/>
        <w:snapToGrid w:val="0"/>
        <w:spacing w:line="360" w:lineRule="auto"/>
        <w:jc w:val="center"/>
        <w:rPr>
          <w:rFonts w:hint="eastAsia" w:ascii="仿宋" w:hAnsi="仿宋" w:eastAsia="仿宋" w:cs="仿宋"/>
          <w:b/>
          <w:bCs/>
          <w:color w:val="auto"/>
          <w:highlight w:val="none"/>
        </w:rPr>
      </w:pPr>
    </w:p>
    <w:p>
      <w:pPr>
        <w:pStyle w:val="53"/>
        <w:overflowPunct/>
        <w:snapToGrid w:val="0"/>
        <w:spacing w:line="360" w:lineRule="auto"/>
        <w:jc w:val="center"/>
        <w:rPr>
          <w:rFonts w:hint="eastAsia" w:ascii="仿宋" w:hAnsi="仿宋" w:eastAsia="仿宋" w:cs="仿宋"/>
          <w:b/>
          <w:bCs/>
          <w:color w:val="auto"/>
          <w:highlight w:val="none"/>
        </w:rPr>
      </w:pPr>
    </w:p>
    <w:p>
      <w:pPr>
        <w:pStyle w:val="53"/>
        <w:overflowPunct/>
        <w:snapToGrid w:val="0"/>
        <w:spacing w:line="360" w:lineRule="auto"/>
        <w:jc w:val="center"/>
        <w:rPr>
          <w:rFonts w:hint="eastAsia" w:ascii="仿宋" w:hAnsi="仿宋" w:eastAsia="仿宋" w:cs="仿宋"/>
          <w:b/>
          <w:bCs/>
          <w:color w:val="auto"/>
          <w:highlight w:val="none"/>
        </w:rPr>
      </w:pPr>
    </w:p>
    <w:p>
      <w:pPr>
        <w:pStyle w:val="53"/>
        <w:overflowPunct/>
        <w:snapToGrid w:val="0"/>
        <w:spacing w:line="360" w:lineRule="auto"/>
        <w:jc w:val="center"/>
        <w:rPr>
          <w:rFonts w:hint="eastAsia" w:ascii="仿宋" w:hAnsi="仿宋" w:eastAsia="仿宋" w:cs="仿宋"/>
          <w:b/>
          <w:bCs/>
          <w:color w:val="auto"/>
          <w:highlight w:val="none"/>
        </w:rPr>
      </w:pPr>
    </w:p>
    <w:p>
      <w:pPr>
        <w:pStyle w:val="53"/>
        <w:overflowPunct/>
        <w:snapToGrid w:val="0"/>
        <w:spacing w:line="360" w:lineRule="auto"/>
        <w:jc w:val="center"/>
        <w:rPr>
          <w:rFonts w:hint="eastAsia" w:ascii="仿宋" w:hAnsi="仿宋" w:eastAsia="仿宋" w:cs="仿宋"/>
          <w:b/>
          <w:bCs/>
          <w:color w:val="auto"/>
          <w:highlight w:val="none"/>
        </w:rPr>
      </w:pPr>
    </w:p>
    <w:p>
      <w:pPr>
        <w:pStyle w:val="53"/>
        <w:overflowPunct/>
        <w:snapToGrid w:val="0"/>
        <w:spacing w:line="360" w:lineRule="auto"/>
        <w:jc w:val="center"/>
        <w:rPr>
          <w:rFonts w:hint="eastAsia" w:ascii="仿宋" w:hAnsi="仿宋" w:eastAsia="仿宋" w:cs="仿宋"/>
          <w:b/>
          <w:bCs/>
          <w:color w:val="auto"/>
          <w:highlight w:val="none"/>
        </w:rPr>
      </w:pPr>
    </w:p>
    <w:p>
      <w:pPr>
        <w:pStyle w:val="53"/>
        <w:overflowPunct/>
        <w:snapToGrid w:val="0"/>
        <w:spacing w:line="360" w:lineRule="auto"/>
        <w:jc w:val="center"/>
        <w:rPr>
          <w:rFonts w:hint="eastAsia" w:ascii="仿宋" w:hAnsi="仿宋" w:eastAsia="仿宋" w:cs="仿宋"/>
          <w:b/>
          <w:bCs/>
          <w:color w:val="auto"/>
          <w:highlight w:val="none"/>
        </w:rPr>
      </w:pPr>
    </w:p>
    <w:p>
      <w:pPr>
        <w:pStyle w:val="53"/>
        <w:overflowPunct/>
        <w:snapToGrid w:val="0"/>
        <w:spacing w:line="360" w:lineRule="auto"/>
        <w:jc w:val="center"/>
        <w:rPr>
          <w:rFonts w:hint="eastAsia" w:ascii="仿宋" w:hAnsi="仿宋" w:eastAsia="仿宋" w:cs="仿宋"/>
          <w:b/>
          <w:bCs/>
          <w:color w:val="auto"/>
          <w:highlight w:val="none"/>
        </w:rPr>
      </w:pPr>
    </w:p>
    <w:p>
      <w:pPr>
        <w:pStyle w:val="53"/>
        <w:pageBreakBefore/>
        <w:widowControl w:val="0"/>
        <w:overflowPunct/>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十、技术条款偏离表</w:t>
      </w:r>
      <w:bookmarkEnd w:id="365"/>
      <w:bookmarkEnd w:id="366"/>
      <w:bookmarkEnd w:id="367"/>
      <w:bookmarkEnd w:id="368"/>
      <w:bookmarkEnd w:id="369"/>
      <w:bookmarkEnd w:id="370"/>
      <w:bookmarkEnd w:id="371"/>
      <w:bookmarkEnd w:id="372"/>
    </w:p>
    <w:p>
      <w:pPr>
        <w:pStyle w:val="53"/>
        <w:overflowPunct/>
        <w:snapToGrid w:val="0"/>
        <w:spacing w:line="360" w:lineRule="auto"/>
        <w:jc w:val="center"/>
        <w:rPr>
          <w:rFonts w:hint="eastAsia" w:ascii="仿宋" w:hAnsi="仿宋" w:eastAsia="仿宋" w:cs="仿宋"/>
          <w:b/>
          <w:bCs/>
          <w:color w:val="auto"/>
          <w:highlight w:val="none"/>
        </w:rPr>
      </w:pPr>
    </w:p>
    <w:p>
      <w:pPr>
        <w:pStyle w:val="47"/>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Style w:val="47"/>
        <w:adjustRightInd w:val="0"/>
        <w:snapToGrid w:val="0"/>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项目编号：</w:t>
      </w:r>
      <w:r>
        <w:rPr>
          <w:rFonts w:hint="eastAsia" w:ascii="仿宋" w:hAnsi="仿宋" w:eastAsia="仿宋" w:cs="仿宋"/>
          <w:color w:val="auto"/>
          <w:sz w:val="24"/>
          <w:szCs w:val="24"/>
          <w:highlight w:val="none"/>
          <w:u w:val="single"/>
        </w:rPr>
        <w:t xml:space="preserve">                              </w:t>
      </w:r>
    </w:p>
    <w:tbl>
      <w:tblPr>
        <w:tblStyle w:val="20"/>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905"/>
        <w:gridCol w:w="1658"/>
        <w:gridCol w:w="2250"/>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010" w:type="dxa"/>
            <w:tcBorders>
              <w:top w:val="single" w:color="auto" w:sz="12" w:space="0"/>
              <w:lef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序号</w:t>
            </w:r>
          </w:p>
        </w:tc>
        <w:tc>
          <w:tcPr>
            <w:tcW w:w="2905" w:type="dxa"/>
            <w:tcBorders>
              <w:top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招标文件的技术条款</w:t>
            </w:r>
          </w:p>
        </w:tc>
        <w:tc>
          <w:tcPr>
            <w:tcW w:w="1658" w:type="dxa"/>
            <w:tcBorders>
              <w:top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投标文件的技术条款</w:t>
            </w:r>
          </w:p>
        </w:tc>
        <w:tc>
          <w:tcPr>
            <w:tcW w:w="2250" w:type="dxa"/>
            <w:tcBorders>
              <w:top w:val="single" w:color="auto" w:sz="12" w:space="0"/>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bCs/>
                <w:color w:val="auto"/>
                <w:sz w:val="24"/>
                <w:highlight w:val="none"/>
                <w:lang w:eastAsia="zh-Hans"/>
              </w:rPr>
            </w:pPr>
            <w:r>
              <w:rPr>
                <w:rFonts w:hint="eastAsia" w:ascii="仿宋" w:hAnsi="仿宋" w:eastAsia="仿宋" w:cs="仿宋"/>
                <w:bCs/>
                <w:color w:val="auto"/>
                <w:sz w:val="24"/>
                <w:highlight w:val="none"/>
                <w:lang w:eastAsia="zh-Hans"/>
              </w:rPr>
              <w:t>偏离说明（符合/</w:t>
            </w:r>
          </w:p>
          <w:p>
            <w:pPr>
              <w:pStyle w:val="51"/>
              <w:tabs>
                <w:tab w:val="left" w:pos="1337"/>
              </w:tabs>
              <w:adjustRightInd w:val="0"/>
              <w:snapToGrid w:val="0"/>
              <w:spacing w:line="360" w:lineRule="auto"/>
              <w:jc w:val="center"/>
              <w:rPr>
                <w:rFonts w:hint="eastAsia" w:ascii="仿宋" w:hAnsi="仿宋" w:eastAsia="仿宋" w:cs="仿宋"/>
                <w:bCs/>
                <w:color w:val="auto"/>
                <w:sz w:val="24"/>
                <w:highlight w:val="none"/>
                <w:lang w:eastAsia="zh-Hans"/>
              </w:rPr>
            </w:pPr>
            <w:r>
              <w:rPr>
                <w:rFonts w:hint="eastAsia" w:ascii="仿宋" w:hAnsi="仿宋" w:eastAsia="仿宋" w:cs="仿宋"/>
                <w:bCs/>
                <w:color w:val="auto"/>
                <w:sz w:val="24"/>
                <w:highlight w:val="none"/>
                <w:lang w:eastAsia="zh-Hans"/>
              </w:rPr>
              <w:t>正偏离/负偏离）</w:t>
            </w:r>
          </w:p>
        </w:tc>
        <w:tc>
          <w:tcPr>
            <w:tcW w:w="1234" w:type="dxa"/>
            <w:tcBorders>
              <w:top w:val="single" w:color="auto" w:sz="12" w:space="0"/>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905" w:type="dxa"/>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658" w:type="dxa"/>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250" w:type="dxa"/>
            <w:tcBorders>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234" w:type="dxa"/>
            <w:tcBorders>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905" w:type="dxa"/>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658" w:type="dxa"/>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250" w:type="dxa"/>
            <w:tcBorders>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234" w:type="dxa"/>
            <w:tcBorders>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010" w:type="dxa"/>
            <w:tcBorders>
              <w:lef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905" w:type="dxa"/>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658" w:type="dxa"/>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2250" w:type="dxa"/>
            <w:tcBorders>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c>
          <w:tcPr>
            <w:tcW w:w="1234" w:type="dxa"/>
            <w:tcBorders>
              <w:right w:val="single" w:color="auto" w:sz="12" w:space="0"/>
            </w:tcBorders>
            <w:vAlign w:val="center"/>
          </w:tcPr>
          <w:p>
            <w:pPr>
              <w:pStyle w:val="51"/>
              <w:tabs>
                <w:tab w:val="left" w:pos="1337"/>
              </w:tabs>
              <w:adjustRightInd w:val="0"/>
              <w:snapToGrid w:val="0"/>
              <w:spacing w:line="360" w:lineRule="auto"/>
              <w:jc w:val="center"/>
              <w:rPr>
                <w:rFonts w:hint="eastAsia" w:ascii="仿宋" w:hAnsi="仿宋" w:eastAsia="仿宋" w:cs="仿宋"/>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9057" w:type="dxa"/>
            <w:gridSpan w:val="5"/>
            <w:tcBorders>
              <w:left w:val="single" w:color="auto" w:sz="12" w:space="0"/>
              <w:bottom w:val="single" w:color="auto" w:sz="12" w:space="0"/>
              <w:right w:val="single" w:color="auto" w:sz="12" w:space="0"/>
            </w:tcBorders>
            <w:vAlign w:val="center"/>
          </w:tcPr>
          <w:p>
            <w:pPr>
              <w:pStyle w:val="51"/>
              <w:tabs>
                <w:tab w:val="left" w:pos="1337"/>
              </w:tabs>
              <w:adjustRightInd w:val="0"/>
              <w:snapToGrid w:val="0"/>
              <w:spacing w:line="360" w:lineRule="auto"/>
              <w:jc w:val="left"/>
              <w:rPr>
                <w:rFonts w:hint="eastAsia" w:ascii="仿宋" w:hAnsi="仿宋" w:eastAsia="仿宋" w:cs="仿宋"/>
                <w:color w:val="auto"/>
                <w:sz w:val="24"/>
                <w:highlight w:val="none"/>
              </w:rPr>
            </w:pPr>
            <w:r>
              <w:rPr>
                <w:rFonts w:hint="eastAsia" w:ascii="仿宋" w:hAnsi="仿宋" w:eastAsia="仿宋" w:cs="仿宋"/>
                <w:b/>
                <w:bCs/>
                <w:color w:val="auto"/>
                <w:szCs w:val="21"/>
                <w:highlight w:val="none"/>
                <w:lang w:bidi="ar"/>
              </w:rPr>
              <w:t>（备注：产品技术参数需提供相关证明材料，如无相关证明材料的，按本表响应内容为准。“★”为实质性条款，不接受负偏离，否则视为未实质性响应招标文件要求，将被否决投标）</w:t>
            </w:r>
          </w:p>
        </w:tc>
      </w:tr>
    </w:tbl>
    <w:p>
      <w:pPr>
        <w:pStyle w:val="53"/>
        <w:overflowPunct/>
        <w:snapToGrid w:val="0"/>
        <w:spacing w:line="360" w:lineRule="auto"/>
        <w:rPr>
          <w:rFonts w:hint="eastAsia" w:ascii="仿宋" w:hAnsi="仿宋" w:eastAsia="仿宋" w:cs="仿宋"/>
          <w:color w:val="auto"/>
          <w:highlight w:val="none"/>
        </w:rPr>
      </w:pPr>
    </w:p>
    <w:p>
      <w:pPr>
        <w:snapToGrid w:val="0"/>
        <w:spacing w:line="360" w:lineRule="auto"/>
        <w:rPr>
          <w:rFonts w:hint="eastAsia" w:ascii="仿宋" w:hAnsi="仿宋" w:eastAsia="仿宋" w:cs="仿宋"/>
          <w:b/>
          <w:color w:val="auto"/>
          <w:highlight w:val="none"/>
        </w:rPr>
      </w:pPr>
      <w:r>
        <w:rPr>
          <w:rFonts w:hint="eastAsia" w:ascii="仿宋" w:hAnsi="仿宋" w:eastAsia="仿宋" w:cs="仿宋"/>
          <w:b/>
          <w:color w:val="auto"/>
          <w:highlight w:val="none"/>
        </w:rPr>
        <w:t>说明：1.如投标人提交的商务服务条款与招标文件的要求存在正偏离或负偏离，需逐项在偏离一栏中详细说明，如有偏离，则必须注明“偏离”；未注明偏离的，视为完全响应。</w:t>
      </w:r>
    </w:p>
    <w:p>
      <w:pPr>
        <w:snapToGrid w:val="0"/>
        <w:spacing w:line="360" w:lineRule="auto"/>
        <w:ind w:firstLine="723" w:firstLineChars="300"/>
        <w:rPr>
          <w:rFonts w:hint="eastAsia" w:ascii="仿宋" w:hAnsi="仿宋" w:eastAsia="仿宋" w:cs="仿宋"/>
          <w:b/>
          <w:color w:val="auto"/>
          <w:highlight w:val="none"/>
        </w:rPr>
      </w:pPr>
      <w:r>
        <w:rPr>
          <w:rFonts w:hint="eastAsia" w:ascii="仿宋" w:hAnsi="仿宋" w:eastAsia="仿宋" w:cs="仿宋"/>
          <w:b/>
          <w:color w:val="auto"/>
          <w:highlight w:val="none"/>
        </w:rPr>
        <w:t>2.如投标人能完全按照此部分要求承诺（响应）并实施，“投标文件的技术条款”可填写“完全按照采购文件技术条款响应”，“</w:t>
      </w:r>
      <w:r>
        <w:rPr>
          <w:rFonts w:hint="eastAsia" w:ascii="仿宋" w:hAnsi="仿宋" w:eastAsia="仿宋" w:cs="仿宋"/>
          <w:b/>
          <w:color w:val="auto"/>
          <w:highlight w:val="none"/>
          <w:lang w:eastAsia="zh-Hans"/>
        </w:rPr>
        <w:t>偏离说明</w:t>
      </w:r>
      <w:r>
        <w:rPr>
          <w:rFonts w:hint="eastAsia" w:ascii="仿宋" w:hAnsi="仿宋" w:eastAsia="仿宋" w:cs="仿宋"/>
          <w:b/>
          <w:color w:val="auto"/>
          <w:highlight w:val="none"/>
        </w:rPr>
        <w:t>”可填写“无偏离”。</w:t>
      </w:r>
    </w:p>
    <w:p>
      <w:pPr>
        <w:snapToGrid w:val="0"/>
        <w:spacing w:line="360" w:lineRule="auto"/>
        <w:rPr>
          <w:rFonts w:hint="eastAsia" w:ascii="仿宋" w:hAnsi="仿宋" w:eastAsia="仿宋" w:cs="仿宋"/>
          <w:b/>
          <w:color w:val="auto"/>
          <w:highlight w:val="none"/>
        </w:rPr>
      </w:pPr>
    </w:p>
    <w:p>
      <w:pPr>
        <w:pStyle w:val="39"/>
        <w:adjustRightInd w:val="0"/>
        <w:snapToGrid w:val="0"/>
        <w:spacing w:line="360" w:lineRule="auto"/>
        <w:ind w:firstLine="420"/>
        <w:rPr>
          <w:rFonts w:hint="eastAsia" w:ascii="仿宋" w:hAnsi="仿宋" w:eastAsia="仿宋" w:cs="仿宋"/>
          <w:color w:val="auto"/>
          <w:sz w:val="24"/>
          <w:szCs w:val="24"/>
          <w:highlight w:val="none"/>
        </w:rPr>
      </w:pPr>
    </w:p>
    <w:bookmarkEnd w:id="308"/>
    <w:bookmarkEnd w:id="309"/>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u w:val="single"/>
        </w:rPr>
      </w:pPr>
      <w:bookmarkStart w:id="373" w:name="_Toc1117"/>
      <w:bookmarkStart w:id="374" w:name="_Toc30981"/>
      <w:bookmarkStart w:id="375" w:name="_Toc11717"/>
      <w:bookmarkStart w:id="376" w:name="_Toc24329"/>
      <w:bookmarkStart w:id="377" w:name="_Toc30004"/>
      <w:bookmarkStart w:id="378" w:name="_Toc32152"/>
      <w:bookmarkStart w:id="379" w:name="_Toc29006"/>
      <w:bookmarkStart w:id="380" w:name="_Toc18724"/>
      <w:r>
        <w:rPr>
          <w:rFonts w:hint="eastAsia" w:ascii="仿宋" w:hAnsi="仿宋" w:eastAsia="仿宋" w:cs="仿宋"/>
          <w:b/>
          <w:bCs/>
          <w:color w:val="auto"/>
          <w:sz w:val="24"/>
          <w:szCs w:val="24"/>
          <w:highlight w:val="none"/>
        </w:rPr>
        <w:t>投标人名称：</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(盖章)</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法定代表人或委托代理人：</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(签字或盖章)</w:t>
      </w:r>
    </w:p>
    <w:p>
      <w:pPr>
        <w:pStyle w:val="41"/>
        <w:adjustRightInd w:val="0"/>
        <w:snapToGrid w:val="0"/>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日期：</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年</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月</w:t>
      </w:r>
      <w:r>
        <w:rPr>
          <w:rFonts w:hint="eastAsia" w:ascii="仿宋" w:hAnsi="仿宋" w:eastAsia="仿宋" w:cs="仿宋"/>
          <w:b/>
          <w:bCs/>
          <w:color w:val="auto"/>
          <w:sz w:val="24"/>
          <w:szCs w:val="24"/>
          <w:highlight w:val="none"/>
          <w:u w:val="single"/>
        </w:rPr>
        <w:t xml:space="preserve">     </w:t>
      </w:r>
      <w:r>
        <w:rPr>
          <w:rFonts w:hint="eastAsia" w:ascii="仿宋" w:hAnsi="仿宋" w:eastAsia="仿宋" w:cs="仿宋"/>
          <w:b/>
          <w:bCs/>
          <w:color w:val="auto"/>
          <w:sz w:val="24"/>
          <w:szCs w:val="24"/>
          <w:highlight w:val="none"/>
        </w:rPr>
        <w:t>日</w:t>
      </w:r>
    </w:p>
    <w:p>
      <w:pPr>
        <w:pStyle w:val="39"/>
        <w:adjustRightInd w:val="0"/>
        <w:snapToGrid w:val="0"/>
        <w:spacing w:line="360" w:lineRule="auto"/>
        <w:ind w:firstLine="482" w:firstLineChars="200"/>
        <w:rPr>
          <w:rFonts w:hint="eastAsia" w:ascii="仿宋" w:hAnsi="仿宋" w:eastAsia="仿宋" w:cs="仿宋"/>
          <w:b/>
          <w:bCs/>
          <w:color w:val="auto"/>
          <w:sz w:val="24"/>
          <w:szCs w:val="24"/>
          <w:highlight w:val="none"/>
        </w:rPr>
      </w:pPr>
    </w:p>
    <w:p>
      <w:pPr>
        <w:pageBreakBefore/>
        <w:jc w:val="center"/>
        <w:rPr>
          <w:rFonts w:hint="eastAsia" w:ascii="仿宋" w:hAnsi="仿宋" w:eastAsia="仿宋"/>
          <w:b/>
          <w:color w:val="auto"/>
          <w:sz w:val="28"/>
          <w:szCs w:val="32"/>
          <w:highlight w:val="none"/>
        </w:rPr>
      </w:pPr>
      <w:r>
        <w:rPr>
          <w:rFonts w:hint="eastAsia" w:ascii="仿宋" w:hAnsi="仿宋" w:eastAsia="仿宋" w:cs="仿宋"/>
          <w:b/>
          <w:color w:val="auto"/>
          <w:sz w:val="28"/>
          <w:szCs w:val="28"/>
          <w:highlight w:val="none"/>
        </w:rPr>
        <w:t>十一、其他材料</w:t>
      </w:r>
      <w:bookmarkEnd w:id="373"/>
      <w:bookmarkEnd w:id="374"/>
      <w:bookmarkEnd w:id="375"/>
      <w:bookmarkEnd w:id="376"/>
      <w:bookmarkEnd w:id="377"/>
      <w:bookmarkEnd w:id="378"/>
      <w:bookmarkEnd w:id="379"/>
      <w:bookmarkEnd w:id="380"/>
    </w:p>
    <w:p>
      <w:pPr>
        <w:rPr>
          <w:rFonts w:hint="eastAsia" w:ascii="仿宋" w:hAnsi="仿宋" w:eastAsia="仿宋"/>
          <w:b/>
          <w:color w:val="auto"/>
          <w:sz w:val="28"/>
          <w:szCs w:val="32"/>
          <w:highlight w:val="none"/>
        </w:rPr>
      </w:pPr>
    </w:p>
    <w:p>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highlight w:val="none"/>
        </w:rPr>
        <w:t>投标人认为有必要提供其他材料（如有）</w:t>
      </w:r>
    </w:p>
    <w:p>
      <w:pPr>
        <w:pStyle w:val="6"/>
        <w:adjustRightInd w:val="0"/>
        <w:snapToGrid w:val="0"/>
        <w:spacing w:line="360" w:lineRule="auto"/>
        <w:rPr>
          <w:rFonts w:hint="eastAsia" w:ascii="仿宋" w:hAnsi="仿宋" w:eastAsia="仿宋" w:cs="仿宋"/>
          <w:color w:val="auto"/>
          <w:highlight w:val="none"/>
        </w:rPr>
      </w:pP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此处内容可对照评审标准提供相应证明材料，充分体现所投项目货物对于评分标准的响应程度和优势。</w:t>
      </w:r>
    </w:p>
    <w:p>
      <w:pPr>
        <w:rPr>
          <w:rFonts w:hint="eastAsia" w:ascii="仿宋" w:hAnsi="仿宋" w:eastAsia="仿宋"/>
          <w:b/>
          <w:color w:val="auto"/>
          <w:sz w:val="28"/>
          <w:szCs w:val="32"/>
          <w:highlight w:val="none"/>
        </w:rPr>
      </w:pPr>
    </w:p>
    <w:p>
      <w:pPr>
        <w:snapToGrid w:val="0"/>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highlight w:val="none"/>
        </w:rPr>
        <w:t>包含但不限于以下内容：质量体系认证、与本项目相关的荣誉证书等。</w:t>
      </w:r>
    </w:p>
    <w:p>
      <w:pPr>
        <w:pStyle w:val="7"/>
        <w:rPr>
          <w:rFonts w:hint="eastAsia" w:ascii="仿宋" w:hAnsi="仿宋" w:eastAsia="仿宋" w:cs="仿宋"/>
          <w:color w:val="auto"/>
          <w:sz w:val="24"/>
          <w:szCs w:val="24"/>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Style w:val="23"/>
          <w:rFonts w:hint="eastAsia" w:ascii="仿宋" w:hAnsi="仿宋" w:eastAsia="仿宋" w:cs="仿宋"/>
          <w:color w:val="auto"/>
          <w:highlight w:val="none"/>
        </w:rPr>
      </w:pPr>
    </w:p>
    <w:p>
      <w:pPr>
        <w:pStyle w:val="18"/>
        <w:widowControl/>
        <w:spacing w:before="30" w:beforeAutospacing="0" w:after="30" w:afterAutospacing="0" w:line="360" w:lineRule="auto"/>
        <w:jc w:val="center"/>
        <w:rPr>
          <w:rFonts w:hint="eastAsia" w:ascii="仿宋" w:hAnsi="仿宋" w:eastAsia="仿宋" w:cs="仿宋"/>
          <w:color w:val="auto"/>
          <w:sz w:val="28"/>
          <w:szCs w:val="28"/>
          <w:highlight w:val="none"/>
        </w:rPr>
      </w:pPr>
      <w:r>
        <w:rPr>
          <w:rStyle w:val="23"/>
          <w:rFonts w:hint="eastAsia" w:ascii="仿宋" w:hAnsi="仿宋" w:eastAsia="仿宋" w:cs="仿宋"/>
          <w:color w:val="auto"/>
          <w:sz w:val="28"/>
          <w:szCs w:val="28"/>
          <w:highlight w:val="none"/>
        </w:rPr>
        <w:t>十二、关于符合本国产品标准的声明函</w:t>
      </w:r>
    </w:p>
    <w:p>
      <w:pPr>
        <w:pStyle w:val="18"/>
        <w:widowControl/>
        <w:spacing w:before="30" w:beforeAutospacing="0" w:after="30" w:afterAutospacing="0" w:line="360" w:lineRule="auto"/>
        <w:ind w:firstLine="420"/>
        <w:rPr>
          <w:rFonts w:hint="eastAsia" w:ascii="仿宋" w:hAnsi="仿宋" w:eastAsia="仿宋" w:cs="仿宋"/>
          <w:color w:val="auto"/>
          <w:highlight w:val="none"/>
        </w:rPr>
      </w:pPr>
    </w:p>
    <w:p>
      <w:pPr>
        <w:pStyle w:val="18"/>
        <w:widowControl/>
        <w:spacing w:before="30" w:beforeAutospacing="0" w:after="3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本公司（单位）郑重声明，根据《国务院办公厅关于在政府采购中实施本国产品标准及相关政策的通知》（国办发〔2025〕34号）的规定，本公司（单位）提供的以下产品属于本国产品。具体情况如下：</w:t>
      </w:r>
    </w:p>
    <w:p>
      <w:pPr>
        <w:pStyle w:val="18"/>
        <w:widowControl/>
        <w:spacing w:before="30" w:beforeAutospacing="0" w:after="3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w:t>
      </w:r>
      <w:r>
        <w:rPr>
          <w:rStyle w:val="24"/>
          <w:rFonts w:hint="eastAsia" w:ascii="仿宋" w:hAnsi="仿宋" w:eastAsia="仿宋" w:cs="仿宋"/>
          <w:color w:val="auto"/>
          <w:highlight w:val="none"/>
          <w:u w:val="single"/>
        </w:rPr>
        <w:t>（产品名称1）</w:t>
      </w:r>
      <w:r>
        <w:rPr>
          <w:rStyle w:val="24"/>
          <w:rFonts w:hint="eastAsia" w:ascii="仿宋" w:hAnsi="仿宋" w:eastAsia="仿宋" w:cs="仿宋"/>
          <w:color w:val="auto"/>
          <w:highlight w:val="none"/>
          <w:vertAlign w:val="superscript"/>
        </w:rPr>
        <w:t>1</w:t>
      </w:r>
      <w:r>
        <w:rPr>
          <w:rFonts w:hint="eastAsia" w:ascii="仿宋" w:hAnsi="仿宋" w:eastAsia="仿宋" w:cs="仿宋"/>
          <w:color w:val="auto"/>
          <w:highlight w:val="none"/>
        </w:rPr>
        <w:t>，生产厂为</w:t>
      </w:r>
      <w:r>
        <w:rPr>
          <w:rStyle w:val="24"/>
          <w:rFonts w:hint="eastAsia" w:ascii="仿宋" w:hAnsi="仿宋" w:eastAsia="仿宋" w:cs="仿宋"/>
          <w:color w:val="auto"/>
          <w:highlight w:val="none"/>
          <w:u w:val="single"/>
        </w:rPr>
        <w:t>（厂名）</w:t>
      </w:r>
      <w:r>
        <w:rPr>
          <w:rStyle w:val="24"/>
          <w:rFonts w:hint="eastAsia" w:ascii="仿宋" w:hAnsi="仿宋" w:eastAsia="仿宋" w:cs="仿宋"/>
          <w:color w:val="auto"/>
          <w:highlight w:val="none"/>
          <w:vertAlign w:val="superscript"/>
        </w:rPr>
        <w:t>2</w:t>
      </w:r>
      <w:r>
        <w:rPr>
          <w:rFonts w:hint="eastAsia" w:ascii="仿宋" w:hAnsi="仿宋" w:eastAsia="仿宋" w:cs="仿宋"/>
          <w:color w:val="auto"/>
          <w:highlight w:val="none"/>
        </w:rPr>
        <w:t>，厂址为</w:t>
      </w:r>
      <w:r>
        <w:rPr>
          <w:rStyle w:val="24"/>
          <w:rFonts w:hint="eastAsia" w:ascii="仿宋" w:hAnsi="仿宋" w:eastAsia="仿宋" w:cs="仿宋"/>
          <w:color w:val="auto"/>
          <w:highlight w:val="none"/>
          <w:u w:val="single"/>
        </w:rPr>
        <w:t>（生产厂址）</w:t>
      </w:r>
      <w:r>
        <w:rPr>
          <w:rFonts w:hint="eastAsia" w:ascii="仿宋" w:hAnsi="仿宋" w:eastAsia="仿宋" w:cs="仿宋"/>
          <w:color w:val="auto"/>
          <w:highlight w:val="none"/>
        </w:rPr>
        <w:t>。</w:t>
      </w:r>
      <w:r>
        <w:rPr>
          <w:rStyle w:val="24"/>
          <w:rFonts w:hint="eastAsia" w:ascii="仿宋" w:hAnsi="仿宋" w:eastAsia="仿宋" w:cs="仿宋"/>
          <w:color w:val="auto"/>
          <w:highlight w:val="none"/>
          <w:u w:val="single"/>
        </w:rPr>
        <w:t>（产品名称1）</w:t>
      </w:r>
      <w:r>
        <w:rPr>
          <w:rFonts w:hint="eastAsia" w:ascii="仿宋" w:hAnsi="仿宋" w:eastAsia="仿宋" w:cs="仿宋"/>
          <w:color w:val="auto"/>
          <w:highlight w:val="none"/>
        </w:rPr>
        <w:t>的中国境内生产的组件成本占比≥</w:t>
      </w:r>
      <w:r>
        <w:rPr>
          <w:rStyle w:val="24"/>
          <w:rFonts w:hint="eastAsia" w:ascii="仿宋" w:hAnsi="仿宋" w:eastAsia="仿宋" w:cs="仿宋"/>
          <w:color w:val="auto"/>
          <w:highlight w:val="none"/>
          <w:u w:val="single"/>
        </w:rPr>
        <w:t>（规定比例）</w:t>
      </w:r>
      <w:r>
        <w:rPr>
          <w:rStyle w:val="24"/>
          <w:rFonts w:hint="eastAsia" w:ascii="仿宋" w:hAnsi="仿宋" w:eastAsia="仿宋" w:cs="仿宋"/>
          <w:color w:val="auto"/>
          <w:highlight w:val="none"/>
          <w:vertAlign w:val="superscript"/>
        </w:rPr>
        <w:t>3</w:t>
      </w:r>
      <w:r>
        <w:rPr>
          <w:rFonts w:hint="eastAsia" w:ascii="仿宋" w:hAnsi="仿宋" w:eastAsia="仿宋" w:cs="仿宋"/>
          <w:color w:val="auto"/>
          <w:highlight w:val="none"/>
        </w:rPr>
        <w:t>。</w:t>
      </w:r>
      <w:r>
        <w:rPr>
          <w:rStyle w:val="24"/>
          <w:rFonts w:hint="eastAsia" w:ascii="仿宋" w:hAnsi="仿宋" w:eastAsia="仿宋" w:cs="仿宋"/>
          <w:color w:val="auto"/>
          <w:highlight w:val="none"/>
          <w:u w:val="single"/>
        </w:rPr>
        <w:t>（产品名称1）</w:t>
      </w:r>
      <w:r>
        <w:rPr>
          <w:rFonts w:hint="eastAsia" w:ascii="仿宋" w:hAnsi="仿宋" w:eastAsia="仿宋" w:cs="仿宋"/>
          <w:color w:val="auto"/>
          <w:highlight w:val="none"/>
        </w:rPr>
        <w:t>的</w:t>
      </w:r>
      <w:r>
        <w:rPr>
          <w:rStyle w:val="24"/>
          <w:rFonts w:hint="eastAsia" w:ascii="仿宋" w:hAnsi="仿宋" w:eastAsia="仿宋" w:cs="仿宋"/>
          <w:color w:val="auto"/>
          <w:highlight w:val="none"/>
          <w:u w:val="single"/>
        </w:rPr>
        <w:t>（关键组件）</w:t>
      </w:r>
      <w:r>
        <w:rPr>
          <w:rStyle w:val="24"/>
          <w:rFonts w:hint="eastAsia" w:ascii="仿宋" w:hAnsi="仿宋" w:eastAsia="仿宋" w:cs="仿宋"/>
          <w:color w:val="auto"/>
          <w:highlight w:val="none"/>
          <w:vertAlign w:val="superscript"/>
        </w:rPr>
        <w:t>4</w:t>
      </w:r>
      <w:r>
        <w:rPr>
          <w:rFonts w:hint="eastAsia" w:ascii="仿宋" w:hAnsi="仿宋" w:eastAsia="仿宋" w:cs="仿宋"/>
          <w:color w:val="auto"/>
          <w:highlight w:val="none"/>
        </w:rPr>
        <w:t>在中国境内生产。</w:t>
      </w:r>
      <w:r>
        <w:rPr>
          <w:rStyle w:val="24"/>
          <w:rFonts w:hint="eastAsia" w:ascii="仿宋" w:hAnsi="仿宋" w:eastAsia="仿宋" w:cs="仿宋"/>
          <w:color w:val="auto"/>
          <w:highlight w:val="none"/>
          <w:u w:val="single"/>
        </w:rPr>
        <w:t>（产品名称1）</w:t>
      </w:r>
      <w:r>
        <w:rPr>
          <w:rFonts w:hint="eastAsia" w:ascii="仿宋" w:hAnsi="仿宋" w:eastAsia="仿宋" w:cs="仿宋"/>
          <w:color w:val="auto"/>
          <w:highlight w:val="none"/>
        </w:rPr>
        <w:t>的</w:t>
      </w:r>
      <w:r>
        <w:rPr>
          <w:rStyle w:val="24"/>
          <w:rFonts w:hint="eastAsia" w:ascii="仿宋" w:hAnsi="仿宋" w:eastAsia="仿宋" w:cs="仿宋"/>
          <w:color w:val="auto"/>
          <w:highlight w:val="none"/>
          <w:u w:val="single"/>
        </w:rPr>
        <w:t>（关键工序）</w:t>
      </w:r>
      <w:r>
        <w:rPr>
          <w:rStyle w:val="24"/>
          <w:rFonts w:hint="eastAsia" w:ascii="仿宋" w:hAnsi="仿宋" w:eastAsia="仿宋" w:cs="仿宋"/>
          <w:color w:val="auto"/>
          <w:highlight w:val="none"/>
          <w:vertAlign w:val="superscript"/>
        </w:rPr>
        <w:t>5</w:t>
      </w:r>
      <w:r>
        <w:rPr>
          <w:rFonts w:hint="eastAsia" w:ascii="仿宋" w:hAnsi="仿宋" w:eastAsia="仿宋" w:cs="仿宋"/>
          <w:color w:val="auto"/>
          <w:highlight w:val="none"/>
        </w:rPr>
        <w:t>在中国境内完成。</w:t>
      </w:r>
    </w:p>
    <w:p>
      <w:pPr>
        <w:pStyle w:val="18"/>
        <w:widowControl/>
        <w:spacing w:before="30" w:beforeAutospacing="0" w:after="3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w:t>
      </w:r>
      <w:r>
        <w:rPr>
          <w:rStyle w:val="24"/>
          <w:rFonts w:hint="eastAsia" w:ascii="仿宋" w:hAnsi="仿宋" w:eastAsia="仿宋" w:cs="仿宋"/>
          <w:color w:val="auto"/>
          <w:highlight w:val="none"/>
          <w:u w:val="single"/>
        </w:rPr>
        <w:t>（产品名称2）</w:t>
      </w:r>
      <w:r>
        <w:rPr>
          <w:rFonts w:hint="eastAsia" w:ascii="仿宋" w:hAnsi="仿宋" w:eastAsia="仿宋" w:cs="仿宋"/>
          <w:color w:val="auto"/>
          <w:highlight w:val="none"/>
        </w:rPr>
        <w:t>，生产厂为</w:t>
      </w:r>
      <w:r>
        <w:rPr>
          <w:rStyle w:val="24"/>
          <w:rFonts w:hint="eastAsia" w:ascii="仿宋" w:hAnsi="仿宋" w:eastAsia="仿宋" w:cs="仿宋"/>
          <w:color w:val="auto"/>
          <w:highlight w:val="none"/>
          <w:u w:val="single"/>
        </w:rPr>
        <w:t>（厂名）</w:t>
      </w:r>
      <w:r>
        <w:rPr>
          <w:rFonts w:hint="eastAsia" w:ascii="仿宋" w:hAnsi="仿宋" w:eastAsia="仿宋" w:cs="仿宋"/>
          <w:color w:val="auto"/>
          <w:highlight w:val="none"/>
        </w:rPr>
        <w:t>，厂址为</w:t>
      </w:r>
      <w:r>
        <w:rPr>
          <w:rStyle w:val="24"/>
          <w:rFonts w:hint="eastAsia" w:ascii="仿宋" w:hAnsi="仿宋" w:eastAsia="仿宋" w:cs="仿宋"/>
          <w:color w:val="auto"/>
          <w:highlight w:val="none"/>
          <w:u w:val="single"/>
        </w:rPr>
        <w:t>（生产厂址）</w:t>
      </w:r>
      <w:r>
        <w:rPr>
          <w:rFonts w:hint="eastAsia" w:ascii="仿宋" w:hAnsi="仿宋" w:eastAsia="仿宋" w:cs="仿宋"/>
          <w:color w:val="auto"/>
          <w:highlight w:val="none"/>
        </w:rPr>
        <w:t>。</w:t>
      </w:r>
      <w:r>
        <w:rPr>
          <w:rStyle w:val="24"/>
          <w:rFonts w:hint="eastAsia" w:ascii="仿宋" w:hAnsi="仿宋" w:eastAsia="仿宋" w:cs="仿宋"/>
          <w:color w:val="auto"/>
          <w:highlight w:val="none"/>
          <w:u w:val="single"/>
        </w:rPr>
        <w:t>（产品名称2）</w:t>
      </w:r>
      <w:r>
        <w:rPr>
          <w:rFonts w:hint="eastAsia" w:ascii="仿宋" w:hAnsi="仿宋" w:eastAsia="仿宋" w:cs="仿宋"/>
          <w:color w:val="auto"/>
          <w:highlight w:val="none"/>
        </w:rPr>
        <w:t>的中国境内生产的组件成本占比≥</w:t>
      </w:r>
      <w:r>
        <w:rPr>
          <w:rStyle w:val="24"/>
          <w:rFonts w:hint="eastAsia" w:ascii="仿宋" w:hAnsi="仿宋" w:eastAsia="仿宋" w:cs="仿宋"/>
          <w:color w:val="auto"/>
          <w:highlight w:val="none"/>
          <w:u w:val="single"/>
        </w:rPr>
        <w:t>（规定比例）</w:t>
      </w:r>
      <w:r>
        <w:rPr>
          <w:rFonts w:hint="eastAsia" w:ascii="仿宋" w:hAnsi="仿宋" w:eastAsia="仿宋" w:cs="仿宋"/>
          <w:color w:val="auto"/>
          <w:highlight w:val="none"/>
        </w:rPr>
        <w:t>。</w:t>
      </w:r>
      <w:r>
        <w:rPr>
          <w:rStyle w:val="24"/>
          <w:rFonts w:hint="eastAsia" w:ascii="仿宋" w:hAnsi="仿宋" w:eastAsia="仿宋" w:cs="仿宋"/>
          <w:color w:val="auto"/>
          <w:highlight w:val="none"/>
          <w:u w:val="single"/>
        </w:rPr>
        <w:t>（产品名称2）</w:t>
      </w:r>
      <w:r>
        <w:rPr>
          <w:rFonts w:hint="eastAsia" w:ascii="仿宋" w:hAnsi="仿宋" w:eastAsia="仿宋" w:cs="仿宋"/>
          <w:color w:val="auto"/>
          <w:highlight w:val="none"/>
        </w:rPr>
        <w:t>的</w:t>
      </w:r>
      <w:r>
        <w:rPr>
          <w:rStyle w:val="24"/>
          <w:rFonts w:hint="eastAsia" w:ascii="仿宋" w:hAnsi="仿宋" w:eastAsia="仿宋" w:cs="仿宋"/>
          <w:color w:val="auto"/>
          <w:highlight w:val="none"/>
          <w:u w:val="single"/>
        </w:rPr>
        <w:t>（关键组件）</w:t>
      </w:r>
      <w:r>
        <w:rPr>
          <w:rFonts w:hint="eastAsia" w:ascii="仿宋" w:hAnsi="仿宋" w:eastAsia="仿宋" w:cs="仿宋"/>
          <w:color w:val="auto"/>
          <w:highlight w:val="none"/>
        </w:rPr>
        <w:t>在中国境内生产。</w:t>
      </w:r>
      <w:r>
        <w:rPr>
          <w:rStyle w:val="24"/>
          <w:rFonts w:hint="eastAsia" w:ascii="仿宋" w:hAnsi="仿宋" w:eastAsia="仿宋" w:cs="仿宋"/>
          <w:color w:val="auto"/>
          <w:highlight w:val="none"/>
          <w:u w:val="single"/>
        </w:rPr>
        <w:t>（产品名称2）</w:t>
      </w:r>
      <w:r>
        <w:rPr>
          <w:rFonts w:hint="eastAsia" w:ascii="仿宋" w:hAnsi="仿宋" w:eastAsia="仿宋" w:cs="仿宋"/>
          <w:color w:val="auto"/>
          <w:highlight w:val="none"/>
        </w:rPr>
        <w:t>的</w:t>
      </w:r>
      <w:r>
        <w:rPr>
          <w:rStyle w:val="24"/>
          <w:rFonts w:hint="eastAsia" w:ascii="仿宋" w:hAnsi="仿宋" w:eastAsia="仿宋" w:cs="仿宋"/>
          <w:color w:val="auto"/>
          <w:highlight w:val="none"/>
          <w:u w:val="single"/>
        </w:rPr>
        <w:t>（关键工序）</w:t>
      </w:r>
      <w:r>
        <w:rPr>
          <w:rFonts w:hint="eastAsia" w:ascii="仿宋" w:hAnsi="仿宋" w:eastAsia="仿宋" w:cs="仿宋"/>
          <w:color w:val="auto"/>
          <w:highlight w:val="none"/>
        </w:rPr>
        <w:t>在中国境内完成。</w:t>
      </w:r>
    </w:p>
    <w:p>
      <w:pPr>
        <w:pStyle w:val="18"/>
        <w:widowControl/>
        <w:spacing w:before="30" w:beforeAutospacing="0" w:after="3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w:t>
      </w:r>
    </w:p>
    <w:p>
      <w:pPr>
        <w:pStyle w:val="18"/>
        <w:widowControl/>
        <w:spacing w:before="30" w:beforeAutospacing="0" w:after="3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本公司（单位）对上述声明内容的真实性负责。如有虚假，愿承担相应法律责任。</w:t>
      </w:r>
    </w:p>
    <w:p>
      <w:pPr>
        <w:pStyle w:val="18"/>
        <w:widowControl/>
        <w:spacing w:before="30" w:beforeAutospacing="0" w:after="30" w:afterAutospacing="0" w:line="360" w:lineRule="auto"/>
        <w:rPr>
          <w:rFonts w:hint="eastAsia" w:ascii="仿宋" w:hAnsi="仿宋" w:eastAsia="仿宋" w:cs="仿宋"/>
          <w:color w:val="auto"/>
          <w:highlight w:val="none"/>
        </w:rPr>
      </w:pPr>
    </w:p>
    <w:p>
      <w:pPr>
        <w:pStyle w:val="18"/>
        <w:widowControl/>
        <w:spacing w:before="30" w:beforeAutospacing="0" w:after="30" w:afterAutospacing="0"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rPr>
        <w:t>公司（单位）名称（盖章）：　        </w:t>
      </w:r>
    </w:p>
    <w:p>
      <w:pPr>
        <w:pStyle w:val="18"/>
        <w:widowControl/>
        <w:spacing w:before="30" w:beforeAutospacing="0" w:after="30" w:afterAutospacing="0" w:line="360" w:lineRule="auto"/>
        <w:jc w:val="right"/>
        <w:rPr>
          <w:rFonts w:hint="eastAsia" w:ascii="仿宋" w:hAnsi="仿宋" w:eastAsia="仿宋" w:cs="仿宋"/>
          <w:color w:val="auto"/>
          <w:highlight w:val="none"/>
        </w:rPr>
      </w:pPr>
      <w:r>
        <w:rPr>
          <w:rFonts w:hint="eastAsia" w:ascii="仿宋" w:hAnsi="仿宋" w:eastAsia="仿宋" w:cs="仿宋"/>
          <w:color w:val="auto"/>
          <w:highlight w:val="none"/>
        </w:rPr>
        <w:t>日期：　     年　  月　  日         </w:t>
      </w:r>
    </w:p>
    <w:p>
      <w:pPr>
        <w:pStyle w:val="18"/>
        <w:widowControl/>
        <w:spacing w:before="30" w:beforeAutospacing="0" w:after="30" w:afterAutospacing="0" w:line="360" w:lineRule="auto"/>
        <w:rPr>
          <w:rFonts w:hint="eastAsia" w:ascii="仿宋" w:hAnsi="仿宋" w:eastAsia="仿宋" w:cs="仿宋"/>
          <w:color w:val="auto"/>
          <w:highlight w:val="none"/>
        </w:rPr>
      </w:pPr>
      <w:r>
        <w:rPr>
          <w:rFonts w:hint="eastAsia" w:ascii="仿宋" w:hAnsi="仿宋" w:eastAsia="仿宋" w:cs="仿宋"/>
          <w:color w:val="auto"/>
          <w:highlight w:val="none"/>
        </w:rPr>
        <w:t>__________________</w:t>
      </w:r>
    </w:p>
    <w:p>
      <w:pPr>
        <w:pStyle w:val="18"/>
        <w:widowControl/>
        <w:spacing w:before="30" w:beforeAutospacing="0" w:after="3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1.产品如有型号，请在“产品名称”栏一并填写。</w:t>
      </w:r>
    </w:p>
    <w:p>
      <w:pPr>
        <w:pStyle w:val="18"/>
        <w:widowControl/>
        <w:spacing w:before="30" w:beforeAutospacing="0" w:after="3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2.生产厂名与厂址应与生产厂营业执照载明的相关信息保持一致。</w:t>
      </w:r>
    </w:p>
    <w:p>
      <w:pPr>
        <w:pStyle w:val="18"/>
        <w:widowControl/>
        <w:spacing w:before="30" w:beforeAutospacing="0" w:after="3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3.该产品的中国境内生产的组件成本占比相关要求实施前，“规定比例”栏可不填，下同。</w:t>
      </w:r>
    </w:p>
    <w:p>
      <w:pPr>
        <w:pStyle w:val="18"/>
        <w:widowControl/>
        <w:spacing w:before="30" w:beforeAutospacing="0" w:after="3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4.该产品的关键组件要求实施前，“关键组件”栏可不填，下同。</w:t>
      </w:r>
    </w:p>
    <w:p>
      <w:pPr>
        <w:pStyle w:val="18"/>
        <w:widowControl/>
        <w:spacing w:before="30" w:beforeAutospacing="0" w:after="30" w:afterAutospacing="0" w:line="360" w:lineRule="auto"/>
        <w:ind w:firstLine="420"/>
        <w:rPr>
          <w:rFonts w:hint="eastAsia" w:ascii="仿宋" w:hAnsi="仿宋" w:eastAsia="仿宋" w:cs="仿宋"/>
          <w:color w:val="auto"/>
          <w:highlight w:val="none"/>
        </w:rPr>
      </w:pPr>
      <w:r>
        <w:rPr>
          <w:rFonts w:hint="eastAsia" w:ascii="仿宋" w:hAnsi="仿宋" w:eastAsia="仿宋" w:cs="仿宋"/>
          <w:color w:val="auto"/>
          <w:highlight w:val="none"/>
        </w:rPr>
        <w:t>5.该产品的关键工序要求实施前，“关键工序”栏可不填，下同。</w:t>
      </w:r>
    </w:p>
    <w:p>
      <w:pPr>
        <w:spacing w:line="300" w:lineRule="exact"/>
        <w:jc w:val="center"/>
        <w:rPr>
          <w:rFonts w:hint="eastAsia" w:ascii="仿宋" w:hAnsi="仿宋" w:eastAsia="仿宋" w:cs="仿宋"/>
          <w:b/>
          <w:bCs/>
          <w:color w:val="auto"/>
          <w:highlight w:val="none"/>
        </w:rPr>
      </w:pPr>
    </w:p>
    <w:p>
      <w:pPr>
        <w:spacing w:line="300" w:lineRule="exact"/>
        <w:jc w:val="center"/>
        <w:rPr>
          <w:rFonts w:hint="eastAsia" w:ascii="仿宋" w:hAnsi="仿宋" w:eastAsia="仿宋" w:cs="仿宋"/>
          <w:b/>
          <w:bCs/>
          <w:color w:val="auto"/>
          <w:highlight w:val="none"/>
        </w:rPr>
      </w:pPr>
    </w:p>
    <w:p>
      <w:pPr>
        <w:spacing w:line="300" w:lineRule="exact"/>
        <w:jc w:val="center"/>
        <w:rPr>
          <w:rFonts w:hint="eastAsia" w:ascii="仿宋" w:hAnsi="仿宋" w:eastAsia="仿宋" w:cs="仿宋"/>
          <w:b/>
          <w:bCs/>
          <w:color w:val="auto"/>
          <w:highlight w:val="none"/>
        </w:rPr>
      </w:pPr>
    </w:p>
    <w:p>
      <w:pPr>
        <w:spacing w:line="300" w:lineRule="exact"/>
        <w:jc w:val="center"/>
        <w:rPr>
          <w:rFonts w:hint="eastAsia" w:ascii="仿宋" w:hAnsi="仿宋" w:eastAsia="仿宋" w:cs="仿宋"/>
          <w:b/>
          <w:bCs/>
          <w:color w:val="auto"/>
          <w:highlight w:val="none"/>
        </w:rPr>
      </w:pPr>
    </w:p>
    <w:p>
      <w:pPr>
        <w:spacing w:line="300" w:lineRule="exact"/>
        <w:jc w:val="center"/>
        <w:rPr>
          <w:rFonts w:hint="eastAsia" w:ascii="仿宋" w:hAnsi="仿宋" w:eastAsia="仿宋" w:cs="仿宋"/>
          <w:b/>
          <w:bCs/>
          <w:color w:val="auto"/>
          <w:highlight w:val="none"/>
        </w:rPr>
      </w:pPr>
    </w:p>
    <w:p>
      <w:pPr>
        <w:spacing w:line="300" w:lineRule="exact"/>
        <w:jc w:val="center"/>
        <w:rPr>
          <w:rFonts w:hint="eastAsia" w:ascii="仿宋" w:hAnsi="仿宋" w:eastAsia="仿宋" w:cs="仿宋"/>
          <w:b/>
          <w:bCs/>
          <w:color w:val="auto"/>
          <w:highlight w:val="none"/>
        </w:rPr>
      </w:pPr>
    </w:p>
    <w:p>
      <w:pPr>
        <w:spacing w:line="300" w:lineRule="exact"/>
        <w:jc w:val="center"/>
        <w:rPr>
          <w:rFonts w:hint="eastAsia" w:ascii="仿宋" w:hAnsi="仿宋" w:eastAsia="仿宋" w:cs="仿宋"/>
          <w:b/>
          <w:bCs/>
          <w:color w:val="auto"/>
          <w:highlight w:val="none"/>
        </w:rPr>
      </w:pPr>
    </w:p>
    <w:p>
      <w:pPr>
        <w:rPr>
          <w:color w:val="auto"/>
          <w:highlight w:val="none"/>
        </w:rPr>
      </w:pPr>
    </w:p>
    <w:sectPr>
      <w:headerReference r:id="rId12" w:type="default"/>
      <w:footerReference r:id="rId13" w:type="default"/>
      <w:pgSz w:w="11907" w:h="16840"/>
      <w:pgMar w:top="1440" w:right="1531" w:bottom="1440" w:left="153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ˎ̥">
    <w:altName w:val="Segoe Print"/>
    <w:panose1 w:val="00000000000000000000"/>
    <w:charset w:val="00"/>
    <w:family w:val="roman"/>
    <w:pitch w:val="default"/>
    <w:sig w:usb0="00000000" w:usb1="00000000" w:usb2="00000000" w:usb3="00000000" w:csb0="00000000" w:csb1="00000000"/>
  </w:font>
  <w:font w:name="Calibri (西文正文)">
    <w:altName w:val="宋体"/>
    <w:panose1 w:val="00000000000000000000"/>
    <w:charset w:val="86"/>
    <w:family w:val="roma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- 19 -</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22</w:t>
                    </w:r>
                    <w:r>
                      <w:fldChar w:fldCharType="end"/>
                    </w:r>
                  </w:p>
                </w:txbxContent>
              </v:textbox>
            </v:shape>
          </w:pict>
        </mc:Fallback>
      </mc:AlternateContent>
    </w:r>
  </w:p>
  <w:p>
    <w:pPr>
      <w:pStyle w:val="13"/>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tabs>
        <w:tab w:val="left" w:pos="1964"/>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F5FC47"/>
    <w:multiLevelType w:val="singleLevel"/>
    <w:tmpl w:val="A5F5FC47"/>
    <w:lvl w:ilvl="0" w:tentative="0">
      <w:start w:val="2"/>
      <w:numFmt w:val="chineseCounting"/>
      <w:suff w:val="nothing"/>
      <w:lvlText w:val="%1、"/>
      <w:lvlJc w:val="left"/>
      <w:rPr>
        <w:rFonts w:hint="eastAsia"/>
      </w:rPr>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FE7C3F8"/>
    <w:multiLevelType w:val="singleLevel"/>
    <w:tmpl w:val="CFE7C3F8"/>
    <w:lvl w:ilvl="0" w:tentative="0">
      <w:start w:val="1"/>
      <w:numFmt w:val="decimal"/>
      <w:suff w:val="nothing"/>
      <w:lvlText w:val="（%1）"/>
      <w:lvlJc w:val="left"/>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14BBE4B5"/>
    <w:multiLevelType w:val="singleLevel"/>
    <w:tmpl w:val="14BBE4B5"/>
    <w:lvl w:ilvl="0" w:tentative="0">
      <w:start w:val="4"/>
      <w:numFmt w:val="chineseCounting"/>
      <w:suff w:val="nothing"/>
      <w:lvlText w:val="%1、"/>
      <w:lvlJc w:val="left"/>
      <w:rPr>
        <w:rFonts w:hint="eastAsia"/>
      </w:rPr>
    </w:lvl>
  </w:abstractNum>
  <w:abstractNum w:abstractNumId="8">
    <w:nsid w:val="30F6680E"/>
    <w:multiLevelType w:val="singleLevel"/>
    <w:tmpl w:val="30F6680E"/>
    <w:lvl w:ilvl="0" w:tentative="0">
      <w:start w:val="1"/>
      <w:numFmt w:val="chineseCounting"/>
      <w:suff w:val="nothing"/>
      <w:lvlText w:val="%1、"/>
      <w:lvlJc w:val="left"/>
      <w:rPr>
        <w:rFonts w:hint="eastAsia"/>
        <w:b w:val="0"/>
        <w:bCs w:val="0"/>
      </w:rPr>
    </w:lvl>
  </w:abstractNum>
  <w:abstractNum w:abstractNumId="9">
    <w:nsid w:val="7A0F6431"/>
    <w:multiLevelType w:val="singleLevel"/>
    <w:tmpl w:val="7A0F6431"/>
    <w:lvl w:ilvl="0" w:tentative="0">
      <w:start w:val="1"/>
      <w:numFmt w:val="decimal"/>
      <w:suff w:val="space"/>
      <w:lvlText w:val="%1."/>
      <w:lvlJc w:val="left"/>
    </w:lvl>
  </w:abstractNum>
  <w:num w:numId="1">
    <w:abstractNumId w:val="0"/>
  </w:num>
  <w:num w:numId="2">
    <w:abstractNumId w:val="7"/>
  </w:num>
  <w:num w:numId="3">
    <w:abstractNumId w:val="8"/>
  </w:num>
  <w:num w:numId="4">
    <w:abstractNumId w:val="9"/>
  </w:num>
  <w:num w:numId="5">
    <w:abstractNumId w:val="2"/>
  </w:num>
  <w:num w:numId="6">
    <w:abstractNumId w:val="6"/>
  </w:num>
  <w:num w:numId="7">
    <w:abstractNumId w:val="4"/>
  </w:num>
  <w:num w:numId="8">
    <w:abstractNumId w:val="3"/>
  </w:num>
  <w:num w:numId="9">
    <w:abstractNumId w:val="1"/>
  </w:num>
  <w:num w:numId="1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闾新豪">
    <w15:presenceInfo w15:providerId="WPS Office" w15:userId="2094405498"/>
  </w15:person>
  <w15:person w15:author="雪首无怨">
    <w15:presenceInfo w15:providerId="WPS Office" w15:userId="3361372522"/>
  </w15:person>
  <w15:person w15:author="a21376">
    <w15:presenceInfo w15:providerId="AD" w15:userId="S::a21376@365adg.top::de68f34e-b414-46f5-9fec-e886444fd6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revisionView w:markup="0"/>
  <w:documentProtection w:edit="readOnly" w:formatting="1" w:enforcement="1" w:cryptProviderType="rsaFull" w:cryptAlgorithmClass="hash" w:cryptAlgorithmType="typeAny" w:cryptAlgorithmSid="4" w:cryptSpinCount="0" w:hash="SqO8auPNRLyI85dw6jG33bRXc1M=" w:salt="7R3GtlvDfXSqfwymJxZfMA=="/>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2ZmYzOTA3MThmZmVkM2ViNTBjNjM2NTc3MzcyYzIifQ=="/>
    <w:docVar w:name="KSO_WPS_MARK_KEY" w:val="f024292f-2037-4f4b-b8ad-df3c48359eb3"/>
  </w:docVars>
  <w:rsids>
    <w:rsidRoot w:val="0C9C7F93"/>
    <w:rsid w:val="00377076"/>
    <w:rsid w:val="004B57A8"/>
    <w:rsid w:val="00503B0A"/>
    <w:rsid w:val="00515F27"/>
    <w:rsid w:val="00621C19"/>
    <w:rsid w:val="00692FA7"/>
    <w:rsid w:val="007007DA"/>
    <w:rsid w:val="00746ED3"/>
    <w:rsid w:val="007A51B4"/>
    <w:rsid w:val="007E442D"/>
    <w:rsid w:val="008878D1"/>
    <w:rsid w:val="00902336"/>
    <w:rsid w:val="00931874"/>
    <w:rsid w:val="00A2246D"/>
    <w:rsid w:val="00B64C41"/>
    <w:rsid w:val="00D655E0"/>
    <w:rsid w:val="00F00A07"/>
    <w:rsid w:val="00F07F30"/>
    <w:rsid w:val="00FB0545"/>
    <w:rsid w:val="01017684"/>
    <w:rsid w:val="012D79D6"/>
    <w:rsid w:val="01412684"/>
    <w:rsid w:val="01437C9C"/>
    <w:rsid w:val="014E71C7"/>
    <w:rsid w:val="01536131"/>
    <w:rsid w:val="015F18B8"/>
    <w:rsid w:val="016B1285"/>
    <w:rsid w:val="01D32DCE"/>
    <w:rsid w:val="01F82835"/>
    <w:rsid w:val="02184C85"/>
    <w:rsid w:val="02225B04"/>
    <w:rsid w:val="0227673E"/>
    <w:rsid w:val="024E25C3"/>
    <w:rsid w:val="027D171F"/>
    <w:rsid w:val="02806E6A"/>
    <w:rsid w:val="028C7AB9"/>
    <w:rsid w:val="02A037F9"/>
    <w:rsid w:val="02C646E1"/>
    <w:rsid w:val="02C81FCE"/>
    <w:rsid w:val="02E903CF"/>
    <w:rsid w:val="02F92D08"/>
    <w:rsid w:val="03004097"/>
    <w:rsid w:val="0336100D"/>
    <w:rsid w:val="035B751F"/>
    <w:rsid w:val="035E2705"/>
    <w:rsid w:val="03AA4003"/>
    <w:rsid w:val="03AA7B5F"/>
    <w:rsid w:val="03B3524A"/>
    <w:rsid w:val="03EC461B"/>
    <w:rsid w:val="03F434D0"/>
    <w:rsid w:val="040748EE"/>
    <w:rsid w:val="040D493C"/>
    <w:rsid w:val="040E05DA"/>
    <w:rsid w:val="040F3E66"/>
    <w:rsid w:val="04137DFA"/>
    <w:rsid w:val="042042C5"/>
    <w:rsid w:val="04363AE8"/>
    <w:rsid w:val="044955CA"/>
    <w:rsid w:val="044C330C"/>
    <w:rsid w:val="046B3792"/>
    <w:rsid w:val="046C3066"/>
    <w:rsid w:val="04820ADC"/>
    <w:rsid w:val="04983475"/>
    <w:rsid w:val="04AC5B58"/>
    <w:rsid w:val="04BE329E"/>
    <w:rsid w:val="04C80EE3"/>
    <w:rsid w:val="0516690A"/>
    <w:rsid w:val="051A101E"/>
    <w:rsid w:val="051E27E3"/>
    <w:rsid w:val="053578FC"/>
    <w:rsid w:val="05393118"/>
    <w:rsid w:val="05B22C25"/>
    <w:rsid w:val="05B570B3"/>
    <w:rsid w:val="05CB2A98"/>
    <w:rsid w:val="05D86EF8"/>
    <w:rsid w:val="05EA4B8A"/>
    <w:rsid w:val="06073345"/>
    <w:rsid w:val="061834A6"/>
    <w:rsid w:val="061A744C"/>
    <w:rsid w:val="061E4531"/>
    <w:rsid w:val="06217420"/>
    <w:rsid w:val="0673692E"/>
    <w:rsid w:val="067F1859"/>
    <w:rsid w:val="068428E9"/>
    <w:rsid w:val="06A64F55"/>
    <w:rsid w:val="06AE6EE3"/>
    <w:rsid w:val="06C62F02"/>
    <w:rsid w:val="06D5242F"/>
    <w:rsid w:val="06DF3FC3"/>
    <w:rsid w:val="07356D81"/>
    <w:rsid w:val="0747450D"/>
    <w:rsid w:val="07585EEB"/>
    <w:rsid w:val="07740BAF"/>
    <w:rsid w:val="07854B6B"/>
    <w:rsid w:val="079254DA"/>
    <w:rsid w:val="079A613C"/>
    <w:rsid w:val="079B25E0"/>
    <w:rsid w:val="07AD40C1"/>
    <w:rsid w:val="07AE7E64"/>
    <w:rsid w:val="07B72A61"/>
    <w:rsid w:val="07E35D35"/>
    <w:rsid w:val="07F4584C"/>
    <w:rsid w:val="083566D7"/>
    <w:rsid w:val="08730C30"/>
    <w:rsid w:val="088A7F5F"/>
    <w:rsid w:val="091A7535"/>
    <w:rsid w:val="092340DB"/>
    <w:rsid w:val="09251C79"/>
    <w:rsid w:val="092E1232"/>
    <w:rsid w:val="093F373F"/>
    <w:rsid w:val="095567BF"/>
    <w:rsid w:val="095742E5"/>
    <w:rsid w:val="0972088C"/>
    <w:rsid w:val="09AA18C7"/>
    <w:rsid w:val="09B07E99"/>
    <w:rsid w:val="09B2776D"/>
    <w:rsid w:val="09BD393E"/>
    <w:rsid w:val="09C62F16"/>
    <w:rsid w:val="09C717CE"/>
    <w:rsid w:val="09D34EA3"/>
    <w:rsid w:val="09FB1114"/>
    <w:rsid w:val="0A1440C2"/>
    <w:rsid w:val="0A54281E"/>
    <w:rsid w:val="0A5C592B"/>
    <w:rsid w:val="0A6071C9"/>
    <w:rsid w:val="0A7D7D7B"/>
    <w:rsid w:val="0A8B0303"/>
    <w:rsid w:val="0AEB3DC0"/>
    <w:rsid w:val="0AEC3153"/>
    <w:rsid w:val="0B1A5B53"/>
    <w:rsid w:val="0B4F4B0E"/>
    <w:rsid w:val="0B5605CC"/>
    <w:rsid w:val="0B640F3B"/>
    <w:rsid w:val="0B934BF2"/>
    <w:rsid w:val="0B9A670B"/>
    <w:rsid w:val="0BB377CC"/>
    <w:rsid w:val="0BBF2615"/>
    <w:rsid w:val="0BDA11FD"/>
    <w:rsid w:val="0C063DA0"/>
    <w:rsid w:val="0C104FD7"/>
    <w:rsid w:val="0C1D721E"/>
    <w:rsid w:val="0C264442"/>
    <w:rsid w:val="0C3B7BAC"/>
    <w:rsid w:val="0C41302A"/>
    <w:rsid w:val="0C4548C9"/>
    <w:rsid w:val="0C5A16B8"/>
    <w:rsid w:val="0C5C7E64"/>
    <w:rsid w:val="0C6C0B73"/>
    <w:rsid w:val="0C6F5DE9"/>
    <w:rsid w:val="0C9526B5"/>
    <w:rsid w:val="0C9C7F93"/>
    <w:rsid w:val="0CB07405"/>
    <w:rsid w:val="0CB07925"/>
    <w:rsid w:val="0CCA5D9A"/>
    <w:rsid w:val="0CD22255"/>
    <w:rsid w:val="0CDD2D53"/>
    <w:rsid w:val="0CE06855"/>
    <w:rsid w:val="0D13646A"/>
    <w:rsid w:val="0D284DD4"/>
    <w:rsid w:val="0D380F2E"/>
    <w:rsid w:val="0D5154EF"/>
    <w:rsid w:val="0D51729D"/>
    <w:rsid w:val="0D571DC7"/>
    <w:rsid w:val="0D811827"/>
    <w:rsid w:val="0D9D69FB"/>
    <w:rsid w:val="0DB11994"/>
    <w:rsid w:val="0DB92CD8"/>
    <w:rsid w:val="0DBD1FCB"/>
    <w:rsid w:val="0DC3019B"/>
    <w:rsid w:val="0DCF7CC3"/>
    <w:rsid w:val="0DF30B86"/>
    <w:rsid w:val="0DF94568"/>
    <w:rsid w:val="0DFA0823"/>
    <w:rsid w:val="0E0F1632"/>
    <w:rsid w:val="0E1A1D85"/>
    <w:rsid w:val="0E2D1AB8"/>
    <w:rsid w:val="0E2E3EEC"/>
    <w:rsid w:val="0E3148C3"/>
    <w:rsid w:val="0E5E6115"/>
    <w:rsid w:val="0E5E6480"/>
    <w:rsid w:val="0E6059EA"/>
    <w:rsid w:val="0E9C01D8"/>
    <w:rsid w:val="0ECB0D56"/>
    <w:rsid w:val="0ECC7523"/>
    <w:rsid w:val="0ED67285"/>
    <w:rsid w:val="0EF44384"/>
    <w:rsid w:val="0F19203C"/>
    <w:rsid w:val="0F3C1D22"/>
    <w:rsid w:val="0F4818C3"/>
    <w:rsid w:val="0F680DBF"/>
    <w:rsid w:val="0F6907A1"/>
    <w:rsid w:val="0F6E05DA"/>
    <w:rsid w:val="0F972CB2"/>
    <w:rsid w:val="0FA47B58"/>
    <w:rsid w:val="0FB81855"/>
    <w:rsid w:val="10013163"/>
    <w:rsid w:val="1018371F"/>
    <w:rsid w:val="10305890"/>
    <w:rsid w:val="10345E59"/>
    <w:rsid w:val="10352EA6"/>
    <w:rsid w:val="1045133B"/>
    <w:rsid w:val="107E65FB"/>
    <w:rsid w:val="10855441"/>
    <w:rsid w:val="108F6A5A"/>
    <w:rsid w:val="10921978"/>
    <w:rsid w:val="10B55FDB"/>
    <w:rsid w:val="10B84EDA"/>
    <w:rsid w:val="10C74DC6"/>
    <w:rsid w:val="10CC55B8"/>
    <w:rsid w:val="10D34B99"/>
    <w:rsid w:val="10DC323C"/>
    <w:rsid w:val="10FB1F86"/>
    <w:rsid w:val="11034D52"/>
    <w:rsid w:val="110765F0"/>
    <w:rsid w:val="111D7BC2"/>
    <w:rsid w:val="112076B2"/>
    <w:rsid w:val="11360C84"/>
    <w:rsid w:val="11511F61"/>
    <w:rsid w:val="11513D10"/>
    <w:rsid w:val="116972AB"/>
    <w:rsid w:val="116B3023"/>
    <w:rsid w:val="116F251B"/>
    <w:rsid w:val="11721BDA"/>
    <w:rsid w:val="117443FC"/>
    <w:rsid w:val="119C3939"/>
    <w:rsid w:val="11DD37F5"/>
    <w:rsid w:val="11E071A5"/>
    <w:rsid w:val="12062D4C"/>
    <w:rsid w:val="1216028B"/>
    <w:rsid w:val="122338FE"/>
    <w:rsid w:val="127C1B91"/>
    <w:rsid w:val="12902616"/>
    <w:rsid w:val="12931B0E"/>
    <w:rsid w:val="12A54B95"/>
    <w:rsid w:val="12AD49AB"/>
    <w:rsid w:val="12B427A8"/>
    <w:rsid w:val="12D40754"/>
    <w:rsid w:val="12E56E05"/>
    <w:rsid w:val="12EA3E8A"/>
    <w:rsid w:val="13206B01"/>
    <w:rsid w:val="13272F7A"/>
    <w:rsid w:val="13274D28"/>
    <w:rsid w:val="136C4E31"/>
    <w:rsid w:val="136F4921"/>
    <w:rsid w:val="138E4DA7"/>
    <w:rsid w:val="13C01947"/>
    <w:rsid w:val="13C44C6D"/>
    <w:rsid w:val="13C76DC2"/>
    <w:rsid w:val="13E56991"/>
    <w:rsid w:val="140F1E08"/>
    <w:rsid w:val="141F1EA3"/>
    <w:rsid w:val="14972381"/>
    <w:rsid w:val="149E570D"/>
    <w:rsid w:val="14A25D60"/>
    <w:rsid w:val="14A640EC"/>
    <w:rsid w:val="14AE3227"/>
    <w:rsid w:val="14F52C04"/>
    <w:rsid w:val="15021F9A"/>
    <w:rsid w:val="152C2AC9"/>
    <w:rsid w:val="15325359"/>
    <w:rsid w:val="154716B1"/>
    <w:rsid w:val="1555669C"/>
    <w:rsid w:val="156C5BE0"/>
    <w:rsid w:val="15875C62"/>
    <w:rsid w:val="158F171D"/>
    <w:rsid w:val="159A258D"/>
    <w:rsid w:val="15B825AF"/>
    <w:rsid w:val="15BB209F"/>
    <w:rsid w:val="15BF393E"/>
    <w:rsid w:val="15EA4303"/>
    <w:rsid w:val="15F65F77"/>
    <w:rsid w:val="1602382A"/>
    <w:rsid w:val="16027CCE"/>
    <w:rsid w:val="16094BB9"/>
    <w:rsid w:val="162A0771"/>
    <w:rsid w:val="16687F98"/>
    <w:rsid w:val="168801D3"/>
    <w:rsid w:val="169D3553"/>
    <w:rsid w:val="169F0DC7"/>
    <w:rsid w:val="16CD3E38"/>
    <w:rsid w:val="16E573D4"/>
    <w:rsid w:val="16FF2FA2"/>
    <w:rsid w:val="17012DAF"/>
    <w:rsid w:val="17094BD3"/>
    <w:rsid w:val="17312619"/>
    <w:rsid w:val="173619DD"/>
    <w:rsid w:val="17567C80"/>
    <w:rsid w:val="178F10EE"/>
    <w:rsid w:val="17D66D1D"/>
    <w:rsid w:val="17D902C3"/>
    <w:rsid w:val="17DF7A95"/>
    <w:rsid w:val="17E86A50"/>
    <w:rsid w:val="17FA5D26"/>
    <w:rsid w:val="18115FA7"/>
    <w:rsid w:val="181D75CF"/>
    <w:rsid w:val="18295C0C"/>
    <w:rsid w:val="18616F2E"/>
    <w:rsid w:val="18636858"/>
    <w:rsid w:val="18793094"/>
    <w:rsid w:val="18A230A3"/>
    <w:rsid w:val="18C57495"/>
    <w:rsid w:val="18DE057F"/>
    <w:rsid w:val="18E41886"/>
    <w:rsid w:val="190D49C0"/>
    <w:rsid w:val="191915B7"/>
    <w:rsid w:val="194859F8"/>
    <w:rsid w:val="195A27CD"/>
    <w:rsid w:val="196A733A"/>
    <w:rsid w:val="19831126"/>
    <w:rsid w:val="199A412C"/>
    <w:rsid w:val="19C239FC"/>
    <w:rsid w:val="19E742B7"/>
    <w:rsid w:val="19FF69FF"/>
    <w:rsid w:val="1A20076C"/>
    <w:rsid w:val="1A402B73"/>
    <w:rsid w:val="1A4E703E"/>
    <w:rsid w:val="1A54500F"/>
    <w:rsid w:val="1AA41F89"/>
    <w:rsid w:val="1AC45552"/>
    <w:rsid w:val="1AD02149"/>
    <w:rsid w:val="1ADF51F6"/>
    <w:rsid w:val="1B0342CC"/>
    <w:rsid w:val="1B0E4A1F"/>
    <w:rsid w:val="1B230233"/>
    <w:rsid w:val="1B351FAC"/>
    <w:rsid w:val="1B3902AB"/>
    <w:rsid w:val="1B4B5C73"/>
    <w:rsid w:val="1B860A5A"/>
    <w:rsid w:val="1BB94916"/>
    <w:rsid w:val="1BCC2910"/>
    <w:rsid w:val="1BD40628"/>
    <w:rsid w:val="1BD6378F"/>
    <w:rsid w:val="1BD866B3"/>
    <w:rsid w:val="1C1B73F4"/>
    <w:rsid w:val="1C314E69"/>
    <w:rsid w:val="1C416B4B"/>
    <w:rsid w:val="1C4526C3"/>
    <w:rsid w:val="1C590F97"/>
    <w:rsid w:val="1C5F19D6"/>
    <w:rsid w:val="1C887E27"/>
    <w:rsid w:val="1CA55A53"/>
    <w:rsid w:val="1CAA5CF0"/>
    <w:rsid w:val="1CC96023"/>
    <w:rsid w:val="1CCE3B0B"/>
    <w:rsid w:val="1CE1063D"/>
    <w:rsid w:val="1CEC2B3E"/>
    <w:rsid w:val="1CEE4B08"/>
    <w:rsid w:val="1CF06DD4"/>
    <w:rsid w:val="1D085BCA"/>
    <w:rsid w:val="1D0D1D03"/>
    <w:rsid w:val="1D0E157D"/>
    <w:rsid w:val="1D0F4FD3"/>
    <w:rsid w:val="1D3C5874"/>
    <w:rsid w:val="1D6D4503"/>
    <w:rsid w:val="1D7019C1"/>
    <w:rsid w:val="1D7A639C"/>
    <w:rsid w:val="1D96685A"/>
    <w:rsid w:val="1DB96EC4"/>
    <w:rsid w:val="1DC35F95"/>
    <w:rsid w:val="1E0D7210"/>
    <w:rsid w:val="1E43278B"/>
    <w:rsid w:val="1E546A7D"/>
    <w:rsid w:val="1E682743"/>
    <w:rsid w:val="1E780B2E"/>
    <w:rsid w:val="1E7B7557"/>
    <w:rsid w:val="1E7C21F2"/>
    <w:rsid w:val="1E8A0861"/>
    <w:rsid w:val="1E935967"/>
    <w:rsid w:val="1EAE0C12"/>
    <w:rsid w:val="1ED8781E"/>
    <w:rsid w:val="1EE73601"/>
    <w:rsid w:val="1F1840BF"/>
    <w:rsid w:val="1F2844E0"/>
    <w:rsid w:val="1F30765A"/>
    <w:rsid w:val="1F3F33F9"/>
    <w:rsid w:val="1F446C62"/>
    <w:rsid w:val="1F4629DA"/>
    <w:rsid w:val="1F694017"/>
    <w:rsid w:val="1F8362F2"/>
    <w:rsid w:val="1F884DA0"/>
    <w:rsid w:val="1FB262C1"/>
    <w:rsid w:val="1FBD445B"/>
    <w:rsid w:val="1FC81641"/>
    <w:rsid w:val="1FCF190A"/>
    <w:rsid w:val="1FE30229"/>
    <w:rsid w:val="200B5372"/>
    <w:rsid w:val="200C3C23"/>
    <w:rsid w:val="204213F3"/>
    <w:rsid w:val="204C4020"/>
    <w:rsid w:val="20713A86"/>
    <w:rsid w:val="20717DDD"/>
    <w:rsid w:val="20885C59"/>
    <w:rsid w:val="20A200E4"/>
    <w:rsid w:val="20AA6F98"/>
    <w:rsid w:val="20AF2305"/>
    <w:rsid w:val="20B3409F"/>
    <w:rsid w:val="20BD44DA"/>
    <w:rsid w:val="20C53DD2"/>
    <w:rsid w:val="20D67D8D"/>
    <w:rsid w:val="20E26732"/>
    <w:rsid w:val="20F61771"/>
    <w:rsid w:val="21020B82"/>
    <w:rsid w:val="21404558"/>
    <w:rsid w:val="215F6B10"/>
    <w:rsid w:val="216830DB"/>
    <w:rsid w:val="219739C1"/>
    <w:rsid w:val="219C6341"/>
    <w:rsid w:val="219F6400"/>
    <w:rsid w:val="21A25EC1"/>
    <w:rsid w:val="21BD57B8"/>
    <w:rsid w:val="21CB262D"/>
    <w:rsid w:val="21F52495"/>
    <w:rsid w:val="21FD6A0F"/>
    <w:rsid w:val="220A2E2B"/>
    <w:rsid w:val="220A5F40"/>
    <w:rsid w:val="222A213F"/>
    <w:rsid w:val="22420BCB"/>
    <w:rsid w:val="22486A69"/>
    <w:rsid w:val="224D407F"/>
    <w:rsid w:val="2274785E"/>
    <w:rsid w:val="22840764"/>
    <w:rsid w:val="22974477"/>
    <w:rsid w:val="22AB08F8"/>
    <w:rsid w:val="22D417A1"/>
    <w:rsid w:val="23072480"/>
    <w:rsid w:val="231F71F7"/>
    <w:rsid w:val="235002CB"/>
    <w:rsid w:val="235D02F2"/>
    <w:rsid w:val="236A7AE4"/>
    <w:rsid w:val="236E24FF"/>
    <w:rsid w:val="23736A25"/>
    <w:rsid w:val="23791F56"/>
    <w:rsid w:val="23A15A2A"/>
    <w:rsid w:val="23BE5A2F"/>
    <w:rsid w:val="23C40371"/>
    <w:rsid w:val="240C0654"/>
    <w:rsid w:val="2432177F"/>
    <w:rsid w:val="24424696"/>
    <w:rsid w:val="244D65B8"/>
    <w:rsid w:val="245A6D69"/>
    <w:rsid w:val="245E0B7B"/>
    <w:rsid w:val="24BC1F84"/>
    <w:rsid w:val="24C75587"/>
    <w:rsid w:val="24F14E5A"/>
    <w:rsid w:val="251315B0"/>
    <w:rsid w:val="251470D6"/>
    <w:rsid w:val="25210113"/>
    <w:rsid w:val="25292B82"/>
    <w:rsid w:val="254D31FF"/>
    <w:rsid w:val="256C2A6E"/>
    <w:rsid w:val="25706A02"/>
    <w:rsid w:val="25853B30"/>
    <w:rsid w:val="259D6928"/>
    <w:rsid w:val="25A44C97"/>
    <w:rsid w:val="25D725DE"/>
    <w:rsid w:val="25D9751E"/>
    <w:rsid w:val="25EF3DCB"/>
    <w:rsid w:val="25F973AA"/>
    <w:rsid w:val="25FA00A6"/>
    <w:rsid w:val="260158AC"/>
    <w:rsid w:val="2601765A"/>
    <w:rsid w:val="260521D7"/>
    <w:rsid w:val="262D58AD"/>
    <w:rsid w:val="26487037"/>
    <w:rsid w:val="265005E2"/>
    <w:rsid w:val="268246F7"/>
    <w:rsid w:val="268857AE"/>
    <w:rsid w:val="268D0316"/>
    <w:rsid w:val="26A24E49"/>
    <w:rsid w:val="26AD77E2"/>
    <w:rsid w:val="26CB1A16"/>
    <w:rsid w:val="26D057A2"/>
    <w:rsid w:val="26D7485F"/>
    <w:rsid w:val="26DE6671"/>
    <w:rsid w:val="26E23E89"/>
    <w:rsid w:val="26FE23DB"/>
    <w:rsid w:val="27012B4D"/>
    <w:rsid w:val="270D130B"/>
    <w:rsid w:val="27246B72"/>
    <w:rsid w:val="27397168"/>
    <w:rsid w:val="273B4DEE"/>
    <w:rsid w:val="273B4E0F"/>
    <w:rsid w:val="27595274"/>
    <w:rsid w:val="277E6FD9"/>
    <w:rsid w:val="2799105C"/>
    <w:rsid w:val="27AC7A9A"/>
    <w:rsid w:val="27BD6152"/>
    <w:rsid w:val="27EE608E"/>
    <w:rsid w:val="28066922"/>
    <w:rsid w:val="28081174"/>
    <w:rsid w:val="28185E93"/>
    <w:rsid w:val="28247630"/>
    <w:rsid w:val="284B72B3"/>
    <w:rsid w:val="285B34BA"/>
    <w:rsid w:val="28887BBF"/>
    <w:rsid w:val="289E73E3"/>
    <w:rsid w:val="28A5750F"/>
    <w:rsid w:val="28B46C06"/>
    <w:rsid w:val="28C01A4F"/>
    <w:rsid w:val="28D23530"/>
    <w:rsid w:val="28D92B11"/>
    <w:rsid w:val="291B4ED7"/>
    <w:rsid w:val="292024ED"/>
    <w:rsid w:val="293164A9"/>
    <w:rsid w:val="293B70DF"/>
    <w:rsid w:val="295C0DFA"/>
    <w:rsid w:val="296F7074"/>
    <w:rsid w:val="29AB614E"/>
    <w:rsid w:val="29F6324E"/>
    <w:rsid w:val="29F91618"/>
    <w:rsid w:val="2A0C2A72"/>
    <w:rsid w:val="2A0E5DBE"/>
    <w:rsid w:val="2A587A65"/>
    <w:rsid w:val="2A755335"/>
    <w:rsid w:val="2A816FBC"/>
    <w:rsid w:val="2A946CEF"/>
    <w:rsid w:val="2AA66A22"/>
    <w:rsid w:val="2ABF1892"/>
    <w:rsid w:val="2AC35EDE"/>
    <w:rsid w:val="2ACB2E39"/>
    <w:rsid w:val="2AE23476"/>
    <w:rsid w:val="2AE35581"/>
    <w:rsid w:val="2AF07C38"/>
    <w:rsid w:val="2AF14141"/>
    <w:rsid w:val="2AF53506"/>
    <w:rsid w:val="2B046CEE"/>
    <w:rsid w:val="2B0D6FF4"/>
    <w:rsid w:val="2B2168FA"/>
    <w:rsid w:val="2B5C7E5F"/>
    <w:rsid w:val="2B762899"/>
    <w:rsid w:val="2BB87FA4"/>
    <w:rsid w:val="2BBB258B"/>
    <w:rsid w:val="2BBC2C08"/>
    <w:rsid w:val="2BBE7D9C"/>
    <w:rsid w:val="2BDF21EC"/>
    <w:rsid w:val="2BE23A8A"/>
    <w:rsid w:val="2BE55328"/>
    <w:rsid w:val="2BE94E19"/>
    <w:rsid w:val="2BEA2E22"/>
    <w:rsid w:val="2BF0264B"/>
    <w:rsid w:val="2BF37A45"/>
    <w:rsid w:val="2C056A30"/>
    <w:rsid w:val="2C161986"/>
    <w:rsid w:val="2C382855"/>
    <w:rsid w:val="2C574478"/>
    <w:rsid w:val="2C7627DA"/>
    <w:rsid w:val="2C840FE5"/>
    <w:rsid w:val="2C8C01EC"/>
    <w:rsid w:val="2C8D7E9A"/>
    <w:rsid w:val="2C9A797F"/>
    <w:rsid w:val="2CA46F92"/>
    <w:rsid w:val="2CB725A1"/>
    <w:rsid w:val="2CB76CC5"/>
    <w:rsid w:val="2CC82C80"/>
    <w:rsid w:val="2CF142F5"/>
    <w:rsid w:val="2CF25F4F"/>
    <w:rsid w:val="2D1D40F5"/>
    <w:rsid w:val="2D2B73A4"/>
    <w:rsid w:val="2D3D2140"/>
    <w:rsid w:val="2D5409B8"/>
    <w:rsid w:val="2D8748E9"/>
    <w:rsid w:val="2D8B2D0C"/>
    <w:rsid w:val="2DA171B8"/>
    <w:rsid w:val="2DB41456"/>
    <w:rsid w:val="2DC463AD"/>
    <w:rsid w:val="2DCC054E"/>
    <w:rsid w:val="2DD4685E"/>
    <w:rsid w:val="2DD85AA7"/>
    <w:rsid w:val="2E13002A"/>
    <w:rsid w:val="2E16246C"/>
    <w:rsid w:val="2E204D3E"/>
    <w:rsid w:val="2E2317B0"/>
    <w:rsid w:val="2E41718E"/>
    <w:rsid w:val="2E5F3D5D"/>
    <w:rsid w:val="2E7472D5"/>
    <w:rsid w:val="2E9266F5"/>
    <w:rsid w:val="2E9A2581"/>
    <w:rsid w:val="2E9B785C"/>
    <w:rsid w:val="2ED53228"/>
    <w:rsid w:val="2EDF2503"/>
    <w:rsid w:val="2EE63891"/>
    <w:rsid w:val="2F0F103A"/>
    <w:rsid w:val="2F53296E"/>
    <w:rsid w:val="2F723377"/>
    <w:rsid w:val="2FA5374C"/>
    <w:rsid w:val="2FA77F0B"/>
    <w:rsid w:val="2FA8323D"/>
    <w:rsid w:val="2FBC2096"/>
    <w:rsid w:val="2FC736C3"/>
    <w:rsid w:val="2FDB5AB7"/>
    <w:rsid w:val="2FDD4C94"/>
    <w:rsid w:val="30004E27"/>
    <w:rsid w:val="3011493E"/>
    <w:rsid w:val="302E00A6"/>
    <w:rsid w:val="30494BBA"/>
    <w:rsid w:val="305A396A"/>
    <w:rsid w:val="3067704F"/>
    <w:rsid w:val="306B6744"/>
    <w:rsid w:val="3076191B"/>
    <w:rsid w:val="30843362"/>
    <w:rsid w:val="30974D78"/>
    <w:rsid w:val="30A60DFE"/>
    <w:rsid w:val="30C46FA8"/>
    <w:rsid w:val="30C75005"/>
    <w:rsid w:val="30D81900"/>
    <w:rsid w:val="30E57EA2"/>
    <w:rsid w:val="310149B3"/>
    <w:rsid w:val="310C5C90"/>
    <w:rsid w:val="3110183B"/>
    <w:rsid w:val="3124258B"/>
    <w:rsid w:val="312A69F2"/>
    <w:rsid w:val="312D39F9"/>
    <w:rsid w:val="313F60D3"/>
    <w:rsid w:val="31436D79"/>
    <w:rsid w:val="314D7BF8"/>
    <w:rsid w:val="31556AAC"/>
    <w:rsid w:val="3158447B"/>
    <w:rsid w:val="316379FD"/>
    <w:rsid w:val="31857392"/>
    <w:rsid w:val="31927D00"/>
    <w:rsid w:val="31B163D9"/>
    <w:rsid w:val="31BF0BEB"/>
    <w:rsid w:val="31E87920"/>
    <w:rsid w:val="3236068C"/>
    <w:rsid w:val="32790787"/>
    <w:rsid w:val="328E3736"/>
    <w:rsid w:val="32C0264B"/>
    <w:rsid w:val="32D21C0A"/>
    <w:rsid w:val="32DD144F"/>
    <w:rsid w:val="33180240"/>
    <w:rsid w:val="331C5AD4"/>
    <w:rsid w:val="332D1007"/>
    <w:rsid w:val="33341A1A"/>
    <w:rsid w:val="336E5337"/>
    <w:rsid w:val="33792F26"/>
    <w:rsid w:val="338C66A3"/>
    <w:rsid w:val="339B16B5"/>
    <w:rsid w:val="33AD0E22"/>
    <w:rsid w:val="33C87A09"/>
    <w:rsid w:val="33F00D0E"/>
    <w:rsid w:val="34093847"/>
    <w:rsid w:val="340D18C0"/>
    <w:rsid w:val="341D145F"/>
    <w:rsid w:val="343432F1"/>
    <w:rsid w:val="34480B4A"/>
    <w:rsid w:val="344E7E86"/>
    <w:rsid w:val="347706C9"/>
    <w:rsid w:val="34806536"/>
    <w:rsid w:val="349F4C0E"/>
    <w:rsid w:val="34AF4725"/>
    <w:rsid w:val="34B93816"/>
    <w:rsid w:val="34E83FCE"/>
    <w:rsid w:val="34EE524E"/>
    <w:rsid w:val="34EF0FC6"/>
    <w:rsid w:val="351849C1"/>
    <w:rsid w:val="351C000D"/>
    <w:rsid w:val="35325A82"/>
    <w:rsid w:val="3538296D"/>
    <w:rsid w:val="353C420B"/>
    <w:rsid w:val="3569040F"/>
    <w:rsid w:val="357A11D7"/>
    <w:rsid w:val="358B06F9"/>
    <w:rsid w:val="35D67A0B"/>
    <w:rsid w:val="35DD6DB2"/>
    <w:rsid w:val="3615084C"/>
    <w:rsid w:val="36402451"/>
    <w:rsid w:val="3656771C"/>
    <w:rsid w:val="365D6B2F"/>
    <w:rsid w:val="368556C6"/>
    <w:rsid w:val="36A73EA8"/>
    <w:rsid w:val="36C47130"/>
    <w:rsid w:val="36D5775D"/>
    <w:rsid w:val="36E36F5C"/>
    <w:rsid w:val="36EA7C97"/>
    <w:rsid w:val="36FF1994"/>
    <w:rsid w:val="370074BA"/>
    <w:rsid w:val="37643EED"/>
    <w:rsid w:val="37757EA8"/>
    <w:rsid w:val="378356B5"/>
    <w:rsid w:val="37A04D9E"/>
    <w:rsid w:val="37AF6C9F"/>
    <w:rsid w:val="37CC1165"/>
    <w:rsid w:val="37ED3703"/>
    <w:rsid w:val="37FA5434"/>
    <w:rsid w:val="382316B2"/>
    <w:rsid w:val="382B374F"/>
    <w:rsid w:val="383C359A"/>
    <w:rsid w:val="383E5A18"/>
    <w:rsid w:val="38433B03"/>
    <w:rsid w:val="384D5316"/>
    <w:rsid w:val="38523D46"/>
    <w:rsid w:val="386F48F8"/>
    <w:rsid w:val="38910D12"/>
    <w:rsid w:val="38A00F55"/>
    <w:rsid w:val="38A345A1"/>
    <w:rsid w:val="38CC1BCC"/>
    <w:rsid w:val="38D429AD"/>
    <w:rsid w:val="38D806EF"/>
    <w:rsid w:val="38EE7F12"/>
    <w:rsid w:val="38FE11AE"/>
    <w:rsid w:val="38FF0408"/>
    <w:rsid w:val="39173854"/>
    <w:rsid w:val="391D4354"/>
    <w:rsid w:val="39535010"/>
    <w:rsid w:val="39657AA9"/>
    <w:rsid w:val="396C52DB"/>
    <w:rsid w:val="396E0C56"/>
    <w:rsid w:val="39B369AA"/>
    <w:rsid w:val="39B50A30"/>
    <w:rsid w:val="39EB1B05"/>
    <w:rsid w:val="39EB6200"/>
    <w:rsid w:val="39F07CBA"/>
    <w:rsid w:val="39F33306"/>
    <w:rsid w:val="3A275655"/>
    <w:rsid w:val="3A4C06E3"/>
    <w:rsid w:val="3A4F2C33"/>
    <w:rsid w:val="3A52002D"/>
    <w:rsid w:val="3A571AE7"/>
    <w:rsid w:val="3A5E1F81"/>
    <w:rsid w:val="3A63223A"/>
    <w:rsid w:val="3A6A7A6C"/>
    <w:rsid w:val="3A6C2245"/>
    <w:rsid w:val="3A802DEC"/>
    <w:rsid w:val="3AB331C1"/>
    <w:rsid w:val="3ABC7B9C"/>
    <w:rsid w:val="3ACD3B57"/>
    <w:rsid w:val="3B01476E"/>
    <w:rsid w:val="3B3B0486"/>
    <w:rsid w:val="3B4A33FA"/>
    <w:rsid w:val="3B796D27"/>
    <w:rsid w:val="3B7A3CDF"/>
    <w:rsid w:val="3B903EB7"/>
    <w:rsid w:val="3B9F54F4"/>
    <w:rsid w:val="3BB23ABF"/>
    <w:rsid w:val="3BC13C47"/>
    <w:rsid w:val="3BD61540"/>
    <w:rsid w:val="3BE02FE8"/>
    <w:rsid w:val="3C11041A"/>
    <w:rsid w:val="3C9115B1"/>
    <w:rsid w:val="3CAB3899"/>
    <w:rsid w:val="3CB708C4"/>
    <w:rsid w:val="3CCD0C65"/>
    <w:rsid w:val="3CFD5A3B"/>
    <w:rsid w:val="3D0A362A"/>
    <w:rsid w:val="3D125F5D"/>
    <w:rsid w:val="3D281519"/>
    <w:rsid w:val="3D314871"/>
    <w:rsid w:val="3D3A1978"/>
    <w:rsid w:val="3D3B56F0"/>
    <w:rsid w:val="3D3D4FC4"/>
    <w:rsid w:val="3D3D742D"/>
    <w:rsid w:val="3D3E5B6F"/>
    <w:rsid w:val="3D453E79"/>
    <w:rsid w:val="3D6C527F"/>
    <w:rsid w:val="3D6D068E"/>
    <w:rsid w:val="3DE75647"/>
    <w:rsid w:val="3E2B306F"/>
    <w:rsid w:val="3E383001"/>
    <w:rsid w:val="3E3B779B"/>
    <w:rsid w:val="3E5B27A0"/>
    <w:rsid w:val="3E7E34A1"/>
    <w:rsid w:val="3E8F1850"/>
    <w:rsid w:val="3E9F580B"/>
    <w:rsid w:val="3EA370A9"/>
    <w:rsid w:val="3EB968CD"/>
    <w:rsid w:val="3EC64A0B"/>
    <w:rsid w:val="3ED07B0D"/>
    <w:rsid w:val="3EE55913"/>
    <w:rsid w:val="3EED47C8"/>
    <w:rsid w:val="3EFB6EE5"/>
    <w:rsid w:val="3F3348D1"/>
    <w:rsid w:val="3F470609"/>
    <w:rsid w:val="3F4A19DB"/>
    <w:rsid w:val="3F682A92"/>
    <w:rsid w:val="3F6F342F"/>
    <w:rsid w:val="3F735881"/>
    <w:rsid w:val="3F823162"/>
    <w:rsid w:val="3FA34CA1"/>
    <w:rsid w:val="3FB83028"/>
    <w:rsid w:val="3FC5103D"/>
    <w:rsid w:val="3FC90D91"/>
    <w:rsid w:val="3FE77469"/>
    <w:rsid w:val="3FE94F8F"/>
    <w:rsid w:val="407236CC"/>
    <w:rsid w:val="40CD665F"/>
    <w:rsid w:val="40DE1B98"/>
    <w:rsid w:val="40E51BFB"/>
    <w:rsid w:val="4114428E"/>
    <w:rsid w:val="41432DC5"/>
    <w:rsid w:val="41970A1B"/>
    <w:rsid w:val="41A85037"/>
    <w:rsid w:val="41BE642C"/>
    <w:rsid w:val="41FB71FC"/>
    <w:rsid w:val="41FE7934"/>
    <w:rsid w:val="420E5181"/>
    <w:rsid w:val="42185782"/>
    <w:rsid w:val="4226071D"/>
    <w:rsid w:val="422C04F0"/>
    <w:rsid w:val="423538BF"/>
    <w:rsid w:val="424010B3"/>
    <w:rsid w:val="42734FE4"/>
    <w:rsid w:val="42785D1A"/>
    <w:rsid w:val="42AC2CD5"/>
    <w:rsid w:val="42BC4BDD"/>
    <w:rsid w:val="42F9198D"/>
    <w:rsid w:val="42FC76D0"/>
    <w:rsid w:val="430D71E7"/>
    <w:rsid w:val="43241213"/>
    <w:rsid w:val="436275FE"/>
    <w:rsid w:val="436311DB"/>
    <w:rsid w:val="43672D9B"/>
    <w:rsid w:val="43713C1A"/>
    <w:rsid w:val="43816001"/>
    <w:rsid w:val="43AC6A00"/>
    <w:rsid w:val="43B13CE0"/>
    <w:rsid w:val="43D45F57"/>
    <w:rsid w:val="43FB3F37"/>
    <w:rsid w:val="4402047A"/>
    <w:rsid w:val="44185E43"/>
    <w:rsid w:val="4427252A"/>
    <w:rsid w:val="44315157"/>
    <w:rsid w:val="446D6912"/>
    <w:rsid w:val="44840AF6"/>
    <w:rsid w:val="44A92F3F"/>
    <w:rsid w:val="44AA3B64"/>
    <w:rsid w:val="44AE67A8"/>
    <w:rsid w:val="44C935E1"/>
    <w:rsid w:val="44ED72D0"/>
    <w:rsid w:val="44FE772F"/>
    <w:rsid w:val="450B59A8"/>
    <w:rsid w:val="452304CE"/>
    <w:rsid w:val="45513D03"/>
    <w:rsid w:val="45637592"/>
    <w:rsid w:val="45815C6A"/>
    <w:rsid w:val="45961716"/>
    <w:rsid w:val="45A51C71"/>
    <w:rsid w:val="45FA3E42"/>
    <w:rsid w:val="46135DD9"/>
    <w:rsid w:val="462646F7"/>
    <w:rsid w:val="462C207A"/>
    <w:rsid w:val="46386C71"/>
    <w:rsid w:val="46492C2C"/>
    <w:rsid w:val="466247AE"/>
    <w:rsid w:val="46641814"/>
    <w:rsid w:val="46661F6C"/>
    <w:rsid w:val="467D3463"/>
    <w:rsid w:val="46804174"/>
    <w:rsid w:val="468375E3"/>
    <w:rsid w:val="468C2B19"/>
    <w:rsid w:val="469D0882"/>
    <w:rsid w:val="46AA2F9F"/>
    <w:rsid w:val="471B300D"/>
    <w:rsid w:val="47297F34"/>
    <w:rsid w:val="47376F28"/>
    <w:rsid w:val="473F5DDD"/>
    <w:rsid w:val="47475633"/>
    <w:rsid w:val="477B5067"/>
    <w:rsid w:val="47881532"/>
    <w:rsid w:val="479073A6"/>
    <w:rsid w:val="47AA76FA"/>
    <w:rsid w:val="47BE4F54"/>
    <w:rsid w:val="47DB3D58"/>
    <w:rsid w:val="48457423"/>
    <w:rsid w:val="484A750A"/>
    <w:rsid w:val="484B77B5"/>
    <w:rsid w:val="48725DAA"/>
    <w:rsid w:val="4874445C"/>
    <w:rsid w:val="487B4914"/>
    <w:rsid w:val="48914416"/>
    <w:rsid w:val="489D335A"/>
    <w:rsid w:val="48BF0F83"/>
    <w:rsid w:val="48D10CB7"/>
    <w:rsid w:val="48D16F09"/>
    <w:rsid w:val="48E20387"/>
    <w:rsid w:val="48FD385A"/>
    <w:rsid w:val="490A3DF9"/>
    <w:rsid w:val="493D0939"/>
    <w:rsid w:val="495F758F"/>
    <w:rsid w:val="49885819"/>
    <w:rsid w:val="49A40179"/>
    <w:rsid w:val="49B43990"/>
    <w:rsid w:val="49C425C9"/>
    <w:rsid w:val="49CA4084"/>
    <w:rsid w:val="49D74B3F"/>
    <w:rsid w:val="49DC7913"/>
    <w:rsid w:val="4A0155CC"/>
    <w:rsid w:val="4A115AFF"/>
    <w:rsid w:val="4A5D4EF8"/>
    <w:rsid w:val="4AB52F0F"/>
    <w:rsid w:val="4AD22073"/>
    <w:rsid w:val="4AD4683C"/>
    <w:rsid w:val="4AF87040"/>
    <w:rsid w:val="4B072155"/>
    <w:rsid w:val="4B1650A7"/>
    <w:rsid w:val="4B203EEF"/>
    <w:rsid w:val="4B2257F9"/>
    <w:rsid w:val="4B3043BA"/>
    <w:rsid w:val="4B6B17D2"/>
    <w:rsid w:val="4B874F81"/>
    <w:rsid w:val="4B93182D"/>
    <w:rsid w:val="4BAD134B"/>
    <w:rsid w:val="4C0849EF"/>
    <w:rsid w:val="4C0D46FC"/>
    <w:rsid w:val="4C141197"/>
    <w:rsid w:val="4C1772EB"/>
    <w:rsid w:val="4C1A4723"/>
    <w:rsid w:val="4C2D08FA"/>
    <w:rsid w:val="4C4B1BCD"/>
    <w:rsid w:val="4C7837BF"/>
    <w:rsid w:val="4C8147A2"/>
    <w:rsid w:val="4C853F8C"/>
    <w:rsid w:val="4C907FB0"/>
    <w:rsid w:val="4CB86415"/>
    <w:rsid w:val="4CC72AFC"/>
    <w:rsid w:val="4CCE6350"/>
    <w:rsid w:val="4CEE1E37"/>
    <w:rsid w:val="4D09248C"/>
    <w:rsid w:val="4D1675E0"/>
    <w:rsid w:val="4D2515D1"/>
    <w:rsid w:val="4D6E2F78"/>
    <w:rsid w:val="4D7970B6"/>
    <w:rsid w:val="4D9008BD"/>
    <w:rsid w:val="4DA109BB"/>
    <w:rsid w:val="4DA62525"/>
    <w:rsid w:val="4E1F120D"/>
    <w:rsid w:val="4E281379"/>
    <w:rsid w:val="4E290883"/>
    <w:rsid w:val="4E485577"/>
    <w:rsid w:val="4E4D2A0C"/>
    <w:rsid w:val="4E524648"/>
    <w:rsid w:val="4E5E1FA9"/>
    <w:rsid w:val="4E610CE5"/>
    <w:rsid w:val="4E630A34"/>
    <w:rsid w:val="4E721AC6"/>
    <w:rsid w:val="4E8567CB"/>
    <w:rsid w:val="4E9764FE"/>
    <w:rsid w:val="4EA96071"/>
    <w:rsid w:val="4EBC7D13"/>
    <w:rsid w:val="4ECE0172"/>
    <w:rsid w:val="4F144D58"/>
    <w:rsid w:val="4F231B40"/>
    <w:rsid w:val="4F515F2B"/>
    <w:rsid w:val="4F674123"/>
    <w:rsid w:val="4F7E5DCA"/>
    <w:rsid w:val="4F842015"/>
    <w:rsid w:val="501F67AB"/>
    <w:rsid w:val="50642400"/>
    <w:rsid w:val="507C59AC"/>
    <w:rsid w:val="5084582A"/>
    <w:rsid w:val="50AB1A18"/>
    <w:rsid w:val="512A5408"/>
    <w:rsid w:val="514B337F"/>
    <w:rsid w:val="51592CE5"/>
    <w:rsid w:val="51864D34"/>
    <w:rsid w:val="519C1D03"/>
    <w:rsid w:val="51B03B5F"/>
    <w:rsid w:val="51BF0246"/>
    <w:rsid w:val="51CB0999"/>
    <w:rsid w:val="51CE66DB"/>
    <w:rsid w:val="51E63A25"/>
    <w:rsid w:val="51E7154B"/>
    <w:rsid w:val="51F31C9E"/>
    <w:rsid w:val="51FF570F"/>
    <w:rsid w:val="52072E31"/>
    <w:rsid w:val="524349D3"/>
    <w:rsid w:val="525560E7"/>
    <w:rsid w:val="527A416D"/>
    <w:rsid w:val="527E3C5D"/>
    <w:rsid w:val="52B0193D"/>
    <w:rsid w:val="52F263F9"/>
    <w:rsid w:val="52F81D65"/>
    <w:rsid w:val="53073C53"/>
    <w:rsid w:val="53296196"/>
    <w:rsid w:val="53427EBF"/>
    <w:rsid w:val="534F73A8"/>
    <w:rsid w:val="535350EA"/>
    <w:rsid w:val="535778E6"/>
    <w:rsid w:val="53585B6C"/>
    <w:rsid w:val="53650979"/>
    <w:rsid w:val="5394125E"/>
    <w:rsid w:val="53B547AA"/>
    <w:rsid w:val="53CE29C2"/>
    <w:rsid w:val="540967B9"/>
    <w:rsid w:val="541041F0"/>
    <w:rsid w:val="54524F22"/>
    <w:rsid w:val="545D2CC2"/>
    <w:rsid w:val="54634943"/>
    <w:rsid w:val="54703433"/>
    <w:rsid w:val="548B78F4"/>
    <w:rsid w:val="5491562E"/>
    <w:rsid w:val="54A43119"/>
    <w:rsid w:val="54B90772"/>
    <w:rsid w:val="54DE3CC5"/>
    <w:rsid w:val="552F123F"/>
    <w:rsid w:val="553D1BAE"/>
    <w:rsid w:val="55450A62"/>
    <w:rsid w:val="55466588"/>
    <w:rsid w:val="554A42CB"/>
    <w:rsid w:val="558879FE"/>
    <w:rsid w:val="55935C72"/>
    <w:rsid w:val="559F4616"/>
    <w:rsid w:val="55A90FF1"/>
    <w:rsid w:val="55B128F6"/>
    <w:rsid w:val="55B47996"/>
    <w:rsid w:val="55BB2AD2"/>
    <w:rsid w:val="55D579CC"/>
    <w:rsid w:val="56191C96"/>
    <w:rsid w:val="56244B1C"/>
    <w:rsid w:val="563C225D"/>
    <w:rsid w:val="56496330"/>
    <w:rsid w:val="564B654C"/>
    <w:rsid w:val="56574EF1"/>
    <w:rsid w:val="56701B0F"/>
    <w:rsid w:val="56703254"/>
    <w:rsid w:val="568B06F7"/>
    <w:rsid w:val="56903F5F"/>
    <w:rsid w:val="56981066"/>
    <w:rsid w:val="56AE7F10"/>
    <w:rsid w:val="56BC1DA6"/>
    <w:rsid w:val="56BF20BE"/>
    <w:rsid w:val="56C2486E"/>
    <w:rsid w:val="56C875ED"/>
    <w:rsid w:val="57062473"/>
    <w:rsid w:val="57122BC6"/>
    <w:rsid w:val="57350404"/>
    <w:rsid w:val="57633422"/>
    <w:rsid w:val="5768318A"/>
    <w:rsid w:val="57876C3E"/>
    <w:rsid w:val="57882019"/>
    <w:rsid w:val="579D4B86"/>
    <w:rsid w:val="579D5439"/>
    <w:rsid w:val="57A37CC2"/>
    <w:rsid w:val="57B8376D"/>
    <w:rsid w:val="57CA16F3"/>
    <w:rsid w:val="57D63BF4"/>
    <w:rsid w:val="57E6037A"/>
    <w:rsid w:val="57ED47D5"/>
    <w:rsid w:val="57EF2F07"/>
    <w:rsid w:val="57F30C49"/>
    <w:rsid w:val="583B614D"/>
    <w:rsid w:val="583D25E6"/>
    <w:rsid w:val="58492F2B"/>
    <w:rsid w:val="58564D34"/>
    <w:rsid w:val="58636F07"/>
    <w:rsid w:val="5870229A"/>
    <w:rsid w:val="588C69A8"/>
    <w:rsid w:val="58920462"/>
    <w:rsid w:val="58A041E3"/>
    <w:rsid w:val="58F80EBC"/>
    <w:rsid w:val="59080725"/>
    <w:rsid w:val="590824D3"/>
    <w:rsid w:val="59241449"/>
    <w:rsid w:val="595E2B8B"/>
    <w:rsid w:val="59625227"/>
    <w:rsid w:val="59677AF3"/>
    <w:rsid w:val="59682F71"/>
    <w:rsid w:val="5984679C"/>
    <w:rsid w:val="59A23E43"/>
    <w:rsid w:val="59B14242"/>
    <w:rsid w:val="59B202E5"/>
    <w:rsid w:val="59C77218"/>
    <w:rsid w:val="59D145A3"/>
    <w:rsid w:val="59E80DF8"/>
    <w:rsid w:val="59F85B47"/>
    <w:rsid w:val="59FD190B"/>
    <w:rsid w:val="5A24333C"/>
    <w:rsid w:val="5A261E9C"/>
    <w:rsid w:val="5AA426FB"/>
    <w:rsid w:val="5AAD06A4"/>
    <w:rsid w:val="5AC22340"/>
    <w:rsid w:val="5AC661A1"/>
    <w:rsid w:val="5AE14D89"/>
    <w:rsid w:val="5AE444A0"/>
    <w:rsid w:val="5AE8436A"/>
    <w:rsid w:val="5AF231DD"/>
    <w:rsid w:val="5AFA1187"/>
    <w:rsid w:val="5AFF7905"/>
    <w:rsid w:val="5B062A42"/>
    <w:rsid w:val="5B073095"/>
    <w:rsid w:val="5B2561DF"/>
    <w:rsid w:val="5B307ABF"/>
    <w:rsid w:val="5B555777"/>
    <w:rsid w:val="5B557525"/>
    <w:rsid w:val="5B57329D"/>
    <w:rsid w:val="5B943EF0"/>
    <w:rsid w:val="5B965A05"/>
    <w:rsid w:val="5B984680"/>
    <w:rsid w:val="5BA118C1"/>
    <w:rsid w:val="5BA97F8E"/>
    <w:rsid w:val="5BD352F0"/>
    <w:rsid w:val="5BD46EBF"/>
    <w:rsid w:val="5BFE3C7B"/>
    <w:rsid w:val="5C4557EC"/>
    <w:rsid w:val="5C77699B"/>
    <w:rsid w:val="5C8E2CEF"/>
    <w:rsid w:val="5CA179B0"/>
    <w:rsid w:val="5CB00EB7"/>
    <w:rsid w:val="5CB309A7"/>
    <w:rsid w:val="5CB403ED"/>
    <w:rsid w:val="5D0C00B7"/>
    <w:rsid w:val="5D0D5F05"/>
    <w:rsid w:val="5D27504C"/>
    <w:rsid w:val="5D50522D"/>
    <w:rsid w:val="5D5A0E23"/>
    <w:rsid w:val="5D6147DC"/>
    <w:rsid w:val="5D9E1657"/>
    <w:rsid w:val="5DAF5613"/>
    <w:rsid w:val="5DC56BE4"/>
    <w:rsid w:val="5DC641AF"/>
    <w:rsid w:val="5DD21301"/>
    <w:rsid w:val="5DD931BF"/>
    <w:rsid w:val="5DEF1E1E"/>
    <w:rsid w:val="5E1C432A"/>
    <w:rsid w:val="5E267044"/>
    <w:rsid w:val="5E3B36E2"/>
    <w:rsid w:val="5E4426FE"/>
    <w:rsid w:val="5E6C7060"/>
    <w:rsid w:val="5E8C5604"/>
    <w:rsid w:val="5E8F2A93"/>
    <w:rsid w:val="5E9C368C"/>
    <w:rsid w:val="5F1D65AC"/>
    <w:rsid w:val="5F904FD0"/>
    <w:rsid w:val="5F9F3DB7"/>
    <w:rsid w:val="5FCB78C8"/>
    <w:rsid w:val="5FE75BC2"/>
    <w:rsid w:val="5FEF1CF6"/>
    <w:rsid w:val="60060F24"/>
    <w:rsid w:val="601C6864"/>
    <w:rsid w:val="60275934"/>
    <w:rsid w:val="604C0EF7"/>
    <w:rsid w:val="6062071A"/>
    <w:rsid w:val="606936DB"/>
    <w:rsid w:val="60784DC1"/>
    <w:rsid w:val="60884A64"/>
    <w:rsid w:val="609D26AE"/>
    <w:rsid w:val="60A06F83"/>
    <w:rsid w:val="60BC462E"/>
    <w:rsid w:val="60CE6CD8"/>
    <w:rsid w:val="60F17CF0"/>
    <w:rsid w:val="61112140"/>
    <w:rsid w:val="612363FF"/>
    <w:rsid w:val="615E1FB9"/>
    <w:rsid w:val="61607B5E"/>
    <w:rsid w:val="61637BA0"/>
    <w:rsid w:val="61747746"/>
    <w:rsid w:val="61923B3C"/>
    <w:rsid w:val="619F14FA"/>
    <w:rsid w:val="61BC3E5A"/>
    <w:rsid w:val="61DA3BCD"/>
    <w:rsid w:val="61DF5D9B"/>
    <w:rsid w:val="61E43279"/>
    <w:rsid w:val="61F51F86"/>
    <w:rsid w:val="61F762D3"/>
    <w:rsid w:val="61FA4982"/>
    <w:rsid w:val="62077891"/>
    <w:rsid w:val="622B0FE0"/>
    <w:rsid w:val="624D71A8"/>
    <w:rsid w:val="625906E3"/>
    <w:rsid w:val="627E3805"/>
    <w:rsid w:val="628F3631"/>
    <w:rsid w:val="62C128F0"/>
    <w:rsid w:val="62D428CC"/>
    <w:rsid w:val="62D52DBD"/>
    <w:rsid w:val="62F615EE"/>
    <w:rsid w:val="63057A83"/>
    <w:rsid w:val="63380E20"/>
    <w:rsid w:val="63440380"/>
    <w:rsid w:val="63722991"/>
    <w:rsid w:val="6372336A"/>
    <w:rsid w:val="63732C3E"/>
    <w:rsid w:val="63A948B2"/>
    <w:rsid w:val="63DA0F0F"/>
    <w:rsid w:val="63E35D7F"/>
    <w:rsid w:val="63EA3568"/>
    <w:rsid w:val="63EF49BB"/>
    <w:rsid w:val="642D103F"/>
    <w:rsid w:val="643C278B"/>
    <w:rsid w:val="64462101"/>
    <w:rsid w:val="646561E9"/>
    <w:rsid w:val="64722EF6"/>
    <w:rsid w:val="64754C21"/>
    <w:rsid w:val="647629E6"/>
    <w:rsid w:val="647D2524"/>
    <w:rsid w:val="648D1ADE"/>
    <w:rsid w:val="64E5171E"/>
    <w:rsid w:val="64F54843"/>
    <w:rsid w:val="65090938"/>
    <w:rsid w:val="6518584B"/>
    <w:rsid w:val="6530528B"/>
    <w:rsid w:val="653B5208"/>
    <w:rsid w:val="657B5B4F"/>
    <w:rsid w:val="658F4179"/>
    <w:rsid w:val="65960E66"/>
    <w:rsid w:val="659F2D35"/>
    <w:rsid w:val="65A73073"/>
    <w:rsid w:val="65AE4402"/>
    <w:rsid w:val="65B06A4E"/>
    <w:rsid w:val="65E971E8"/>
    <w:rsid w:val="661A3845"/>
    <w:rsid w:val="66326DE1"/>
    <w:rsid w:val="6644245E"/>
    <w:rsid w:val="66525DDB"/>
    <w:rsid w:val="6672290A"/>
    <w:rsid w:val="66793F09"/>
    <w:rsid w:val="667C005C"/>
    <w:rsid w:val="66886A01"/>
    <w:rsid w:val="66895647"/>
    <w:rsid w:val="66C67529"/>
    <w:rsid w:val="66CD08B8"/>
    <w:rsid w:val="66F10A4A"/>
    <w:rsid w:val="670B7925"/>
    <w:rsid w:val="670F0ED0"/>
    <w:rsid w:val="67177D85"/>
    <w:rsid w:val="672D037D"/>
    <w:rsid w:val="67351BAF"/>
    <w:rsid w:val="67395F4D"/>
    <w:rsid w:val="67467C27"/>
    <w:rsid w:val="67B053C2"/>
    <w:rsid w:val="67BB4BB4"/>
    <w:rsid w:val="67BE597A"/>
    <w:rsid w:val="67CD214C"/>
    <w:rsid w:val="68021AA6"/>
    <w:rsid w:val="681875DF"/>
    <w:rsid w:val="68324E76"/>
    <w:rsid w:val="683C760B"/>
    <w:rsid w:val="685A2997"/>
    <w:rsid w:val="68745489"/>
    <w:rsid w:val="688D02FE"/>
    <w:rsid w:val="68A82742"/>
    <w:rsid w:val="68AE673B"/>
    <w:rsid w:val="68BB1E70"/>
    <w:rsid w:val="68C55CEA"/>
    <w:rsid w:val="68CC52CB"/>
    <w:rsid w:val="68CF2EB7"/>
    <w:rsid w:val="68E63EB3"/>
    <w:rsid w:val="68F4037D"/>
    <w:rsid w:val="68F56360"/>
    <w:rsid w:val="69011BCD"/>
    <w:rsid w:val="69023D86"/>
    <w:rsid w:val="69064C5E"/>
    <w:rsid w:val="692B454E"/>
    <w:rsid w:val="694E3F32"/>
    <w:rsid w:val="6993253B"/>
    <w:rsid w:val="699851AD"/>
    <w:rsid w:val="69A35DE8"/>
    <w:rsid w:val="69BE250D"/>
    <w:rsid w:val="69C02956"/>
    <w:rsid w:val="6A102C23"/>
    <w:rsid w:val="6A140BE3"/>
    <w:rsid w:val="6A144E85"/>
    <w:rsid w:val="6A620AC4"/>
    <w:rsid w:val="6A9516EC"/>
    <w:rsid w:val="6AB543B2"/>
    <w:rsid w:val="6AD71D05"/>
    <w:rsid w:val="6B0415A1"/>
    <w:rsid w:val="6B1E7934"/>
    <w:rsid w:val="6B234F4A"/>
    <w:rsid w:val="6B32518D"/>
    <w:rsid w:val="6B3727A3"/>
    <w:rsid w:val="6B413622"/>
    <w:rsid w:val="6B5A38B6"/>
    <w:rsid w:val="6B642B64"/>
    <w:rsid w:val="6B76151E"/>
    <w:rsid w:val="6B833C3B"/>
    <w:rsid w:val="6BAC27ED"/>
    <w:rsid w:val="6BB9765C"/>
    <w:rsid w:val="6BC219A9"/>
    <w:rsid w:val="6BF608B1"/>
    <w:rsid w:val="6BFA214F"/>
    <w:rsid w:val="6C167F08"/>
    <w:rsid w:val="6C2C6080"/>
    <w:rsid w:val="6C4B1DD7"/>
    <w:rsid w:val="6C6C668B"/>
    <w:rsid w:val="6C841A18"/>
    <w:rsid w:val="6C905C4F"/>
    <w:rsid w:val="6CCF5389"/>
    <w:rsid w:val="6CDB0C3D"/>
    <w:rsid w:val="6CE33061"/>
    <w:rsid w:val="6CEA518C"/>
    <w:rsid w:val="6D0A6E11"/>
    <w:rsid w:val="6D197FA0"/>
    <w:rsid w:val="6D21370B"/>
    <w:rsid w:val="6D477EED"/>
    <w:rsid w:val="6D631F76"/>
    <w:rsid w:val="6D7B2E1B"/>
    <w:rsid w:val="6D7B696B"/>
    <w:rsid w:val="6D7E10BB"/>
    <w:rsid w:val="6D8C327A"/>
    <w:rsid w:val="6D9D2A6C"/>
    <w:rsid w:val="6DA36828"/>
    <w:rsid w:val="6DAA2D90"/>
    <w:rsid w:val="6DBD740C"/>
    <w:rsid w:val="6DD32C57"/>
    <w:rsid w:val="6DF277AD"/>
    <w:rsid w:val="6E02353D"/>
    <w:rsid w:val="6E071C62"/>
    <w:rsid w:val="6E2D7665"/>
    <w:rsid w:val="6E3901AC"/>
    <w:rsid w:val="6E68642E"/>
    <w:rsid w:val="6E71356A"/>
    <w:rsid w:val="6E8A47CE"/>
    <w:rsid w:val="6E910D1A"/>
    <w:rsid w:val="6EAB7730"/>
    <w:rsid w:val="6EE669BA"/>
    <w:rsid w:val="6EF56BFD"/>
    <w:rsid w:val="6F172299"/>
    <w:rsid w:val="6F4B4A6F"/>
    <w:rsid w:val="6F4F4560"/>
    <w:rsid w:val="6F5558EE"/>
    <w:rsid w:val="6F71097A"/>
    <w:rsid w:val="6F7736FF"/>
    <w:rsid w:val="6F7B0DEF"/>
    <w:rsid w:val="6FD9207B"/>
    <w:rsid w:val="6FE67ED1"/>
    <w:rsid w:val="6FEECCA7"/>
    <w:rsid w:val="6FF97C6C"/>
    <w:rsid w:val="700370F8"/>
    <w:rsid w:val="70096EFE"/>
    <w:rsid w:val="70097799"/>
    <w:rsid w:val="70131A31"/>
    <w:rsid w:val="70704CF0"/>
    <w:rsid w:val="70735112"/>
    <w:rsid w:val="70820965"/>
    <w:rsid w:val="70875F7B"/>
    <w:rsid w:val="70983CE4"/>
    <w:rsid w:val="70A46B2D"/>
    <w:rsid w:val="70B1428C"/>
    <w:rsid w:val="70E44368"/>
    <w:rsid w:val="70E94540"/>
    <w:rsid w:val="70FF0BEA"/>
    <w:rsid w:val="71237A52"/>
    <w:rsid w:val="712454C0"/>
    <w:rsid w:val="71267542"/>
    <w:rsid w:val="712C32CD"/>
    <w:rsid w:val="713A6780"/>
    <w:rsid w:val="71652E7D"/>
    <w:rsid w:val="71A17723"/>
    <w:rsid w:val="71A34EC9"/>
    <w:rsid w:val="71B24E1A"/>
    <w:rsid w:val="71C07997"/>
    <w:rsid w:val="71DC40A5"/>
    <w:rsid w:val="71F03B55"/>
    <w:rsid w:val="72023EDE"/>
    <w:rsid w:val="72062ED0"/>
    <w:rsid w:val="722A26B8"/>
    <w:rsid w:val="72402FAE"/>
    <w:rsid w:val="72485142"/>
    <w:rsid w:val="72656C75"/>
    <w:rsid w:val="727A671F"/>
    <w:rsid w:val="72CA5C89"/>
    <w:rsid w:val="72D477E2"/>
    <w:rsid w:val="72E41463"/>
    <w:rsid w:val="73057ADD"/>
    <w:rsid w:val="730F0D66"/>
    <w:rsid w:val="732B0E40"/>
    <w:rsid w:val="734939BC"/>
    <w:rsid w:val="73504D4A"/>
    <w:rsid w:val="7352575D"/>
    <w:rsid w:val="73526CD9"/>
    <w:rsid w:val="7379604F"/>
    <w:rsid w:val="739F35DC"/>
    <w:rsid w:val="73A66718"/>
    <w:rsid w:val="73BB0416"/>
    <w:rsid w:val="740A4088"/>
    <w:rsid w:val="742650CC"/>
    <w:rsid w:val="745E6FF3"/>
    <w:rsid w:val="748F2AAA"/>
    <w:rsid w:val="7491561A"/>
    <w:rsid w:val="74B60BDD"/>
    <w:rsid w:val="74CE5F27"/>
    <w:rsid w:val="74D06143"/>
    <w:rsid w:val="74D53759"/>
    <w:rsid w:val="74DD3CC3"/>
    <w:rsid w:val="74DE055B"/>
    <w:rsid w:val="74E4574A"/>
    <w:rsid w:val="74E82EC6"/>
    <w:rsid w:val="74F11DAB"/>
    <w:rsid w:val="74F84B7E"/>
    <w:rsid w:val="74FC1C62"/>
    <w:rsid w:val="750A46C6"/>
    <w:rsid w:val="750D2EF3"/>
    <w:rsid w:val="751A116C"/>
    <w:rsid w:val="7530098F"/>
    <w:rsid w:val="754D7793"/>
    <w:rsid w:val="75593EBC"/>
    <w:rsid w:val="756E1C38"/>
    <w:rsid w:val="758244D3"/>
    <w:rsid w:val="75862CA5"/>
    <w:rsid w:val="75D457BF"/>
    <w:rsid w:val="760302B2"/>
    <w:rsid w:val="7608190C"/>
    <w:rsid w:val="76263B40"/>
    <w:rsid w:val="76500BBD"/>
    <w:rsid w:val="76516E0F"/>
    <w:rsid w:val="76760624"/>
    <w:rsid w:val="769413F2"/>
    <w:rsid w:val="769907B6"/>
    <w:rsid w:val="769E3328"/>
    <w:rsid w:val="76B63116"/>
    <w:rsid w:val="76C43A85"/>
    <w:rsid w:val="76C958E6"/>
    <w:rsid w:val="76CA43AF"/>
    <w:rsid w:val="76DE3A0F"/>
    <w:rsid w:val="76F51E90"/>
    <w:rsid w:val="772067E2"/>
    <w:rsid w:val="7725204A"/>
    <w:rsid w:val="77356731"/>
    <w:rsid w:val="77667C7B"/>
    <w:rsid w:val="776A255B"/>
    <w:rsid w:val="778009C3"/>
    <w:rsid w:val="77981212"/>
    <w:rsid w:val="77A23200"/>
    <w:rsid w:val="77A865ED"/>
    <w:rsid w:val="77B37656"/>
    <w:rsid w:val="77C67389"/>
    <w:rsid w:val="77DFA30E"/>
    <w:rsid w:val="7803238B"/>
    <w:rsid w:val="78306EF8"/>
    <w:rsid w:val="785E5813"/>
    <w:rsid w:val="787119EB"/>
    <w:rsid w:val="787C3EEC"/>
    <w:rsid w:val="788D434B"/>
    <w:rsid w:val="788F1CFE"/>
    <w:rsid w:val="789A2B93"/>
    <w:rsid w:val="78B458BF"/>
    <w:rsid w:val="78CB5A16"/>
    <w:rsid w:val="78DA7590"/>
    <w:rsid w:val="78DD139E"/>
    <w:rsid w:val="78E54F28"/>
    <w:rsid w:val="78FB4AF5"/>
    <w:rsid w:val="795033A3"/>
    <w:rsid w:val="795D1F6F"/>
    <w:rsid w:val="79652BD2"/>
    <w:rsid w:val="79A431D2"/>
    <w:rsid w:val="79A47B9E"/>
    <w:rsid w:val="79AE27CB"/>
    <w:rsid w:val="79D73ACF"/>
    <w:rsid w:val="79FA77BE"/>
    <w:rsid w:val="7A0213F2"/>
    <w:rsid w:val="7A044AE6"/>
    <w:rsid w:val="7A1C54BC"/>
    <w:rsid w:val="7A61568A"/>
    <w:rsid w:val="7A7A445B"/>
    <w:rsid w:val="7A98273D"/>
    <w:rsid w:val="7ABD0F17"/>
    <w:rsid w:val="7B1076DB"/>
    <w:rsid w:val="7B204C45"/>
    <w:rsid w:val="7B45751D"/>
    <w:rsid w:val="7B592205"/>
    <w:rsid w:val="7B66335D"/>
    <w:rsid w:val="7B6E0463"/>
    <w:rsid w:val="7BBF4BA8"/>
    <w:rsid w:val="7BCD518A"/>
    <w:rsid w:val="7BD94E15"/>
    <w:rsid w:val="7BEF1922"/>
    <w:rsid w:val="7BF37A6B"/>
    <w:rsid w:val="7C027B47"/>
    <w:rsid w:val="7C1D75A7"/>
    <w:rsid w:val="7C4F5584"/>
    <w:rsid w:val="7C7A6994"/>
    <w:rsid w:val="7C8D66C7"/>
    <w:rsid w:val="7C947E03"/>
    <w:rsid w:val="7C961A20"/>
    <w:rsid w:val="7CCD740C"/>
    <w:rsid w:val="7CE21C31"/>
    <w:rsid w:val="7CF84488"/>
    <w:rsid w:val="7D034641"/>
    <w:rsid w:val="7D050953"/>
    <w:rsid w:val="7D140B97"/>
    <w:rsid w:val="7D497A10"/>
    <w:rsid w:val="7D4F4715"/>
    <w:rsid w:val="7D8448D9"/>
    <w:rsid w:val="7D8F667D"/>
    <w:rsid w:val="7D9A5540"/>
    <w:rsid w:val="7D9B4E14"/>
    <w:rsid w:val="7DA168CE"/>
    <w:rsid w:val="7DBF6D54"/>
    <w:rsid w:val="7DC1240D"/>
    <w:rsid w:val="7DDA593C"/>
    <w:rsid w:val="7DE844FD"/>
    <w:rsid w:val="7E12157A"/>
    <w:rsid w:val="7E164242"/>
    <w:rsid w:val="7E7F64E4"/>
    <w:rsid w:val="7EA20C5E"/>
    <w:rsid w:val="7ED96E20"/>
    <w:rsid w:val="7EDB7BBE"/>
    <w:rsid w:val="7EED78F1"/>
    <w:rsid w:val="7F3D7EA1"/>
    <w:rsid w:val="7F54786E"/>
    <w:rsid w:val="7F590AE3"/>
    <w:rsid w:val="7F596D35"/>
    <w:rsid w:val="7F62208D"/>
    <w:rsid w:val="7F71054D"/>
    <w:rsid w:val="7F78365F"/>
    <w:rsid w:val="7F7C793E"/>
    <w:rsid w:val="7F98785D"/>
    <w:rsid w:val="7FA93818"/>
    <w:rsid w:val="7FB82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2">
    <w:name w:val="heading 1"/>
    <w:basedOn w:val="1"/>
    <w:next w:val="1"/>
    <w:link w:val="68"/>
    <w:qFormat/>
    <w:uiPriority w:val="1"/>
    <w:pPr>
      <w:spacing w:before="28"/>
      <w:ind w:right="100"/>
      <w:jc w:val="center"/>
      <w:outlineLvl w:val="0"/>
    </w:pPr>
    <w:rPr>
      <w:rFonts w:ascii="黑体" w:hAnsi="黑体" w:eastAsia="黑体" w:cs="黑体"/>
      <w:sz w:val="32"/>
      <w:szCs w:val="32"/>
    </w:rPr>
  </w:style>
  <w:style w:type="paragraph" w:styleId="3">
    <w:name w:val="heading 2"/>
    <w:basedOn w:val="1"/>
    <w:next w:val="1"/>
    <w:qFormat/>
    <w:uiPriority w:val="0"/>
    <w:pPr>
      <w:outlineLvl w:val="1"/>
    </w:pPr>
  </w:style>
  <w:style w:type="paragraph" w:styleId="4">
    <w:name w:val="heading 3"/>
    <w:basedOn w:val="1"/>
    <w:next w:val="1"/>
    <w:link w:val="30"/>
    <w:qFormat/>
    <w:uiPriority w:val="0"/>
    <w:pPr>
      <w:outlineLvl w:val="2"/>
    </w:p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autoSpaceDE/>
      <w:autoSpaceDN/>
      <w:adjustRightInd/>
      <w:ind w:firstLine="420" w:firstLineChars="200"/>
      <w:jc w:val="both"/>
    </w:pPr>
    <w:rPr>
      <w:kern w:val="2"/>
      <w:sz w:val="21"/>
    </w:rPr>
  </w:style>
  <w:style w:type="paragraph" w:styleId="6">
    <w:name w:val="toa heading"/>
    <w:basedOn w:val="1"/>
    <w:next w:val="1"/>
    <w:unhideWhenUsed/>
    <w:qFormat/>
    <w:uiPriority w:val="0"/>
    <w:pPr>
      <w:autoSpaceDE/>
      <w:autoSpaceDN/>
      <w:adjustRightInd/>
      <w:spacing w:before="120"/>
      <w:jc w:val="both"/>
    </w:pPr>
    <w:rPr>
      <w:rFonts w:ascii="Cambria" w:hAnsi="Cambria" w:cs="宋体"/>
      <w:kern w:val="2"/>
    </w:rPr>
  </w:style>
  <w:style w:type="paragraph" w:styleId="7">
    <w:name w:val="Body Text"/>
    <w:basedOn w:val="1"/>
    <w:next w:val="8"/>
    <w:qFormat/>
    <w:uiPriority w:val="0"/>
    <w:pPr>
      <w:spacing w:line="360" w:lineRule="auto"/>
    </w:pPr>
    <w:rPr>
      <w:rFonts w:ascii="宋体"/>
      <w:color w:val="000000"/>
      <w:sz w:val="28"/>
      <w:szCs w:val="32"/>
    </w:rPr>
  </w:style>
  <w:style w:type="paragraph" w:styleId="8">
    <w:name w:val="Body Text First Indent"/>
    <w:basedOn w:val="7"/>
    <w:next w:val="9"/>
    <w:qFormat/>
    <w:uiPriority w:val="0"/>
    <w:pPr>
      <w:ind w:firstLine="420" w:firstLineChars="100"/>
    </w:pPr>
    <w:rPr>
      <w:rFonts w:ascii="Times New Roman"/>
    </w:rPr>
  </w:style>
  <w:style w:type="paragraph" w:styleId="9">
    <w:name w:val="toc 6"/>
    <w:basedOn w:val="1"/>
    <w:next w:val="1"/>
    <w:qFormat/>
    <w:uiPriority w:val="0"/>
    <w:pPr>
      <w:ind w:left="2100" w:leftChars="1000"/>
    </w:pPr>
    <w:rPr>
      <w:rFonts w:ascii="Calibri" w:hAnsi="Calibri"/>
    </w:rPr>
  </w:style>
  <w:style w:type="paragraph" w:styleId="10">
    <w:name w:val="Body Text Indent"/>
    <w:basedOn w:val="1"/>
    <w:next w:val="11"/>
    <w:qFormat/>
    <w:uiPriority w:val="0"/>
    <w:pPr>
      <w:spacing w:line="640" w:lineRule="exact"/>
      <w:ind w:firstLine="600" w:firstLineChars="200"/>
      <w:jc w:val="both"/>
    </w:pPr>
    <w:rPr>
      <w:rFonts w:ascii="仿宋_GB2312" w:eastAsia="仿宋_GB2312"/>
      <w:kern w:val="2"/>
      <w:sz w:val="30"/>
      <w:szCs w:val="32"/>
    </w:rPr>
  </w:style>
  <w:style w:type="paragraph" w:styleId="11">
    <w:name w:val="Body Text First Indent 2"/>
    <w:basedOn w:val="10"/>
    <w:next w:val="8"/>
    <w:unhideWhenUsed/>
    <w:qFormat/>
    <w:uiPriority w:val="99"/>
    <w:pPr>
      <w:ind w:firstLine="420"/>
    </w:pPr>
  </w:style>
  <w:style w:type="paragraph" w:styleId="12">
    <w:name w:val="Plain Text"/>
    <w:basedOn w:val="1"/>
    <w:qFormat/>
    <w:uiPriority w:val="99"/>
    <w:pPr>
      <w:autoSpaceDE/>
      <w:autoSpaceDN/>
      <w:adjustRightInd/>
      <w:jc w:val="both"/>
    </w:pPr>
    <w:rPr>
      <w:rFonts w:ascii="宋体" w:hAnsi="宋体"/>
      <w:color w:val="000000"/>
      <w:kern w:val="1"/>
      <w:sz w:val="21"/>
      <w:szCs w:val="20"/>
    </w:rPr>
  </w:style>
  <w:style w:type="paragraph" w:styleId="13">
    <w:name w:val="footer"/>
    <w:basedOn w:val="1"/>
    <w:qFormat/>
    <w:uiPriority w:val="99"/>
    <w:pPr>
      <w:tabs>
        <w:tab w:val="center" w:pos="4153"/>
        <w:tab w:val="right" w:pos="8306"/>
      </w:tabs>
      <w:snapToGrid w:val="0"/>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autoSpaceDE/>
      <w:autoSpaceDN/>
      <w:adjustRightInd/>
      <w:jc w:val="both"/>
    </w:pPr>
    <w:rPr>
      <w:kern w:val="2"/>
      <w:sz w:val="21"/>
    </w:rPr>
  </w:style>
  <w:style w:type="paragraph" w:styleId="16">
    <w:name w:val="footnote text"/>
    <w:basedOn w:val="1"/>
    <w:next w:val="7"/>
    <w:qFormat/>
    <w:uiPriority w:val="0"/>
    <w:pPr>
      <w:snapToGrid w:val="0"/>
    </w:pPr>
    <w:rPr>
      <w:sz w:val="18"/>
    </w:rPr>
  </w:style>
  <w:style w:type="paragraph" w:styleId="17">
    <w:name w:val="toc 2"/>
    <w:basedOn w:val="1"/>
    <w:next w:val="1"/>
    <w:qFormat/>
    <w:uiPriority w:val="0"/>
    <w:pPr>
      <w:ind w:left="420" w:leftChars="200"/>
    </w:pPr>
  </w:style>
  <w:style w:type="paragraph" w:styleId="18">
    <w:name w:val="Normal (Web)"/>
    <w:basedOn w:val="1"/>
    <w:qFormat/>
    <w:uiPriority w:val="99"/>
    <w:pPr>
      <w:autoSpaceDE/>
      <w:autoSpaceDN/>
      <w:adjustRightInd/>
      <w:spacing w:before="100" w:beforeAutospacing="1" w:after="100" w:afterAutospacing="1"/>
    </w:pPr>
    <w:rPr>
      <w:rFonts w:ascii="Calibri" w:hAnsi="Calibri"/>
    </w:rPr>
  </w:style>
  <w:style w:type="paragraph" w:styleId="19">
    <w:name w:val="Title"/>
    <w:basedOn w:val="1"/>
    <w:next w:val="1"/>
    <w:qFormat/>
    <w:uiPriority w:val="0"/>
    <w:pPr>
      <w:jc w:val="both"/>
    </w:pPr>
    <w:rPr>
      <w:rFonts w:ascii="宋体" w:hAnsi="宋体"/>
      <w:sz w:val="4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Emphasis"/>
    <w:basedOn w:val="22"/>
    <w:qFormat/>
    <w:uiPriority w:val="0"/>
    <w:rPr>
      <w:i/>
    </w:rPr>
  </w:style>
  <w:style w:type="character" w:styleId="25">
    <w:name w:val="Hyperlink"/>
    <w:qFormat/>
    <w:uiPriority w:val="99"/>
    <w:rPr>
      <w:rFonts w:hint="default" w:ascii="ˎ̥" w:hAnsi="ˎ̥"/>
      <w:color w:val="000066"/>
      <w:sz w:val="18"/>
      <w:szCs w:val="18"/>
      <w:u w:val="none"/>
    </w:rPr>
  </w:style>
  <w:style w:type="character" w:styleId="26">
    <w:name w:val="HTML Sample"/>
    <w:basedOn w:val="22"/>
    <w:qFormat/>
    <w:uiPriority w:val="0"/>
    <w:rPr>
      <w:rFonts w:ascii="Courier New" w:hAnsi="Courier New"/>
    </w:rPr>
  </w:style>
  <w:style w:type="paragraph" w:customStyle="1" w:styleId="27">
    <w:name w:val="正文文本11"/>
    <w:basedOn w:val="28"/>
    <w:unhideWhenUsed/>
    <w:qFormat/>
    <w:uiPriority w:val="0"/>
    <w:rPr>
      <w:rFonts w:ascii="Arial" w:hAnsi="Arial"/>
      <w:sz w:val="24"/>
    </w:rPr>
  </w:style>
  <w:style w:type="paragraph" w:customStyle="1" w:styleId="28">
    <w:name w:val="正文112"/>
    <w:next w:val="10"/>
    <w:qFormat/>
    <w:uiPriority w:val="0"/>
    <w:pPr>
      <w:widowControl w:val="0"/>
      <w:jc w:val="both"/>
    </w:pPr>
    <w:rPr>
      <w:rFonts w:ascii="Calibri" w:hAnsi="Calibri" w:eastAsia="宋体" w:cs="Times New Roman"/>
      <w:sz w:val="21"/>
      <w:szCs w:val="22"/>
      <w:lang w:val="en-US" w:eastAsia="zh-CN" w:bidi="ar-SA"/>
    </w:rPr>
  </w:style>
  <w:style w:type="paragraph" w:customStyle="1" w:styleId="29">
    <w:name w:val="Default"/>
    <w:basedOn w:val="19"/>
    <w:next w:val="2"/>
    <w:qFormat/>
    <w:uiPriority w:val="0"/>
    <w:rPr>
      <w:rFonts w:ascii="Times New Roman" w:hAnsi="Times New Roman"/>
      <w:color w:val="000000"/>
      <w:sz w:val="24"/>
    </w:rPr>
  </w:style>
  <w:style w:type="character" w:customStyle="1" w:styleId="30">
    <w:name w:val="标题 3 字符"/>
    <w:link w:val="4"/>
    <w:qFormat/>
    <w:uiPriority w:val="0"/>
  </w:style>
  <w:style w:type="paragraph" w:customStyle="1" w:styleId="31">
    <w:name w:val="Table Paragraph"/>
    <w:basedOn w:val="32"/>
    <w:qFormat/>
    <w:uiPriority w:val="1"/>
    <w:rPr>
      <w:rFonts w:ascii="宋体" w:hAnsi="宋体" w:cs="宋体"/>
      <w:lang w:val="zh-CN" w:bidi="zh-CN"/>
    </w:rPr>
  </w:style>
  <w:style w:type="paragraph" w:customStyle="1" w:styleId="32">
    <w:name w:val="正文_0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3">
    <w:name w:val="正文1"/>
    <w:qFormat/>
    <w:uiPriority w:val="0"/>
    <w:rPr>
      <w:rFonts w:ascii="Times New Roman" w:hAnsi="Times New Roman" w:eastAsia="Times New Roman" w:cs="Times New Roman"/>
      <w:sz w:val="24"/>
      <w:szCs w:val="24"/>
      <w:lang w:val="en-US" w:eastAsia="zh-CN" w:bidi="ar-SA"/>
    </w:rPr>
  </w:style>
  <w:style w:type="paragraph" w:customStyle="1" w:styleId="34">
    <w:name w:val="正文缩进1"/>
    <w:basedOn w:val="1"/>
    <w:qFormat/>
    <w:uiPriority w:val="0"/>
    <w:pPr>
      <w:ind w:firstLine="420"/>
    </w:pPr>
    <w:rPr>
      <w:szCs w:val="20"/>
    </w:rPr>
  </w:style>
  <w:style w:type="paragraph" w:customStyle="1" w:styleId="35">
    <w:name w:val="文件正文"/>
    <w:basedOn w:val="1"/>
    <w:qFormat/>
    <w:uiPriority w:val="0"/>
    <w:rPr>
      <w:rFonts w:eastAsia="仿宋_GB2312" w:cs="Calibri (西文正文)"/>
      <w:kern w:val="2"/>
    </w:rPr>
  </w:style>
  <w:style w:type="paragraph" w:customStyle="1" w:styleId="36">
    <w:name w:val="Normal_9"/>
    <w:qFormat/>
    <w:uiPriority w:val="0"/>
    <w:rPr>
      <w:rFonts w:ascii="黑体" w:hAnsi="黑体" w:eastAsia="黑体" w:cs="Times New Roman"/>
      <w:b/>
      <w:sz w:val="32"/>
      <w:szCs w:val="24"/>
      <w:lang w:val="en-US" w:eastAsia="zh-CN" w:bidi="ar-SA"/>
    </w:rPr>
  </w:style>
  <w:style w:type="paragraph" w:customStyle="1" w:styleId="37">
    <w:name w:val="日期_0"/>
    <w:basedOn w:val="38"/>
    <w:next w:val="38"/>
    <w:qFormat/>
    <w:uiPriority w:val="0"/>
    <w:pPr>
      <w:ind w:left="100" w:leftChars="2500"/>
    </w:pPr>
    <w:rPr>
      <w:kern w:val="0"/>
      <w:sz w:val="20"/>
    </w:rPr>
  </w:style>
  <w:style w:type="paragraph" w:customStyle="1" w:styleId="38">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纯文本_1"/>
    <w:basedOn w:val="40"/>
    <w:unhideWhenUsed/>
    <w:qFormat/>
    <w:uiPriority w:val="0"/>
    <w:rPr>
      <w:rFonts w:ascii="宋体" w:hAnsi="Courier New" w:cs="Courier New"/>
      <w:szCs w:val="21"/>
    </w:rPr>
  </w:style>
  <w:style w:type="paragraph" w:customStyle="1" w:styleId="40">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文本_1"/>
    <w:basedOn w:val="43"/>
    <w:qFormat/>
    <w:uiPriority w:val="0"/>
    <w:pPr>
      <w:spacing w:after="120"/>
    </w:pPr>
    <w:rPr>
      <w:kern w:val="0"/>
      <w:sz w:val="20"/>
    </w:rPr>
  </w:style>
  <w:style w:type="paragraph" w:customStyle="1" w:styleId="43">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Normal_5"/>
    <w:qFormat/>
    <w:uiPriority w:val="0"/>
    <w:rPr>
      <w:rFonts w:ascii="黑体" w:hAnsi="黑体" w:eastAsia="黑体" w:cs="Times New Roman"/>
      <w:b/>
      <w:sz w:val="32"/>
      <w:szCs w:val="24"/>
      <w:lang w:val="en-US" w:eastAsia="zh-CN" w:bidi="ar-SA"/>
    </w:rPr>
  </w:style>
  <w:style w:type="paragraph" w:customStyle="1" w:styleId="45">
    <w:name w:val="正文_4"/>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6">
    <w:name w:val="List Paragraph"/>
    <w:basedOn w:val="1"/>
    <w:qFormat/>
    <w:uiPriority w:val="99"/>
    <w:pPr>
      <w:ind w:firstLine="420" w:firstLineChars="200"/>
    </w:pPr>
  </w:style>
  <w:style w:type="paragraph" w:customStyle="1" w:styleId="47">
    <w:name w:val="正文_0_0_1"/>
    <w:qFormat/>
    <w:uiPriority w:val="0"/>
    <w:pPr>
      <w:widowControl w:val="0"/>
      <w:jc w:val="both"/>
    </w:pPr>
    <w:rPr>
      <w:rFonts w:ascii="Times New Roman" w:hAnsi="Times New Roman" w:eastAsia="宋体" w:cs="Times New Roman"/>
      <w:kern w:val="2"/>
      <w:sz w:val="28"/>
      <w:szCs w:val="22"/>
      <w:lang w:val="en-US" w:eastAsia="zh-CN" w:bidi="ar-SA"/>
    </w:rPr>
  </w:style>
  <w:style w:type="paragraph" w:customStyle="1" w:styleId="48">
    <w:name w:val="正文文本缩进_1"/>
    <w:basedOn w:val="49"/>
    <w:qFormat/>
    <w:uiPriority w:val="0"/>
    <w:pPr>
      <w:spacing w:line="500" w:lineRule="exact"/>
      <w:ind w:left="1588" w:leftChars="832" w:firstLine="433" w:firstLineChars="196"/>
    </w:pPr>
    <w:rPr>
      <w:kern w:val="0"/>
      <w:sz w:val="24"/>
    </w:rPr>
  </w:style>
  <w:style w:type="paragraph" w:customStyle="1" w:styleId="49">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_1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Normal_16"/>
    <w:qFormat/>
    <w:uiPriority w:val="0"/>
    <w:rPr>
      <w:rFonts w:ascii="黑体" w:hAnsi="黑体" w:eastAsia="黑体" w:cs="Times New Roman"/>
      <w:b/>
      <w:sz w:val="32"/>
      <w:szCs w:val="24"/>
      <w:lang w:val="en-US" w:eastAsia="zh-CN" w:bidi="ar-SA"/>
    </w:rPr>
  </w:style>
  <w:style w:type="paragraph" w:customStyle="1" w:styleId="53">
    <w:name w:val="Default Text"/>
    <w:basedOn w:val="1"/>
    <w:qFormat/>
    <w:uiPriority w:val="0"/>
    <w:pPr>
      <w:widowControl/>
      <w:overflowPunct w:val="0"/>
      <w:textAlignment w:val="baseline"/>
    </w:pPr>
    <w:rPr>
      <w:szCs w:val="20"/>
    </w:rPr>
  </w:style>
  <w:style w:type="paragraph" w:customStyle="1" w:styleId="54">
    <w:name w:val="Heading #2|1"/>
    <w:basedOn w:val="1"/>
    <w:qFormat/>
    <w:uiPriority w:val="0"/>
    <w:pPr>
      <w:jc w:val="center"/>
      <w:outlineLvl w:val="1"/>
    </w:pPr>
    <w:rPr>
      <w:rFonts w:ascii="宋体" w:hAnsi="宋体" w:cs="宋体"/>
      <w:color w:val="3B4247"/>
      <w:sz w:val="26"/>
      <w:szCs w:val="26"/>
      <w:lang w:val="zh-TW" w:eastAsia="zh-TW" w:bidi="zh-TW"/>
    </w:rPr>
  </w:style>
  <w:style w:type="paragraph" w:customStyle="1" w:styleId="55">
    <w:name w:val="Body text|1"/>
    <w:basedOn w:val="1"/>
    <w:qFormat/>
    <w:uiPriority w:val="0"/>
    <w:pPr>
      <w:spacing w:line="480" w:lineRule="auto"/>
      <w:ind w:firstLine="400"/>
    </w:pPr>
    <w:rPr>
      <w:rFonts w:ascii="宋体" w:hAnsi="宋体" w:cs="宋体"/>
      <w:color w:val="3B4247"/>
      <w:sz w:val="22"/>
      <w:szCs w:val="22"/>
      <w:lang w:val="zh-TW" w:eastAsia="zh-TW" w:bidi="zh-TW"/>
    </w:rPr>
  </w:style>
  <w:style w:type="paragraph" w:customStyle="1" w:styleId="56">
    <w:name w:val="Table caption|1"/>
    <w:basedOn w:val="1"/>
    <w:qFormat/>
    <w:uiPriority w:val="0"/>
    <w:pPr>
      <w:spacing w:line="531" w:lineRule="exact"/>
      <w:ind w:firstLine="480"/>
    </w:pPr>
    <w:rPr>
      <w:rFonts w:ascii="宋体" w:hAnsi="宋体" w:cs="宋体"/>
      <w:color w:val="3B4247"/>
      <w:sz w:val="22"/>
      <w:szCs w:val="22"/>
      <w:lang w:val="zh-TW" w:eastAsia="zh-TW" w:bidi="zh-TW"/>
    </w:rPr>
  </w:style>
  <w:style w:type="paragraph" w:customStyle="1" w:styleId="57">
    <w:name w:val="Other|1"/>
    <w:basedOn w:val="1"/>
    <w:qFormat/>
    <w:uiPriority w:val="0"/>
    <w:pPr>
      <w:spacing w:line="480" w:lineRule="auto"/>
      <w:ind w:firstLine="400"/>
    </w:pPr>
    <w:rPr>
      <w:rFonts w:ascii="宋体" w:hAnsi="宋体" w:cs="宋体"/>
      <w:color w:val="3B4247"/>
      <w:sz w:val="22"/>
      <w:szCs w:val="22"/>
      <w:lang w:val="zh-TW" w:eastAsia="zh-TW" w:bidi="zh-TW"/>
    </w:rPr>
  </w:style>
  <w:style w:type="character" w:customStyle="1" w:styleId="58">
    <w:name w:val="font21"/>
    <w:basedOn w:val="22"/>
    <w:qFormat/>
    <w:uiPriority w:val="0"/>
    <w:rPr>
      <w:rFonts w:hint="default" w:ascii="Times New Roman" w:hAnsi="Times New Roman" w:cs="Times New Roman"/>
      <w:color w:val="000000"/>
      <w:sz w:val="22"/>
      <w:szCs w:val="22"/>
      <w:u w:val="none"/>
    </w:rPr>
  </w:style>
  <w:style w:type="character" w:customStyle="1" w:styleId="59">
    <w:name w:val="font11"/>
    <w:basedOn w:val="22"/>
    <w:qFormat/>
    <w:uiPriority w:val="0"/>
    <w:rPr>
      <w:rFonts w:hint="eastAsia" w:ascii="宋体" w:hAnsi="宋体" w:eastAsia="宋体" w:cs="宋体"/>
      <w:color w:val="000000"/>
      <w:sz w:val="22"/>
      <w:szCs w:val="22"/>
      <w:u w:val="none"/>
    </w:rPr>
  </w:style>
  <w:style w:type="paragraph" w:customStyle="1" w:styleId="60">
    <w:name w:val="正文11"/>
    <w:basedOn w:val="1"/>
    <w:qFormat/>
    <w:uiPriority w:val="0"/>
    <w:pPr>
      <w:snapToGrid w:val="0"/>
      <w:spacing w:line="360" w:lineRule="auto"/>
      <w:ind w:firstLine="567"/>
      <w:textAlignment w:val="baseline"/>
    </w:pPr>
    <w:rPr>
      <w:rFonts w:ascii="宋体"/>
      <w:spacing w:val="6"/>
      <w:sz w:val="28"/>
      <w:szCs w:val="20"/>
    </w:rPr>
  </w:style>
  <w:style w:type="paragraph" w:customStyle="1" w:styleId="6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5">
    <w:name w:val="列出段落1"/>
    <w:basedOn w:val="1"/>
    <w:qFormat/>
    <w:uiPriority w:val="0"/>
    <w:pPr>
      <w:ind w:firstLine="420" w:firstLineChars="200"/>
    </w:pPr>
  </w:style>
  <w:style w:type="table" w:customStyle="1" w:styleId="66">
    <w:name w:val="Table Normal"/>
    <w:autoRedefine/>
    <w:semiHidden/>
    <w:unhideWhenUsed/>
    <w:qFormat/>
    <w:uiPriority w:val="0"/>
    <w:tblPr>
      <w:tblCellMar>
        <w:top w:w="0" w:type="dxa"/>
        <w:left w:w="0" w:type="dxa"/>
        <w:bottom w:w="0" w:type="dxa"/>
        <w:right w:w="0" w:type="dxa"/>
      </w:tblCellMar>
    </w:tblPr>
  </w:style>
  <w:style w:type="table" w:customStyle="1" w:styleId="67">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68">
    <w:name w:val="标题 1 字符"/>
    <w:link w:val="2"/>
    <w:qFormat/>
    <w:uiPriority w:val="0"/>
    <w:rPr>
      <w:rFonts w:ascii="黑体" w:hAnsi="黑体" w:eastAsia="黑体" w:cs="黑体"/>
      <w:sz w:val="32"/>
      <w:szCs w:val="32"/>
    </w:rPr>
  </w:style>
  <w:style w:type="paragraph" w:customStyle="1" w:styleId="69">
    <w:name w:val="Revision"/>
    <w:hidden/>
    <w:unhideWhenUsed/>
    <w:qFormat/>
    <w:uiPriority w:val="99"/>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43091</Words>
  <Characters>45336</Characters>
  <Lines>368</Lines>
  <Paragraphs>103</Paragraphs>
  <TotalTime>39</TotalTime>
  <ScaleCrop>false</ScaleCrop>
  <LinksUpToDate>false</LinksUpToDate>
  <CharactersWithSpaces>49616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2022-05-21T06:40:00Z</dcterms:created>
  <dc:creator>KB-2</dc:creator>
  <cp:lastModifiedBy>闾新豪</cp:lastModifiedBy>
  <cp:lastPrinted>2023-05-07T02:22:00Z</cp:lastPrinted>
  <dcterms:modified xsi:type="dcterms:W3CDTF">2026-05-18T09:37:30Z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D57D11A5A5D04D75A8060729FE3D73D9_13</vt:lpwstr>
  </property>
  <property fmtid="{D5CDD505-2E9C-101B-9397-08002B2CF9AE}" pid="4" name="KSOTemplateDocerSaveRecord">
    <vt:lpwstr>eyJoZGlkIjoiZGUzZGY2NjBkMjlhOWRkYTI2OTFjNDIwYjFlYzkzMDciLCJ1c2VySWQiOiI0NzAxNDU5NzMifQ==</vt:lpwstr>
  </property>
</Properties>
</file>