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47617">
      <w:pPr>
        <w:jc w:val="center"/>
        <w:rPr>
          <w:rFonts w:ascii="黑体" w:hAnsi="宋体" w:eastAsia="黑体" w:cs="宋体"/>
          <w:b/>
          <w:color w:val="000000" w:themeColor="text1"/>
          <w:kern w:val="0"/>
          <w:sz w:val="15"/>
          <w:szCs w:val="15"/>
          <w:highlight w:val="none"/>
        </w:rPr>
      </w:pPr>
    </w:p>
    <w:p w14:paraId="226A1277">
      <w:pPr>
        <w:jc w:val="center"/>
        <w:outlineLvl w:val="0"/>
        <w:rPr>
          <w:rFonts w:ascii="微软雅黑" w:hAnsi="微软雅黑" w:eastAsia="微软雅黑" w:cs="微软雅黑"/>
          <w:bCs/>
          <w:color w:val="000000" w:themeColor="text1"/>
          <w:spacing w:val="-6"/>
          <w:sz w:val="56"/>
          <w:szCs w:val="56"/>
          <w:highlight w:val="none"/>
        </w:rPr>
      </w:pPr>
    </w:p>
    <w:p w14:paraId="15E976EB">
      <w:pPr>
        <w:jc w:val="center"/>
        <w:outlineLvl w:val="0"/>
        <w:rPr>
          <w:rFonts w:hint="eastAsia" w:ascii="微软雅黑" w:hAnsi="微软雅黑" w:eastAsia="微软雅黑" w:cs="微软雅黑"/>
          <w:b/>
          <w:color w:val="000000" w:themeColor="text1"/>
          <w:spacing w:val="-6"/>
          <w:sz w:val="40"/>
          <w:szCs w:val="40"/>
          <w:highlight w:val="none"/>
          <w:lang w:eastAsia="zh-CN"/>
        </w:rPr>
      </w:pPr>
      <w:r>
        <w:rPr>
          <w:rFonts w:hint="eastAsia" w:ascii="微软雅黑" w:hAnsi="微软雅黑" w:eastAsia="微软雅黑" w:cs="微软雅黑"/>
          <w:bCs/>
          <w:color w:val="000000" w:themeColor="text1"/>
          <w:spacing w:val="-6"/>
          <w:sz w:val="52"/>
          <w:szCs w:val="52"/>
          <w:highlight w:val="none"/>
          <w:lang w:eastAsia="zh-CN"/>
        </w:rPr>
        <w:t>2025年中型监护型救护车采购项目（二次）</w:t>
      </w:r>
    </w:p>
    <w:p w14:paraId="2A6951CD">
      <w:pPr>
        <w:rPr>
          <w:rFonts w:ascii="黑体" w:eastAsia="黑体"/>
          <w:b/>
          <w:bCs/>
          <w:color w:val="000000" w:themeColor="text1"/>
          <w:sz w:val="100"/>
          <w:szCs w:val="100"/>
          <w:highlight w:val="none"/>
        </w:rPr>
      </w:pPr>
    </w:p>
    <w:p w14:paraId="182BEE29">
      <w:pPr>
        <w:jc w:val="center"/>
        <w:rPr>
          <w:rFonts w:ascii="黑体" w:eastAsia="黑体"/>
          <w:b/>
          <w:bCs/>
          <w:color w:val="000000" w:themeColor="text1"/>
          <w:sz w:val="100"/>
          <w:szCs w:val="100"/>
          <w:highlight w:val="none"/>
        </w:rPr>
      </w:pPr>
    </w:p>
    <w:p w14:paraId="3E3B80F6">
      <w:pPr>
        <w:jc w:val="center"/>
        <w:outlineLvl w:val="0"/>
        <w:rPr>
          <w:rFonts w:ascii="黑体" w:eastAsia="黑体"/>
          <w:b/>
          <w:bCs/>
          <w:color w:val="000000" w:themeColor="text1"/>
          <w:sz w:val="96"/>
          <w:szCs w:val="96"/>
          <w:highlight w:val="none"/>
        </w:rPr>
      </w:pPr>
      <w:bookmarkStart w:id="0" w:name="_Toc10358"/>
      <w:r>
        <w:rPr>
          <w:rFonts w:hint="eastAsia" w:ascii="方正小标宋简体" w:hAnsi="方正小标宋简体" w:eastAsia="方正小标宋简体" w:cs="方正小标宋简体"/>
          <w:color w:val="000000" w:themeColor="text1"/>
          <w:sz w:val="96"/>
          <w:szCs w:val="96"/>
          <w:highlight w:val="none"/>
        </w:rPr>
        <w:t>竞争性磋商文件</w:t>
      </w:r>
      <w:bookmarkEnd w:id="0"/>
    </w:p>
    <w:p w14:paraId="7E6422B9">
      <w:pPr>
        <w:adjustRightInd w:val="0"/>
        <w:spacing w:line="360" w:lineRule="auto"/>
        <w:jc w:val="center"/>
        <w:rPr>
          <w:rFonts w:ascii="黑体" w:hAnsi="宋体" w:eastAsia="黑体" w:cs="宋体"/>
          <w:b/>
          <w:color w:val="000000" w:themeColor="text1"/>
          <w:sz w:val="32"/>
          <w:szCs w:val="32"/>
          <w:highlight w:val="none"/>
        </w:rPr>
      </w:pPr>
    </w:p>
    <w:p w14:paraId="51745E6D">
      <w:pPr>
        <w:adjustRightInd w:val="0"/>
        <w:spacing w:line="360" w:lineRule="auto"/>
        <w:jc w:val="center"/>
        <w:rPr>
          <w:rFonts w:ascii="黑体" w:hAnsi="宋体" w:eastAsia="黑体" w:cs="宋体"/>
          <w:b/>
          <w:color w:val="000000" w:themeColor="text1"/>
          <w:sz w:val="32"/>
          <w:szCs w:val="32"/>
          <w:highlight w:val="none"/>
        </w:rPr>
      </w:pPr>
      <w:bookmarkStart w:id="1" w:name="_Toc19276"/>
      <w:r>
        <w:rPr>
          <w:rFonts w:hint="eastAsia" w:ascii="黑体" w:hAnsi="宋体" w:eastAsia="黑体"/>
          <w:b/>
          <w:color w:val="000000" w:themeColor="text1"/>
          <w:sz w:val="32"/>
          <w:szCs w:val="32"/>
          <w:highlight w:val="none"/>
          <w:lang w:val="zh-CN"/>
        </w:rPr>
        <w:t>项目编号：</w:t>
      </w:r>
      <w:bookmarkEnd w:id="1"/>
      <w:r>
        <w:rPr>
          <w:rFonts w:hint="eastAsia" w:ascii="黑体" w:hAnsi="宋体" w:eastAsia="黑体"/>
          <w:b/>
          <w:color w:val="000000" w:themeColor="text1"/>
          <w:sz w:val="32"/>
          <w:szCs w:val="32"/>
          <w:highlight w:val="none"/>
          <w:lang w:val="zh-CN"/>
        </w:rPr>
        <w:t>JLTY-2026080</w:t>
      </w:r>
    </w:p>
    <w:p w14:paraId="7EE2A486">
      <w:pPr>
        <w:adjustRightInd w:val="0"/>
        <w:spacing w:line="360" w:lineRule="auto"/>
        <w:rPr>
          <w:rFonts w:ascii="黑体" w:hAnsi="宋体" w:eastAsia="黑体" w:cs="宋体"/>
          <w:b/>
          <w:color w:val="000000" w:themeColor="text1"/>
          <w:sz w:val="24"/>
          <w:highlight w:val="none"/>
          <w:lang w:val="zh-CN"/>
        </w:rPr>
      </w:pPr>
    </w:p>
    <w:p w14:paraId="0D7B7807">
      <w:pPr>
        <w:adjustRightInd w:val="0"/>
        <w:spacing w:line="360" w:lineRule="auto"/>
        <w:rPr>
          <w:rFonts w:ascii="黑体" w:hAnsi="宋体" w:eastAsia="黑体" w:cs="宋体"/>
          <w:b/>
          <w:color w:val="000000" w:themeColor="text1"/>
          <w:sz w:val="24"/>
          <w:highlight w:val="none"/>
          <w:lang w:val="zh-CN"/>
        </w:rPr>
      </w:pPr>
    </w:p>
    <w:p w14:paraId="1C26A741">
      <w:pPr>
        <w:adjustRightInd w:val="0"/>
        <w:spacing w:line="360" w:lineRule="auto"/>
        <w:rPr>
          <w:rFonts w:ascii="黑体" w:hAnsi="宋体" w:eastAsia="黑体" w:cs="宋体"/>
          <w:b/>
          <w:color w:val="000000" w:themeColor="text1"/>
          <w:sz w:val="24"/>
          <w:highlight w:val="none"/>
          <w:lang w:val="zh-CN"/>
        </w:rPr>
      </w:pPr>
    </w:p>
    <w:p w14:paraId="6CBEABD3">
      <w:pPr>
        <w:adjustRightInd w:val="0"/>
        <w:spacing w:line="360" w:lineRule="auto"/>
        <w:rPr>
          <w:rFonts w:ascii="黑体" w:hAnsi="宋体" w:eastAsia="黑体" w:cs="宋体"/>
          <w:b/>
          <w:color w:val="000000" w:themeColor="text1"/>
          <w:sz w:val="24"/>
          <w:highlight w:val="none"/>
          <w:lang w:val="zh-CN"/>
        </w:rPr>
      </w:pPr>
    </w:p>
    <w:p w14:paraId="3D55A535">
      <w:pPr>
        <w:adjustRightInd w:val="0"/>
        <w:spacing w:line="360" w:lineRule="auto"/>
        <w:rPr>
          <w:rFonts w:ascii="黑体" w:hAnsi="宋体" w:eastAsia="黑体" w:cs="宋体"/>
          <w:b/>
          <w:color w:val="000000" w:themeColor="text1"/>
          <w:sz w:val="24"/>
          <w:highlight w:val="none"/>
          <w:lang w:val="zh-CN"/>
        </w:rPr>
      </w:pPr>
    </w:p>
    <w:p w14:paraId="748D6538">
      <w:pPr>
        <w:adjustRightInd w:val="0"/>
        <w:spacing w:line="360" w:lineRule="auto"/>
        <w:rPr>
          <w:rFonts w:ascii="黑体" w:hAnsi="宋体" w:eastAsia="黑体" w:cs="宋体"/>
          <w:b/>
          <w:color w:val="000000" w:themeColor="text1"/>
          <w:sz w:val="24"/>
          <w:highlight w:val="none"/>
          <w:lang w:val="zh-CN"/>
        </w:rPr>
      </w:pPr>
    </w:p>
    <w:p w14:paraId="4CDC4639">
      <w:pPr>
        <w:spacing w:after="240" w:afterLines="100" w:line="480" w:lineRule="auto"/>
        <w:jc w:val="center"/>
        <w:outlineLvl w:val="0"/>
        <w:rPr>
          <w:rFonts w:ascii="黑体" w:hAnsi="宋体" w:eastAsia="黑体"/>
          <w:b/>
          <w:color w:val="000000" w:themeColor="text1"/>
          <w:sz w:val="32"/>
          <w:szCs w:val="32"/>
          <w:highlight w:val="none"/>
        </w:rPr>
      </w:pPr>
      <w:bookmarkStart w:id="2" w:name="_Toc29332"/>
      <w:r>
        <w:rPr>
          <w:rFonts w:hint="eastAsia" w:ascii="黑体" w:hAnsi="宋体" w:eastAsia="黑体"/>
          <w:b/>
          <w:color w:val="000000" w:themeColor="text1"/>
          <w:sz w:val="32"/>
          <w:szCs w:val="32"/>
          <w:highlight w:val="none"/>
        </w:rPr>
        <w:t>采购人：延吉市急救中心（延边紧急救援中心）</w:t>
      </w:r>
      <w:r>
        <w:rPr>
          <w:rFonts w:hint="eastAsia" w:ascii="黑体" w:hAnsi="宋体" w:eastAsia="黑体"/>
          <w:b/>
          <w:bCs/>
          <w:color w:val="000000" w:themeColor="text1"/>
          <w:sz w:val="32"/>
          <w:szCs w:val="32"/>
          <w:highlight w:val="none"/>
        </w:rPr>
        <w:t>（盖章）</w:t>
      </w:r>
      <w:bookmarkEnd w:id="2"/>
    </w:p>
    <w:p w14:paraId="7D313422">
      <w:pPr>
        <w:spacing w:after="240" w:afterLines="100" w:line="480" w:lineRule="auto"/>
        <w:jc w:val="center"/>
        <w:outlineLvl w:val="0"/>
        <w:rPr>
          <w:rFonts w:ascii="黑体" w:hAnsi="宋体" w:eastAsia="黑体"/>
          <w:b/>
          <w:color w:val="000000" w:themeColor="text1"/>
          <w:sz w:val="32"/>
          <w:szCs w:val="32"/>
          <w:highlight w:val="none"/>
        </w:rPr>
      </w:pPr>
      <w:bookmarkStart w:id="3" w:name="_Toc10641"/>
      <w:r>
        <w:rPr>
          <w:rFonts w:hint="eastAsia" w:ascii="黑体" w:hAnsi="宋体" w:eastAsia="黑体"/>
          <w:b/>
          <w:color w:val="000000" w:themeColor="text1"/>
          <w:sz w:val="32"/>
          <w:szCs w:val="32"/>
          <w:highlight w:val="none"/>
        </w:rPr>
        <w:t>采购代理机构：吉林省天一工程管理有限公司</w:t>
      </w:r>
      <w:r>
        <w:rPr>
          <w:rFonts w:hint="eastAsia" w:ascii="黑体" w:hAnsi="宋体" w:eastAsia="黑体"/>
          <w:b/>
          <w:bCs/>
          <w:color w:val="000000" w:themeColor="text1"/>
          <w:sz w:val="32"/>
          <w:szCs w:val="32"/>
          <w:highlight w:val="none"/>
        </w:rPr>
        <w:t>（盖章）</w:t>
      </w:r>
      <w:bookmarkEnd w:id="3"/>
    </w:p>
    <w:p w14:paraId="2218D63A">
      <w:pPr>
        <w:spacing w:after="240" w:afterLines="100" w:line="480" w:lineRule="auto"/>
        <w:jc w:val="center"/>
        <w:outlineLvl w:val="0"/>
        <w:rPr>
          <w:rFonts w:ascii="黑体" w:hAnsi="宋体" w:eastAsia="黑体"/>
          <w:b/>
          <w:color w:val="000000" w:themeColor="text1"/>
          <w:sz w:val="32"/>
          <w:szCs w:val="32"/>
          <w:highlight w:val="none"/>
        </w:rPr>
      </w:pPr>
      <w:bookmarkStart w:id="4" w:name="_Toc10637"/>
      <w:r>
        <w:rPr>
          <w:rFonts w:hint="eastAsia" w:ascii="黑体" w:hAnsi="宋体" w:eastAsia="黑体"/>
          <w:b/>
          <w:color w:val="000000" w:themeColor="text1"/>
          <w:sz w:val="32"/>
          <w:szCs w:val="32"/>
          <w:highlight w:val="none"/>
        </w:rPr>
        <w:t>日期：</w:t>
      </w:r>
      <w:r>
        <w:rPr>
          <w:rFonts w:hint="eastAsia" w:ascii="黑体" w:hAnsi="宋体" w:eastAsia="黑体"/>
          <w:b/>
          <w:bCs/>
          <w:color w:val="000000" w:themeColor="text1"/>
          <w:sz w:val="32"/>
          <w:szCs w:val="32"/>
          <w:highlight w:val="none"/>
        </w:rPr>
        <w:t>二</w:t>
      </w:r>
      <w:r>
        <w:rPr>
          <w:rFonts w:hint="eastAsia" w:ascii="黑体" w:hAnsi="黑体" w:eastAsia="黑体" w:cs="黑体"/>
          <w:b/>
          <w:bCs/>
          <w:color w:val="000000" w:themeColor="text1"/>
          <w:sz w:val="32"/>
          <w:szCs w:val="32"/>
          <w:highlight w:val="none"/>
        </w:rPr>
        <w:t>〇</w:t>
      </w:r>
      <w:r>
        <w:rPr>
          <w:rFonts w:hint="eastAsia" w:ascii="黑体" w:hAnsi="宋体" w:eastAsia="黑体"/>
          <w:b/>
          <w:bCs/>
          <w:color w:val="000000" w:themeColor="text1"/>
          <w:sz w:val="32"/>
          <w:szCs w:val="32"/>
          <w:highlight w:val="none"/>
        </w:rPr>
        <w:t>二</w:t>
      </w:r>
      <w:r>
        <w:rPr>
          <w:rFonts w:hint="eastAsia" w:ascii="黑体" w:hAnsi="宋体" w:eastAsia="黑体"/>
          <w:b/>
          <w:bCs/>
          <w:color w:val="000000" w:themeColor="text1"/>
          <w:sz w:val="32"/>
          <w:szCs w:val="32"/>
          <w:highlight w:val="none"/>
          <w:lang w:val="en-US" w:eastAsia="zh-CN"/>
        </w:rPr>
        <w:t>六</w:t>
      </w:r>
      <w:r>
        <w:rPr>
          <w:rFonts w:hint="eastAsia" w:ascii="黑体" w:hAnsi="宋体" w:eastAsia="黑体"/>
          <w:b/>
          <w:bCs/>
          <w:color w:val="000000" w:themeColor="text1"/>
          <w:sz w:val="32"/>
          <w:szCs w:val="32"/>
          <w:highlight w:val="none"/>
        </w:rPr>
        <w:t>年</w:t>
      </w:r>
      <w:r>
        <w:rPr>
          <w:rFonts w:hint="eastAsia" w:ascii="黑体" w:hAnsi="宋体" w:eastAsia="黑体"/>
          <w:b/>
          <w:bCs/>
          <w:color w:val="000000" w:themeColor="text1"/>
          <w:sz w:val="32"/>
          <w:szCs w:val="32"/>
          <w:highlight w:val="none"/>
          <w:lang w:val="en-US" w:eastAsia="zh-CN"/>
        </w:rPr>
        <w:t>五</w:t>
      </w:r>
      <w:r>
        <w:rPr>
          <w:rFonts w:hint="eastAsia" w:ascii="黑体" w:hAnsi="宋体" w:eastAsia="黑体"/>
          <w:b/>
          <w:bCs/>
          <w:color w:val="000000" w:themeColor="text1"/>
          <w:sz w:val="32"/>
          <w:szCs w:val="32"/>
          <w:highlight w:val="none"/>
        </w:rPr>
        <w:t>月</w:t>
      </w:r>
      <w:bookmarkEnd w:id="4"/>
    </w:p>
    <w:p w14:paraId="591F9013">
      <w:pPr>
        <w:spacing w:after="240" w:afterLines="100" w:line="480" w:lineRule="auto"/>
        <w:jc w:val="center"/>
        <w:rPr>
          <w:rFonts w:ascii="黑体" w:hAnsi="宋体" w:eastAsia="黑体"/>
          <w:b/>
          <w:color w:val="000000" w:themeColor="text1"/>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91" w:right="1191" w:bottom="1191" w:left="1191" w:header="851" w:footer="992" w:gutter="0"/>
          <w:pgNumType w:start="0"/>
          <w:cols w:space="720" w:num="1"/>
          <w:titlePg/>
          <w:docGrid w:linePitch="312" w:charSpace="0"/>
        </w:sectPr>
      </w:pPr>
    </w:p>
    <w:sdt>
      <w:sdtPr>
        <w:rPr>
          <w:rFonts w:ascii="宋体" w:hAnsi="宋体"/>
          <w:b/>
          <w:bCs/>
          <w:color w:val="000000" w:themeColor="text1"/>
          <w:sz w:val="44"/>
          <w:szCs w:val="44"/>
          <w:highlight w:val="none"/>
        </w:rPr>
        <w:id w:val="147469039"/>
        <w:docPartObj>
          <w:docPartGallery w:val="Table of Contents"/>
          <w:docPartUnique/>
        </w:docPartObj>
      </w:sdtPr>
      <w:sdtEndPr>
        <w:rPr>
          <w:rFonts w:ascii="宋体" w:hAnsi="宋体"/>
          <w:b/>
          <w:bCs/>
          <w:color w:val="000000" w:themeColor="text1"/>
          <w:sz w:val="21"/>
          <w:szCs w:val="48"/>
          <w:highlight w:val="none"/>
        </w:rPr>
      </w:sdtEndPr>
      <w:sdtContent>
        <w:p w14:paraId="6388DC3D">
          <w:pPr>
            <w:jc w:val="center"/>
            <w:rPr>
              <w:b/>
              <w:bCs/>
              <w:color w:val="000000" w:themeColor="text1"/>
              <w:sz w:val="44"/>
              <w:szCs w:val="44"/>
              <w:highlight w:val="none"/>
            </w:rPr>
          </w:pPr>
          <w:r>
            <w:rPr>
              <w:rFonts w:ascii="宋体" w:hAnsi="宋体"/>
              <w:b/>
              <w:bCs/>
              <w:color w:val="000000" w:themeColor="text1"/>
              <w:sz w:val="44"/>
              <w:szCs w:val="44"/>
              <w:highlight w:val="none"/>
            </w:rPr>
            <w:t>目录</w:t>
          </w:r>
        </w:p>
        <w:p w14:paraId="6D15C098">
          <w:pPr>
            <w:pStyle w:val="115"/>
            <w:tabs>
              <w:tab w:val="right" w:leader="dot" w:pos="9638"/>
            </w:tabs>
            <w:rPr>
              <w:color w:val="000000" w:themeColor="text1"/>
              <w:highlight w:val="none"/>
            </w:rPr>
          </w:pPr>
          <w:r>
            <w:rPr>
              <w:rFonts w:ascii="宋体" w:hAnsi="宋体"/>
              <w:color w:val="000000" w:themeColor="text1"/>
              <w:sz w:val="48"/>
              <w:szCs w:val="48"/>
              <w:highlight w:val="none"/>
            </w:rPr>
            <w:fldChar w:fldCharType="begin"/>
          </w:r>
          <w:r>
            <w:rPr>
              <w:rFonts w:ascii="宋体" w:hAnsi="宋体"/>
              <w:color w:val="000000" w:themeColor="text1"/>
              <w:sz w:val="48"/>
              <w:szCs w:val="48"/>
              <w:highlight w:val="none"/>
            </w:rPr>
            <w:instrText xml:space="preserve">TOC \o "1-1" \h \u </w:instrText>
          </w:r>
          <w:r>
            <w:rPr>
              <w:rFonts w:ascii="宋体" w:hAnsi="宋体"/>
              <w:color w:val="000000" w:themeColor="text1"/>
              <w:sz w:val="48"/>
              <w:szCs w:val="48"/>
              <w:highlight w:val="none"/>
            </w:rPr>
            <w:fldChar w:fldCharType="separate"/>
          </w:r>
        </w:p>
        <w:p w14:paraId="43C37DD3">
          <w:pPr>
            <w:pStyle w:val="115"/>
            <w:tabs>
              <w:tab w:val="right" w:leader="dot" w:pos="9638"/>
            </w:tabs>
            <w:spacing w:line="360" w:lineRule="auto"/>
            <w:rPr>
              <w:b/>
              <w:bCs/>
              <w:color w:val="000000" w:themeColor="text1"/>
              <w:sz w:val="28"/>
              <w:szCs w:val="28"/>
              <w:highlight w:val="none"/>
            </w:rPr>
          </w:pPr>
          <w:r>
            <w:rPr>
              <w:highlight w:val="none"/>
            </w:rPr>
            <w:fldChar w:fldCharType="begin"/>
          </w:r>
          <w:r>
            <w:rPr>
              <w:highlight w:val="none"/>
            </w:rPr>
            <w:instrText xml:space="preserve"> HYPERLINK \l "_Toc30832" </w:instrText>
          </w:r>
          <w:r>
            <w:rPr>
              <w:highlight w:val="none"/>
            </w:rPr>
            <w:fldChar w:fldCharType="separate"/>
          </w:r>
          <w:r>
            <w:rPr>
              <w:rFonts w:hint="eastAsia"/>
              <w:b/>
              <w:bCs/>
              <w:color w:val="000000" w:themeColor="text1"/>
              <w:sz w:val="28"/>
              <w:szCs w:val="28"/>
              <w:highlight w:val="none"/>
            </w:rPr>
            <w:t>第一章 竞争性磋商公告</w:t>
          </w:r>
          <w:r>
            <w:rPr>
              <w:b/>
              <w:bCs/>
              <w:color w:val="000000" w:themeColor="text1"/>
              <w:sz w:val="28"/>
              <w:szCs w:val="28"/>
              <w:highlight w:val="none"/>
            </w:rPr>
            <w:tab/>
          </w:r>
          <w:r>
            <w:rPr>
              <w:b/>
              <w:bCs/>
              <w:color w:val="000000" w:themeColor="text1"/>
              <w:sz w:val="28"/>
              <w:szCs w:val="28"/>
              <w:highlight w:val="none"/>
            </w:rPr>
            <w:fldChar w:fldCharType="begin"/>
          </w:r>
          <w:r>
            <w:rPr>
              <w:b/>
              <w:bCs/>
              <w:color w:val="000000" w:themeColor="text1"/>
              <w:sz w:val="28"/>
              <w:szCs w:val="28"/>
              <w:highlight w:val="none"/>
            </w:rPr>
            <w:instrText xml:space="preserve"> PAGEREF _Toc30832 \h </w:instrText>
          </w:r>
          <w:r>
            <w:rPr>
              <w:b/>
              <w:bCs/>
              <w:color w:val="000000" w:themeColor="text1"/>
              <w:sz w:val="28"/>
              <w:szCs w:val="28"/>
              <w:highlight w:val="none"/>
            </w:rPr>
            <w:fldChar w:fldCharType="separate"/>
          </w:r>
          <w:r>
            <w:rPr>
              <w:b/>
              <w:bCs/>
              <w:color w:val="000000" w:themeColor="text1"/>
              <w:sz w:val="28"/>
              <w:szCs w:val="28"/>
              <w:highlight w:val="none"/>
            </w:rPr>
            <w:t>1</w:t>
          </w:r>
          <w:r>
            <w:rPr>
              <w:b/>
              <w:bCs/>
              <w:color w:val="000000" w:themeColor="text1"/>
              <w:sz w:val="28"/>
              <w:szCs w:val="28"/>
              <w:highlight w:val="none"/>
            </w:rPr>
            <w:fldChar w:fldCharType="end"/>
          </w:r>
          <w:r>
            <w:rPr>
              <w:b/>
              <w:bCs/>
              <w:color w:val="000000" w:themeColor="text1"/>
              <w:sz w:val="28"/>
              <w:szCs w:val="28"/>
              <w:highlight w:val="none"/>
            </w:rPr>
            <w:fldChar w:fldCharType="end"/>
          </w:r>
        </w:p>
        <w:p w14:paraId="0D1D184D">
          <w:pPr>
            <w:pStyle w:val="115"/>
            <w:tabs>
              <w:tab w:val="right" w:leader="dot" w:pos="9638"/>
            </w:tabs>
            <w:spacing w:line="360" w:lineRule="auto"/>
            <w:rPr>
              <w:b/>
              <w:bCs/>
              <w:color w:val="000000" w:themeColor="text1"/>
              <w:sz w:val="28"/>
              <w:szCs w:val="28"/>
              <w:highlight w:val="none"/>
            </w:rPr>
          </w:pPr>
          <w:r>
            <w:rPr>
              <w:highlight w:val="none"/>
            </w:rPr>
            <w:fldChar w:fldCharType="begin"/>
          </w:r>
          <w:r>
            <w:rPr>
              <w:highlight w:val="none"/>
            </w:rPr>
            <w:instrText xml:space="preserve"> HYPERLINK \l "_Toc9784" </w:instrText>
          </w:r>
          <w:r>
            <w:rPr>
              <w:highlight w:val="none"/>
            </w:rPr>
            <w:fldChar w:fldCharType="separate"/>
          </w:r>
          <w:r>
            <w:rPr>
              <w:rFonts w:hint="eastAsia" w:ascii="宋体" w:hAnsi="宋体" w:cs="宋体"/>
              <w:b/>
              <w:bCs/>
              <w:color w:val="000000" w:themeColor="text1"/>
              <w:kern w:val="2"/>
              <w:sz w:val="28"/>
              <w:szCs w:val="28"/>
              <w:highlight w:val="none"/>
            </w:rPr>
            <w:t xml:space="preserve">第二章 </w:t>
          </w:r>
          <w:r>
            <w:rPr>
              <w:rFonts w:hint="eastAsia"/>
              <w:b/>
              <w:bCs/>
              <w:color w:val="000000" w:themeColor="text1"/>
              <w:sz w:val="28"/>
              <w:szCs w:val="28"/>
              <w:highlight w:val="none"/>
            </w:rPr>
            <w:t>供应商须知</w:t>
          </w:r>
          <w:r>
            <w:rPr>
              <w:b/>
              <w:bCs/>
              <w:color w:val="000000" w:themeColor="text1"/>
              <w:sz w:val="28"/>
              <w:szCs w:val="28"/>
              <w:highlight w:val="none"/>
            </w:rPr>
            <w:tab/>
          </w:r>
          <w:r>
            <w:rPr>
              <w:b/>
              <w:bCs/>
              <w:color w:val="000000" w:themeColor="text1"/>
              <w:sz w:val="28"/>
              <w:szCs w:val="28"/>
              <w:highlight w:val="none"/>
            </w:rPr>
            <w:fldChar w:fldCharType="begin"/>
          </w:r>
          <w:r>
            <w:rPr>
              <w:b/>
              <w:bCs/>
              <w:color w:val="000000" w:themeColor="text1"/>
              <w:sz w:val="28"/>
              <w:szCs w:val="28"/>
              <w:highlight w:val="none"/>
            </w:rPr>
            <w:instrText xml:space="preserve"> PAGEREF _Toc9784 \h </w:instrText>
          </w:r>
          <w:r>
            <w:rPr>
              <w:b/>
              <w:bCs/>
              <w:color w:val="000000" w:themeColor="text1"/>
              <w:sz w:val="28"/>
              <w:szCs w:val="28"/>
              <w:highlight w:val="none"/>
            </w:rPr>
            <w:fldChar w:fldCharType="separate"/>
          </w:r>
          <w:r>
            <w:rPr>
              <w:b/>
              <w:bCs/>
              <w:color w:val="000000" w:themeColor="text1"/>
              <w:sz w:val="28"/>
              <w:szCs w:val="28"/>
              <w:highlight w:val="none"/>
            </w:rPr>
            <w:t>5</w:t>
          </w:r>
          <w:r>
            <w:rPr>
              <w:b/>
              <w:bCs/>
              <w:color w:val="000000" w:themeColor="text1"/>
              <w:sz w:val="28"/>
              <w:szCs w:val="28"/>
              <w:highlight w:val="none"/>
            </w:rPr>
            <w:fldChar w:fldCharType="end"/>
          </w:r>
          <w:r>
            <w:rPr>
              <w:b/>
              <w:bCs/>
              <w:color w:val="000000" w:themeColor="text1"/>
              <w:sz w:val="28"/>
              <w:szCs w:val="28"/>
              <w:highlight w:val="none"/>
            </w:rPr>
            <w:fldChar w:fldCharType="end"/>
          </w:r>
        </w:p>
        <w:p w14:paraId="12A8D952">
          <w:pPr>
            <w:pStyle w:val="115"/>
            <w:tabs>
              <w:tab w:val="right" w:leader="dot" w:pos="9638"/>
            </w:tabs>
            <w:spacing w:line="360" w:lineRule="auto"/>
            <w:rPr>
              <w:b/>
              <w:bCs/>
              <w:color w:val="000000" w:themeColor="text1"/>
              <w:sz w:val="28"/>
              <w:szCs w:val="28"/>
              <w:highlight w:val="none"/>
            </w:rPr>
          </w:pPr>
          <w:r>
            <w:rPr>
              <w:highlight w:val="none"/>
            </w:rPr>
            <w:fldChar w:fldCharType="begin"/>
          </w:r>
          <w:r>
            <w:rPr>
              <w:highlight w:val="none"/>
            </w:rPr>
            <w:instrText xml:space="preserve"> HYPERLINK \l "_Toc30908" </w:instrText>
          </w:r>
          <w:r>
            <w:rPr>
              <w:highlight w:val="none"/>
            </w:rPr>
            <w:fldChar w:fldCharType="separate"/>
          </w:r>
          <w:r>
            <w:rPr>
              <w:rFonts w:hint="eastAsia" w:ascii="宋体" w:hAnsi="宋体"/>
              <w:b/>
              <w:bCs/>
              <w:color w:val="000000" w:themeColor="text1"/>
              <w:sz w:val="28"/>
              <w:szCs w:val="28"/>
              <w:highlight w:val="none"/>
            </w:rPr>
            <w:t xml:space="preserve">第三章 </w:t>
          </w:r>
          <w:r>
            <w:rPr>
              <w:rFonts w:hint="eastAsia"/>
              <w:b/>
              <w:bCs/>
              <w:color w:val="000000" w:themeColor="text1"/>
              <w:sz w:val="28"/>
              <w:szCs w:val="28"/>
              <w:highlight w:val="none"/>
            </w:rPr>
            <w:t>评审办法（综合评分法）</w:t>
          </w:r>
          <w:r>
            <w:rPr>
              <w:b/>
              <w:bCs/>
              <w:color w:val="000000" w:themeColor="text1"/>
              <w:sz w:val="28"/>
              <w:szCs w:val="28"/>
              <w:highlight w:val="none"/>
            </w:rPr>
            <w:tab/>
          </w:r>
          <w:r>
            <w:rPr>
              <w:b/>
              <w:bCs/>
              <w:color w:val="000000" w:themeColor="text1"/>
              <w:sz w:val="28"/>
              <w:szCs w:val="28"/>
              <w:highlight w:val="none"/>
            </w:rPr>
            <w:fldChar w:fldCharType="begin"/>
          </w:r>
          <w:r>
            <w:rPr>
              <w:b/>
              <w:bCs/>
              <w:color w:val="000000" w:themeColor="text1"/>
              <w:sz w:val="28"/>
              <w:szCs w:val="28"/>
              <w:highlight w:val="none"/>
            </w:rPr>
            <w:instrText xml:space="preserve"> PAGEREF _Toc30908 \h </w:instrText>
          </w:r>
          <w:r>
            <w:rPr>
              <w:b/>
              <w:bCs/>
              <w:color w:val="000000" w:themeColor="text1"/>
              <w:sz w:val="28"/>
              <w:szCs w:val="28"/>
              <w:highlight w:val="none"/>
            </w:rPr>
            <w:fldChar w:fldCharType="separate"/>
          </w:r>
          <w:r>
            <w:rPr>
              <w:b/>
              <w:bCs/>
              <w:color w:val="000000" w:themeColor="text1"/>
              <w:sz w:val="28"/>
              <w:szCs w:val="28"/>
              <w:highlight w:val="none"/>
            </w:rPr>
            <w:t>23</w:t>
          </w:r>
          <w:r>
            <w:rPr>
              <w:b/>
              <w:bCs/>
              <w:color w:val="000000" w:themeColor="text1"/>
              <w:sz w:val="28"/>
              <w:szCs w:val="28"/>
              <w:highlight w:val="none"/>
            </w:rPr>
            <w:fldChar w:fldCharType="end"/>
          </w:r>
          <w:r>
            <w:rPr>
              <w:b/>
              <w:bCs/>
              <w:color w:val="000000" w:themeColor="text1"/>
              <w:sz w:val="28"/>
              <w:szCs w:val="28"/>
              <w:highlight w:val="none"/>
            </w:rPr>
            <w:fldChar w:fldCharType="end"/>
          </w:r>
        </w:p>
        <w:p w14:paraId="771DB6FF">
          <w:pPr>
            <w:pStyle w:val="115"/>
            <w:tabs>
              <w:tab w:val="right" w:leader="dot" w:pos="9638"/>
            </w:tabs>
            <w:spacing w:line="360" w:lineRule="auto"/>
            <w:rPr>
              <w:b/>
              <w:bCs/>
              <w:color w:val="000000" w:themeColor="text1"/>
              <w:sz w:val="28"/>
              <w:szCs w:val="28"/>
              <w:highlight w:val="none"/>
            </w:rPr>
          </w:pPr>
          <w:r>
            <w:rPr>
              <w:highlight w:val="none"/>
            </w:rPr>
            <w:fldChar w:fldCharType="begin"/>
          </w:r>
          <w:r>
            <w:rPr>
              <w:highlight w:val="none"/>
            </w:rPr>
            <w:instrText xml:space="preserve"> HYPERLINK \l "_Toc5702" </w:instrText>
          </w:r>
          <w:r>
            <w:rPr>
              <w:highlight w:val="none"/>
            </w:rPr>
            <w:fldChar w:fldCharType="separate"/>
          </w:r>
          <w:r>
            <w:rPr>
              <w:rFonts w:hint="eastAsia"/>
              <w:b/>
              <w:bCs/>
              <w:color w:val="000000" w:themeColor="text1"/>
              <w:sz w:val="28"/>
              <w:szCs w:val="28"/>
              <w:highlight w:val="none"/>
            </w:rPr>
            <w:t>第四章 合同条款及格式</w:t>
          </w:r>
          <w:r>
            <w:rPr>
              <w:b/>
              <w:bCs/>
              <w:color w:val="000000" w:themeColor="text1"/>
              <w:sz w:val="28"/>
              <w:szCs w:val="28"/>
              <w:highlight w:val="none"/>
            </w:rPr>
            <w:tab/>
          </w:r>
          <w:r>
            <w:rPr>
              <w:b/>
              <w:bCs/>
              <w:color w:val="000000" w:themeColor="text1"/>
              <w:sz w:val="28"/>
              <w:szCs w:val="28"/>
              <w:highlight w:val="none"/>
            </w:rPr>
            <w:fldChar w:fldCharType="begin"/>
          </w:r>
          <w:r>
            <w:rPr>
              <w:b/>
              <w:bCs/>
              <w:color w:val="000000" w:themeColor="text1"/>
              <w:sz w:val="28"/>
              <w:szCs w:val="28"/>
              <w:highlight w:val="none"/>
            </w:rPr>
            <w:instrText xml:space="preserve"> PAGEREF _Toc5702 \h </w:instrText>
          </w:r>
          <w:r>
            <w:rPr>
              <w:b/>
              <w:bCs/>
              <w:color w:val="000000" w:themeColor="text1"/>
              <w:sz w:val="28"/>
              <w:szCs w:val="28"/>
              <w:highlight w:val="none"/>
            </w:rPr>
            <w:fldChar w:fldCharType="separate"/>
          </w:r>
          <w:r>
            <w:rPr>
              <w:b/>
              <w:bCs/>
              <w:color w:val="000000" w:themeColor="text1"/>
              <w:sz w:val="28"/>
              <w:szCs w:val="28"/>
              <w:highlight w:val="none"/>
            </w:rPr>
            <w:t>31</w:t>
          </w:r>
          <w:r>
            <w:rPr>
              <w:b/>
              <w:bCs/>
              <w:color w:val="000000" w:themeColor="text1"/>
              <w:sz w:val="28"/>
              <w:szCs w:val="28"/>
              <w:highlight w:val="none"/>
            </w:rPr>
            <w:fldChar w:fldCharType="end"/>
          </w:r>
          <w:r>
            <w:rPr>
              <w:b/>
              <w:bCs/>
              <w:color w:val="000000" w:themeColor="text1"/>
              <w:sz w:val="28"/>
              <w:szCs w:val="28"/>
              <w:highlight w:val="none"/>
            </w:rPr>
            <w:fldChar w:fldCharType="end"/>
          </w:r>
        </w:p>
        <w:p w14:paraId="67D45629">
          <w:pPr>
            <w:pStyle w:val="115"/>
            <w:tabs>
              <w:tab w:val="right" w:leader="dot" w:pos="9638"/>
            </w:tabs>
            <w:spacing w:line="360" w:lineRule="auto"/>
            <w:rPr>
              <w:b/>
              <w:bCs/>
              <w:color w:val="000000" w:themeColor="text1"/>
              <w:sz w:val="28"/>
              <w:szCs w:val="28"/>
              <w:highlight w:val="none"/>
            </w:rPr>
          </w:pPr>
          <w:r>
            <w:rPr>
              <w:highlight w:val="none"/>
            </w:rPr>
            <w:fldChar w:fldCharType="begin"/>
          </w:r>
          <w:r>
            <w:rPr>
              <w:highlight w:val="none"/>
            </w:rPr>
            <w:instrText xml:space="preserve"> HYPERLINK \l "_Toc32019" </w:instrText>
          </w:r>
          <w:r>
            <w:rPr>
              <w:highlight w:val="none"/>
            </w:rPr>
            <w:fldChar w:fldCharType="separate"/>
          </w:r>
          <w:r>
            <w:rPr>
              <w:rFonts w:hint="eastAsia"/>
              <w:b/>
              <w:bCs/>
              <w:color w:val="000000" w:themeColor="text1"/>
              <w:sz w:val="28"/>
              <w:szCs w:val="28"/>
              <w:highlight w:val="none"/>
            </w:rPr>
            <w:t>第五章 采购需求</w:t>
          </w:r>
          <w:r>
            <w:rPr>
              <w:b/>
              <w:bCs/>
              <w:color w:val="000000" w:themeColor="text1"/>
              <w:sz w:val="28"/>
              <w:szCs w:val="28"/>
              <w:highlight w:val="none"/>
            </w:rPr>
            <w:tab/>
          </w:r>
          <w:r>
            <w:rPr>
              <w:b/>
              <w:bCs/>
              <w:color w:val="000000" w:themeColor="text1"/>
              <w:sz w:val="28"/>
              <w:szCs w:val="28"/>
              <w:highlight w:val="none"/>
            </w:rPr>
            <w:fldChar w:fldCharType="begin"/>
          </w:r>
          <w:r>
            <w:rPr>
              <w:b/>
              <w:bCs/>
              <w:color w:val="000000" w:themeColor="text1"/>
              <w:sz w:val="28"/>
              <w:szCs w:val="28"/>
              <w:highlight w:val="none"/>
            </w:rPr>
            <w:instrText xml:space="preserve"> PAGEREF _Toc32019 \h </w:instrText>
          </w:r>
          <w:r>
            <w:rPr>
              <w:b/>
              <w:bCs/>
              <w:color w:val="000000" w:themeColor="text1"/>
              <w:sz w:val="28"/>
              <w:szCs w:val="28"/>
              <w:highlight w:val="none"/>
            </w:rPr>
            <w:fldChar w:fldCharType="separate"/>
          </w:r>
          <w:r>
            <w:rPr>
              <w:b/>
              <w:bCs/>
              <w:color w:val="000000" w:themeColor="text1"/>
              <w:sz w:val="28"/>
              <w:szCs w:val="28"/>
              <w:highlight w:val="none"/>
            </w:rPr>
            <w:t>36</w:t>
          </w:r>
          <w:r>
            <w:rPr>
              <w:b/>
              <w:bCs/>
              <w:color w:val="000000" w:themeColor="text1"/>
              <w:sz w:val="28"/>
              <w:szCs w:val="28"/>
              <w:highlight w:val="none"/>
            </w:rPr>
            <w:fldChar w:fldCharType="end"/>
          </w:r>
          <w:r>
            <w:rPr>
              <w:b/>
              <w:bCs/>
              <w:color w:val="000000" w:themeColor="text1"/>
              <w:sz w:val="28"/>
              <w:szCs w:val="28"/>
              <w:highlight w:val="none"/>
            </w:rPr>
            <w:fldChar w:fldCharType="end"/>
          </w:r>
        </w:p>
        <w:p w14:paraId="1E976EBD">
          <w:pPr>
            <w:pStyle w:val="115"/>
            <w:tabs>
              <w:tab w:val="right" w:leader="dot" w:pos="9638"/>
            </w:tabs>
            <w:spacing w:line="360" w:lineRule="auto"/>
            <w:rPr>
              <w:b/>
              <w:bCs/>
              <w:color w:val="000000" w:themeColor="text1"/>
              <w:sz w:val="28"/>
              <w:szCs w:val="28"/>
              <w:highlight w:val="none"/>
            </w:rPr>
          </w:pPr>
          <w:r>
            <w:rPr>
              <w:highlight w:val="none"/>
            </w:rPr>
            <w:fldChar w:fldCharType="begin"/>
          </w:r>
          <w:r>
            <w:rPr>
              <w:highlight w:val="none"/>
            </w:rPr>
            <w:instrText xml:space="preserve"> HYPERLINK \l "_Toc589" </w:instrText>
          </w:r>
          <w:r>
            <w:rPr>
              <w:highlight w:val="none"/>
            </w:rPr>
            <w:fldChar w:fldCharType="separate"/>
          </w:r>
          <w:r>
            <w:rPr>
              <w:rFonts w:hint="eastAsia"/>
              <w:b/>
              <w:bCs/>
              <w:color w:val="000000" w:themeColor="text1"/>
              <w:sz w:val="28"/>
              <w:szCs w:val="28"/>
              <w:highlight w:val="none"/>
            </w:rPr>
            <w:t>第六章 响应文件格式</w:t>
          </w:r>
          <w:r>
            <w:rPr>
              <w:b/>
              <w:bCs/>
              <w:color w:val="000000" w:themeColor="text1"/>
              <w:sz w:val="28"/>
              <w:szCs w:val="28"/>
              <w:highlight w:val="none"/>
            </w:rPr>
            <w:tab/>
          </w:r>
          <w:r>
            <w:rPr>
              <w:b/>
              <w:bCs/>
              <w:color w:val="000000" w:themeColor="text1"/>
              <w:sz w:val="28"/>
              <w:szCs w:val="28"/>
              <w:highlight w:val="none"/>
            </w:rPr>
            <w:fldChar w:fldCharType="begin"/>
          </w:r>
          <w:r>
            <w:rPr>
              <w:b/>
              <w:bCs/>
              <w:color w:val="000000" w:themeColor="text1"/>
              <w:sz w:val="28"/>
              <w:szCs w:val="28"/>
              <w:highlight w:val="none"/>
            </w:rPr>
            <w:instrText xml:space="preserve"> PAGEREF _Toc589 \h </w:instrText>
          </w:r>
          <w:r>
            <w:rPr>
              <w:b/>
              <w:bCs/>
              <w:color w:val="000000" w:themeColor="text1"/>
              <w:sz w:val="28"/>
              <w:szCs w:val="28"/>
              <w:highlight w:val="none"/>
            </w:rPr>
            <w:fldChar w:fldCharType="separate"/>
          </w:r>
          <w:r>
            <w:rPr>
              <w:b/>
              <w:bCs/>
              <w:color w:val="000000" w:themeColor="text1"/>
              <w:sz w:val="28"/>
              <w:szCs w:val="28"/>
              <w:highlight w:val="none"/>
            </w:rPr>
            <w:t>38</w:t>
          </w:r>
          <w:r>
            <w:rPr>
              <w:b/>
              <w:bCs/>
              <w:color w:val="000000" w:themeColor="text1"/>
              <w:sz w:val="28"/>
              <w:szCs w:val="28"/>
              <w:highlight w:val="none"/>
            </w:rPr>
            <w:fldChar w:fldCharType="end"/>
          </w:r>
          <w:r>
            <w:rPr>
              <w:b/>
              <w:bCs/>
              <w:color w:val="000000" w:themeColor="text1"/>
              <w:sz w:val="28"/>
              <w:szCs w:val="28"/>
              <w:highlight w:val="none"/>
            </w:rPr>
            <w:fldChar w:fldCharType="end"/>
          </w:r>
        </w:p>
        <w:p w14:paraId="7477F647">
          <w:pPr>
            <w:jc w:val="center"/>
            <w:rPr>
              <w:rFonts w:ascii="宋体" w:hAnsi="宋体"/>
              <w:color w:val="000000" w:themeColor="text1"/>
              <w:szCs w:val="48"/>
              <w:highlight w:val="none"/>
            </w:rPr>
          </w:pPr>
          <w:r>
            <w:rPr>
              <w:rFonts w:ascii="宋体" w:hAnsi="宋体"/>
              <w:color w:val="000000" w:themeColor="text1"/>
              <w:szCs w:val="48"/>
              <w:highlight w:val="none"/>
            </w:rPr>
            <w:fldChar w:fldCharType="end"/>
          </w:r>
        </w:p>
      </w:sdtContent>
    </w:sdt>
    <w:p w14:paraId="3FE4EAE3">
      <w:pPr>
        <w:pStyle w:val="4"/>
        <w:rPr>
          <w:color w:val="000000" w:themeColor="text1"/>
          <w:highlight w:val="none"/>
        </w:rPr>
      </w:pPr>
    </w:p>
    <w:p w14:paraId="6DFE2DAC">
      <w:pPr>
        <w:jc w:val="center"/>
        <w:rPr>
          <w:rFonts w:ascii="宋体" w:hAnsi="宋体"/>
          <w:color w:val="000000" w:themeColor="text1"/>
          <w:sz w:val="48"/>
          <w:szCs w:val="48"/>
          <w:highlight w:val="none"/>
        </w:rPr>
      </w:pPr>
    </w:p>
    <w:p w14:paraId="3D82D63C">
      <w:pPr>
        <w:jc w:val="center"/>
        <w:rPr>
          <w:rFonts w:ascii="宋体" w:hAnsi="宋体"/>
          <w:color w:val="000000" w:themeColor="text1"/>
          <w:sz w:val="48"/>
          <w:szCs w:val="48"/>
          <w:highlight w:val="none"/>
        </w:rPr>
      </w:pPr>
    </w:p>
    <w:p w14:paraId="4A6DC89F">
      <w:pPr>
        <w:jc w:val="center"/>
        <w:rPr>
          <w:rFonts w:ascii="宋体" w:hAnsi="宋体"/>
          <w:color w:val="000000" w:themeColor="text1"/>
          <w:sz w:val="48"/>
          <w:szCs w:val="48"/>
          <w:highlight w:val="none"/>
        </w:rPr>
      </w:pPr>
    </w:p>
    <w:p w14:paraId="3F55BAFC">
      <w:pPr>
        <w:jc w:val="center"/>
        <w:rPr>
          <w:rFonts w:ascii="宋体" w:hAnsi="宋体"/>
          <w:color w:val="000000" w:themeColor="text1"/>
          <w:sz w:val="48"/>
          <w:szCs w:val="48"/>
          <w:highlight w:val="none"/>
        </w:rPr>
      </w:pPr>
    </w:p>
    <w:p w14:paraId="065F374B">
      <w:pPr>
        <w:jc w:val="center"/>
        <w:rPr>
          <w:rFonts w:ascii="宋体" w:hAnsi="宋体"/>
          <w:color w:val="000000" w:themeColor="text1"/>
          <w:sz w:val="48"/>
          <w:szCs w:val="48"/>
          <w:highlight w:val="none"/>
        </w:rPr>
      </w:pPr>
    </w:p>
    <w:p w14:paraId="49384BD6">
      <w:pPr>
        <w:jc w:val="center"/>
        <w:rPr>
          <w:rFonts w:ascii="宋体" w:hAnsi="宋体"/>
          <w:color w:val="000000" w:themeColor="text1"/>
          <w:sz w:val="48"/>
          <w:szCs w:val="48"/>
          <w:highlight w:val="none"/>
        </w:rPr>
      </w:pPr>
    </w:p>
    <w:p w14:paraId="7C5A3F3D">
      <w:pPr>
        <w:jc w:val="center"/>
        <w:rPr>
          <w:rFonts w:ascii="宋体" w:hAnsi="宋体"/>
          <w:color w:val="000000" w:themeColor="text1"/>
          <w:sz w:val="48"/>
          <w:szCs w:val="48"/>
          <w:highlight w:val="none"/>
        </w:rPr>
      </w:pPr>
    </w:p>
    <w:p w14:paraId="5456D53F">
      <w:pPr>
        <w:jc w:val="center"/>
        <w:rPr>
          <w:rFonts w:ascii="宋体" w:hAnsi="宋体"/>
          <w:color w:val="000000" w:themeColor="text1"/>
          <w:sz w:val="48"/>
          <w:szCs w:val="48"/>
          <w:highlight w:val="none"/>
        </w:rPr>
      </w:pPr>
    </w:p>
    <w:p w14:paraId="6FE18757">
      <w:pPr>
        <w:jc w:val="center"/>
        <w:rPr>
          <w:rFonts w:ascii="宋体" w:hAnsi="宋体"/>
          <w:color w:val="000000" w:themeColor="text1"/>
          <w:sz w:val="48"/>
          <w:szCs w:val="48"/>
          <w:highlight w:val="none"/>
        </w:rPr>
      </w:pPr>
    </w:p>
    <w:p w14:paraId="44EE4E4A">
      <w:pPr>
        <w:jc w:val="center"/>
        <w:rPr>
          <w:rFonts w:ascii="宋体" w:hAnsi="宋体"/>
          <w:color w:val="000000" w:themeColor="text1"/>
          <w:sz w:val="48"/>
          <w:szCs w:val="48"/>
          <w:highlight w:val="none"/>
        </w:rPr>
      </w:pPr>
    </w:p>
    <w:p w14:paraId="47C09093">
      <w:pPr>
        <w:jc w:val="center"/>
        <w:rPr>
          <w:rFonts w:ascii="宋体" w:hAnsi="宋体"/>
          <w:color w:val="000000" w:themeColor="text1"/>
          <w:sz w:val="48"/>
          <w:szCs w:val="48"/>
          <w:highlight w:val="none"/>
        </w:rPr>
      </w:pPr>
    </w:p>
    <w:p w14:paraId="5869D2EE">
      <w:pPr>
        <w:jc w:val="center"/>
        <w:rPr>
          <w:rFonts w:ascii="宋体" w:hAnsi="宋体"/>
          <w:color w:val="000000" w:themeColor="text1"/>
          <w:sz w:val="48"/>
          <w:szCs w:val="48"/>
          <w:highlight w:val="none"/>
        </w:rPr>
      </w:pPr>
    </w:p>
    <w:p w14:paraId="575CFFE1">
      <w:pPr>
        <w:jc w:val="center"/>
        <w:rPr>
          <w:rFonts w:ascii="宋体" w:hAnsi="宋体"/>
          <w:color w:val="000000" w:themeColor="text1"/>
          <w:sz w:val="48"/>
          <w:szCs w:val="48"/>
          <w:highlight w:val="none"/>
        </w:rPr>
      </w:pPr>
    </w:p>
    <w:p w14:paraId="3E04F16E">
      <w:pPr>
        <w:rPr>
          <w:rFonts w:ascii="宋体" w:hAnsi="宋体"/>
          <w:color w:val="000000" w:themeColor="text1"/>
          <w:sz w:val="48"/>
          <w:szCs w:val="48"/>
          <w:highlight w:val="none"/>
        </w:rPr>
      </w:pPr>
    </w:p>
    <w:p w14:paraId="46AE6151">
      <w:pPr>
        <w:spacing w:line="400" w:lineRule="exact"/>
        <w:jc w:val="center"/>
        <w:rPr>
          <w:rFonts w:ascii="宋体" w:hAnsi="宋体" w:cs="宋体"/>
          <w:b/>
          <w:bCs/>
          <w:color w:val="000000" w:themeColor="text1"/>
          <w:sz w:val="36"/>
          <w:szCs w:val="36"/>
          <w:highlight w:val="none"/>
        </w:rPr>
        <w:sectPr>
          <w:footerReference r:id="rId9" w:type="default"/>
          <w:pgSz w:w="11906" w:h="16838"/>
          <w:pgMar w:top="1134" w:right="1134" w:bottom="1134" w:left="1134" w:header="851" w:footer="851" w:gutter="0"/>
          <w:pgNumType w:start="1"/>
          <w:cols w:space="720" w:num="1"/>
          <w:docGrid w:linePitch="312" w:charSpace="0"/>
        </w:sectPr>
      </w:pPr>
      <w:bookmarkStart w:id="5" w:name="_Toc15493"/>
    </w:p>
    <w:p w14:paraId="775CA7BD">
      <w:pPr>
        <w:pStyle w:val="47"/>
        <w:rPr>
          <w:color w:val="000000" w:themeColor="text1"/>
          <w:highlight w:val="none"/>
        </w:rPr>
      </w:pPr>
    </w:p>
    <w:bookmarkEnd w:id="5"/>
    <w:p w14:paraId="456D56A4">
      <w:pPr>
        <w:pStyle w:val="3"/>
        <w:numPr>
          <w:ilvl w:val="0"/>
          <w:numId w:val="0"/>
        </w:numPr>
        <w:ind w:left="402"/>
        <w:rPr>
          <w:color w:val="000000" w:themeColor="text1"/>
          <w:highlight w:val="none"/>
        </w:rPr>
      </w:pPr>
      <w:bookmarkStart w:id="6" w:name="_Toc30832"/>
      <w:r>
        <w:rPr>
          <w:rFonts w:hint="eastAsia"/>
          <w:color w:val="000000" w:themeColor="text1"/>
          <w:highlight w:val="none"/>
          <w:lang w:eastAsia="zh-CN"/>
        </w:rPr>
        <w:t>2025年中型监护型救护车采购项目（二次）</w:t>
      </w:r>
      <w:r>
        <w:rPr>
          <w:rFonts w:hint="eastAsia"/>
          <w:color w:val="000000" w:themeColor="text1"/>
          <w:highlight w:val="none"/>
        </w:rPr>
        <w:t>竞争性磋商公告</w:t>
      </w:r>
      <w:bookmarkEnd w:id="6"/>
    </w:p>
    <w:p w14:paraId="11A048CC">
      <w:pPr>
        <w:pStyle w:val="2"/>
        <w:ind w:left="63" w:right="63"/>
        <w:rPr>
          <w:rFonts w:ascii="宋体" w:hAnsi="宋体" w:cs="宋体"/>
          <w:b/>
          <w:color w:val="000000" w:themeColor="text1"/>
          <w:sz w:val="28"/>
          <w:szCs w:val="28"/>
          <w:highlight w:val="none"/>
          <w:lang w:val="zh-CN"/>
        </w:rPr>
      </w:pPr>
    </w:p>
    <w:p w14:paraId="53B7AF0B">
      <w:pPr>
        <w:pBdr>
          <w:top w:val="single" w:color="auto" w:sz="4" w:space="1"/>
          <w:left w:val="single" w:color="auto" w:sz="4" w:space="4"/>
          <w:bottom w:val="single" w:color="auto" w:sz="4" w:space="1"/>
          <w:right w:val="single" w:color="auto" w:sz="4" w:space="4"/>
        </w:pBdr>
        <w:spacing w:line="46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项目概况</w:t>
      </w:r>
    </w:p>
    <w:p w14:paraId="462A3011">
      <w:pPr>
        <w:pBdr>
          <w:top w:val="single" w:color="auto" w:sz="4" w:space="1"/>
          <w:left w:val="single" w:color="auto" w:sz="4" w:space="4"/>
          <w:bottom w:val="single" w:color="auto" w:sz="4" w:space="1"/>
          <w:right w:val="single" w:color="auto" w:sz="4" w:space="4"/>
        </w:pBdr>
        <w:wordWrap w:val="0"/>
        <w:spacing w:line="360" w:lineRule="exact"/>
        <w:ind w:firstLine="480" w:firstLineChars="200"/>
        <w:rPr>
          <w:rFonts w:ascii="宋体" w:hAnsi="宋体" w:cs="宋体"/>
          <w:color w:val="000000" w:themeColor="text1"/>
          <w:sz w:val="24"/>
          <w:highlight w:val="none"/>
          <w:u w:val="single"/>
        </w:rPr>
      </w:pPr>
      <w:r>
        <w:rPr>
          <w:rFonts w:hint="eastAsia" w:ascii="宋体" w:hAnsi="宋体" w:cs="宋体"/>
          <w:color w:val="000000" w:themeColor="text1"/>
          <w:sz w:val="24"/>
          <w:highlight w:val="none"/>
          <w:u w:val="single"/>
          <w:lang w:eastAsia="zh-CN"/>
        </w:rPr>
        <w:t>2025年中型监护型救护车采购项目（二次）</w:t>
      </w:r>
      <w:r>
        <w:rPr>
          <w:rFonts w:hint="eastAsia" w:ascii="宋体" w:hAnsi="宋体" w:cs="宋体"/>
          <w:color w:val="000000" w:themeColor="text1"/>
          <w:sz w:val="24"/>
          <w:highlight w:val="none"/>
        </w:rPr>
        <w:t>的潜在供应商应在</w:t>
      </w:r>
      <w:r>
        <w:rPr>
          <w:rFonts w:hint="eastAsia" w:ascii="宋体" w:hAnsi="宋体" w:cs="宋体"/>
          <w:color w:val="000000" w:themeColor="text1"/>
          <w:sz w:val="24"/>
          <w:highlight w:val="none"/>
          <w:u w:val="single"/>
          <w:lang w:val="zh-CN"/>
        </w:rPr>
        <w:t>政府采购云平台（网址：http:// www.zcygov.cn）</w:t>
      </w:r>
      <w:r>
        <w:rPr>
          <w:rFonts w:hint="eastAsia" w:ascii="宋体" w:hAnsi="宋体" w:cs="宋体"/>
          <w:color w:val="000000" w:themeColor="text1"/>
          <w:sz w:val="24"/>
          <w:highlight w:val="none"/>
        </w:rPr>
        <w:t>获取采购文件，并于</w:t>
      </w:r>
      <w:r>
        <w:rPr>
          <w:rFonts w:hint="eastAsia" w:ascii="宋体" w:hAnsi="宋体" w:cs="宋体"/>
          <w:color w:val="000000" w:themeColor="text1"/>
          <w:sz w:val="24"/>
          <w:highlight w:val="none"/>
          <w:u w:val="single"/>
        </w:rPr>
        <w:t>202</w:t>
      </w:r>
      <w:r>
        <w:rPr>
          <w:rFonts w:hint="eastAsia" w:ascii="宋体" w:hAnsi="宋体" w:cs="宋体"/>
          <w:color w:val="000000" w:themeColor="text1"/>
          <w:sz w:val="24"/>
          <w:highlight w:val="none"/>
          <w:u w:val="single"/>
          <w:lang w:val="en-US" w:eastAsia="zh-CN"/>
        </w:rPr>
        <w:t>6</w:t>
      </w:r>
      <w:r>
        <w:rPr>
          <w:rFonts w:hint="eastAsia" w:ascii="宋体" w:hAnsi="宋体" w:cs="宋体"/>
          <w:color w:val="000000" w:themeColor="text1"/>
          <w:sz w:val="24"/>
          <w:highlight w:val="none"/>
          <w:u w:val="single"/>
          <w:lang w:val="zh-CN"/>
        </w:rPr>
        <w:t>年</w:t>
      </w:r>
      <w:r>
        <w:rPr>
          <w:rFonts w:hint="eastAsia" w:ascii="宋体" w:hAnsi="宋体" w:cs="宋体"/>
          <w:color w:val="000000" w:themeColor="text1"/>
          <w:sz w:val="24"/>
          <w:highlight w:val="none"/>
          <w:u w:val="single"/>
          <w:lang w:val="en-US" w:eastAsia="zh-CN"/>
        </w:rPr>
        <w:t>5</w:t>
      </w:r>
      <w:r>
        <w:rPr>
          <w:rFonts w:hint="eastAsia" w:ascii="宋体" w:hAnsi="宋体" w:cs="宋体"/>
          <w:color w:val="000000" w:themeColor="text1"/>
          <w:sz w:val="24"/>
          <w:highlight w:val="none"/>
          <w:u w:val="single"/>
          <w:lang w:val="zh-CN"/>
        </w:rPr>
        <w:t>月</w:t>
      </w:r>
      <w:r>
        <w:rPr>
          <w:rFonts w:hint="eastAsia" w:ascii="宋体" w:hAnsi="宋体" w:cs="宋体"/>
          <w:color w:val="000000" w:themeColor="text1"/>
          <w:sz w:val="24"/>
          <w:highlight w:val="none"/>
          <w:u w:val="single"/>
          <w:lang w:val="en-US" w:eastAsia="zh-CN"/>
        </w:rPr>
        <w:t>25</w:t>
      </w:r>
      <w:r>
        <w:rPr>
          <w:rFonts w:hint="eastAsia" w:ascii="宋体" w:hAnsi="宋体" w:cs="宋体"/>
          <w:color w:val="000000" w:themeColor="text1"/>
          <w:sz w:val="24"/>
          <w:highlight w:val="none"/>
          <w:u w:val="single"/>
          <w:lang w:val="zh-CN"/>
        </w:rPr>
        <w:t>日</w:t>
      </w:r>
      <w:r>
        <w:rPr>
          <w:rFonts w:hint="eastAsia" w:ascii="宋体" w:hAnsi="宋体" w:cs="宋体"/>
          <w:color w:val="000000" w:themeColor="text1"/>
          <w:sz w:val="24"/>
          <w:highlight w:val="none"/>
          <w:u w:val="single"/>
        </w:rPr>
        <w:t>13</w:t>
      </w:r>
      <w:r>
        <w:rPr>
          <w:rFonts w:hint="eastAsia" w:ascii="宋体" w:hAnsi="宋体" w:cs="宋体"/>
          <w:color w:val="000000" w:themeColor="text1"/>
          <w:sz w:val="24"/>
          <w:highlight w:val="none"/>
          <w:u w:val="single"/>
          <w:lang w:val="zh-CN"/>
        </w:rPr>
        <w:t>时</w:t>
      </w:r>
      <w:r>
        <w:rPr>
          <w:rFonts w:hint="eastAsia" w:ascii="宋体" w:hAnsi="宋体" w:cs="宋体"/>
          <w:color w:val="000000" w:themeColor="text1"/>
          <w:sz w:val="24"/>
          <w:highlight w:val="none"/>
          <w:u w:val="single"/>
        </w:rPr>
        <w:t>30</w:t>
      </w:r>
      <w:r>
        <w:rPr>
          <w:rFonts w:hint="eastAsia" w:ascii="宋体" w:hAnsi="宋体" w:cs="宋体"/>
          <w:color w:val="000000" w:themeColor="text1"/>
          <w:sz w:val="24"/>
          <w:highlight w:val="none"/>
          <w:u w:val="single"/>
          <w:lang w:val="zh-CN"/>
        </w:rPr>
        <w:t>分（北</w:t>
      </w:r>
      <w:r>
        <w:rPr>
          <w:rFonts w:hint="eastAsia" w:ascii="宋体" w:hAnsi="宋体" w:cs="宋体"/>
          <w:color w:val="000000" w:themeColor="text1"/>
          <w:sz w:val="24"/>
          <w:highlight w:val="none"/>
          <w:u w:val="single"/>
        </w:rPr>
        <w:t>京时间）前递交响应文件</w:t>
      </w:r>
    </w:p>
    <w:p w14:paraId="4923C1ED">
      <w:pPr>
        <w:autoSpaceDE w:val="0"/>
        <w:autoSpaceDN w:val="0"/>
        <w:adjustRightInd w:val="0"/>
        <w:spacing w:line="46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一、项目基本情况</w:t>
      </w:r>
    </w:p>
    <w:p w14:paraId="637AF745">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项目编号：</w:t>
      </w:r>
      <w:r>
        <w:rPr>
          <w:rFonts w:hint="eastAsia" w:ascii="宋体" w:hAnsi="宋体" w:cs="宋体"/>
          <w:bCs/>
          <w:color w:val="000000" w:themeColor="text1"/>
          <w:sz w:val="24"/>
          <w:highlight w:val="none"/>
          <w:lang w:eastAsia="zh-CN"/>
        </w:rPr>
        <w:t>JLTY-2026080</w:t>
      </w:r>
      <w:r>
        <w:rPr>
          <w:rFonts w:hint="eastAsia" w:ascii="宋体" w:hAnsi="宋体" w:cs="宋体"/>
          <w:bCs/>
          <w:color w:val="000000" w:themeColor="text1"/>
          <w:sz w:val="24"/>
          <w:highlight w:val="none"/>
          <w:lang w:val="zh-CN"/>
        </w:rPr>
        <w:t>；采购计划编号：采购计划-[2025]-00266号</w:t>
      </w:r>
      <w:r>
        <w:rPr>
          <w:rFonts w:hint="eastAsia" w:ascii="宋体" w:hAnsi="宋体" w:cs="宋体"/>
          <w:bCs/>
          <w:color w:val="000000" w:themeColor="text1"/>
          <w:sz w:val="24"/>
          <w:highlight w:val="none"/>
        </w:rPr>
        <w:t>；</w:t>
      </w:r>
    </w:p>
    <w:p w14:paraId="04788F9F">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项目名称：</w:t>
      </w:r>
      <w:r>
        <w:rPr>
          <w:rFonts w:hint="eastAsia" w:ascii="宋体" w:hAnsi="宋体" w:cs="宋体"/>
          <w:bCs/>
          <w:color w:val="000000" w:themeColor="text1"/>
          <w:sz w:val="24"/>
          <w:highlight w:val="none"/>
          <w:lang w:eastAsia="zh-CN"/>
        </w:rPr>
        <w:t>2025年中型监护型救护车采购项目（二次）</w:t>
      </w:r>
      <w:r>
        <w:rPr>
          <w:rFonts w:hint="eastAsia" w:ascii="宋体" w:hAnsi="宋体" w:cs="宋体"/>
          <w:bCs/>
          <w:color w:val="000000" w:themeColor="text1"/>
          <w:sz w:val="24"/>
          <w:highlight w:val="none"/>
        </w:rPr>
        <w:t>；</w:t>
      </w:r>
    </w:p>
    <w:p w14:paraId="3EB49E49">
      <w:pPr>
        <w:autoSpaceDE w:val="0"/>
        <w:autoSpaceDN w:val="0"/>
        <w:adjustRightInd w:val="0"/>
        <w:spacing w:line="460" w:lineRule="exact"/>
        <w:ind w:firstLine="480" w:firstLineChars="200"/>
        <w:rPr>
          <w:rFonts w:ascii="宋体" w:hAnsi="宋体" w:cs="宋体"/>
          <w:color w:val="000000" w:themeColor="text1"/>
          <w:sz w:val="24"/>
          <w:highlight w:val="none"/>
        </w:rPr>
      </w:pPr>
      <w:r>
        <w:rPr>
          <w:rFonts w:hint="eastAsia" w:ascii="宋体" w:hAnsi="宋体" w:cs="宋体"/>
          <w:bCs/>
          <w:color w:val="000000" w:themeColor="text1"/>
          <w:sz w:val="24"/>
          <w:highlight w:val="none"/>
          <w:lang w:val="zh-CN"/>
        </w:rPr>
        <w:t>采购方式：竞争性磋商；</w:t>
      </w:r>
    </w:p>
    <w:p w14:paraId="449112E1">
      <w:pPr>
        <w:autoSpaceDE w:val="0"/>
        <w:autoSpaceDN w:val="0"/>
        <w:adjustRightInd w:val="0"/>
        <w:spacing w:line="460" w:lineRule="exact"/>
        <w:ind w:firstLine="480" w:firstLineChars="200"/>
        <w:rPr>
          <w:rFonts w:ascii="宋体" w:hAnsi="宋体" w:cs="宋体"/>
          <w:color w:val="000000" w:themeColor="text1"/>
          <w:sz w:val="24"/>
          <w:highlight w:val="none"/>
        </w:rPr>
      </w:pPr>
      <w:r>
        <w:rPr>
          <w:rFonts w:hint="eastAsia" w:ascii="宋体" w:hAnsi="宋体" w:cs="宋体"/>
          <w:color w:val="000000" w:themeColor="text1"/>
          <w:sz w:val="24"/>
          <w:highlight w:val="none"/>
        </w:rPr>
        <w:t>预算金额：人民币35万元；</w:t>
      </w:r>
    </w:p>
    <w:p w14:paraId="33B6A4B4">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最高限价：</w:t>
      </w:r>
      <w:r>
        <w:rPr>
          <w:rFonts w:hint="eastAsia" w:ascii="宋体" w:hAnsi="宋体" w:cs="宋体"/>
          <w:color w:val="000000" w:themeColor="text1"/>
          <w:sz w:val="24"/>
          <w:highlight w:val="none"/>
        </w:rPr>
        <w:t>人民币35万元</w:t>
      </w:r>
      <w:r>
        <w:rPr>
          <w:rFonts w:hint="eastAsia" w:ascii="宋体" w:hAnsi="宋体" w:cs="宋体"/>
          <w:bCs/>
          <w:color w:val="000000" w:themeColor="text1"/>
          <w:sz w:val="24"/>
          <w:highlight w:val="none"/>
        </w:rPr>
        <w:t>；</w:t>
      </w:r>
    </w:p>
    <w:p w14:paraId="04C6C7AD">
      <w:pPr>
        <w:autoSpaceDE w:val="0"/>
        <w:autoSpaceDN w:val="0"/>
        <w:adjustRightInd w:val="0"/>
        <w:spacing w:line="460" w:lineRule="exact"/>
        <w:ind w:firstLine="480" w:firstLineChars="200"/>
        <w:rPr>
          <w:rFonts w:ascii="宋体" w:hAnsi="宋体" w:cs="宋体"/>
          <w:bCs/>
          <w:color w:val="000000" w:themeColor="text1"/>
          <w:sz w:val="24"/>
          <w:highlight w:val="none"/>
          <w:lang w:val="zh-CN"/>
        </w:rPr>
      </w:pPr>
      <w:r>
        <w:rPr>
          <w:rFonts w:hint="eastAsia" w:ascii="宋体" w:hAnsi="宋体" w:cs="宋体"/>
          <w:bCs/>
          <w:color w:val="000000" w:themeColor="text1"/>
          <w:sz w:val="24"/>
          <w:highlight w:val="none"/>
          <w:lang w:val="zh-CN"/>
        </w:rPr>
        <w:t>采购需求：</w:t>
      </w:r>
    </w:p>
    <w:p w14:paraId="61A5D92B">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（1）标的名称：</w:t>
      </w:r>
      <w:r>
        <w:rPr>
          <w:rFonts w:hint="eastAsia" w:ascii="宋体" w:hAnsi="宋体" w:cs="宋体"/>
          <w:bCs/>
          <w:color w:val="000000" w:themeColor="text1"/>
          <w:sz w:val="24"/>
          <w:highlight w:val="none"/>
          <w:lang w:eastAsia="zh-CN"/>
        </w:rPr>
        <w:t>2025年中型监护型救护车采购项目（二次）</w:t>
      </w:r>
      <w:r>
        <w:rPr>
          <w:rFonts w:hint="eastAsia" w:ascii="宋体" w:hAnsi="宋体" w:cs="宋体"/>
          <w:bCs/>
          <w:color w:val="000000" w:themeColor="text1"/>
          <w:sz w:val="24"/>
          <w:highlight w:val="none"/>
        </w:rPr>
        <w:t>；</w:t>
      </w:r>
    </w:p>
    <w:p w14:paraId="4644A0BA">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（2）数量：1辆；</w:t>
      </w:r>
    </w:p>
    <w:p w14:paraId="4A89F2C2">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（3）简要技术需求：中型监护型救护车</w:t>
      </w:r>
    </w:p>
    <w:p w14:paraId="5EB01EA3">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（4）供货地点：延吉市急救中心（延边紧急救援中心）；</w:t>
      </w:r>
    </w:p>
    <w:p w14:paraId="41333735">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（5）质量标准：符合现行国家</w:t>
      </w:r>
      <w:r>
        <w:rPr>
          <w:rFonts w:hint="eastAsia" w:ascii="宋体" w:hAnsi="宋体" w:cs="宋体"/>
          <w:bCs/>
          <w:color w:val="000000" w:themeColor="text1"/>
          <w:sz w:val="24"/>
          <w:highlight w:val="none"/>
        </w:rPr>
        <w:t>、行业、地方或者其他相关标准的合格要求；</w:t>
      </w:r>
    </w:p>
    <w:p w14:paraId="4EFD3753">
      <w:pPr>
        <w:autoSpaceDE w:val="0"/>
        <w:autoSpaceDN w:val="0"/>
        <w:adjustRightInd w:val="0"/>
        <w:spacing w:line="460" w:lineRule="exact"/>
        <w:ind w:firstLine="480" w:firstLineChars="200"/>
        <w:rPr>
          <w:rFonts w:ascii="宋体" w:hAnsi="宋体" w:cs="宋体"/>
          <w:bCs/>
          <w:color w:val="000000" w:themeColor="text1"/>
          <w:sz w:val="24"/>
          <w:highlight w:val="none"/>
          <w:lang w:val="zh-CN"/>
        </w:rPr>
      </w:pPr>
      <w:r>
        <w:rPr>
          <w:rFonts w:hint="eastAsia" w:ascii="宋体" w:hAnsi="宋体" w:cs="宋体"/>
          <w:bCs/>
          <w:color w:val="000000" w:themeColor="text1"/>
          <w:sz w:val="24"/>
          <w:highlight w:val="none"/>
        </w:rPr>
        <w:t>（6）合同履行期限（供货期）：自合同签订之日起20日内安装调试完毕交付使用并验收合格（具体时间以实际合同为准）；</w:t>
      </w:r>
    </w:p>
    <w:p w14:paraId="602631CB">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本项目不接受联合体投标。</w:t>
      </w:r>
    </w:p>
    <w:p w14:paraId="6E6597BE">
      <w:pPr>
        <w:autoSpaceDE w:val="0"/>
        <w:autoSpaceDN w:val="0"/>
        <w:adjustRightInd w:val="0"/>
        <w:spacing w:line="46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二、供应商的资格要求</w:t>
      </w:r>
    </w:p>
    <w:p w14:paraId="07F5BB70">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1.申请人的资格要求：</w:t>
      </w:r>
    </w:p>
    <w:p w14:paraId="7E32D8A3">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1. 满足《中华人民共和国政府采购法》第二十二条规定；</w:t>
      </w:r>
    </w:p>
    <w:p w14:paraId="270026D2">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2. 落实政府采购政策需满足的资格：本项目全部面向中小企业采购采购；</w:t>
      </w:r>
    </w:p>
    <w:p w14:paraId="52B57FAB">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3.本项目的特定资格要求：</w:t>
      </w:r>
    </w:p>
    <w:p w14:paraId="7C12D07D">
      <w:pPr>
        <w:spacing w:line="440" w:lineRule="exact"/>
        <w:ind w:firstLine="480" w:firstLineChars="200"/>
        <w:jc w:val="left"/>
        <w:rPr>
          <w:rFonts w:ascii="宋体" w:hAnsi="宋体" w:cs="宋体"/>
          <w:bCs/>
          <w:sz w:val="24"/>
          <w:highlight w:val="none"/>
        </w:rPr>
      </w:pPr>
      <w:r>
        <w:rPr>
          <w:rFonts w:hint="eastAsia" w:ascii="宋体" w:hAnsi="宋体" w:cs="宋体"/>
          <w:bCs/>
          <w:sz w:val="24"/>
          <w:highlight w:val="none"/>
        </w:rPr>
        <w:t>3.1本次招标要求供应商须具有独立承担民事责任的能力，具有有效的营业执照，供应商应具有履行合同所必须的设备和专业能力。</w:t>
      </w:r>
    </w:p>
    <w:p w14:paraId="64449BBD">
      <w:pPr>
        <w:spacing w:line="440" w:lineRule="exact"/>
        <w:ind w:firstLine="480" w:firstLineChars="200"/>
        <w:jc w:val="left"/>
        <w:rPr>
          <w:rFonts w:ascii="宋体" w:hAnsi="宋体" w:cs="宋体"/>
          <w:bCs/>
          <w:sz w:val="24"/>
          <w:highlight w:val="none"/>
        </w:rPr>
      </w:pPr>
      <w:r>
        <w:rPr>
          <w:rFonts w:hint="eastAsia" w:ascii="宋体" w:hAnsi="宋体" w:cs="宋体"/>
          <w:bCs/>
          <w:sz w:val="24"/>
          <w:highlight w:val="none"/>
        </w:rPr>
        <w:t>3.2.1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w:t>
      </w:r>
    </w:p>
    <w:p w14:paraId="3A9CC9BE">
      <w:pPr>
        <w:spacing w:line="440" w:lineRule="exact"/>
        <w:ind w:firstLine="480" w:firstLineChars="200"/>
        <w:jc w:val="left"/>
        <w:rPr>
          <w:rFonts w:ascii="宋体" w:hAnsi="宋体" w:cs="宋体"/>
          <w:bCs/>
          <w:sz w:val="24"/>
          <w:highlight w:val="none"/>
        </w:rPr>
      </w:pPr>
      <w:r>
        <w:rPr>
          <w:rFonts w:hint="eastAsia" w:ascii="宋体" w:hAnsi="宋体" w:cs="宋体"/>
          <w:bCs/>
          <w:sz w:val="24"/>
          <w:highlight w:val="none"/>
        </w:rPr>
        <w:t>3.2.2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p w14:paraId="29BAB02A">
      <w:pPr>
        <w:spacing w:line="440" w:lineRule="exact"/>
        <w:ind w:firstLine="480" w:firstLineChars="200"/>
        <w:jc w:val="left"/>
        <w:rPr>
          <w:rFonts w:ascii="宋体" w:hAnsi="宋体" w:cs="宋体"/>
          <w:bCs/>
          <w:color w:val="000000" w:themeColor="text1"/>
          <w:sz w:val="24"/>
          <w:highlight w:val="none"/>
        </w:rPr>
      </w:pPr>
      <w:r>
        <w:rPr>
          <w:rFonts w:hint="eastAsia" w:ascii="宋体" w:hAnsi="宋体" w:cs="宋体"/>
          <w:bCs/>
          <w:sz w:val="24"/>
          <w:highlight w:val="none"/>
        </w:rPr>
        <w:t>3.2.3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w:t>
      </w:r>
    </w:p>
    <w:p w14:paraId="290ECB67">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3.3供应商参加采购活动应当提交反映其财务状况、依法缴纳税收和社保保障资金情况的资格条件承诺函。</w:t>
      </w:r>
    </w:p>
    <w:p w14:paraId="40637631">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3.4信誉要求：</w:t>
      </w:r>
    </w:p>
    <w:p w14:paraId="780DE701">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（1）供应商参加政府采购活动近3年内（2022年至今）在经营活动中没有重大违法记录。</w:t>
      </w:r>
    </w:p>
    <w:p w14:paraId="5919F150">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（2）拒绝列入政府取消投标资格记录期间的企业或个人投标。</w:t>
      </w:r>
    </w:p>
    <w:p w14:paraId="280DB36E">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（3）未被列入“信用中国”网站(www.creditchina.gov.cn)、失信被执行人、企业经营异常名录、重大税收违法失信主体；</w:t>
      </w:r>
    </w:p>
    <w:p w14:paraId="5E5950AB">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（4）未被工商行政管理机关在全国企业信用信息公示系统中列入严重违法失信企业名单；</w:t>
      </w:r>
    </w:p>
    <w:p w14:paraId="75CDC687">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（5）未被列入“中国政府采购网”(www.ccgp.gov.cn)政府采购严重违法失信行为记录名单的供应商；</w:t>
      </w:r>
    </w:p>
    <w:p w14:paraId="6AFC1BB5">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（6）“中国裁判文书网”（wenshu.court.gov.cn/）查询企业及法定代表人无行贿犯罪记录证明。</w:t>
      </w:r>
    </w:p>
    <w:p w14:paraId="1FCBF1B6">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3.5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3902CE8">
      <w:pPr>
        <w:autoSpaceDE w:val="0"/>
        <w:autoSpaceDN w:val="0"/>
        <w:adjustRightInd w:val="0"/>
        <w:spacing w:line="46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三、获取磋商文件</w:t>
      </w:r>
    </w:p>
    <w:p w14:paraId="1B1922DA">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时间：202</w:t>
      </w:r>
      <w:r>
        <w:rPr>
          <w:rFonts w:hint="eastAsia" w:ascii="宋体" w:hAnsi="宋体" w:cs="宋体"/>
          <w:bCs/>
          <w:color w:val="000000" w:themeColor="text1"/>
          <w:sz w:val="24"/>
          <w:highlight w:val="none"/>
          <w:lang w:val="en-US" w:eastAsia="zh-CN"/>
        </w:rPr>
        <w:t>6</w:t>
      </w:r>
      <w:r>
        <w:rPr>
          <w:rFonts w:hint="eastAsia" w:ascii="宋体" w:hAnsi="宋体" w:cs="宋体"/>
          <w:bCs/>
          <w:color w:val="000000" w:themeColor="text1"/>
          <w:sz w:val="24"/>
          <w:highlight w:val="none"/>
        </w:rPr>
        <w:t>年</w:t>
      </w:r>
      <w:r>
        <w:rPr>
          <w:rFonts w:hint="eastAsia" w:ascii="宋体" w:hAnsi="宋体" w:cs="宋体"/>
          <w:bCs/>
          <w:color w:val="000000" w:themeColor="text1"/>
          <w:sz w:val="24"/>
          <w:highlight w:val="none"/>
          <w:lang w:val="en-US" w:eastAsia="zh-CN"/>
        </w:rPr>
        <w:t>5</w:t>
      </w:r>
      <w:r>
        <w:rPr>
          <w:rFonts w:hint="eastAsia" w:ascii="宋体" w:hAnsi="宋体" w:cs="宋体"/>
          <w:bCs/>
          <w:color w:val="000000" w:themeColor="text1"/>
          <w:sz w:val="24"/>
          <w:highlight w:val="none"/>
        </w:rPr>
        <w:t>月</w:t>
      </w:r>
      <w:r>
        <w:rPr>
          <w:rFonts w:hint="eastAsia" w:ascii="宋体" w:hAnsi="宋体" w:cs="宋体"/>
          <w:bCs/>
          <w:color w:val="000000" w:themeColor="text1"/>
          <w:sz w:val="24"/>
          <w:highlight w:val="none"/>
          <w:lang w:val="en-US" w:eastAsia="zh-CN"/>
        </w:rPr>
        <w:t>11</w:t>
      </w:r>
      <w:r>
        <w:rPr>
          <w:rFonts w:hint="eastAsia" w:ascii="宋体" w:hAnsi="宋体" w:cs="宋体"/>
          <w:bCs/>
          <w:color w:val="000000" w:themeColor="text1"/>
          <w:sz w:val="24"/>
          <w:highlight w:val="none"/>
        </w:rPr>
        <w:t>日上午09时00分至202</w:t>
      </w:r>
      <w:r>
        <w:rPr>
          <w:rFonts w:hint="eastAsia" w:ascii="宋体" w:hAnsi="宋体" w:cs="宋体"/>
          <w:bCs/>
          <w:color w:val="000000" w:themeColor="text1"/>
          <w:sz w:val="24"/>
          <w:highlight w:val="none"/>
          <w:lang w:val="en-US" w:eastAsia="zh-CN"/>
        </w:rPr>
        <w:t>6</w:t>
      </w:r>
      <w:r>
        <w:rPr>
          <w:rFonts w:hint="eastAsia" w:ascii="宋体" w:hAnsi="宋体" w:cs="宋体"/>
          <w:bCs/>
          <w:color w:val="000000" w:themeColor="text1"/>
          <w:sz w:val="24"/>
          <w:highlight w:val="none"/>
        </w:rPr>
        <w:t>年</w:t>
      </w:r>
      <w:r>
        <w:rPr>
          <w:rFonts w:hint="eastAsia" w:ascii="宋体" w:hAnsi="宋体" w:cs="宋体"/>
          <w:bCs/>
          <w:color w:val="000000" w:themeColor="text1"/>
          <w:sz w:val="24"/>
          <w:highlight w:val="none"/>
          <w:lang w:val="en-US" w:eastAsia="zh-CN"/>
        </w:rPr>
        <w:t>5</w:t>
      </w:r>
      <w:r>
        <w:rPr>
          <w:rFonts w:hint="eastAsia" w:ascii="宋体" w:hAnsi="宋体" w:cs="宋体"/>
          <w:bCs/>
          <w:color w:val="000000" w:themeColor="text1"/>
          <w:sz w:val="24"/>
          <w:highlight w:val="none"/>
        </w:rPr>
        <w:t>月</w:t>
      </w:r>
      <w:r>
        <w:rPr>
          <w:rFonts w:hint="eastAsia" w:ascii="宋体" w:hAnsi="宋体" w:cs="宋体"/>
          <w:bCs/>
          <w:color w:val="000000" w:themeColor="text1"/>
          <w:sz w:val="24"/>
          <w:highlight w:val="none"/>
          <w:lang w:val="en-US" w:eastAsia="zh-CN"/>
        </w:rPr>
        <w:t>15</w:t>
      </w:r>
      <w:r>
        <w:rPr>
          <w:rFonts w:hint="eastAsia" w:ascii="宋体" w:hAnsi="宋体" w:cs="宋体"/>
          <w:bCs/>
          <w:color w:val="000000" w:themeColor="text1"/>
          <w:sz w:val="24"/>
          <w:highlight w:val="none"/>
        </w:rPr>
        <w:t>日下午16时30分（北京时间，法定节假日除外）；</w:t>
      </w:r>
    </w:p>
    <w:p w14:paraId="777A9744">
      <w:pPr>
        <w:pStyle w:val="110"/>
        <w:wordWrap w:val="0"/>
        <w:spacing w:line="4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szCs w:val="24"/>
          <w:highlight w:val="none"/>
        </w:rPr>
        <w:t>地点：政府采购云平台（网址：http:// www.zcygov.cn）；</w:t>
      </w:r>
    </w:p>
    <w:p w14:paraId="428087E1">
      <w:pPr>
        <w:pStyle w:val="110"/>
        <w:wordWrap w:val="0"/>
        <w:spacing w:line="400" w:lineRule="exact"/>
        <w:ind w:firstLine="480" w:firstLineChars="200"/>
        <w:rPr>
          <w:rFonts w:ascii="宋体" w:hAnsi="宋体" w:cs="宋体"/>
          <w:bCs/>
          <w:color w:val="000000" w:themeColor="text1"/>
          <w:sz w:val="24"/>
          <w:szCs w:val="24"/>
          <w:highlight w:val="none"/>
        </w:rPr>
      </w:pPr>
      <w:r>
        <w:rPr>
          <w:rFonts w:hint="eastAsia" w:ascii="宋体" w:hAnsi="宋体" w:cs="宋体"/>
          <w:bCs/>
          <w:color w:val="000000" w:themeColor="text1"/>
          <w:sz w:val="24"/>
          <w:highlight w:val="none"/>
        </w:rPr>
        <w:t>方式：潜在供应商可自行在“政采云”平台（网址：http：//www.zcygov.cn）下载磋商文件（操作路径：登录“政采云”平台-项目采购-获取采购文件-找到本项目-点击“申请获取采购文件”），其他途径获取的采购文件开标时一律按无效投标处理。</w:t>
      </w:r>
    </w:p>
    <w:p w14:paraId="0852E435">
      <w:pPr>
        <w:autoSpaceDE w:val="0"/>
        <w:autoSpaceDN w:val="0"/>
        <w:adjustRightInd w:val="0"/>
        <w:spacing w:line="40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售价：0元。</w:t>
      </w:r>
    </w:p>
    <w:p w14:paraId="0099CEA9">
      <w:pPr>
        <w:autoSpaceDE w:val="0"/>
        <w:autoSpaceDN w:val="0"/>
        <w:adjustRightInd w:val="0"/>
        <w:spacing w:line="36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四、响应文件提交</w:t>
      </w:r>
    </w:p>
    <w:p w14:paraId="5A8915F1">
      <w:pPr>
        <w:autoSpaceDE w:val="0"/>
        <w:autoSpaceDN w:val="0"/>
        <w:adjustRightInd w:val="0"/>
        <w:spacing w:line="3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截止时间：202</w:t>
      </w:r>
      <w:r>
        <w:rPr>
          <w:rFonts w:hint="eastAsia" w:ascii="宋体" w:hAnsi="宋体" w:cs="宋体"/>
          <w:bCs/>
          <w:color w:val="000000" w:themeColor="text1"/>
          <w:sz w:val="24"/>
          <w:highlight w:val="none"/>
          <w:lang w:val="en-US" w:eastAsia="zh-CN"/>
        </w:rPr>
        <w:t>6</w:t>
      </w:r>
      <w:r>
        <w:rPr>
          <w:rFonts w:hint="eastAsia" w:ascii="宋体" w:hAnsi="宋体" w:cs="宋体"/>
          <w:bCs/>
          <w:color w:val="000000" w:themeColor="text1"/>
          <w:sz w:val="24"/>
          <w:highlight w:val="none"/>
        </w:rPr>
        <w:t>年</w:t>
      </w:r>
      <w:r>
        <w:rPr>
          <w:rFonts w:hint="eastAsia" w:ascii="宋体" w:hAnsi="宋体" w:cs="宋体"/>
          <w:bCs/>
          <w:color w:val="000000" w:themeColor="text1"/>
          <w:sz w:val="24"/>
          <w:highlight w:val="none"/>
          <w:lang w:val="en-US" w:eastAsia="zh-CN"/>
        </w:rPr>
        <w:t>5</w:t>
      </w:r>
      <w:r>
        <w:rPr>
          <w:rFonts w:hint="eastAsia" w:ascii="宋体" w:hAnsi="宋体" w:cs="宋体"/>
          <w:bCs/>
          <w:color w:val="000000" w:themeColor="text1"/>
          <w:sz w:val="24"/>
          <w:highlight w:val="none"/>
        </w:rPr>
        <w:t>月</w:t>
      </w:r>
      <w:r>
        <w:rPr>
          <w:rFonts w:hint="eastAsia" w:ascii="宋体" w:hAnsi="宋体" w:cs="宋体"/>
          <w:bCs/>
          <w:color w:val="000000" w:themeColor="text1"/>
          <w:sz w:val="24"/>
          <w:highlight w:val="none"/>
          <w:lang w:val="en-US" w:eastAsia="zh-CN"/>
        </w:rPr>
        <w:t>25</w:t>
      </w:r>
      <w:r>
        <w:rPr>
          <w:rFonts w:hint="eastAsia" w:ascii="宋体" w:hAnsi="宋体" w:cs="宋体"/>
          <w:bCs/>
          <w:color w:val="000000" w:themeColor="text1"/>
          <w:sz w:val="24"/>
          <w:highlight w:val="none"/>
        </w:rPr>
        <w:t>日13时30分（北京时间）；</w:t>
      </w:r>
    </w:p>
    <w:p w14:paraId="0A5A9750">
      <w:pPr>
        <w:autoSpaceDE w:val="0"/>
        <w:autoSpaceDN w:val="0"/>
        <w:adjustRightInd w:val="0"/>
        <w:spacing w:line="3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地点：</w:t>
      </w:r>
      <w:r>
        <w:rPr>
          <w:rFonts w:hint="eastAsia" w:ascii="宋体" w:hAnsi="宋体" w:cs="宋体"/>
          <w:bCs/>
          <w:color w:val="000000" w:themeColor="text1"/>
          <w:sz w:val="24"/>
          <w:highlight w:val="none"/>
          <w:lang w:val="zh-CN"/>
        </w:rPr>
        <w:t>延吉市公共资源交易中心(延吉市政务大厅6楼受理处)，地址：延吉市光华路166－1号</w:t>
      </w:r>
      <w:r>
        <w:rPr>
          <w:rFonts w:hint="eastAsia" w:ascii="宋体" w:hAnsi="宋体" w:cs="宋体"/>
          <w:bCs/>
          <w:color w:val="000000" w:themeColor="text1"/>
          <w:sz w:val="24"/>
          <w:highlight w:val="none"/>
        </w:rPr>
        <w:t>。</w:t>
      </w:r>
    </w:p>
    <w:p w14:paraId="1DC88FED">
      <w:pPr>
        <w:autoSpaceDE w:val="0"/>
        <w:autoSpaceDN w:val="0"/>
        <w:adjustRightInd w:val="0"/>
        <w:spacing w:line="36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五、开启</w:t>
      </w:r>
    </w:p>
    <w:p w14:paraId="080B7D8D">
      <w:pPr>
        <w:autoSpaceDE w:val="0"/>
        <w:autoSpaceDN w:val="0"/>
        <w:adjustRightInd w:val="0"/>
        <w:spacing w:line="3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时间：202</w:t>
      </w:r>
      <w:r>
        <w:rPr>
          <w:rFonts w:hint="eastAsia" w:ascii="宋体" w:hAnsi="宋体" w:cs="宋体"/>
          <w:bCs/>
          <w:color w:val="000000" w:themeColor="text1"/>
          <w:sz w:val="24"/>
          <w:highlight w:val="none"/>
          <w:lang w:val="en-US" w:eastAsia="zh-CN"/>
        </w:rPr>
        <w:t>6</w:t>
      </w:r>
      <w:r>
        <w:rPr>
          <w:rFonts w:hint="eastAsia" w:ascii="宋体" w:hAnsi="宋体" w:cs="宋体"/>
          <w:bCs/>
          <w:color w:val="000000" w:themeColor="text1"/>
          <w:sz w:val="24"/>
          <w:highlight w:val="none"/>
        </w:rPr>
        <w:t>年</w:t>
      </w:r>
      <w:r>
        <w:rPr>
          <w:rFonts w:hint="eastAsia" w:ascii="宋体" w:hAnsi="宋体" w:cs="宋体"/>
          <w:bCs/>
          <w:color w:val="000000" w:themeColor="text1"/>
          <w:sz w:val="24"/>
          <w:highlight w:val="none"/>
          <w:lang w:val="en-US" w:eastAsia="zh-CN"/>
        </w:rPr>
        <w:t>5</w:t>
      </w:r>
      <w:r>
        <w:rPr>
          <w:rFonts w:hint="eastAsia" w:ascii="宋体" w:hAnsi="宋体" w:cs="宋体"/>
          <w:bCs/>
          <w:color w:val="000000" w:themeColor="text1"/>
          <w:sz w:val="24"/>
          <w:highlight w:val="none"/>
        </w:rPr>
        <w:t>月</w:t>
      </w:r>
      <w:r>
        <w:rPr>
          <w:rFonts w:hint="eastAsia" w:ascii="宋体" w:hAnsi="宋体" w:cs="宋体"/>
          <w:bCs/>
          <w:color w:val="000000" w:themeColor="text1"/>
          <w:sz w:val="24"/>
          <w:highlight w:val="none"/>
          <w:lang w:val="en-US" w:eastAsia="zh-CN"/>
        </w:rPr>
        <w:t>25</w:t>
      </w:r>
      <w:r>
        <w:rPr>
          <w:rFonts w:hint="eastAsia" w:ascii="宋体" w:hAnsi="宋体" w:cs="宋体"/>
          <w:bCs/>
          <w:color w:val="000000" w:themeColor="text1"/>
          <w:sz w:val="24"/>
          <w:highlight w:val="none"/>
        </w:rPr>
        <w:t>日13时30分（北京时间）</w:t>
      </w:r>
    </w:p>
    <w:p w14:paraId="2F59ECAF">
      <w:pPr>
        <w:autoSpaceDE w:val="0"/>
        <w:autoSpaceDN w:val="0"/>
        <w:adjustRightInd w:val="0"/>
        <w:spacing w:line="3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地点：</w:t>
      </w:r>
      <w:r>
        <w:rPr>
          <w:rFonts w:hint="eastAsia" w:ascii="宋体" w:hAnsi="宋体" w:cs="宋体"/>
          <w:bCs/>
          <w:color w:val="000000" w:themeColor="text1"/>
          <w:sz w:val="24"/>
          <w:highlight w:val="none"/>
          <w:lang w:val="zh-CN"/>
        </w:rPr>
        <w:t>延吉市公共资源交易中心(延吉市政务大厅6楼受理处)，地址：延吉市光华路166－1号</w:t>
      </w:r>
      <w:r>
        <w:rPr>
          <w:rFonts w:hint="eastAsia" w:ascii="宋体" w:hAnsi="宋体" w:cs="宋体"/>
          <w:bCs/>
          <w:color w:val="000000" w:themeColor="text1"/>
          <w:sz w:val="24"/>
          <w:highlight w:val="none"/>
        </w:rPr>
        <w:t>。</w:t>
      </w:r>
    </w:p>
    <w:p w14:paraId="70C388E2">
      <w:pPr>
        <w:autoSpaceDE w:val="0"/>
        <w:autoSpaceDN w:val="0"/>
        <w:adjustRightInd w:val="0"/>
        <w:spacing w:line="46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六、公告期限</w:t>
      </w:r>
    </w:p>
    <w:p w14:paraId="10265604">
      <w:pPr>
        <w:autoSpaceDE w:val="0"/>
        <w:autoSpaceDN w:val="0"/>
        <w:adjustRightInd w:val="0"/>
        <w:spacing w:line="460" w:lineRule="exact"/>
        <w:ind w:firstLine="480" w:firstLineChars="200"/>
        <w:rPr>
          <w:rStyle w:val="114"/>
          <w:rFonts w:ascii="宋体" w:hAnsi="宋体" w:cs="宋体"/>
          <w:bCs/>
          <w:color w:val="000000" w:themeColor="text1"/>
          <w:sz w:val="24"/>
          <w:szCs w:val="24"/>
          <w:highlight w:val="none"/>
        </w:rPr>
      </w:pPr>
      <w:r>
        <w:rPr>
          <w:rStyle w:val="114"/>
          <w:rFonts w:hint="eastAsia" w:ascii="宋体" w:hAnsi="宋体" w:cs="宋体"/>
          <w:bCs/>
          <w:color w:val="000000" w:themeColor="text1"/>
          <w:sz w:val="24"/>
          <w:szCs w:val="24"/>
          <w:highlight w:val="none"/>
        </w:rPr>
        <w:t>自本公告发布之日起5个工作日。</w:t>
      </w:r>
    </w:p>
    <w:p w14:paraId="23373726">
      <w:pPr>
        <w:numPr>
          <w:ilvl w:val="0"/>
          <w:numId w:val="2"/>
        </w:numPr>
        <w:autoSpaceDE w:val="0"/>
        <w:autoSpaceDN w:val="0"/>
        <w:adjustRightInd w:val="0"/>
        <w:snapToGrid w:val="0"/>
        <w:spacing w:line="360" w:lineRule="auto"/>
        <w:rPr>
          <w:rFonts w:ascii="宋体" w:hAnsi="宋体" w:cs="宋体"/>
          <w:b/>
          <w:color w:val="000000" w:themeColor="text1"/>
          <w:sz w:val="24"/>
          <w:highlight w:val="none"/>
        </w:rPr>
      </w:pPr>
      <w:r>
        <w:rPr>
          <w:rFonts w:hint="eastAsia" w:ascii="宋体" w:hAnsi="宋体" w:cs="宋体"/>
          <w:b/>
          <w:color w:val="000000" w:themeColor="text1"/>
          <w:sz w:val="24"/>
          <w:highlight w:val="none"/>
        </w:rPr>
        <w:t>其他补充事宜</w:t>
      </w:r>
    </w:p>
    <w:p w14:paraId="3B10872A">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1、逾期送达的或者未送达指定地点的响应文件，采购人、采购代理机构不予受理。</w:t>
      </w:r>
    </w:p>
    <w:p w14:paraId="2119D20D">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2、</w:t>
      </w:r>
      <w:r>
        <w:rPr>
          <w:rFonts w:hint="eastAsia" w:ascii="宋体" w:hAnsi="宋体" w:cs="宋体"/>
          <w:bCs/>
          <w:color w:val="000000" w:themeColor="text1"/>
          <w:sz w:val="24"/>
          <w:highlight w:val="none"/>
          <w:lang w:val="zh-CN"/>
        </w:rPr>
        <w:t>本项目采用全流程电子化招投标</w:t>
      </w:r>
      <w:r>
        <w:rPr>
          <w:rFonts w:hint="eastAsia" w:ascii="宋体" w:hAnsi="宋体" w:cs="宋体"/>
          <w:bCs/>
          <w:color w:val="000000" w:themeColor="text1"/>
          <w:sz w:val="24"/>
          <w:highlight w:val="none"/>
        </w:rPr>
        <w:t>，</w:t>
      </w:r>
      <w:r>
        <w:rPr>
          <w:rFonts w:hint="eastAsia" w:ascii="宋体" w:hAnsi="宋体" w:cs="宋体"/>
          <w:bCs/>
          <w:color w:val="000000" w:themeColor="text1"/>
          <w:sz w:val="24"/>
          <w:highlight w:val="none"/>
          <w:lang w:val="zh-CN"/>
        </w:rPr>
        <w:t>开标方式为远程开标</w:t>
      </w:r>
      <w:r>
        <w:rPr>
          <w:rFonts w:hint="eastAsia" w:ascii="宋体" w:hAnsi="宋体" w:cs="宋体"/>
          <w:bCs/>
          <w:color w:val="000000" w:themeColor="text1"/>
          <w:sz w:val="24"/>
          <w:highlight w:val="none"/>
        </w:rPr>
        <w:t>，</w:t>
      </w:r>
      <w:r>
        <w:rPr>
          <w:rFonts w:hint="eastAsia" w:ascii="宋体" w:hAnsi="宋体" w:cs="宋体"/>
          <w:bCs/>
          <w:color w:val="000000" w:themeColor="text1"/>
          <w:sz w:val="24"/>
          <w:highlight w:val="none"/>
          <w:lang w:val="zh-CN"/>
        </w:rPr>
        <w:t>供应商须在提交响应文件截止时间前通过政府采购云平台</w:t>
      </w:r>
      <w:r>
        <w:rPr>
          <w:rFonts w:hint="eastAsia" w:ascii="宋体" w:hAnsi="宋体" w:cs="宋体"/>
          <w:bCs/>
          <w:color w:val="000000" w:themeColor="text1"/>
          <w:sz w:val="24"/>
          <w:highlight w:val="none"/>
        </w:rPr>
        <w:t>（</w:t>
      </w:r>
      <w:r>
        <w:rPr>
          <w:rFonts w:hint="eastAsia" w:ascii="宋体" w:hAnsi="宋体" w:cs="宋体"/>
          <w:bCs/>
          <w:color w:val="000000" w:themeColor="text1"/>
          <w:sz w:val="24"/>
          <w:highlight w:val="none"/>
          <w:lang w:val="zh-CN"/>
        </w:rPr>
        <w:t>网址</w:t>
      </w:r>
      <w:r>
        <w:rPr>
          <w:rFonts w:hint="eastAsia" w:ascii="宋体" w:hAnsi="宋体" w:cs="宋体"/>
          <w:bCs/>
          <w:color w:val="000000" w:themeColor="text1"/>
          <w:sz w:val="24"/>
          <w:highlight w:val="none"/>
        </w:rPr>
        <w:t>：http://www.zcygov.cn）</w:t>
      </w:r>
      <w:r>
        <w:rPr>
          <w:rFonts w:hint="eastAsia" w:ascii="宋体" w:hAnsi="宋体" w:cs="宋体"/>
          <w:bCs/>
          <w:color w:val="000000" w:themeColor="text1"/>
          <w:sz w:val="24"/>
          <w:highlight w:val="none"/>
          <w:lang w:val="zh-CN"/>
        </w:rPr>
        <w:t>递交电子响应文件</w:t>
      </w:r>
      <w:r>
        <w:rPr>
          <w:rFonts w:hint="eastAsia" w:ascii="宋体" w:hAnsi="宋体" w:cs="宋体"/>
          <w:bCs/>
          <w:color w:val="000000" w:themeColor="text1"/>
          <w:sz w:val="24"/>
          <w:highlight w:val="none"/>
        </w:rPr>
        <w:t>，</w:t>
      </w:r>
      <w:r>
        <w:rPr>
          <w:rFonts w:hint="eastAsia" w:ascii="宋体" w:hAnsi="宋体" w:cs="宋体"/>
          <w:bCs/>
          <w:color w:val="000000" w:themeColor="text1"/>
          <w:sz w:val="24"/>
          <w:highlight w:val="none"/>
          <w:lang w:val="zh-CN"/>
        </w:rPr>
        <w:t>并按照现场工作人员通知使用</w:t>
      </w:r>
      <w:r>
        <w:rPr>
          <w:rFonts w:hint="eastAsia" w:ascii="宋体" w:hAnsi="宋体" w:cs="宋体"/>
          <w:bCs/>
          <w:color w:val="000000" w:themeColor="text1"/>
          <w:sz w:val="24"/>
          <w:highlight w:val="none"/>
        </w:rPr>
        <w:t>CA</w:t>
      </w:r>
      <w:r>
        <w:rPr>
          <w:rFonts w:hint="eastAsia" w:ascii="宋体" w:hAnsi="宋体" w:cs="宋体"/>
          <w:bCs/>
          <w:color w:val="000000" w:themeColor="text1"/>
          <w:sz w:val="24"/>
          <w:highlight w:val="none"/>
          <w:lang w:val="zh-CN"/>
        </w:rPr>
        <w:t>锁进行响应文件远程解密。</w:t>
      </w:r>
    </w:p>
    <w:p w14:paraId="6EAA7095">
      <w:pPr>
        <w:autoSpaceDE w:val="0"/>
        <w:autoSpaceDN w:val="0"/>
        <w:adjustRightInd w:val="0"/>
        <w:spacing w:line="460" w:lineRule="exact"/>
        <w:ind w:firstLine="480" w:firstLineChars="200"/>
        <w:rPr>
          <w:rFonts w:ascii="宋体" w:hAnsi="宋体" w:cs="宋体"/>
          <w:bCs/>
          <w:color w:val="000000" w:themeColor="text1"/>
          <w:sz w:val="24"/>
          <w:highlight w:val="none"/>
          <w:lang w:val="zh-CN"/>
        </w:rPr>
      </w:pPr>
      <w:r>
        <w:rPr>
          <w:rFonts w:hint="eastAsia" w:ascii="宋体" w:hAnsi="宋体" w:cs="宋体"/>
          <w:bCs/>
          <w:color w:val="000000" w:themeColor="text1"/>
          <w:sz w:val="24"/>
          <w:highlight w:val="none"/>
        </w:rPr>
        <w:t>3、</w:t>
      </w:r>
      <w:r>
        <w:rPr>
          <w:rFonts w:hint="eastAsia" w:ascii="宋体" w:hAnsi="宋体" w:cs="宋体"/>
          <w:bCs/>
          <w:color w:val="000000" w:themeColor="text1"/>
          <w:sz w:val="24"/>
          <w:highlight w:val="none"/>
          <w:lang w:val="zh-CN"/>
        </w:rPr>
        <w:t>投标操作流程：供应商在政府采购云平台网注册入库成为正式供应商后，在平台上按《政府采购项目电子交易管理操作指南-供应商》进行投标操作。</w:t>
      </w:r>
    </w:p>
    <w:p w14:paraId="6D094783">
      <w:pPr>
        <w:autoSpaceDE w:val="0"/>
        <w:autoSpaceDN w:val="0"/>
        <w:adjustRightInd w:val="0"/>
        <w:spacing w:line="460" w:lineRule="exact"/>
        <w:ind w:firstLine="480" w:firstLineChars="200"/>
        <w:rPr>
          <w:rFonts w:ascii="宋体" w:hAnsi="宋体" w:cs="宋体"/>
          <w:bCs/>
          <w:color w:val="000000" w:themeColor="text1"/>
          <w:sz w:val="24"/>
          <w:highlight w:val="none"/>
          <w:lang w:val="zh-CN"/>
        </w:rPr>
      </w:pPr>
      <w:r>
        <w:rPr>
          <w:rFonts w:hint="eastAsia" w:ascii="宋体" w:hAnsi="宋体" w:cs="宋体"/>
          <w:bCs/>
          <w:color w:val="000000" w:themeColor="text1"/>
          <w:sz w:val="24"/>
          <w:highlight w:val="none"/>
        </w:rPr>
        <w:t>4、</w:t>
      </w:r>
      <w:r>
        <w:rPr>
          <w:rFonts w:hint="eastAsia" w:ascii="宋体" w:hAnsi="宋体" w:cs="宋体"/>
          <w:bCs/>
          <w:color w:val="000000" w:themeColor="text1"/>
          <w:sz w:val="24"/>
          <w:highlight w:val="none"/>
          <w:lang w:val="zh-CN"/>
        </w:rPr>
        <w:t>数字证书办理及投标技术咨询：</w:t>
      </w:r>
      <w:r>
        <w:rPr>
          <w:rFonts w:hint="eastAsia" w:ascii="宋体" w:hAnsi="宋体" w:cs="宋体"/>
          <w:bCs/>
          <w:color w:val="000000" w:themeColor="text1"/>
          <w:sz w:val="24"/>
          <w:highlight w:val="none"/>
        </w:rPr>
        <w:t>供应商</w:t>
      </w:r>
      <w:r>
        <w:rPr>
          <w:rFonts w:hint="eastAsia" w:ascii="宋体" w:hAnsi="宋体" w:cs="宋体"/>
          <w:bCs/>
          <w:color w:val="000000" w:themeColor="text1"/>
          <w:sz w:val="24"/>
          <w:highlight w:val="none"/>
          <w:lang w:val="zh-CN"/>
        </w:rPr>
        <w:t>须办理数字证书方可参加投标。供应商须自行考虑数字证书办理时限，由于供应商自身原因在开标前无法完成办理，后果自负。</w:t>
      </w:r>
    </w:p>
    <w:p w14:paraId="62927C2B">
      <w:pPr>
        <w:wordWrap w:val="0"/>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5、若对项目采购电子交易系统操作有疑问，可登录“政采云”平台（https://www.zcygov.cn/）点击右侧咨询小采，获取采小蜜智能服务管家帮助，或拨打政采云服务热线95763获取热线服务帮助。</w:t>
      </w:r>
    </w:p>
    <w:p w14:paraId="0FD77C71">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6、因企业CA锁原因未能进行解密的，其投标无效。</w:t>
      </w:r>
    </w:p>
    <w:p w14:paraId="4C0AF3F1">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7、采购项目需要落实的政府采购政策:《政府采购促进中小企业发展管理办法》（财库〔2020〕46号）、《关于促进残疾人就业政府采购政策的通知》（财库〔2017〕141号）、《关于政府采购支持监狱企业发展有关问题的通知》(财库〔2014〕68号)、《国务院办公厅关于建立政府强制采购节能产品制度的通知》（国办发〔2007〕51号）、《关于调整优化节能产品、环境标志产品政府采购执行机制的通知》（财库〔2019〕9号）等国家最新政策。</w:t>
      </w:r>
    </w:p>
    <w:p w14:paraId="312CC950">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8、本次公告在“政采云”平台（http:// www.zcygov.cn），同步推送到吉林省政府采购网（http://www.ccgp-jilin.gov.cn/），并同时在中国政府采购网上发布。</w:t>
      </w:r>
    </w:p>
    <w:p w14:paraId="36677F90">
      <w:pPr>
        <w:autoSpaceDE w:val="0"/>
        <w:autoSpaceDN w:val="0"/>
        <w:adjustRightInd w:val="0"/>
        <w:spacing w:line="460" w:lineRule="exact"/>
        <w:rPr>
          <w:rFonts w:ascii="宋体" w:hAnsi="宋体" w:cs="宋体"/>
          <w:b/>
          <w:color w:val="000000" w:themeColor="text1"/>
          <w:sz w:val="24"/>
          <w:highlight w:val="none"/>
        </w:rPr>
      </w:pPr>
      <w:r>
        <w:rPr>
          <w:rFonts w:hint="eastAsia" w:ascii="宋体" w:hAnsi="宋体" w:cs="宋体"/>
          <w:b/>
          <w:color w:val="000000" w:themeColor="text1"/>
          <w:sz w:val="24"/>
          <w:highlight w:val="none"/>
        </w:rPr>
        <w:t>九、对本次磋商提出询问，请按以下方式联系。</w:t>
      </w:r>
    </w:p>
    <w:p w14:paraId="074DA0B6">
      <w:pPr>
        <w:autoSpaceDE w:val="0"/>
        <w:autoSpaceDN w:val="0"/>
        <w:adjustRightInd w:val="0"/>
        <w:spacing w:line="460" w:lineRule="exact"/>
        <w:ind w:firstLine="480" w:firstLineChars="200"/>
        <w:rPr>
          <w:rFonts w:ascii="宋体" w:hAnsi="宋体" w:cs="宋体"/>
          <w:bCs/>
          <w:color w:val="000000" w:themeColor="text1"/>
          <w:sz w:val="24"/>
          <w:highlight w:val="none"/>
        </w:rPr>
      </w:pPr>
      <w:bookmarkStart w:id="7" w:name="_Toc35393637"/>
      <w:bookmarkStart w:id="8" w:name="_Toc35393806"/>
      <w:bookmarkStart w:id="9" w:name="_Toc28359019"/>
      <w:bookmarkStart w:id="10" w:name="_Toc28359096"/>
      <w:r>
        <w:rPr>
          <w:rFonts w:hint="eastAsia" w:ascii="宋体" w:hAnsi="宋体" w:cs="宋体"/>
          <w:bCs/>
          <w:color w:val="000000" w:themeColor="text1"/>
          <w:sz w:val="24"/>
          <w:highlight w:val="none"/>
        </w:rPr>
        <w:t>1.采购人信息</w:t>
      </w:r>
      <w:bookmarkEnd w:id="7"/>
      <w:bookmarkEnd w:id="8"/>
      <w:bookmarkEnd w:id="9"/>
      <w:bookmarkEnd w:id="10"/>
    </w:p>
    <w:p w14:paraId="57B5E406">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名    称：延吉市急救中心（延边紧急救援中心）</w:t>
      </w:r>
    </w:p>
    <w:p w14:paraId="746AF5AA">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 xml:space="preserve">地    </w:t>
      </w:r>
      <w:r>
        <w:rPr>
          <w:rFonts w:hint="eastAsia" w:ascii="宋体" w:hAnsi="宋体" w:cs="宋体"/>
          <w:bCs/>
          <w:color w:val="000000" w:themeColor="text1"/>
          <w:sz w:val="24"/>
          <w:highlight w:val="none"/>
        </w:rPr>
        <w:t>址：吉林省延吉市朝阳街南阳社区双阳委</w:t>
      </w:r>
    </w:p>
    <w:p w14:paraId="1EB7AF60">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联系方式：徐鹏0433-2500129</w:t>
      </w:r>
    </w:p>
    <w:p w14:paraId="2C3F8065">
      <w:pPr>
        <w:autoSpaceDE w:val="0"/>
        <w:autoSpaceDN w:val="0"/>
        <w:adjustRightInd w:val="0"/>
        <w:spacing w:line="460" w:lineRule="exact"/>
        <w:ind w:firstLine="480" w:firstLineChars="200"/>
        <w:rPr>
          <w:rFonts w:ascii="宋体" w:hAnsi="宋体" w:cs="宋体"/>
          <w:bCs/>
          <w:color w:val="000000" w:themeColor="text1"/>
          <w:sz w:val="24"/>
          <w:highlight w:val="none"/>
        </w:rPr>
      </w:pPr>
      <w:bookmarkStart w:id="11" w:name="_Toc28359020"/>
      <w:bookmarkStart w:id="12" w:name="_Toc28359097"/>
      <w:bookmarkStart w:id="13" w:name="_Toc35393638"/>
      <w:bookmarkStart w:id="14" w:name="_Toc35393807"/>
      <w:r>
        <w:rPr>
          <w:rFonts w:hint="eastAsia" w:ascii="宋体" w:hAnsi="宋体" w:cs="宋体"/>
          <w:bCs/>
          <w:color w:val="000000" w:themeColor="text1"/>
          <w:sz w:val="24"/>
          <w:highlight w:val="none"/>
        </w:rPr>
        <w:t>2.采购代理机构信息</w:t>
      </w:r>
      <w:bookmarkEnd w:id="11"/>
      <w:bookmarkEnd w:id="12"/>
      <w:bookmarkEnd w:id="13"/>
      <w:bookmarkEnd w:id="14"/>
    </w:p>
    <w:p w14:paraId="1FD208B5">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名    称：吉林省天一工程管理有限公司</w:t>
      </w:r>
    </w:p>
    <w:p w14:paraId="269D45FA">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地    址：</w:t>
      </w:r>
      <w:r>
        <w:rPr>
          <w:rFonts w:hint="eastAsia" w:ascii="宋体" w:hAnsi="宋体" w:cs="宋体"/>
          <w:bCs/>
          <w:color w:val="000000" w:themeColor="text1"/>
          <w:sz w:val="24"/>
          <w:highlight w:val="none"/>
          <w:lang w:eastAsia="zh-CN"/>
        </w:rPr>
        <w:t>长春市二道区远达大街826号长春红星美凯龙全球家居生活广场4号楼1003号房</w:t>
      </w:r>
      <w:r>
        <w:rPr>
          <w:rFonts w:hint="eastAsia" w:ascii="宋体" w:hAnsi="宋体" w:cs="宋体"/>
          <w:bCs/>
          <w:color w:val="000000" w:themeColor="text1"/>
          <w:sz w:val="24"/>
          <w:highlight w:val="none"/>
        </w:rPr>
        <w:t xml:space="preserve"> </w:t>
      </w:r>
    </w:p>
    <w:p w14:paraId="38EB2DCD">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联系方式：</w:t>
      </w:r>
      <w:r>
        <w:rPr>
          <w:rFonts w:hint="eastAsia" w:ascii="宋体" w:hAnsi="宋体" w:cs="宋体"/>
          <w:bCs/>
          <w:color w:val="000000" w:themeColor="text1"/>
          <w:sz w:val="24"/>
          <w:highlight w:val="none"/>
          <w:lang w:val="zh-CN"/>
        </w:rPr>
        <w:t>曲梦妮</w:t>
      </w:r>
      <w:r>
        <w:rPr>
          <w:rFonts w:hint="eastAsia" w:ascii="宋体" w:hAnsi="宋体" w:cs="宋体"/>
          <w:bCs/>
          <w:color w:val="000000" w:themeColor="text1"/>
          <w:sz w:val="24"/>
          <w:highlight w:val="none"/>
        </w:rPr>
        <w:t>0433-2809090</w:t>
      </w:r>
    </w:p>
    <w:p w14:paraId="183DF774">
      <w:pPr>
        <w:autoSpaceDE w:val="0"/>
        <w:autoSpaceDN w:val="0"/>
        <w:adjustRightInd w:val="0"/>
        <w:spacing w:line="460" w:lineRule="exact"/>
        <w:ind w:firstLine="480" w:firstLineChars="200"/>
        <w:rPr>
          <w:rFonts w:ascii="宋体" w:hAnsi="宋体" w:cs="宋体"/>
          <w:bCs/>
          <w:color w:val="000000" w:themeColor="text1"/>
          <w:sz w:val="24"/>
          <w:highlight w:val="none"/>
        </w:rPr>
      </w:pPr>
      <w:bookmarkStart w:id="15" w:name="_Toc35393639"/>
      <w:bookmarkStart w:id="16" w:name="_Toc28359098"/>
      <w:bookmarkStart w:id="17" w:name="_Toc28359021"/>
      <w:bookmarkStart w:id="18" w:name="_Toc35393808"/>
      <w:r>
        <w:rPr>
          <w:rFonts w:hint="eastAsia" w:ascii="宋体" w:hAnsi="宋体" w:cs="宋体"/>
          <w:bCs/>
          <w:color w:val="000000" w:themeColor="text1"/>
          <w:sz w:val="24"/>
          <w:highlight w:val="none"/>
        </w:rPr>
        <w:t>3.项目联系方式</w:t>
      </w:r>
      <w:bookmarkEnd w:id="15"/>
      <w:bookmarkEnd w:id="16"/>
      <w:bookmarkEnd w:id="17"/>
      <w:bookmarkEnd w:id="18"/>
    </w:p>
    <w:p w14:paraId="4C63750E">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项目联系人：曲梦妮</w:t>
      </w:r>
    </w:p>
    <w:p w14:paraId="438504C2">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电　  话：0433-2809090</w:t>
      </w:r>
    </w:p>
    <w:p w14:paraId="2DF7115F">
      <w:pPr>
        <w:autoSpaceDE w:val="0"/>
        <w:autoSpaceDN w:val="0"/>
        <w:adjustRightInd w:val="0"/>
        <w:spacing w:line="460" w:lineRule="exact"/>
        <w:ind w:firstLine="480" w:firstLineChars="200"/>
        <w:rPr>
          <w:rFonts w:ascii="宋体" w:hAnsi="宋体" w:cs="宋体"/>
          <w:bCs/>
          <w:color w:val="000000" w:themeColor="text1"/>
          <w:sz w:val="24"/>
          <w:highlight w:val="none"/>
        </w:rPr>
      </w:pPr>
      <w:r>
        <w:rPr>
          <w:rFonts w:hint="eastAsia" w:ascii="宋体" w:hAnsi="宋体" w:cs="宋体"/>
          <w:bCs/>
          <w:color w:val="000000" w:themeColor="text1"/>
          <w:sz w:val="24"/>
          <w:highlight w:val="none"/>
        </w:rPr>
        <w:t>4.监督机构：延吉市财政局政府采购管理工作办公室</w:t>
      </w:r>
    </w:p>
    <w:p w14:paraId="6FACDEEC">
      <w:pPr>
        <w:autoSpaceDE w:val="0"/>
        <w:autoSpaceDN w:val="0"/>
        <w:adjustRightInd w:val="0"/>
        <w:spacing w:line="460" w:lineRule="exact"/>
        <w:ind w:firstLine="480" w:firstLineChars="200"/>
        <w:rPr>
          <w:rFonts w:ascii="宋体" w:hAnsi="宋体" w:cs="宋体"/>
          <w:bCs/>
          <w:color w:val="000000" w:themeColor="text1"/>
          <w:sz w:val="24"/>
          <w:highlight w:val="none"/>
          <w:lang w:val="zh-CN"/>
        </w:rPr>
        <w:sectPr>
          <w:footerReference r:id="rId10" w:type="default"/>
          <w:pgSz w:w="11906" w:h="16838"/>
          <w:pgMar w:top="1134" w:right="1134" w:bottom="1134" w:left="1134" w:header="851" w:footer="851" w:gutter="0"/>
          <w:pgNumType w:start="1"/>
          <w:cols w:space="720" w:num="1"/>
          <w:docGrid w:linePitch="312" w:charSpace="0"/>
        </w:sectPr>
      </w:pPr>
    </w:p>
    <w:p w14:paraId="00446A20">
      <w:pPr>
        <w:pStyle w:val="3"/>
        <w:rPr>
          <w:rFonts w:ascii="宋体" w:hAnsi="宋体" w:cs="宋体"/>
          <w:color w:val="000000" w:themeColor="text1"/>
          <w:kern w:val="2"/>
          <w:sz w:val="36"/>
          <w:szCs w:val="36"/>
          <w:highlight w:val="none"/>
        </w:rPr>
      </w:pPr>
      <w:bookmarkStart w:id="19" w:name="_Toc383794598"/>
      <w:bookmarkStart w:id="20" w:name="_Toc9784"/>
      <w:bookmarkStart w:id="21" w:name="_Toc291782331"/>
      <w:bookmarkStart w:id="22" w:name="_Toc325358490"/>
      <w:bookmarkStart w:id="23" w:name="_Toc184635071"/>
      <w:r>
        <w:rPr>
          <w:rFonts w:hint="eastAsia"/>
          <w:color w:val="000000" w:themeColor="text1"/>
          <w:highlight w:val="none"/>
        </w:rPr>
        <w:t>供应商须知</w:t>
      </w:r>
      <w:bookmarkEnd w:id="19"/>
      <w:bookmarkEnd w:id="20"/>
    </w:p>
    <w:p w14:paraId="6974C3D8">
      <w:pPr>
        <w:pStyle w:val="5"/>
        <w:spacing w:before="0" w:after="0" w:line="416" w:lineRule="auto"/>
        <w:jc w:val="center"/>
        <w:rPr>
          <w:color w:val="000000" w:themeColor="text1"/>
          <w:sz w:val="30"/>
          <w:szCs w:val="30"/>
          <w:highlight w:val="none"/>
        </w:rPr>
      </w:pPr>
      <w:bookmarkStart w:id="24" w:name="_Toc383794599"/>
      <w:r>
        <w:rPr>
          <w:rFonts w:hint="eastAsia"/>
          <w:color w:val="000000" w:themeColor="text1"/>
          <w:sz w:val="30"/>
          <w:szCs w:val="30"/>
          <w:highlight w:val="none"/>
        </w:rPr>
        <w:t>供应商须知前附表</w:t>
      </w:r>
      <w:bookmarkEnd w:id="24"/>
    </w:p>
    <w:tbl>
      <w:tblPr>
        <w:tblStyle w:val="38"/>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095"/>
        <w:gridCol w:w="6675"/>
      </w:tblGrid>
      <w:tr w14:paraId="7BE1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95" w:type="dxa"/>
            <w:vAlign w:val="center"/>
          </w:tcPr>
          <w:p w14:paraId="161F513A">
            <w:pPr>
              <w:spacing w:line="400" w:lineRule="exact"/>
              <w:jc w:val="center"/>
              <w:rPr>
                <w:color w:val="000000" w:themeColor="text1"/>
                <w:highlight w:val="none"/>
              </w:rPr>
            </w:pPr>
            <w:r>
              <w:rPr>
                <w:rFonts w:hint="eastAsia"/>
                <w:color w:val="000000" w:themeColor="text1"/>
                <w:highlight w:val="none"/>
              </w:rPr>
              <w:t>条款号</w:t>
            </w:r>
          </w:p>
        </w:tc>
        <w:tc>
          <w:tcPr>
            <w:tcW w:w="2095" w:type="dxa"/>
            <w:vAlign w:val="center"/>
          </w:tcPr>
          <w:p w14:paraId="2C5C0EFC">
            <w:pPr>
              <w:spacing w:line="400" w:lineRule="exact"/>
              <w:jc w:val="center"/>
              <w:rPr>
                <w:color w:val="000000" w:themeColor="text1"/>
                <w:highlight w:val="none"/>
              </w:rPr>
            </w:pPr>
            <w:r>
              <w:rPr>
                <w:rFonts w:hint="eastAsia"/>
                <w:color w:val="000000" w:themeColor="text1"/>
                <w:highlight w:val="none"/>
              </w:rPr>
              <w:t>条款名称</w:t>
            </w:r>
          </w:p>
        </w:tc>
        <w:tc>
          <w:tcPr>
            <w:tcW w:w="6675" w:type="dxa"/>
            <w:vAlign w:val="center"/>
          </w:tcPr>
          <w:p w14:paraId="3133EE36">
            <w:pPr>
              <w:spacing w:line="400" w:lineRule="exact"/>
              <w:jc w:val="center"/>
              <w:rPr>
                <w:color w:val="000000" w:themeColor="text1"/>
                <w:highlight w:val="none"/>
              </w:rPr>
            </w:pPr>
            <w:r>
              <w:rPr>
                <w:rFonts w:hint="eastAsia"/>
                <w:color w:val="000000" w:themeColor="text1"/>
                <w:highlight w:val="none"/>
              </w:rPr>
              <w:t>编列内容</w:t>
            </w:r>
          </w:p>
        </w:tc>
      </w:tr>
      <w:tr w14:paraId="0D11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95" w:type="dxa"/>
            <w:vAlign w:val="center"/>
          </w:tcPr>
          <w:p w14:paraId="4BD4BD89">
            <w:pPr>
              <w:spacing w:line="400" w:lineRule="exact"/>
              <w:jc w:val="center"/>
              <w:rPr>
                <w:color w:val="000000" w:themeColor="text1"/>
                <w:highlight w:val="none"/>
              </w:rPr>
            </w:pPr>
            <w:r>
              <w:rPr>
                <w:rFonts w:hint="eastAsia"/>
                <w:color w:val="000000" w:themeColor="text1"/>
                <w:highlight w:val="none"/>
              </w:rPr>
              <w:t>1.1.2</w:t>
            </w:r>
          </w:p>
        </w:tc>
        <w:tc>
          <w:tcPr>
            <w:tcW w:w="2095" w:type="dxa"/>
            <w:vAlign w:val="center"/>
          </w:tcPr>
          <w:p w14:paraId="5062DB15">
            <w:pPr>
              <w:spacing w:line="400" w:lineRule="exact"/>
              <w:jc w:val="center"/>
              <w:rPr>
                <w:color w:val="000000" w:themeColor="text1"/>
                <w:highlight w:val="none"/>
              </w:rPr>
            </w:pPr>
            <w:r>
              <w:rPr>
                <w:rFonts w:hint="eastAsia"/>
                <w:color w:val="000000" w:themeColor="text1"/>
                <w:highlight w:val="none"/>
              </w:rPr>
              <w:t>采购人</w:t>
            </w:r>
          </w:p>
        </w:tc>
        <w:tc>
          <w:tcPr>
            <w:tcW w:w="6675" w:type="dxa"/>
            <w:vAlign w:val="center"/>
          </w:tcPr>
          <w:p w14:paraId="7F0C70C7">
            <w:pPr>
              <w:spacing w:line="400" w:lineRule="exact"/>
              <w:rPr>
                <w:rFonts w:ascii="宋体" w:hAnsi="宋体" w:cs="微软雅黑"/>
                <w:color w:val="000000" w:themeColor="text1"/>
                <w:szCs w:val="21"/>
                <w:highlight w:val="none"/>
              </w:rPr>
            </w:pPr>
            <w:r>
              <w:rPr>
                <w:rFonts w:ascii="宋体" w:hAnsi="宋体" w:cs="微软雅黑"/>
                <w:color w:val="000000" w:themeColor="text1"/>
                <w:szCs w:val="21"/>
                <w:highlight w:val="none"/>
              </w:rPr>
              <w:t>名  称：</w:t>
            </w:r>
            <w:r>
              <w:rPr>
                <w:rFonts w:hint="eastAsia" w:ascii="宋体" w:hAnsi="宋体" w:cs="微软雅黑"/>
                <w:color w:val="000000" w:themeColor="text1"/>
                <w:szCs w:val="21"/>
                <w:highlight w:val="none"/>
              </w:rPr>
              <w:t>延吉市急救中心（延边紧急救援中心）</w:t>
            </w:r>
          </w:p>
          <w:p w14:paraId="048ADCB3">
            <w:pPr>
              <w:spacing w:line="400" w:lineRule="exact"/>
              <w:rPr>
                <w:rFonts w:ascii="宋体" w:hAnsi="宋体" w:cs="微软雅黑"/>
                <w:color w:val="000000" w:themeColor="text1"/>
                <w:szCs w:val="21"/>
                <w:highlight w:val="none"/>
              </w:rPr>
            </w:pPr>
            <w:r>
              <w:rPr>
                <w:rFonts w:ascii="宋体" w:hAnsi="宋体" w:cs="微软雅黑"/>
                <w:color w:val="000000" w:themeColor="text1"/>
                <w:szCs w:val="21"/>
                <w:highlight w:val="none"/>
              </w:rPr>
              <w:t>地  址：</w:t>
            </w:r>
            <w:r>
              <w:rPr>
                <w:rFonts w:hint="eastAsia" w:ascii="宋体" w:hAnsi="宋体" w:cs="微软雅黑"/>
                <w:color w:val="000000" w:themeColor="text1"/>
                <w:szCs w:val="21"/>
                <w:highlight w:val="none"/>
              </w:rPr>
              <w:t>吉林省延吉市朝阳街南阳社区双阳委</w:t>
            </w:r>
          </w:p>
          <w:p w14:paraId="053EBB2F">
            <w:pPr>
              <w:spacing w:line="400" w:lineRule="exact"/>
              <w:rPr>
                <w:rFonts w:ascii="宋体" w:hAnsi="宋体" w:cs="微软雅黑"/>
                <w:color w:val="000000" w:themeColor="text1"/>
                <w:szCs w:val="21"/>
                <w:highlight w:val="none"/>
              </w:rPr>
            </w:pPr>
            <w:r>
              <w:rPr>
                <w:rFonts w:ascii="宋体" w:hAnsi="宋体" w:cs="微软雅黑"/>
                <w:color w:val="000000" w:themeColor="text1"/>
                <w:szCs w:val="21"/>
                <w:highlight w:val="none"/>
              </w:rPr>
              <w:t>联系人：</w:t>
            </w:r>
            <w:r>
              <w:rPr>
                <w:rFonts w:hint="eastAsia" w:ascii="宋体" w:hAnsi="宋体" w:cs="微软雅黑"/>
                <w:color w:val="000000" w:themeColor="text1"/>
                <w:szCs w:val="21"/>
                <w:highlight w:val="none"/>
              </w:rPr>
              <w:t>徐鹏</w:t>
            </w:r>
          </w:p>
          <w:p w14:paraId="5A403E2F">
            <w:pPr>
              <w:spacing w:line="400" w:lineRule="exact"/>
              <w:rPr>
                <w:rFonts w:ascii="宋体" w:hAnsi="宋体" w:cs="微软雅黑"/>
                <w:color w:val="000000" w:themeColor="text1"/>
                <w:szCs w:val="21"/>
                <w:highlight w:val="none"/>
              </w:rPr>
            </w:pPr>
            <w:r>
              <w:rPr>
                <w:rFonts w:ascii="宋体" w:hAnsi="宋体" w:cs="微软雅黑"/>
                <w:color w:val="000000" w:themeColor="text1"/>
                <w:szCs w:val="21"/>
                <w:highlight w:val="none"/>
              </w:rPr>
              <w:t>电  话：</w:t>
            </w:r>
            <w:r>
              <w:rPr>
                <w:rFonts w:hint="eastAsia" w:ascii="宋体" w:hAnsi="宋体" w:cs="微软雅黑"/>
                <w:color w:val="000000" w:themeColor="text1"/>
                <w:szCs w:val="21"/>
                <w:highlight w:val="none"/>
              </w:rPr>
              <w:t>0433-2500129</w:t>
            </w:r>
          </w:p>
        </w:tc>
      </w:tr>
      <w:tr w14:paraId="7A24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11CB9DE1">
            <w:pPr>
              <w:spacing w:line="400" w:lineRule="exact"/>
              <w:jc w:val="center"/>
              <w:rPr>
                <w:color w:val="000000" w:themeColor="text1"/>
                <w:highlight w:val="none"/>
              </w:rPr>
            </w:pPr>
            <w:r>
              <w:rPr>
                <w:rFonts w:hint="eastAsia"/>
                <w:color w:val="000000" w:themeColor="text1"/>
                <w:highlight w:val="none"/>
              </w:rPr>
              <w:t>1.1.3</w:t>
            </w:r>
          </w:p>
        </w:tc>
        <w:tc>
          <w:tcPr>
            <w:tcW w:w="2095" w:type="dxa"/>
            <w:vAlign w:val="center"/>
          </w:tcPr>
          <w:p w14:paraId="2DB2FFAE">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采购代理机构</w:t>
            </w:r>
          </w:p>
        </w:tc>
        <w:tc>
          <w:tcPr>
            <w:tcW w:w="6675" w:type="dxa"/>
            <w:vAlign w:val="center"/>
          </w:tcPr>
          <w:p w14:paraId="115EB6B8">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名    称：</w:t>
            </w:r>
            <w:r>
              <w:rPr>
                <w:rFonts w:hint="eastAsia" w:ascii="宋体" w:hAnsi="宋体" w:cs="微软雅黑"/>
                <w:color w:val="000000" w:themeColor="text1"/>
                <w:szCs w:val="21"/>
                <w:highlight w:val="none"/>
                <w:lang w:val="zh-CN"/>
              </w:rPr>
              <w:t>吉林省天一工程管理有限公司</w:t>
            </w:r>
          </w:p>
          <w:p w14:paraId="7807322A">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地    址：</w:t>
            </w:r>
            <w:r>
              <w:rPr>
                <w:rFonts w:hint="eastAsia" w:ascii="宋体" w:hAnsi="宋体" w:cs="微软雅黑"/>
                <w:color w:val="000000" w:themeColor="text1"/>
                <w:szCs w:val="21"/>
                <w:highlight w:val="none"/>
                <w:lang w:eastAsia="zh-CN"/>
              </w:rPr>
              <w:t>长春市二道区远达大街826号长春红星美凯龙全球家居生活广场4号楼1003号房</w:t>
            </w:r>
            <w:r>
              <w:rPr>
                <w:rFonts w:hint="eastAsia" w:ascii="宋体" w:hAnsi="宋体" w:cs="微软雅黑"/>
                <w:color w:val="000000" w:themeColor="text1"/>
                <w:szCs w:val="21"/>
                <w:highlight w:val="none"/>
              </w:rPr>
              <w:t xml:space="preserve">      </w:t>
            </w:r>
          </w:p>
          <w:p w14:paraId="13E2349A">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 xml:space="preserve">联系人：曲梦妮     </w:t>
            </w:r>
          </w:p>
          <w:p w14:paraId="200FE063">
            <w:pPr>
              <w:spacing w:line="400" w:lineRule="exact"/>
              <w:rPr>
                <w:color w:val="000000" w:themeColor="text1"/>
                <w:highlight w:val="none"/>
              </w:rPr>
            </w:pPr>
            <w:r>
              <w:rPr>
                <w:rFonts w:hint="eastAsia" w:ascii="宋体" w:hAnsi="宋体" w:cs="微软雅黑"/>
                <w:color w:val="000000" w:themeColor="text1"/>
                <w:szCs w:val="21"/>
                <w:highlight w:val="none"/>
              </w:rPr>
              <w:t>联系方式：0433-2809090</w:t>
            </w:r>
          </w:p>
        </w:tc>
      </w:tr>
      <w:tr w14:paraId="7839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5" w:type="dxa"/>
            <w:vAlign w:val="center"/>
          </w:tcPr>
          <w:p w14:paraId="21E51136">
            <w:pPr>
              <w:spacing w:line="400" w:lineRule="exact"/>
              <w:jc w:val="center"/>
              <w:rPr>
                <w:color w:val="000000" w:themeColor="text1"/>
                <w:highlight w:val="none"/>
              </w:rPr>
            </w:pPr>
            <w:r>
              <w:rPr>
                <w:rFonts w:hint="eastAsia"/>
                <w:color w:val="000000" w:themeColor="text1"/>
                <w:highlight w:val="none"/>
              </w:rPr>
              <w:t>1.1.4</w:t>
            </w:r>
          </w:p>
        </w:tc>
        <w:tc>
          <w:tcPr>
            <w:tcW w:w="2095" w:type="dxa"/>
            <w:vAlign w:val="center"/>
          </w:tcPr>
          <w:p w14:paraId="6ACC28EE">
            <w:pPr>
              <w:spacing w:line="400" w:lineRule="exact"/>
              <w:jc w:val="center"/>
              <w:rPr>
                <w:color w:val="000000" w:themeColor="text1"/>
                <w:highlight w:val="none"/>
              </w:rPr>
            </w:pPr>
            <w:r>
              <w:rPr>
                <w:rFonts w:hint="eastAsia"/>
                <w:color w:val="000000" w:themeColor="text1"/>
                <w:highlight w:val="none"/>
              </w:rPr>
              <w:t>项目名称</w:t>
            </w:r>
          </w:p>
        </w:tc>
        <w:tc>
          <w:tcPr>
            <w:tcW w:w="6675" w:type="dxa"/>
            <w:vAlign w:val="center"/>
          </w:tcPr>
          <w:p w14:paraId="4C014D4C">
            <w:pPr>
              <w:spacing w:line="400" w:lineRule="exact"/>
              <w:rPr>
                <w:rFonts w:hint="eastAsia" w:ascii="宋体" w:hAnsi="宋体" w:eastAsia="宋体" w:cs="微软雅黑"/>
                <w:color w:val="000000" w:themeColor="text1"/>
                <w:szCs w:val="21"/>
                <w:highlight w:val="none"/>
                <w:lang w:eastAsia="zh-CN"/>
              </w:rPr>
            </w:pPr>
            <w:r>
              <w:rPr>
                <w:rFonts w:hint="eastAsia" w:ascii="宋体" w:hAnsi="宋体" w:cs="微软雅黑"/>
                <w:color w:val="000000" w:themeColor="text1"/>
                <w:szCs w:val="21"/>
                <w:highlight w:val="none"/>
                <w:lang w:eastAsia="zh-CN"/>
              </w:rPr>
              <w:t>2025年中型监护型救护车采购项目（二次）</w:t>
            </w:r>
          </w:p>
        </w:tc>
      </w:tr>
      <w:tr w14:paraId="6180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5" w:type="dxa"/>
            <w:vAlign w:val="center"/>
          </w:tcPr>
          <w:p w14:paraId="2049FFE2">
            <w:pPr>
              <w:spacing w:line="400" w:lineRule="exact"/>
              <w:jc w:val="center"/>
              <w:rPr>
                <w:color w:val="000000" w:themeColor="text1"/>
                <w:highlight w:val="none"/>
              </w:rPr>
            </w:pPr>
            <w:r>
              <w:rPr>
                <w:rFonts w:hint="eastAsia"/>
                <w:color w:val="000000" w:themeColor="text1"/>
                <w:highlight w:val="none"/>
              </w:rPr>
              <w:t>1.1.5</w:t>
            </w:r>
          </w:p>
        </w:tc>
        <w:tc>
          <w:tcPr>
            <w:tcW w:w="2095" w:type="dxa"/>
            <w:vAlign w:val="center"/>
          </w:tcPr>
          <w:p w14:paraId="19A164C1">
            <w:pPr>
              <w:spacing w:line="400" w:lineRule="exact"/>
              <w:jc w:val="center"/>
              <w:rPr>
                <w:color w:val="000000" w:themeColor="text1"/>
                <w:highlight w:val="none"/>
              </w:rPr>
            </w:pPr>
            <w:r>
              <w:rPr>
                <w:rFonts w:hint="eastAsia"/>
                <w:color w:val="000000" w:themeColor="text1"/>
                <w:highlight w:val="none"/>
              </w:rPr>
              <w:t>供货地点</w:t>
            </w:r>
          </w:p>
        </w:tc>
        <w:tc>
          <w:tcPr>
            <w:tcW w:w="6675" w:type="dxa"/>
            <w:vAlign w:val="center"/>
          </w:tcPr>
          <w:p w14:paraId="4621AEE7">
            <w:pPr>
              <w:spacing w:line="400" w:lineRule="exact"/>
              <w:rPr>
                <w:rFonts w:ascii="宋体" w:hAnsi="宋体" w:cs="微软雅黑"/>
                <w:color w:val="000000" w:themeColor="text1"/>
                <w:szCs w:val="21"/>
                <w:highlight w:val="none"/>
              </w:rPr>
            </w:pPr>
            <w:r>
              <w:rPr>
                <w:rFonts w:hint="eastAsia"/>
                <w:szCs w:val="21"/>
                <w:highlight w:val="none"/>
              </w:rPr>
              <w:t>延吉市急救中心（延边紧急救援中心）</w:t>
            </w:r>
          </w:p>
        </w:tc>
      </w:tr>
      <w:tr w14:paraId="0F14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5" w:type="dxa"/>
            <w:vAlign w:val="center"/>
          </w:tcPr>
          <w:p w14:paraId="009E3C53">
            <w:pPr>
              <w:spacing w:line="400" w:lineRule="exact"/>
              <w:jc w:val="center"/>
              <w:rPr>
                <w:color w:val="000000" w:themeColor="text1"/>
                <w:highlight w:val="none"/>
              </w:rPr>
            </w:pPr>
            <w:r>
              <w:rPr>
                <w:rFonts w:hint="eastAsia"/>
                <w:color w:val="000000" w:themeColor="text1"/>
                <w:highlight w:val="none"/>
              </w:rPr>
              <w:t>1.2.1</w:t>
            </w:r>
          </w:p>
        </w:tc>
        <w:tc>
          <w:tcPr>
            <w:tcW w:w="2095" w:type="dxa"/>
            <w:vAlign w:val="center"/>
          </w:tcPr>
          <w:p w14:paraId="4FF2C382">
            <w:pPr>
              <w:spacing w:line="400" w:lineRule="exact"/>
              <w:jc w:val="center"/>
              <w:rPr>
                <w:color w:val="000000" w:themeColor="text1"/>
                <w:highlight w:val="none"/>
              </w:rPr>
            </w:pPr>
            <w:r>
              <w:rPr>
                <w:rFonts w:hint="eastAsia"/>
                <w:color w:val="000000" w:themeColor="text1"/>
                <w:highlight w:val="none"/>
              </w:rPr>
              <w:t>资金来源</w:t>
            </w:r>
          </w:p>
        </w:tc>
        <w:tc>
          <w:tcPr>
            <w:tcW w:w="6675" w:type="dxa"/>
            <w:vAlign w:val="center"/>
          </w:tcPr>
          <w:p w14:paraId="1FAA3228">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财政资金</w:t>
            </w:r>
          </w:p>
        </w:tc>
      </w:tr>
      <w:tr w14:paraId="66B2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5" w:type="dxa"/>
            <w:vAlign w:val="center"/>
          </w:tcPr>
          <w:p w14:paraId="4D20DE3E">
            <w:pPr>
              <w:spacing w:line="400" w:lineRule="exact"/>
              <w:jc w:val="center"/>
              <w:rPr>
                <w:color w:val="000000" w:themeColor="text1"/>
                <w:highlight w:val="none"/>
              </w:rPr>
            </w:pPr>
            <w:r>
              <w:rPr>
                <w:rFonts w:hint="eastAsia"/>
                <w:color w:val="000000" w:themeColor="text1"/>
                <w:highlight w:val="none"/>
              </w:rPr>
              <w:t>1.2.2</w:t>
            </w:r>
          </w:p>
        </w:tc>
        <w:tc>
          <w:tcPr>
            <w:tcW w:w="2095" w:type="dxa"/>
            <w:vAlign w:val="center"/>
          </w:tcPr>
          <w:p w14:paraId="3EA1B0A7">
            <w:pPr>
              <w:spacing w:line="400" w:lineRule="exact"/>
              <w:jc w:val="center"/>
              <w:rPr>
                <w:color w:val="000000" w:themeColor="text1"/>
                <w:highlight w:val="none"/>
              </w:rPr>
            </w:pPr>
            <w:r>
              <w:rPr>
                <w:rFonts w:hint="eastAsia"/>
                <w:color w:val="000000" w:themeColor="text1"/>
                <w:highlight w:val="none"/>
              </w:rPr>
              <w:t>出资比例</w:t>
            </w:r>
          </w:p>
        </w:tc>
        <w:tc>
          <w:tcPr>
            <w:tcW w:w="6675" w:type="dxa"/>
            <w:vAlign w:val="center"/>
          </w:tcPr>
          <w:p w14:paraId="1033BA03">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100%</w:t>
            </w:r>
          </w:p>
        </w:tc>
      </w:tr>
      <w:tr w14:paraId="7A1C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5" w:type="dxa"/>
            <w:vAlign w:val="center"/>
          </w:tcPr>
          <w:p w14:paraId="6A092D50">
            <w:pPr>
              <w:spacing w:line="400" w:lineRule="exact"/>
              <w:jc w:val="center"/>
              <w:rPr>
                <w:color w:val="000000" w:themeColor="text1"/>
                <w:highlight w:val="none"/>
              </w:rPr>
            </w:pPr>
            <w:r>
              <w:rPr>
                <w:rFonts w:hint="eastAsia"/>
                <w:color w:val="000000" w:themeColor="text1"/>
                <w:highlight w:val="none"/>
              </w:rPr>
              <w:t>1.2.3</w:t>
            </w:r>
          </w:p>
        </w:tc>
        <w:tc>
          <w:tcPr>
            <w:tcW w:w="2095" w:type="dxa"/>
            <w:vAlign w:val="center"/>
          </w:tcPr>
          <w:p w14:paraId="2B4C09D0">
            <w:pPr>
              <w:spacing w:line="400" w:lineRule="exact"/>
              <w:jc w:val="center"/>
              <w:rPr>
                <w:color w:val="000000" w:themeColor="text1"/>
                <w:highlight w:val="none"/>
              </w:rPr>
            </w:pPr>
            <w:r>
              <w:rPr>
                <w:rFonts w:hint="eastAsia"/>
                <w:color w:val="000000" w:themeColor="text1"/>
                <w:highlight w:val="none"/>
              </w:rPr>
              <w:t>资金落实情况</w:t>
            </w:r>
          </w:p>
        </w:tc>
        <w:tc>
          <w:tcPr>
            <w:tcW w:w="6675" w:type="dxa"/>
            <w:vAlign w:val="center"/>
          </w:tcPr>
          <w:p w14:paraId="7BC0935A">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已落实</w:t>
            </w:r>
          </w:p>
        </w:tc>
      </w:tr>
      <w:tr w14:paraId="589E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95" w:type="dxa"/>
            <w:vAlign w:val="center"/>
          </w:tcPr>
          <w:p w14:paraId="70AF0B4E">
            <w:pPr>
              <w:spacing w:line="400" w:lineRule="exact"/>
              <w:jc w:val="center"/>
              <w:rPr>
                <w:color w:val="000000" w:themeColor="text1"/>
                <w:highlight w:val="none"/>
              </w:rPr>
            </w:pPr>
            <w:r>
              <w:rPr>
                <w:rFonts w:hint="eastAsia"/>
                <w:color w:val="000000" w:themeColor="text1"/>
                <w:highlight w:val="none"/>
              </w:rPr>
              <w:t>1.3.1</w:t>
            </w:r>
          </w:p>
        </w:tc>
        <w:tc>
          <w:tcPr>
            <w:tcW w:w="2095" w:type="dxa"/>
            <w:vAlign w:val="center"/>
          </w:tcPr>
          <w:p w14:paraId="430AB533">
            <w:pPr>
              <w:spacing w:line="400" w:lineRule="exac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采购内容</w:t>
            </w:r>
          </w:p>
        </w:tc>
        <w:tc>
          <w:tcPr>
            <w:tcW w:w="6675" w:type="dxa"/>
            <w:vAlign w:val="center"/>
          </w:tcPr>
          <w:p w14:paraId="06CAEF7A">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lang w:eastAsia="zh-CN"/>
              </w:rPr>
              <w:t>2025年中型监护型救护车采购项目（二次）</w:t>
            </w:r>
            <w:r>
              <w:rPr>
                <w:rFonts w:hint="eastAsia" w:ascii="宋体" w:hAnsi="宋体" w:cs="微软雅黑"/>
                <w:color w:val="000000" w:themeColor="text1"/>
                <w:szCs w:val="21"/>
                <w:highlight w:val="none"/>
              </w:rPr>
              <w:t>，具体内容详见采购需求</w:t>
            </w:r>
          </w:p>
        </w:tc>
      </w:tr>
      <w:tr w14:paraId="18CF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Align w:val="center"/>
          </w:tcPr>
          <w:p w14:paraId="5635DC38">
            <w:pPr>
              <w:spacing w:line="400" w:lineRule="exact"/>
              <w:jc w:val="center"/>
              <w:rPr>
                <w:color w:val="000000" w:themeColor="text1"/>
                <w:highlight w:val="none"/>
              </w:rPr>
            </w:pPr>
            <w:r>
              <w:rPr>
                <w:rFonts w:hint="eastAsia"/>
                <w:color w:val="000000" w:themeColor="text1"/>
                <w:highlight w:val="none"/>
              </w:rPr>
              <w:t>1.3.2</w:t>
            </w:r>
          </w:p>
        </w:tc>
        <w:tc>
          <w:tcPr>
            <w:tcW w:w="2095" w:type="dxa"/>
            <w:vAlign w:val="center"/>
          </w:tcPr>
          <w:p w14:paraId="5CF0CE7C">
            <w:pPr>
              <w:spacing w:line="400" w:lineRule="exact"/>
              <w:jc w:val="center"/>
              <w:rPr>
                <w:rFonts w:ascii="宋体" w:hAnsi="宋体"/>
                <w:color w:val="000000" w:themeColor="text1"/>
                <w:highlight w:val="none"/>
              </w:rPr>
            </w:pPr>
            <w:r>
              <w:rPr>
                <w:rFonts w:hint="eastAsia" w:ascii="宋体" w:hAnsi="宋体"/>
                <w:color w:val="000000" w:themeColor="text1"/>
                <w:highlight w:val="none"/>
              </w:rPr>
              <w:t>供货期限</w:t>
            </w:r>
          </w:p>
        </w:tc>
        <w:tc>
          <w:tcPr>
            <w:tcW w:w="6675" w:type="dxa"/>
            <w:shd w:val="clear" w:color="auto" w:fill="auto"/>
            <w:vAlign w:val="center"/>
          </w:tcPr>
          <w:p w14:paraId="0CEA91DA">
            <w:pPr>
              <w:spacing w:line="400" w:lineRule="exac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自合同签订之日起20日内安装调试完毕交付使用并验收合格（具体时间以实际合同为准）</w:t>
            </w:r>
          </w:p>
        </w:tc>
      </w:tr>
      <w:tr w14:paraId="7D0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5" w:type="dxa"/>
            <w:vAlign w:val="center"/>
          </w:tcPr>
          <w:p w14:paraId="6CA1EAFD">
            <w:pPr>
              <w:spacing w:line="400" w:lineRule="exact"/>
              <w:jc w:val="center"/>
              <w:rPr>
                <w:color w:val="000000" w:themeColor="text1"/>
                <w:highlight w:val="none"/>
              </w:rPr>
            </w:pPr>
            <w:r>
              <w:rPr>
                <w:rFonts w:hint="eastAsia"/>
                <w:color w:val="000000" w:themeColor="text1"/>
                <w:highlight w:val="none"/>
              </w:rPr>
              <w:t>1.3.3</w:t>
            </w:r>
          </w:p>
        </w:tc>
        <w:tc>
          <w:tcPr>
            <w:tcW w:w="2095" w:type="dxa"/>
            <w:vAlign w:val="center"/>
          </w:tcPr>
          <w:p w14:paraId="236E4FAF">
            <w:pPr>
              <w:spacing w:line="400" w:lineRule="exact"/>
              <w:jc w:val="center"/>
              <w:rPr>
                <w:color w:val="000000" w:themeColor="text1"/>
                <w:highlight w:val="none"/>
              </w:rPr>
            </w:pPr>
            <w:r>
              <w:rPr>
                <w:rFonts w:hint="eastAsia"/>
                <w:color w:val="000000" w:themeColor="text1"/>
                <w:highlight w:val="none"/>
              </w:rPr>
              <w:t>质量标准</w:t>
            </w:r>
          </w:p>
        </w:tc>
        <w:tc>
          <w:tcPr>
            <w:tcW w:w="6675" w:type="dxa"/>
            <w:vAlign w:val="center"/>
          </w:tcPr>
          <w:p w14:paraId="4A695F85">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符合现行国家、行业、地方或者其他相关标准的合格要求</w:t>
            </w:r>
          </w:p>
        </w:tc>
      </w:tr>
      <w:tr w14:paraId="5E20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95" w:type="dxa"/>
            <w:vAlign w:val="center"/>
          </w:tcPr>
          <w:p w14:paraId="360E8AC9">
            <w:pPr>
              <w:spacing w:line="400" w:lineRule="exact"/>
              <w:jc w:val="center"/>
              <w:rPr>
                <w:color w:val="000000" w:themeColor="text1"/>
                <w:highlight w:val="none"/>
              </w:rPr>
            </w:pPr>
            <w:r>
              <w:rPr>
                <w:rFonts w:hint="eastAsia"/>
                <w:color w:val="000000" w:themeColor="text1"/>
                <w:highlight w:val="none"/>
              </w:rPr>
              <w:t>1.4.1</w:t>
            </w:r>
          </w:p>
        </w:tc>
        <w:tc>
          <w:tcPr>
            <w:tcW w:w="2095" w:type="dxa"/>
            <w:vAlign w:val="center"/>
          </w:tcPr>
          <w:p w14:paraId="2256C900">
            <w:pPr>
              <w:spacing w:line="400" w:lineRule="exact"/>
              <w:jc w:val="center"/>
              <w:rPr>
                <w:color w:val="000000" w:themeColor="text1"/>
                <w:highlight w:val="none"/>
              </w:rPr>
            </w:pPr>
            <w:r>
              <w:rPr>
                <w:rFonts w:hint="eastAsia"/>
                <w:color w:val="000000" w:themeColor="text1"/>
                <w:highlight w:val="none"/>
              </w:rPr>
              <w:t>供应商资质条件、能力和信誉</w:t>
            </w:r>
          </w:p>
        </w:tc>
        <w:tc>
          <w:tcPr>
            <w:tcW w:w="6675" w:type="dxa"/>
            <w:vAlign w:val="center"/>
          </w:tcPr>
          <w:p w14:paraId="0BA3590D">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申请人的资格要求：</w:t>
            </w:r>
          </w:p>
          <w:p w14:paraId="1324F3B6">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1.满足《中华人民共和国政府采购法》第二十二条规定；</w:t>
            </w:r>
          </w:p>
          <w:p w14:paraId="550F1133">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2.落实政府采购政策需满足的资格：本项目全部面向中小企业采购采购；</w:t>
            </w:r>
          </w:p>
          <w:p w14:paraId="49A07308">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2.本项目的特定资格要求：</w:t>
            </w:r>
          </w:p>
          <w:p w14:paraId="337BB67E">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2.1本次招标要求供应商须具有独立承担民事责任的能力，具有有效的营业执照，供应商应具有履行合同所必须的设备和专业能力；</w:t>
            </w:r>
          </w:p>
          <w:p w14:paraId="546B85A5">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2.2.1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w:t>
            </w:r>
          </w:p>
          <w:p w14:paraId="781D6EC4">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2.2.2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p w14:paraId="0BFAE1D9">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2.2.3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w:t>
            </w:r>
          </w:p>
          <w:p w14:paraId="6CBE7A1D">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2.3供应商参加采购活动应当提交反映其财务状况、依法缴纳税收和社保保障资金情况的资格条件承诺函；</w:t>
            </w:r>
          </w:p>
          <w:p w14:paraId="7632BACD">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2.4信誉要求：</w:t>
            </w:r>
          </w:p>
          <w:p w14:paraId="38E6FBF8">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（1）供应商参加政府采购活动近3年内（2022年至今）在经营活动中没有重大违法记录；</w:t>
            </w:r>
          </w:p>
          <w:p w14:paraId="7A258E84">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（2）拒绝列入政府取消投标资格记录期间的企业或个人投标；</w:t>
            </w:r>
          </w:p>
          <w:p w14:paraId="7FC7997E">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（3）未被列入“信用中国”网站(www.creditchina.gov.cn)、失信被执行人、企业经营异常名录、重大税收违法失信主体；</w:t>
            </w:r>
          </w:p>
          <w:p w14:paraId="1FB16E8B">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（4）未被工商行政管理机关在全国企业信用信息公示系统中列入严重违法失信企业名单；</w:t>
            </w:r>
          </w:p>
          <w:p w14:paraId="5FC9F517">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（5）未被列入“中国政府采购网”(www.ccgp.gov.cn)政府采购严重违法失信行为记录名单的供应商；</w:t>
            </w:r>
          </w:p>
          <w:p w14:paraId="2983C7F3">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（6）“中国裁判文书网”（wenshu.court.gov.cn/）查询企业及法定代表人无行贿犯罪记录证明；</w:t>
            </w:r>
          </w:p>
          <w:p w14:paraId="5211A20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2.5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14:paraId="093A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5" w:type="dxa"/>
            <w:vAlign w:val="center"/>
          </w:tcPr>
          <w:p w14:paraId="07888116">
            <w:pPr>
              <w:spacing w:line="400" w:lineRule="exact"/>
              <w:jc w:val="center"/>
              <w:rPr>
                <w:color w:val="000000" w:themeColor="text1"/>
                <w:highlight w:val="none"/>
              </w:rPr>
            </w:pPr>
            <w:r>
              <w:rPr>
                <w:rFonts w:hint="eastAsia"/>
                <w:color w:val="000000" w:themeColor="text1"/>
                <w:highlight w:val="none"/>
              </w:rPr>
              <w:t>1.4.2</w:t>
            </w:r>
          </w:p>
        </w:tc>
        <w:tc>
          <w:tcPr>
            <w:tcW w:w="2095" w:type="dxa"/>
            <w:vAlign w:val="center"/>
          </w:tcPr>
          <w:p w14:paraId="494DF57C">
            <w:pPr>
              <w:spacing w:line="400" w:lineRule="exact"/>
              <w:jc w:val="center"/>
              <w:rPr>
                <w:color w:val="000000" w:themeColor="text1"/>
                <w:highlight w:val="none"/>
              </w:rPr>
            </w:pPr>
            <w:r>
              <w:rPr>
                <w:rFonts w:hint="eastAsia"/>
                <w:color w:val="000000" w:themeColor="text1"/>
                <w:highlight w:val="none"/>
              </w:rPr>
              <w:t>是否接受联合体投标</w:t>
            </w:r>
          </w:p>
        </w:tc>
        <w:tc>
          <w:tcPr>
            <w:tcW w:w="6675" w:type="dxa"/>
            <w:vAlign w:val="center"/>
          </w:tcPr>
          <w:p w14:paraId="2A9B2020">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不接受</w:t>
            </w:r>
          </w:p>
        </w:tc>
      </w:tr>
      <w:tr w14:paraId="47E6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5" w:type="dxa"/>
            <w:vAlign w:val="center"/>
          </w:tcPr>
          <w:p w14:paraId="7E22F374">
            <w:pPr>
              <w:spacing w:line="400" w:lineRule="exact"/>
              <w:jc w:val="center"/>
              <w:rPr>
                <w:color w:val="000000" w:themeColor="text1"/>
                <w:highlight w:val="none"/>
              </w:rPr>
            </w:pPr>
            <w:r>
              <w:rPr>
                <w:rFonts w:hint="eastAsia"/>
                <w:color w:val="000000" w:themeColor="text1"/>
                <w:highlight w:val="none"/>
              </w:rPr>
              <w:t>1.9.1</w:t>
            </w:r>
          </w:p>
        </w:tc>
        <w:tc>
          <w:tcPr>
            <w:tcW w:w="2095" w:type="dxa"/>
            <w:vAlign w:val="center"/>
          </w:tcPr>
          <w:p w14:paraId="19A8C987">
            <w:pPr>
              <w:spacing w:line="400" w:lineRule="exact"/>
              <w:jc w:val="center"/>
              <w:rPr>
                <w:color w:val="000000" w:themeColor="text1"/>
                <w:highlight w:val="none"/>
              </w:rPr>
            </w:pPr>
            <w:r>
              <w:rPr>
                <w:rFonts w:hint="eastAsia"/>
                <w:color w:val="000000" w:themeColor="text1"/>
                <w:highlight w:val="none"/>
              </w:rPr>
              <w:t>踏勘现场</w:t>
            </w:r>
          </w:p>
        </w:tc>
        <w:tc>
          <w:tcPr>
            <w:tcW w:w="6675" w:type="dxa"/>
            <w:vAlign w:val="center"/>
          </w:tcPr>
          <w:p w14:paraId="55F81E48">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不组织</w:t>
            </w:r>
          </w:p>
        </w:tc>
      </w:tr>
      <w:tr w14:paraId="06F1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5" w:type="dxa"/>
            <w:vAlign w:val="center"/>
          </w:tcPr>
          <w:p w14:paraId="1D39F47B">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1.10.1</w:t>
            </w:r>
          </w:p>
        </w:tc>
        <w:tc>
          <w:tcPr>
            <w:tcW w:w="2095" w:type="dxa"/>
            <w:vAlign w:val="center"/>
          </w:tcPr>
          <w:p w14:paraId="13D18A4F">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投标预备会</w:t>
            </w:r>
          </w:p>
        </w:tc>
        <w:tc>
          <w:tcPr>
            <w:tcW w:w="6675" w:type="dxa"/>
            <w:vAlign w:val="center"/>
          </w:tcPr>
          <w:p w14:paraId="02F2DB01">
            <w:pPr>
              <w:wordWrap w:val="0"/>
              <w:adjustRightInd w:val="0"/>
              <w:spacing w:line="440" w:lineRule="exac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fldChar w:fldCharType="begin"/>
            </w:r>
            <w:r>
              <w:rPr>
                <w:rFonts w:hint="eastAsia" w:ascii="宋体" w:hAnsi="宋体" w:cs="宋体"/>
                <w:bCs/>
                <w:color w:val="000000" w:themeColor="text1"/>
                <w:szCs w:val="21"/>
                <w:highlight w:val="none"/>
                <w:lang w:val="zh-CN"/>
              </w:rPr>
              <w:instrText xml:space="preserve">eq \o\ac(</w:instrText>
            </w:r>
            <w:r>
              <w:rPr>
                <w:rFonts w:hint="eastAsia" w:ascii="宋体" w:hAnsi="宋体" w:cs="宋体"/>
                <w:bCs/>
                <w:color w:val="000000" w:themeColor="text1"/>
                <w:position w:val="-4"/>
                <w:szCs w:val="21"/>
                <w:highlight w:val="none"/>
                <w:lang w:val="zh-CN"/>
              </w:rPr>
              <w:instrText xml:space="preserve">□</w:instrText>
            </w:r>
            <w:r>
              <w:rPr>
                <w:rFonts w:hint="eastAsia" w:ascii="宋体" w:hAnsi="宋体" w:cs="宋体"/>
                <w:bCs/>
                <w:color w:val="000000" w:themeColor="text1"/>
                <w:szCs w:val="21"/>
                <w:highlight w:val="none"/>
                <w:lang w:val="zh-CN"/>
              </w:rPr>
              <w:instrText xml:space="preserve">,√)</w:instrText>
            </w:r>
            <w:r>
              <w:rPr>
                <w:rFonts w:hint="eastAsia" w:ascii="宋体" w:hAnsi="宋体" w:cs="宋体"/>
                <w:bCs/>
                <w:color w:val="000000" w:themeColor="text1"/>
                <w:szCs w:val="21"/>
                <w:highlight w:val="none"/>
                <w:lang w:val="zh-CN"/>
              </w:rPr>
              <w:fldChar w:fldCharType="end"/>
            </w:r>
            <w:r>
              <w:rPr>
                <w:rFonts w:hint="eastAsia" w:ascii="宋体" w:hAnsi="宋体" w:cs="宋体"/>
                <w:bCs/>
                <w:color w:val="000000" w:themeColor="text1"/>
                <w:szCs w:val="21"/>
                <w:highlight w:val="none"/>
                <w:lang w:val="zh-CN"/>
              </w:rPr>
              <w:t>不召开</w:t>
            </w:r>
          </w:p>
          <w:p w14:paraId="517A067A">
            <w:pPr>
              <w:wordWrap w:val="0"/>
              <w:adjustRightInd w:val="0"/>
              <w:spacing w:line="440" w:lineRule="exac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□召开,召开时间：/</w:t>
            </w:r>
          </w:p>
          <w:p w14:paraId="35DED5DE">
            <w:pPr>
              <w:wordWrap w:val="0"/>
              <w:adjustRightInd w:val="0"/>
              <w:spacing w:line="440" w:lineRule="exact"/>
              <w:ind w:firstLine="735" w:firstLineChars="350"/>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召开地点：/</w:t>
            </w:r>
          </w:p>
        </w:tc>
      </w:tr>
      <w:tr w14:paraId="3722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95" w:type="dxa"/>
            <w:vAlign w:val="center"/>
          </w:tcPr>
          <w:p w14:paraId="0F793573">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1.11.1</w:t>
            </w:r>
          </w:p>
        </w:tc>
        <w:tc>
          <w:tcPr>
            <w:tcW w:w="2095" w:type="dxa"/>
            <w:vAlign w:val="center"/>
          </w:tcPr>
          <w:p w14:paraId="5CBBFF92">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分包</w:t>
            </w:r>
          </w:p>
        </w:tc>
        <w:tc>
          <w:tcPr>
            <w:tcW w:w="6675" w:type="dxa"/>
            <w:vAlign w:val="center"/>
          </w:tcPr>
          <w:p w14:paraId="10155750">
            <w:pPr>
              <w:wordWrap w:val="0"/>
              <w:adjustRightInd w:val="0"/>
              <w:spacing w:line="440" w:lineRule="exac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fldChar w:fldCharType="begin"/>
            </w:r>
            <w:r>
              <w:rPr>
                <w:rFonts w:hint="eastAsia" w:ascii="宋体" w:hAnsi="宋体" w:cs="宋体"/>
                <w:bCs/>
                <w:color w:val="000000" w:themeColor="text1"/>
                <w:szCs w:val="21"/>
                <w:highlight w:val="none"/>
                <w:lang w:val="zh-CN"/>
              </w:rPr>
              <w:instrText xml:space="preserve">eq \o\ac(</w:instrText>
            </w:r>
            <w:r>
              <w:rPr>
                <w:rFonts w:hint="eastAsia" w:ascii="宋体" w:hAnsi="宋体" w:cs="宋体"/>
                <w:bCs/>
                <w:color w:val="000000" w:themeColor="text1"/>
                <w:position w:val="-4"/>
                <w:sz w:val="31"/>
                <w:szCs w:val="21"/>
                <w:highlight w:val="none"/>
                <w:lang w:val="zh-CN"/>
              </w:rPr>
              <w:instrText xml:space="preserve">□</w:instrText>
            </w:r>
            <w:r>
              <w:rPr>
                <w:rFonts w:hint="eastAsia" w:ascii="宋体" w:hAnsi="宋体" w:cs="宋体"/>
                <w:bCs/>
                <w:color w:val="000000" w:themeColor="text1"/>
                <w:szCs w:val="21"/>
                <w:highlight w:val="none"/>
                <w:lang w:val="zh-CN"/>
              </w:rPr>
              <w:instrText xml:space="preserve">,√)</w:instrText>
            </w:r>
            <w:r>
              <w:rPr>
                <w:rFonts w:hint="eastAsia" w:ascii="宋体" w:hAnsi="宋体" w:cs="宋体"/>
                <w:bCs/>
                <w:color w:val="000000" w:themeColor="text1"/>
                <w:szCs w:val="21"/>
                <w:highlight w:val="none"/>
                <w:lang w:val="zh-CN"/>
              </w:rPr>
              <w:fldChar w:fldCharType="end"/>
            </w:r>
            <w:r>
              <w:rPr>
                <w:rFonts w:hint="eastAsia" w:ascii="宋体" w:hAnsi="宋体" w:cs="宋体"/>
                <w:bCs/>
                <w:color w:val="000000" w:themeColor="text1"/>
                <w:szCs w:val="21"/>
                <w:highlight w:val="none"/>
                <w:lang w:val="zh-CN"/>
              </w:rPr>
              <w:t>不允许</w:t>
            </w:r>
          </w:p>
          <w:p w14:paraId="33630366">
            <w:pPr>
              <w:wordWrap w:val="0"/>
              <w:adjustRightInd w:val="0"/>
              <w:spacing w:line="440" w:lineRule="exac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□允许，分包内容：/</w:t>
            </w:r>
          </w:p>
        </w:tc>
      </w:tr>
      <w:tr w14:paraId="5C04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95" w:type="dxa"/>
            <w:vAlign w:val="center"/>
          </w:tcPr>
          <w:p w14:paraId="5BDAA8C7">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1.12</w:t>
            </w:r>
          </w:p>
        </w:tc>
        <w:tc>
          <w:tcPr>
            <w:tcW w:w="2095" w:type="dxa"/>
            <w:vAlign w:val="center"/>
          </w:tcPr>
          <w:p w14:paraId="66C0D565">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偏离</w:t>
            </w:r>
          </w:p>
        </w:tc>
        <w:tc>
          <w:tcPr>
            <w:tcW w:w="6675" w:type="dxa"/>
            <w:vAlign w:val="center"/>
          </w:tcPr>
          <w:p w14:paraId="22A18802">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不允许</w:t>
            </w:r>
          </w:p>
        </w:tc>
      </w:tr>
      <w:tr w14:paraId="35E5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vAlign w:val="center"/>
          </w:tcPr>
          <w:p w14:paraId="41306068">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2.1</w:t>
            </w:r>
          </w:p>
        </w:tc>
        <w:tc>
          <w:tcPr>
            <w:tcW w:w="2095" w:type="dxa"/>
            <w:vAlign w:val="center"/>
          </w:tcPr>
          <w:p w14:paraId="5F5D52ED">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构成磋商文件的其他材料</w:t>
            </w:r>
          </w:p>
        </w:tc>
        <w:tc>
          <w:tcPr>
            <w:tcW w:w="6675" w:type="dxa"/>
            <w:vAlign w:val="center"/>
          </w:tcPr>
          <w:p w14:paraId="02A59D0B">
            <w:pPr>
              <w:spacing w:line="400" w:lineRule="exact"/>
              <w:rPr>
                <w:color w:val="000000" w:themeColor="text1"/>
                <w:highlight w:val="none"/>
              </w:rPr>
            </w:pPr>
            <w:r>
              <w:rPr>
                <w:rFonts w:hint="eastAsia"/>
                <w:color w:val="000000" w:themeColor="text1"/>
                <w:highlight w:val="none"/>
                <w:lang w:val="zh-CN"/>
              </w:rPr>
              <w:t>本项目的澄清、修改、补充说明文件</w:t>
            </w:r>
            <w:r>
              <w:rPr>
                <w:rFonts w:hint="eastAsia"/>
                <w:color w:val="000000" w:themeColor="text1"/>
                <w:highlight w:val="none"/>
              </w:rPr>
              <w:t>（如有）。</w:t>
            </w:r>
          </w:p>
          <w:p w14:paraId="347265B5">
            <w:pPr>
              <w:spacing w:line="400" w:lineRule="exact"/>
              <w:rPr>
                <w:color w:val="000000" w:themeColor="text1"/>
                <w:highlight w:val="none"/>
              </w:rPr>
            </w:pPr>
            <w:r>
              <w:rPr>
                <w:rFonts w:hint="eastAsia"/>
                <w:color w:val="000000" w:themeColor="text1"/>
                <w:highlight w:val="none"/>
              </w:rPr>
              <w:t>注：采购代理机构将上述内容以带有编号的补遗文件发送到“政采云”平台(https://www.zcygov.cn)</w:t>
            </w:r>
            <w:r>
              <w:rPr>
                <w:rFonts w:hint="eastAsia"/>
                <w:color w:val="000000" w:themeColor="text1"/>
                <w:highlight w:val="none"/>
                <w:lang w:val="zh-CN"/>
              </w:rPr>
              <w:t>答疑文件</w:t>
            </w:r>
            <w:r>
              <w:rPr>
                <w:rFonts w:hint="eastAsia"/>
                <w:color w:val="000000" w:themeColor="text1"/>
                <w:highlight w:val="none"/>
              </w:rPr>
              <w:t>中，各供应商登录“政采云”平台(https://www.zcygov.cn)答疑文件处自行下载。如果供应商未在上述答疑文件中收到相应文件，请及时与采购代理机构联系，否则采购人和采购代理机构不承担任何责任。</w:t>
            </w:r>
          </w:p>
        </w:tc>
      </w:tr>
      <w:tr w14:paraId="360C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vAlign w:val="center"/>
          </w:tcPr>
          <w:p w14:paraId="498515DA">
            <w:pPr>
              <w:spacing w:line="400" w:lineRule="exact"/>
              <w:jc w:val="center"/>
              <w:rPr>
                <w:color w:val="000000" w:themeColor="text1"/>
                <w:highlight w:val="none"/>
              </w:rPr>
            </w:pPr>
            <w:r>
              <w:rPr>
                <w:rFonts w:hint="eastAsia"/>
                <w:color w:val="000000" w:themeColor="text1"/>
                <w:highlight w:val="none"/>
              </w:rPr>
              <w:t>2.2.1</w:t>
            </w:r>
          </w:p>
        </w:tc>
        <w:tc>
          <w:tcPr>
            <w:tcW w:w="2095" w:type="dxa"/>
            <w:vAlign w:val="center"/>
          </w:tcPr>
          <w:p w14:paraId="36ADBFD6">
            <w:pPr>
              <w:spacing w:line="400" w:lineRule="exact"/>
              <w:jc w:val="center"/>
              <w:rPr>
                <w:color w:val="000000" w:themeColor="text1"/>
                <w:highlight w:val="none"/>
              </w:rPr>
            </w:pPr>
            <w:r>
              <w:rPr>
                <w:rFonts w:hint="eastAsia"/>
                <w:color w:val="000000" w:themeColor="text1"/>
                <w:highlight w:val="none"/>
              </w:rPr>
              <w:t>供应商要求澄清磋商文件的截止时间</w:t>
            </w:r>
          </w:p>
        </w:tc>
        <w:tc>
          <w:tcPr>
            <w:tcW w:w="6675" w:type="dxa"/>
            <w:vAlign w:val="center"/>
          </w:tcPr>
          <w:p w14:paraId="6409EE98">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rPr>
              <w:t>时间：</w:t>
            </w:r>
            <w:r>
              <w:rPr>
                <w:rFonts w:hint="eastAsia" w:ascii="宋体" w:hAnsi="宋体" w:cs="宋体"/>
                <w:color w:val="000000" w:themeColor="text1"/>
                <w:szCs w:val="21"/>
                <w:highlight w:val="none"/>
                <w:lang w:val="zh-CN"/>
              </w:rPr>
              <w:t>提交响应文件截止时间5天前。</w:t>
            </w:r>
          </w:p>
        </w:tc>
      </w:tr>
      <w:tr w14:paraId="4B43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vAlign w:val="center"/>
          </w:tcPr>
          <w:p w14:paraId="65F53B1A">
            <w:pPr>
              <w:spacing w:line="400" w:lineRule="exact"/>
              <w:jc w:val="center"/>
              <w:rPr>
                <w:color w:val="000000" w:themeColor="text1"/>
                <w:highlight w:val="none"/>
              </w:rPr>
            </w:pPr>
            <w:r>
              <w:rPr>
                <w:rFonts w:hint="eastAsia"/>
                <w:color w:val="000000" w:themeColor="text1"/>
                <w:highlight w:val="none"/>
              </w:rPr>
              <w:t>2.2.2</w:t>
            </w:r>
          </w:p>
        </w:tc>
        <w:tc>
          <w:tcPr>
            <w:tcW w:w="2095" w:type="dxa"/>
            <w:vAlign w:val="center"/>
          </w:tcPr>
          <w:p w14:paraId="6D4D85C7">
            <w:pPr>
              <w:spacing w:line="400" w:lineRule="exact"/>
              <w:jc w:val="center"/>
              <w:rPr>
                <w:color w:val="000000" w:themeColor="text1"/>
                <w:highlight w:val="none"/>
              </w:rPr>
            </w:pPr>
            <w:r>
              <w:rPr>
                <w:rFonts w:hint="eastAsia"/>
                <w:color w:val="000000" w:themeColor="text1"/>
                <w:highlight w:val="none"/>
              </w:rPr>
              <w:t>磋商时间和地点</w:t>
            </w:r>
          </w:p>
        </w:tc>
        <w:tc>
          <w:tcPr>
            <w:tcW w:w="6675" w:type="dxa"/>
            <w:shd w:val="clear" w:color="auto" w:fill="auto"/>
            <w:vAlign w:val="center"/>
          </w:tcPr>
          <w:p w14:paraId="378AA2C0">
            <w:pPr>
              <w:spacing w:line="400" w:lineRule="exact"/>
              <w:rPr>
                <w:color w:val="000000" w:themeColor="text1"/>
                <w:highlight w:val="none"/>
                <w:lang w:val="zh-CN"/>
              </w:rPr>
            </w:pPr>
            <w:r>
              <w:rPr>
                <w:rFonts w:hint="eastAsia"/>
                <w:color w:val="000000" w:themeColor="text1"/>
                <w:highlight w:val="none"/>
              </w:rPr>
              <w:t>磋商时间：202</w:t>
            </w:r>
            <w:r>
              <w:rPr>
                <w:rFonts w:hint="eastAsia"/>
                <w:color w:val="000000" w:themeColor="text1"/>
                <w:highlight w:val="none"/>
                <w:lang w:val="en-US" w:eastAsia="zh-CN"/>
              </w:rPr>
              <w:t>6</w:t>
            </w:r>
            <w:r>
              <w:rPr>
                <w:rFonts w:hint="eastAsia"/>
                <w:color w:val="000000" w:themeColor="text1"/>
                <w:highlight w:val="none"/>
              </w:rPr>
              <w:t>年</w:t>
            </w:r>
            <w:r>
              <w:rPr>
                <w:rFonts w:hint="eastAsia"/>
                <w:color w:val="000000" w:themeColor="text1"/>
                <w:highlight w:val="none"/>
                <w:lang w:val="en-US" w:eastAsia="zh-CN"/>
              </w:rPr>
              <w:t>5</w:t>
            </w:r>
            <w:r>
              <w:rPr>
                <w:rFonts w:hint="eastAsia"/>
                <w:color w:val="000000" w:themeColor="text1"/>
                <w:highlight w:val="none"/>
              </w:rPr>
              <w:t>月</w:t>
            </w:r>
            <w:r>
              <w:rPr>
                <w:rFonts w:hint="eastAsia"/>
                <w:color w:val="000000" w:themeColor="text1"/>
                <w:highlight w:val="none"/>
                <w:lang w:val="en-US" w:eastAsia="zh-CN"/>
              </w:rPr>
              <w:t>26</w:t>
            </w:r>
            <w:r>
              <w:rPr>
                <w:rFonts w:hint="eastAsia"/>
                <w:color w:val="000000" w:themeColor="text1"/>
                <w:highlight w:val="none"/>
              </w:rPr>
              <w:t>日13时30分</w:t>
            </w:r>
          </w:p>
          <w:p w14:paraId="32286056">
            <w:pPr>
              <w:spacing w:line="400" w:lineRule="exact"/>
              <w:rPr>
                <w:color w:val="000000" w:themeColor="text1"/>
                <w:highlight w:val="none"/>
              </w:rPr>
            </w:pPr>
            <w:r>
              <w:rPr>
                <w:rFonts w:hint="eastAsia"/>
                <w:color w:val="000000" w:themeColor="text1"/>
                <w:highlight w:val="none"/>
              </w:rPr>
              <w:t>磋商地点：延吉市公共资源交易中心(延吉市政务大厅新标室)，地址：延吉市光华路166－1号</w:t>
            </w:r>
          </w:p>
          <w:p w14:paraId="453BF0C4">
            <w:pPr>
              <w:numPr>
                <w:ilvl w:val="0"/>
                <w:numId w:val="3"/>
              </w:numPr>
              <w:spacing w:line="400" w:lineRule="exact"/>
              <w:rPr>
                <w:color w:val="000000" w:themeColor="text1"/>
                <w:highlight w:val="none"/>
                <w:lang w:val="zh-CN"/>
              </w:rPr>
            </w:pPr>
            <w:r>
              <w:rPr>
                <w:rFonts w:hint="eastAsia"/>
                <w:color w:val="000000" w:themeColor="text1"/>
                <w:highlight w:val="none"/>
                <w:lang w:val="zh-CN"/>
              </w:rPr>
              <w:t>本项目开启方式为远程开启，供应商不到现场。供应商投标时，需携带制作投标文件时用来加密的有效数字证书（CA认证）登录“政采云”平台电子开标大厅现场按规定时间对加密的投标文件进行解密。</w:t>
            </w:r>
          </w:p>
          <w:p w14:paraId="7C1271EC">
            <w:pPr>
              <w:numPr>
                <w:ilvl w:val="0"/>
                <w:numId w:val="3"/>
              </w:numPr>
              <w:spacing w:line="400" w:lineRule="exact"/>
              <w:rPr>
                <w:color w:val="000000" w:themeColor="text1"/>
                <w:highlight w:val="none"/>
              </w:rPr>
            </w:pPr>
            <w:r>
              <w:rPr>
                <w:rFonts w:hint="eastAsia"/>
                <w:color w:val="000000" w:themeColor="text1"/>
                <w:highlight w:val="none"/>
                <w:lang w:val="zh-CN"/>
              </w:rPr>
              <w:t>投标文件提交方式：本项目为全流程电子化项目，通过“政采云”平台（http：//www.zcygov.cn）实行在线电子投标，供应商应先安装“政采云电子交易客户端”（请自行前往“政采云”平台进行下载），并按照本项目</w:t>
            </w:r>
            <w:r>
              <w:rPr>
                <w:rFonts w:hint="eastAsia"/>
                <w:color w:val="000000" w:themeColor="text1"/>
                <w:highlight w:val="none"/>
              </w:rPr>
              <w:t>磋商</w:t>
            </w:r>
            <w:r>
              <w:rPr>
                <w:rFonts w:hint="eastAsia"/>
                <w:color w:val="000000" w:themeColor="text1"/>
                <w:highlight w:val="none"/>
                <w:lang w:val="zh-CN"/>
              </w:rPr>
              <w:t>文件和“政采云”平台的要求编制、加密后在磋商截止时间前通过网络上传至“政采云”平台，供应商在“政采云”平台提交电子版投标文件时，请填写参加开标活动经办人联系方式。</w:t>
            </w:r>
          </w:p>
        </w:tc>
      </w:tr>
      <w:tr w14:paraId="30AC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vAlign w:val="center"/>
          </w:tcPr>
          <w:p w14:paraId="06939444">
            <w:pPr>
              <w:spacing w:line="400" w:lineRule="exact"/>
              <w:jc w:val="center"/>
              <w:rPr>
                <w:color w:val="000000" w:themeColor="text1"/>
                <w:highlight w:val="none"/>
              </w:rPr>
            </w:pPr>
            <w:r>
              <w:rPr>
                <w:rFonts w:hint="eastAsia"/>
                <w:color w:val="000000" w:themeColor="text1"/>
                <w:highlight w:val="none"/>
              </w:rPr>
              <w:t>2.2.3</w:t>
            </w:r>
          </w:p>
        </w:tc>
        <w:tc>
          <w:tcPr>
            <w:tcW w:w="2095" w:type="dxa"/>
            <w:vAlign w:val="center"/>
          </w:tcPr>
          <w:p w14:paraId="67BF0E54">
            <w:pPr>
              <w:spacing w:line="400" w:lineRule="exact"/>
              <w:jc w:val="center"/>
              <w:rPr>
                <w:color w:val="000000" w:themeColor="text1"/>
                <w:highlight w:val="none"/>
              </w:rPr>
            </w:pPr>
            <w:r>
              <w:rPr>
                <w:rFonts w:hint="eastAsia"/>
                <w:color w:val="000000" w:themeColor="text1"/>
                <w:highlight w:val="none"/>
              </w:rPr>
              <w:t>供应商确认收到磋商文件澄清的时间</w:t>
            </w:r>
          </w:p>
        </w:tc>
        <w:tc>
          <w:tcPr>
            <w:tcW w:w="6675" w:type="dxa"/>
            <w:vAlign w:val="center"/>
          </w:tcPr>
          <w:p w14:paraId="6331BEAA">
            <w:pPr>
              <w:spacing w:line="400" w:lineRule="exact"/>
              <w:rPr>
                <w:color w:val="000000" w:themeColor="text1"/>
                <w:highlight w:val="none"/>
              </w:rPr>
            </w:pPr>
            <w:r>
              <w:rPr>
                <w:rFonts w:hint="eastAsia"/>
                <w:color w:val="000000" w:themeColor="text1"/>
                <w:highlight w:val="none"/>
              </w:rPr>
              <w:t>时间：收到澄清后24小时内（以发出时间为准）。</w:t>
            </w:r>
            <w:r>
              <w:rPr>
                <w:rFonts w:hint="eastAsia"/>
                <w:color w:val="000000" w:themeColor="text1"/>
                <w:highlight w:val="none"/>
                <w:lang w:val="zh-CN"/>
              </w:rPr>
              <w:t>形式：本项目所有修改文件均在</w:t>
            </w:r>
            <w:r>
              <w:rPr>
                <w:rFonts w:hint="eastAsia"/>
                <w:color w:val="000000" w:themeColor="text1"/>
                <w:highlight w:val="none"/>
              </w:rPr>
              <w:t>“政采云”平台(https://www.zcygov.cn)</w:t>
            </w:r>
            <w:r>
              <w:rPr>
                <w:rFonts w:hint="eastAsia"/>
                <w:color w:val="000000" w:themeColor="text1"/>
                <w:highlight w:val="none"/>
                <w:lang w:val="zh-CN"/>
              </w:rPr>
              <w:t>”中发布，供应商收到后必须以确认函的形式发送至采购代理机构的邮箱</w:t>
            </w:r>
            <w:r>
              <w:rPr>
                <w:rFonts w:hint="eastAsia"/>
                <w:color w:val="000000" w:themeColor="text1"/>
                <w:highlight w:val="none"/>
              </w:rPr>
              <w:t>JLTYYXGS@163.com</w:t>
            </w:r>
            <w:r>
              <w:rPr>
                <w:rFonts w:hint="eastAsia"/>
                <w:color w:val="000000" w:themeColor="text1"/>
                <w:highlight w:val="none"/>
                <w:lang w:val="zh-CN"/>
              </w:rPr>
              <w:t>，因供应商自身原因未能及时查阅下载所导致的对本项目有关文件理解错误由供应商自行承担。</w:t>
            </w:r>
          </w:p>
        </w:tc>
      </w:tr>
      <w:tr w14:paraId="43CC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vAlign w:val="center"/>
          </w:tcPr>
          <w:p w14:paraId="3C9DC04D">
            <w:pPr>
              <w:spacing w:line="400" w:lineRule="exact"/>
              <w:jc w:val="center"/>
              <w:rPr>
                <w:color w:val="000000" w:themeColor="text1"/>
                <w:highlight w:val="none"/>
              </w:rPr>
            </w:pPr>
            <w:r>
              <w:rPr>
                <w:rFonts w:hint="eastAsia"/>
                <w:color w:val="000000" w:themeColor="text1"/>
                <w:highlight w:val="none"/>
              </w:rPr>
              <w:t>2.3.2</w:t>
            </w:r>
          </w:p>
        </w:tc>
        <w:tc>
          <w:tcPr>
            <w:tcW w:w="2095" w:type="dxa"/>
            <w:vAlign w:val="center"/>
          </w:tcPr>
          <w:p w14:paraId="381E256A">
            <w:pPr>
              <w:spacing w:line="400" w:lineRule="exact"/>
              <w:jc w:val="center"/>
              <w:rPr>
                <w:color w:val="000000" w:themeColor="text1"/>
                <w:highlight w:val="none"/>
              </w:rPr>
            </w:pPr>
            <w:r>
              <w:rPr>
                <w:rFonts w:hint="eastAsia"/>
                <w:color w:val="000000" w:themeColor="text1"/>
                <w:highlight w:val="none"/>
              </w:rPr>
              <w:t>供应商确认收到磋商文件修改的时间</w:t>
            </w:r>
          </w:p>
        </w:tc>
        <w:tc>
          <w:tcPr>
            <w:tcW w:w="6675" w:type="dxa"/>
            <w:vAlign w:val="center"/>
          </w:tcPr>
          <w:p w14:paraId="291762C5">
            <w:pPr>
              <w:spacing w:line="400" w:lineRule="exact"/>
              <w:rPr>
                <w:color w:val="000000" w:themeColor="text1"/>
                <w:highlight w:val="none"/>
              </w:rPr>
            </w:pPr>
            <w:r>
              <w:rPr>
                <w:rFonts w:hint="eastAsia"/>
                <w:color w:val="000000" w:themeColor="text1"/>
                <w:highlight w:val="none"/>
              </w:rPr>
              <w:t>详见本章2.2.3款。</w:t>
            </w:r>
          </w:p>
        </w:tc>
      </w:tr>
      <w:tr w14:paraId="1E29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95" w:type="dxa"/>
            <w:vAlign w:val="center"/>
          </w:tcPr>
          <w:p w14:paraId="02F87295">
            <w:pPr>
              <w:spacing w:line="400" w:lineRule="exact"/>
              <w:jc w:val="center"/>
              <w:rPr>
                <w:color w:val="000000" w:themeColor="text1"/>
                <w:highlight w:val="none"/>
                <w:lang w:val="zh-CN"/>
              </w:rPr>
            </w:pPr>
            <w:r>
              <w:rPr>
                <w:rFonts w:hint="eastAsia"/>
                <w:color w:val="000000" w:themeColor="text1"/>
                <w:highlight w:val="none"/>
                <w:lang w:val="zh-CN"/>
              </w:rPr>
              <w:t>3.2.</w:t>
            </w:r>
            <w:r>
              <w:rPr>
                <w:rFonts w:hint="eastAsia"/>
                <w:color w:val="000000" w:themeColor="text1"/>
                <w:highlight w:val="none"/>
              </w:rPr>
              <w:t>3</w:t>
            </w:r>
          </w:p>
        </w:tc>
        <w:tc>
          <w:tcPr>
            <w:tcW w:w="2095" w:type="dxa"/>
            <w:vAlign w:val="center"/>
          </w:tcPr>
          <w:p w14:paraId="3ED71DCF">
            <w:pPr>
              <w:spacing w:line="400" w:lineRule="exact"/>
              <w:jc w:val="center"/>
              <w:rPr>
                <w:color w:val="000000" w:themeColor="text1"/>
                <w:highlight w:val="none"/>
                <w:lang w:val="zh-CN"/>
              </w:rPr>
            </w:pPr>
            <w:r>
              <w:rPr>
                <w:rFonts w:hint="eastAsia"/>
                <w:color w:val="000000" w:themeColor="text1"/>
                <w:highlight w:val="none"/>
              </w:rPr>
              <w:t>最高投标限价</w:t>
            </w:r>
          </w:p>
        </w:tc>
        <w:tc>
          <w:tcPr>
            <w:tcW w:w="6675" w:type="dxa"/>
            <w:vAlign w:val="center"/>
          </w:tcPr>
          <w:p w14:paraId="4FB79CC6">
            <w:pPr>
              <w:spacing w:line="400" w:lineRule="exact"/>
              <w:rPr>
                <w:color w:val="000000" w:themeColor="text1"/>
                <w:highlight w:val="none"/>
              </w:rPr>
            </w:pPr>
            <w:r>
              <w:rPr>
                <w:rFonts w:hint="eastAsia" w:ascii="宋体" w:hAnsi="宋体"/>
                <w:color w:val="000000" w:themeColor="text1"/>
                <w:highlight w:val="none"/>
              </w:rPr>
              <w:t>35万元（供应商进行报价时不得超出此价格，否则按无效报价处理）。</w:t>
            </w:r>
          </w:p>
        </w:tc>
      </w:tr>
      <w:tr w14:paraId="5AFB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95" w:type="dxa"/>
            <w:vAlign w:val="center"/>
          </w:tcPr>
          <w:p w14:paraId="5B77FE25">
            <w:pPr>
              <w:spacing w:line="400" w:lineRule="exact"/>
              <w:jc w:val="center"/>
              <w:rPr>
                <w:color w:val="000000" w:themeColor="text1"/>
                <w:highlight w:val="none"/>
              </w:rPr>
            </w:pPr>
            <w:r>
              <w:rPr>
                <w:rFonts w:hint="eastAsia"/>
                <w:color w:val="000000" w:themeColor="text1"/>
                <w:highlight w:val="none"/>
              </w:rPr>
              <w:t>3.2.7</w:t>
            </w:r>
          </w:p>
        </w:tc>
        <w:tc>
          <w:tcPr>
            <w:tcW w:w="2095" w:type="dxa"/>
            <w:vAlign w:val="center"/>
          </w:tcPr>
          <w:p w14:paraId="50BDD5A5">
            <w:pPr>
              <w:spacing w:line="400" w:lineRule="exact"/>
              <w:jc w:val="center"/>
              <w:rPr>
                <w:color w:val="000000" w:themeColor="text1"/>
                <w:highlight w:val="none"/>
              </w:rPr>
            </w:pPr>
            <w:r>
              <w:rPr>
                <w:rFonts w:hint="eastAsia" w:ascii="宋体" w:hAnsi="宋体"/>
                <w:color w:val="000000" w:themeColor="text1"/>
                <w:szCs w:val="21"/>
                <w:highlight w:val="none"/>
              </w:rPr>
              <w:t>报价的次数</w:t>
            </w:r>
          </w:p>
        </w:tc>
        <w:tc>
          <w:tcPr>
            <w:tcW w:w="6675" w:type="dxa"/>
            <w:vAlign w:val="center"/>
          </w:tcPr>
          <w:p w14:paraId="0BADD40B">
            <w:pPr>
              <w:spacing w:line="400" w:lineRule="exact"/>
              <w:rPr>
                <w:color w:val="000000" w:themeColor="text1"/>
                <w:highlight w:val="none"/>
              </w:rPr>
            </w:pPr>
            <w:r>
              <w:rPr>
                <w:rFonts w:hint="eastAsia"/>
                <w:color w:val="000000" w:themeColor="text1"/>
                <w:highlight w:val="none"/>
              </w:rPr>
              <w:t>2次</w:t>
            </w:r>
          </w:p>
          <w:p w14:paraId="391F9EF4">
            <w:pPr>
              <w:pStyle w:val="27"/>
              <w:rPr>
                <w:rFonts w:ascii="Times New Roman" w:eastAsia="宋体" w:cs="Times New Roman"/>
                <w:b w:val="0"/>
                <w:color w:val="000000" w:themeColor="text1"/>
                <w:kern w:val="2"/>
                <w:sz w:val="21"/>
                <w:szCs w:val="24"/>
                <w:highlight w:val="none"/>
              </w:rPr>
            </w:pPr>
            <w:r>
              <w:rPr>
                <w:rFonts w:hint="eastAsia" w:ascii="Times New Roman" w:eastAsia="宋体" w:cs="Times New Roman"/>
                <w:b w:val="0"/>
                <w:color w:val="000000" w:themeColor="text1"/>
                <w:kern w:val="2"/>
                <w:sz w:val="21"/>
                <w:szCs w:val="24"/>
                <w:highlight w:val="none"/>
              </w:rPr>
              <w:t>注：开标当日，供应商不必抵达开标现场，仅需在任意地点通过“政采云”平台（https://www.zcygov.cn）参加开标会议，供应商代表须全程在线等候，供应商得到磋商小组指令后网上进行二次报价</w:t>
            </w:r>
          </w:p>
          <w:p w14:paraId="1F2A66FB">
            <w:pPr>
              <w:pStyle w:val="27"/>
              <w:rPr>
                <w:color w:val="000000" w:themeColor="text1"/>
                <w:highlight w:val="none"/>
              </w:rPr>
            </w:pPr>
            <w:r>
              <w:rPr>
                <w:rFonts w:hint="eastAsia" w:ascii="Times New Roman" w:eastAsia="宋体" w:cs="Times New Roman"/>
                <w:b w:val="0"/>
                <w:color w:val="000000" w:themeColor="text1"/>
                <w:kern w:val="2"/>
                <w:sz w:val="21"/>
                <w:szCs w:val="24"/>
                <w:highlight w:val="none"/>
              </w:rPr>
              <w:t>未按照磋商文件要求进行二次报价的供应商视为放弃二次报价，由此引发的后果和责任由供应商自行承担。</w:t>
            </w:r>
          </w:p>
        </w:tc>
      </w:tr>
      <w:tr w14:paraId="4786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5" w:type="dxa"/>
            <w:vAlign w:val="center"/>
          </w:tcPr>
          <w:p w14:paraId="71CE96A5">
            <w:pPr>
              <w:spacing w:line="400" w:lineRule="exact"/>
              <w:jc w:val="center"/>
              <w:rPr>
                <w:color w:val="000000" w:themeColor="text1"/>
                <w:highlight w:val="none"/>
              </w:rPr>
            </w:pPr>
            <w:r>
              <w:rPr>
                <w:rFonts w:hint="eastAsia"/>
                <w:color w:val="000000" w:themeColor="text1"/>
                <w:highlight w:val="none"/>
              </w:rPr>
              <w:t>3.3.1</w:t>
            </w:r>
          </w:p>
        </w:tc>
        <w:tc>
          <w:tcPr>
            <w:tcW w:w="2095" w:type="dxa"/>
            <w:vAlign w:val="center"/>
          </w:tcPr>
          <w:p w14:paraId="3FBEE469">
            <w:pPr>
              <w:spacing w:line="400" w:lineRule="exact"/>
              <w:jc w:val="center"/>
              <w:rPr>
                <w:color w:val="000000" w:themeColor="text1"/>
                <w:highlight w:val="none"/>
              </w:rPr>
            </w:pPr>
            <w:r>
              <w:rPr>
                <w:rFonts w:hint="eastAsia"/>
                <w:color w:val="000000" w:themeColor="text1"/>
                <w:highlight w:val="none"/>
              </w:rPr>
              <w:t>响应有效期</w:t>
            </w:r>
          </w:p>
        </w:tc>
        <w:tc>
          <w:tcPr>
            <w:tcW w:w="6675" w:type="dxa"/>
            <w:vAlign w:val="center"/>
          </w:tcPr>
          <w:p w14:paraId="282DCDE6">
            <w:pPr>
              <w:spacing w:line="400" w:lineRule="exact"/>
              <w:rPr>
                <w:color w:val="000000" w:themeColor="text1"/>
                <w:highlight w:val="none"/>
              </w:rPr>
            </w:pPr>
            <w:r>
              <w:rPr>
                <w:rFonts w:hint="eastAsia"/>
                <w:color w:val="000000" w:themeColor="text1"/>
                <w:highlight w:val="none"/>
                <w:lang w:val="zh-CN"/>
              </w:rPr>
              <w:t>投标截止之日后90天（日历天），从</w:t>
            </w:r>
            <w:r>
              <w:rPr>
                <w:rFonts w:hint="eastAsia"/>
                <w:color w:val="000000" w:themeColor="text1"/>
                <w:highlight w:val="none"/>
              </w:rPr>
              <w:t>响应文件递交</w:t>
            </w:r>
            <w:r>
              <w:rPr>
                <w:rFonts w:hint="eastAsia"/>
                <w:color w:val="000000" w:themeColor="text1"/>
                <w:highlight w:val="none"/>
                <w:lang w:val="zh-CN"/>
              </w:rPr>
              <w:t>截止之日算起。</w:t>
            </w:r>
          </w:p>
        </w:tc>
      </w:tr>
      <w:tr w14:paraId="59C3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5" w:type="dxa"/>
            <w:vAlign w:val="center"/>
          </w:tcPr>
          <w:p w14:paraId="13F54E2B">
            <w:pPr>
              <w:spacing w:line="400" w:lineRule="exact"/>
              <w:jc w:val="center"/>
              <w:rPr>
                <w:color w:val="000000" w:themeColor="text1"/>
                <w:highlight w:val="none"/>
              </w:rPr>
            </w:pPr>
            <w:r>
              <w:rPr>
                <w:rFonts w:hint="eastAsia"/>
                <w:color w:val="000000" w:themeColor="text1"/>
                <w:highlight w:val="none"/>
              </w:rPr>
              <w:t>3.4.1</w:t>
            </w:r>
          </w:p>
        </w:tc>
        <w:tc>
          <w:tcPr>
            <w:tcW w:w="2095" w:type="dxa"/>
            <w:vAlign w:val="center"/>
          </w:tcPr>
          <w:p w14:paraId="1E1F6A5D">
            <w:pPr>
              <w:spacing w:line="400" w:lineRule="exact"/>
              <w:jc w:val="center"/>
              <w:rPr>
                <w:color w:val="000000" w:themeColor="text1"/>
                <w:highlight w:val="none"/>
              </w:rPr>
            </w:pPr>
            <w:r>
              <w:rPr>
                <w:rFonts w:hint="eastAsia"/>
                <w:color w:val="000000" w:themeColor="text1"/>
                <w:highlight w:val="none"/>
              </w:rPr>
              <w:t>磋商保证金</w:t>
            </w:r>
          </w:p>
        </w:tc>
        <w:tc>
          <w:tcPr>
            <w:tcW w:w="6675" w:type="dxa"/>
            <w:vAlign w:val="center"/>
          </w:tcPr>
          <w:p w14:paraId="4E63C0D5">
            <w:pPr>
              <w:spacing w:line="400" w:lineRule="exact"/>
              <w:rPr>
                <w:highlight w:val="none"/>
                <w:lang w:val="zh-CN"/>
              </w:rPr>
            </w:pPr>
            <w:r>
              <w:rPr>
                <w:rFonts w:hint="eastAsia"/>
                <w:b/>
                <w:bCs/>
                <w:highlight w:val="none"/>
                <w:lang w:val="zh-CN"/>
              </w:rPr>
              <w:t>磋商保证金的递交形式：</w:t>
            </w:r>
            <w:r>
              <w:rPr>
                <w:rFonts w:hint="eastAsia"/>
                <w:highlight w:val="none"/>
                <w:lang w:val="zh-CN"/>
              </w:rPr>
              <w:t>银行出具的现金支票、保兑支票、银行汇票，银行、担保机构出具的保函，以支票形式提交的磋商保证金应当从响应人的基本账户转出，以银行保函形式提交的保函应当由“工商银行、农业银行、中国银行、建设银行、交通银行”五大国有商业银行及全国性股份制商业银行开具。</w:t>
            </w:r>
          </w:p>
          <w:p w14:paraId="21D1B752">
            <w:pPr>
              <w:spacing w:line="400" w:lineRule="exact"/>
              <w:rPr>
                <w:b/>
                <w:bCs/>
                <w:highlight w:val="none"/>
              </w:rPr>
            </w:pPr>
            <w:r>
              <w:rPr>
                <w:rFonts w:hint="eastAsia"/>
                <w:b/>
                <w:bCs/>
                <w:highlight w:val="none"/>
                <w:lang w:val="zh-CN"/>
              </w:rPr>
              <w:t>磋商保证金的金额：</w:t>
            </w:r>
            <w:r>
              <w:rPr>
                <w:rFonts w:hint="eastAsia"/>
                <w:b/>
                <w:bCs/>
                <w:highlight w:val="none"/>
              </w:rPr>
              <w:t>3000</w:t>
            </w:r>
            <w:r>
              <w:rPr>
                <w:rFonts w:hint="eastAsia"/>
                <w:b/>
                <w:bCs/>
                <w:highlight w:val="none"/>
                <w:lang w:val="zh-CN"/>
              </w:rPr>
              <w:t>元整</w:t>
            </w:r>
          </w:p>
          <w:p w14:paraId="036D737B">
            <w:pPr>
              <w:spacing w:line="400" w:lineRule="exact"/>
              <w:rPr>
                <w:highlight w:val="none"/>
                <w:lang w:val="zh-CN"/>
              </w:rPr>
            </w:pPr>
            <w:r>
              <w:rPr>
                <w:rFonts w:hint="eastAsia"/>
                <w:highlight w:val="none"/>
                <w:lang w:val="zh-CN"/>
              </w:rPr>
              <w:t>收款人全称：</w:t>
            </w:r>
            <w:r>
              <w:rPr>
                <w:rFonts w:hint="eastAsia"/>
                <w:highlight w:val="none"/>
              </w:rPr>
              <w:t>吉林省天一工程管理有限公司</w:t>
            </w:r>
          </w:p>
          <w:p w14:paraId="64D00B53">
            <w:pPr>
              <w:spacing w:line="400" w:lineRule="exact"/>
              <w:rPr>
                <w:highlight w:val="none"/>
                <w:lang w:val="zh-CN"/>
              </w:rPr>
            </w:pPr>
            <w:r>
              <w:rPr>
                <w:rFonts w:hint="eastAsia"/>
                <w:highlight w:val="none"/>
                <w:lang w:val="zh-CN"/>
              </w:rPr>
              <w:t>帐    号：</w:t>
            </w:r>
            <w:r>
              <w:rPr>
                <w:rFonts w:hint="eastAsia"/>
                <w:highlight w:val="none"/>
              </w:rPr>
              <w:t>161441221</w:t>
            </w:r>
          </w:p>
          <w:p w14:paraId="51C9A8C4">
            <w:pPr>
              <w:spacing w:line="400" w:lineRule="exact"/>
              <w:rPr>
                <w:highlight w:val="none"/>
                <w:lang w:val="zh-CN"/>
              </w:rPr>
            </w:pPr>
            <w:r>
              <w:rPr>
                <w:rFonts w:hint="eastAsia"/>
                <w:highlight w:val="none"/>
                <w:lang w:val="zh-CN"/>
              </w:rPr>
              <w:t>开户银行：</w:t>
            </w:r>
            <w:r>
              <w:rPr>
                <w:rFonts w:hint="eastAsia"/>
                <w:highlight w:val="none"/>
              </w:rPr>
              <w:t>中国民生银行股份有限公司长春胜利大街支行</w:t>
            </w:r>
          </w:p>
          <w:p w14:paraId="15E62A89">
            <w:pPr>
              <w:spacing w:line="400" w:lineRule="exact"/>
              <w:rPr>
                <w:highlight w:val="none"/>
              </w:rPr>
            </w:pPr>
            <w:r>
              <w:rPr>
                <w:rFonts w:hint="eastAsia"/>
                <w:highlight w:val="none"/>
              </w:rPr>
              <w:t>递交方式：磋商保证金递交截止时间与响应文件递交截止时间一致，将磋商保证金存入采购代理机构指定账户，磋商保证金以最终到帐日期为准。</w:t>
            </w:r>
          </w:p>
          <w:p w14:paraId="087673A4">
            <w:pPr>
              <w:wordWrap w:val="0"/>
              <w:spacing w:line="440" w:lineRule="exact"/>
              <w:rPr>
                <w:rFonts w:ascii="宋体" w:hAnsi="宋体"/>
                <w:bCs/>
                <w:color w:val="000000" w:themeColor="text1"/>
                <w:szCs w:val="21"/>
                <w:highlight w:val="none"/>
              </w:rPr>
            </w:pPr>
            <w:r>
              <w:rPr>
                <w:rFonts w:hint="eastAsia"/>
                <w:highlight w:val="none"/>
                <w:lang w:val="zh-CN"/>
              </w:rPr>
              <w:t>响应人的磋商保证金应从基本账户转出</w:t>
            </w:r>
            <w:r>
              <w:rPr>
                <w:rFonts w:hint="eastAsia"/>
                <w:highlight w:val="none"/>
              </w:rPr>
              <w:t>，</w:t>
            </w:r>
            <w:r>
              <w:rPr>
                <w:rFonts w:hint="eastAsia"/>
                <w:highlight w:val="none"/>
                <w:lang w:val="zh-CN"/>
              </w:rPr>
              <w:t>应在银行进账单或电汇凭证上明确用途、项目名称及标段。</w:t>
            </w:r>
          </w:p>
        </w:tc>
      </w:tr>
      <w:tr w14:paraId="684D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5" w:type="dxa"/>
            <w:vAlign w:val="center"/>
          </w:tcPr>
          <w:p w14:paraId="043AA4AA">
            <w:pPr>
              <w:spacing w:line="400" w:lineRule="exact"/>
              <w:jc w:val="center"/>
              <w:rPr>
                <w:color w:val="000000" w:themeColor="text1"/>
                <w:highlight w:val="none"/>
              </w:rPr>
            </w:pPr>
            <w:r>
              <w:rPr>
                <w:rFonts w:hint="eastAsia"/>
                <w:color w:val="000000" w:themeColor="text1"/>
                <w:highlight w:val="none"/>
              </w:rPr>
              <w:t>3.4.2</w:t>
            </w:r>
          </w:p>
        </w:tc>
        <w:tc>
          <w:tcPr>
            <w:tcW w:w="2095" w:type="dxa"/>
            <w:vAlign w:val="center"/>
          </w:tcPr>
          <w:p w14:paraId="726CD5BA">
            <w:pPr>
              <w:spacing w:line="400" w:lineRule="exact"/>
              <w:jc w:val="center"/>
              <w:rPr>
                <w:color w:val="000000" w:themeColor="text1"/>
                <w:highlight w:val="none"/>
              </w:rPr>
            </w:pPr>
            <w:r>
              <w:rPr>
                <w:rFonts w:hint="eastAsia"/>
                <w:color w:val="000000" w:themeColor="text1"/>
                <w:highlight w:val="none"/>
              </w:rPr>
              <w:t>质保期</w:t>
            </w:r>
          </w:p>
        </w:tc>
        <w:tc>
          <w:tcPr>
            <w:tcW w:w="6675" w:type="dxa"/>
            <w:vAlign w:val="center"/>
          </w:tcPr>
          <w:p w14:paraId="46CE43DC">
            <w:pPr>
              <w:wordWrap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以合同签订为准</w:t>
            </w:r>
          </w:p>
        </w:tc>
      </w:tr>
      <w:tr w14:paraId="7BBC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5" w:type="dxa"/>
            <w:vAlign w:val="center"/>
          </w:tcPr>
          <w:p w14:paraId="04D53FFA">
            <w:pPr>
              <w:spacing w:line="400" w:lineRule="exact"/>
              <w:jc w:val="center"/>
              <w:rPr>
                <w:color w:val="000000" w:themeColor="text1"/>
                <w:highlight w:val="none"/>
              </w:rPr>
            </w:pPr>
            <w:r>
              <w:rPr>
                <w:rFonts w:hint="eastAsia"/>
                <w:color w:val="000000" w:themeColor="text1"/>
                <w:highlight w:val="none"/>
              </w:rPr>
              <w:t>3.4.3</w:t>
            </w:r>
          </w:p>
        </w:tc>
        <w:tc>
          <w:tcPr>
            <w:tcW w:w="2095" w:type="dxa"/>
            <w:vAlign w:val="center"/>
          </w:tcPr>
          <w:p w14:paraId="1DA3EAC2">
            <w:pPr>
              <w:spacing w:line="400" w:lineRule="exact"/>
              <w:jc w:val="center"/>
              <w:rPr>
                <w:color w:val="000000" w:themeColor="text1"/>
                <w:highlight w:val="none"/>
              </w:rPr>
            </w:pPr>
            <w:r>
              <w:rPr>
                <w:rFonts w:hint="eastAsia"/>
                <w:color w:val="000000" w:themeColor="text1"/>
                <w:highlight w:val="none"/>
              </w:rPr>
              <w:t>质保金</w:t>
            </w:r>
          </w:p>
        </w:tc>
        <w:tc>
          <w:tcPr>
            <w:tcW w:w="6675" w:type="dxa"/>
            <w:vAlign w:val="center"/>
          </w:tcPr>
          <w:p w14:paraId="4910BC2E">
            <w:pPr>
              <w:wordWrap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以合同签订为准</w:t>
            </w:r>
          </w:p>
        </w:tc>
      </w:tr>
      <w:tr w14:paraId="72E1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95" w:type="dxa"/>
            <w:vAlign w:val="center"/>
          </w:tcPr>
          <w:p w14:paraId="3D9FE627">
            <w:pPr>
              <w:wordWrap w:val="0"/>
              <w:adjustRightInd w:val="0"/>
              <w:spacing w:line="440" w:lineRule="exact"/>
              <w:jc w:val="center"/>
              <w:rPr>
                <w:color w:val="000000" w:themeColor="text1"/>
                <w:szCs w:val="21"/>
                <w:highlight w:val="none"/>
              </w:rPr>
            </w:pPr>
            <w:r>
              <w:rPr>
                <w:rFonts w:hint="eastAsia"/>
                <w:color w:val="000000" w:themeColor="text1"/>
                <w:highlight w:val="none"/>
                <w:lang w:val="zh-CN"/>
              </w:rPr>
              <w:t>3.4.4</w:t>
            </w:r>
          </w:p>
        </w:tc>
        <w:tc>
          <w:tcPr>
            <w:tcW w:w="2095" w:type="dxa"/>
            <w:vAlign w:val="center"/>
          </w:tcPr>
          <w:p w14:paraId="77D27CA7">
            <w:pPr>
              <w:wordWrap w:val="0"/>
              <w:spacing w:line="440" w:lineRule="exact"/>
              <w:jc w:val="center"/>
              <w:rPr>
                <w:color w:val="000000" w:themeColor="text1"/>
                <w:szCs w:val="21"/>
                <w:highlight w:val="none"/>
              </w:rPr>
            </w:pPr>
            <w:r>
              <w:rPr>
                <w:rFonts w:hint="eastAsia" w:ascii="宋体" w:hAnsi="宋体" w:cs="宋体"/>
                <w:bCs/>
                <w:color w:val="000000" w:themeColor="text1"/>
                <w:szCs w:val="21"/>
                <w:highlight w:val="none"/>
              </w:rPr>
              <w:t>其他可以不予退还磋商保证金的情形</w:t>
            </w:r>
          </w:p>
        </w:tc>
        <w:tc>
          <w:tcPr>
            <w:tcW w:w="6675" w:type="dxa"/>
            <w:vAlign w:val="center"/>
          </w:tcPr>
          <w:p w14:paraId="304359D4">
            <w:pPr>
              <w:spacing w:line="288"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供应商在投标过程中借用他人资质，互相串通、结盟，伪造虚假业绩、人员、财务、履约情况等，或违反国家有关规定，损害招标的公正性和竞争性进行投标者。</w:t>
            </w:r>
          </w:p>
        </w:tc>
      </w:tr>
      <w:tr w14:paraId="53CA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5" w:type="dxa"/>
            <w:vAlign w:val="center"/>
          </w:tcPr>
          <w:p w14:paraId="393D60DA">
            <w:pPr>
              <w:spacing w:line="400" w:lineRule="exact"/>
              <w:jc w:val="center"/>
              <w:rPr>
                <w:color w:val="000000" w:themeColor="text1"/>
                <w:highlight w:val="none"/>
              </w:rPr>
            </w:pPr>
            <w:r>
              <w:rPr>
                <w:rFonts w:hint="eastAsia"/>
                <w:color w:val="000000" w:themeColor="text1"/>
                <w:highlight w:val="none"/>
              </w:rPr>
              <w:t>3.4.5</w:t>
            </w:r>
          </w:p>
        </w:tc>
        <w:tc>
          <w:tcPr>
            <w:tcW w:w="2095" w:type="dxa"/>
            <w:vAlign w:val="center"/>
          </w:tcPr>
          <w:p w14:paraId="00343C22">
            <w:pPr>
              <w:spacing w:line="0" w:lineRule="atLeast"/>
              <w:jc w:val="center"/>
              <w:rPr>
                <w:color w:val="000000" w:themeColor="text1"/>
                <w:highlight w:val="none"/>
              </w:rPr>
            </w:pPr>
            <w:r>
              <w:rPr>
                <w:rFonts w:hint="eastAsia"/>
                <w:color w:val="000000" w:themeColor="text1"/>
                <w:highlight w:val="none"/>
              </w:rPr>
              <w:t>近年完成的类似项目的年份要求</w:t>
            </w:r>
          </w:p>
        </w:tc>
        <w:tc>
          <w:tcPr>
            <w:tcW w:w="6675" w:type="dxa"/>
            <w:vAlign w:val="center"/>
          </w:tcPr>
          <w:p w14:paraId="3CBB70C0">
            <w:pPr>
              <w:spacing w:line="288"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月至磋商公告发布之日止。</w:t>
            </w:r>
          </w:p>
        </w:tc>
      </w:tr>
      <w:tr w14:paraId="05C1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95" w:type="dxa"/>
            <w:vAlign w:val="center"/>
          </w:tcPr>
          <w:p w14:paraId="439F7712">
            <w:pPr>
              <w:spacing w:line="400" w:lineRule="exact"/>
              <w:jc w:val="center"/>
              <w:rPr>
                <w:color w:val="000000" w:themeColor="text1"/>
                <w:highlight w:val="none"/>
              </w:rPr>
            </w:pPr>
            <w:r>
              <w:rPr>
                <w:rFonts w:hint="eastAsia"/>
                <w:color w:val="000000" w:themeColor="text1"/>
                <w:highlight w:val="none"/>
              </w:rPr>
              <w:t>3.5</w:t>
            </w:r>
          </w:p>
        </w:tc>
        <w:tc>
          <w:tcPr>
            <w:tcW w:w="2095" w:type="dxa"/>
            <w:vAlign w:val="center"/>
          </w:tcPr>
          <w:p w14:paraId="511446B4">
            <w:pPr>
              <w:spacing w:line="0" w:lineRule="atLeast"/>
              <w:jc w:val="center"/>
              <w:rPr>
                <w:color w:val="000000" w:themeColor="text1"/>
                <w:highlight w:val="none"/>
              </w:rPr>
            </w:pPr>
            <w:r>
              <w:rPr>
                <w:rFonts w:hint="eastAsia"/>
                <w:color w:val="000000" w:themeColor="text1"/>
                <w:spacing w:val="-11"/>
                <w:highlight w:val="none"/>
              </w:rPr>
              <w:t>是否允许递交备选投标方案</w:t>
            </w:r>
          </w:p>
        </w:tc>
        <w:tc>
          <w:tcPr>
            <w:tcW w:w="6675" w:type="dxa"/>
            <w:vAlign w:val="center"/>
          </w:tcPr>
          <w:p w14:paraId="30958871">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不允许</w:t>
            </w:r>
          </w:p>
        </w:tc>
      </w:tr>
      <w:tr w14:paraId="7EDD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5" w:type="dxa"/>
            <w:vAlign w:val="center"/>
          </w:tcPr>
          <w:p w14:paraId="10E2B243">
            <w:pPr>
              <w:wordWrap w:val="0"/>
              <w:adjustRightInd w:val="0"/>
              <w:spacing w:line="440" w:lineRule="exact"/>
              <w:jc w:val="center"/>
              <w:rPr>
                <w:color w:val="000000" w:themeColor="text1"/>
                <w:szCs w:val="21"/>
                <w:highlight w:val="none"/>
              </w:rPr>
            </w:pPr>
            <w:r>
              <w:rPr>
                <w:rFonts w:hint="eastAsia" w:ascii="宋体" w:hAnsi="宋体" w:cs="宋体"/>
                <w:bCs/>
                <w:color w:val="000000" w:themeColor="text1"/>
                <w:szCs w:val="21"/>
                <w:highlight w:val="none"/>
                <w:lang w:val="zh-CN"/>
              </w:rPr>
              <w:t>3.</w:t>
            </w: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6</w:t>
            </w:r>
          </w:p>
        </w:tc>
        <w:tc>
          <w:tcPr>
            <w:tcW w:w="2095" w:type="dxa"/>
            <w:vAlign w:val="center"/>
          </w:tcPr>
          <w:p w14:paraId="20C8511D">
            <w:pPr>
              <w:wordWrap w:val="0"/>
              <w:adjustRightInd w:val="0"/>
              <w:spacing w:line="440" w:lineRule="exact"/>
              <w:jc w:val="center"/>
              <w:rPr>
                <w:color w:val="000000" w:themeColor="text1"/>
                <w:szCs w:val="21"/>
                <w:highlight w:val="none"/>
              </w:rPr>
            </w:pPr>
            <w:r>
              <w:rPr>
                <w:rFonts w:hint="eastAsia" w:ascii="宋体" w:hAnsi="宋体" w:cs="宋体"/>
                <w:bCs/>
                <w:color w:val="000000" w:themeColor="text1"/>
                <w:szCs w:val="21"/>
                <w:highlight w:val="none"/>
                <w:lang w:val="zh-CN"/>
              </w:rPr>
              <w:t>响应文件上传</w:t>
            </w:r>
          </w:p>
        </w:tc>
        <w:tc>
          <w:tcPr>
            <w:tcW w:w="6675" w:type="dxa"/>
            <w:vAlign w:val="center"/>
          </w:tcPr>
          <w:p w14:paraId="4CEEDF71">
            <w:pPr>
              <w:wordWrap w:val="0"/>
              <w:adjustRightInd w:val="0"/>
              <w:spacing w:line="440" w:lineRule="exact"/>
              <w:rPr>
                <w:rFonts w:ascii="宋体" w:hAnsi="宋体" w:cs="宋体"/>
                <w:color w:val="000000" w:themeColor="text1"/>
                <w:kern w:val="0"/>
                <w:szCs w:val="21"/>
                <w:highlight w:val="none"/>
              </w:rPr>
            </w:pPr>
            <w:r>
              <w:rPr>
                <w:rFonts w:hint="eastAsia" w:ascii="宋体" w:hAnsi="宋体" w:cs="宋体"/>
                <w:bCs/>
                <w:color w:val="000000" w:themeColor="text1"/>
                <w:kern w:val="15"/>
                <w:szCs w:val="21"/>
                <w:highlight w:val="none"/>
              </w:rPr>
              <w:t>供应商需在开标前将响应文件制作工具生成的加密文件上传到</w:t>
            </w:r>
            <w:r>
              <w:rPr>
                <w:rFonts w:hint="eastAsia" w:ascii="宋体" w:hAnsi="宋体" w:cs="宋体"/>
                <w:bCs/>
                <w:color w:val="000000" w:themeColor="text1"/>
                <w:szCs w:val="21"/>
                <w:highlight w:val="none"/>
              </w:rPr>
              <w:t>政府采购云平台（网址：http://www.zcygov.cn）</w:t>
            </w:r>
            <w:r>
              <w:rPr>
                <w:rFonts w:hint="eastAsia" w:ascii="宋体" w:hAnsi="宋体" w:cs="宋体"/>
                <w:bCs/>
                <w:color w:val="000000" w:themeColor="text1"/>
                <w:kern w:val="15"/>
                <w:szCs w:val="21"/>
                <w:highlight w:val="none"/>
              </w:rPr>
              <w:t>。</w:t>
            </w:r>
          </w:p>
        </w:tc>
      </w:tr>
      <w:tr w14:paraId="7FFC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5" w:type="dxa"/>
            <w:vAlign w:val="center"/>
          </w:tcPr>
          <w:p w14:paraId="155A657F">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4.2.1</w:t>
            </w:r>
          </w:p>
        </w:tc>
        <w:tc>
          <w:tcPr>
            <w:tcW w:w="2095" w:type="dxa"/>
            <w:vAlign w:val="center"/>
          </w:tcPr>
          <w:p w14:paraId="0EA30518">
            <w:pPr>
              <w:wordWrap w:val="0"/>
              <w:adjustRightInd w:val="0"/>
              <w:spacing w:line="440" w:lineRule="exac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供应商上传提交响应文件的截止时间(开标时间）</w:t>
            </w:r>
          </w:p>
        </w:tc>
        <w:tc>
          <w:tcPr>
            <w:tcW w:w="6675" w:type="dxa"/>
            <w:vAlign w:val="center"/>
          </w:tcPr>
          <w:p w14:paraId="31AE8836">
            <w:pPr>
              <w:wordWrap w:val="0"/>
              <w:adjustRightInd w:val="0"/>
              <w:spacing w:line="440" w:lineRule="exact"/>
              <w:rPr>
                <w:rFonts w:ascii="宋体" w:hAnsi="宋体" w:cs="宋体"/>
                <w:bCs/>
                <w:color w:val="000000" w:themeColor="text1"/>
                <w:kern w:val="15"/>
                <w:szCs w:val="21"/>
                <w:highlight w:val="none"/>
              </w:rPr>
            </w:pPr>
            <w:r>
              <w:rPr>
                <w:rFonts w:hint="eastAsia" w:ascii="宋体" w:hAnsi="宋体" w:cs="宋体"/>
                <w:bCs/>
                <w:color w:val="000000" w:themeColor="text1"/>
                <w:szCs w:val="21"/>
                <w:highlight w:val="none"/>
              </w:rPr>
              <w:t>202</w:t>
            </w:r>
            <w:r>
              <w:rPr>
                <w:rFonts w:hint="eastAsia" w:ascii="宋体" w:hAnsi="宋体" w:cs="宋体"/>
                <w:bCs/>
                <w:color w:val="000000" w:themeColor="text1"/>
                <w:szCs w:val="21"/>
                <w:highlight w:val="none"/>
                <w:lang w:val="en-US" w:eastAsia="zh-CN"/>
              </w:rPr>
              <w:t>6</w:t>
            </w:r>
            <w:r>
              <w:rPr>
                <w:rFonts w:hint="eastAsia" w:ascii="宋体" w:hAnsi="宋体" w:cs="宋体"/>
                <w:bCs/>
                <w:color w:val="000000" w:themeColor="text1"/>
                <w:szCs w:val="21"/>
                <w:highlight w:val="none"/>
              </w:rPr>
              <w:t>年</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rPr>
              <w:t>月</w:t>
            </w:r>
            <w:r>
              <w:rPr>
                <w:rFonts w:hint="eastAsia" w:ascii="宋体" w:hAnsi="宋体" w:cs="宋体"/>
                <w:bCs/>
                <w:color w:val="000000" w:themeColor="text1"/>
                <w:szCs w:val="21"/>
                <w:highlight w:val="none"/>
                <w:lang w:val="en-US" w:eastAsia="zh-CN"/>
              </w:rPr>
              <w:t>25</w:t>
            </w:r>
            <w:r>
              <w:rPr>
                <w:rFonts w:hint="eastAsia" w:ascii="宋体" w:hAnsi="宋体" w:cs="宋体"/>
                <w:bCs/>
                <w:color w:val="000000" w:themeColor="text1"/>
                <w:szCs w:val="21"/>
                <w:highlight w:val="none"/>
              </w:rPr>
              <w:t>日13时30分（北京时间）</w:t>
            </w:r>
          </w:p>
        </w:tc>
      </w:tr>
      <w:tr w14:paraId="4BDC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95" w:type="dxa"/>
            <w:vAlign w:val="center"/>
          </w:tcPr>
          <w:p w14:paraId="52ADA50E">
            <w:pPr>
              <w:wordWrap w:val="0"/>
              <w:adjustRightInd w:val="0"/>
              <w:spacing w:line="440" w:lineRule="exact"/>
              <w:jc w:val="center"/>
              <w:rPr>
                <w:color w:val="000000" w:themeColor="text1"/>
                <w:szCs w:val="21"/>
                <w:highlight w:val="none"/>
              </w:rPr>
            </w:pPr>
            <w:r>
              <w:rPr>
                <w:rFonts w:hint="eastAsia" w:ascii="宋体" w:hAnsi="宋体" w:cs="宋体"/>
                <w:bCs/>
                <w:color w:val="000000" w:themeColor="text1"/>
                <w:szCs w:val="21"/>
                <w:highlight w:val="none"/>
                <w:lang w:val="zh-CN"/>
              </w:rPr>
              <w:t>4.</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.2</w:t>
            </w:r>
          </w:p>
        </w:tc>
        <w:tc>
          <w:tcPr>
            <w:tcW w:w="2095" w:type="dxa"/>
            <w:vAlign w:val="center"/>
          </w:tcPr>
          <w:p w14:paraId="23B9E452">
            <w:pPr>
              <w:wordWrap w:val="0"/>
              <w:adjustRightInd w:val="0"/>
              <w:spacing w:line="440" w:lineRule="exact"/>
              <w:jc w:val="center"/>
              <w:rPr>
                <w:color w:val="000000" w:themeColor="text1"/>
                <w:szCs w:val="21"/>
                <w:highlight w:val="none"/>
              </w:rPr>
            </w:pPr>
            <w:r>
              <w:rPr>
                <w:rFonts w:hint="eastAsia" w:ascii="宋体" w:hAnsi="宋体" w:cs="宋体"/>
                <w:bCs/>
                <w:color w:val="000000" w:themeColor="text1"/>
                <w:szCs w:val="21"/>
                <w:highlight w:val="none"/>
                <w:lang w:val="zh-CN"/>
              </w:rPr>
              <w:t>供应商上传提交响应文件的平台</w:t>
            </w:r>
          </w:p>
        </w:tc>
        <w:tc>
          <w:tcPr>
            <w:tcW w:w="6675" w:type="dxa"/>
            <w:vAlign w:val="center"/>
          </w:tcPr>
          <w:p w14:paraId="1315DFBC">
            <w:pPr>
              <w:tabs>
                <w:tab w:val="center" w:pos="3086"/>
              </w:tabs>
              <w:wordWrap w:val="0"/>
              <w:adjustRightInd w:val="0"/>
              <w:spacing w:line="0" w:lineRule="atLeas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本项目执行电子化招投标</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供应商须通过政府采购云平台</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网址</w:t>
            </w:r>
            <w:r>
              <w:rPr>
                <w:rFonts w:hint="eastAsia" w:ascii="宋体" w:hAnsi="宋体" w:cs="宋体"/>
                <w:bCs/>
                <w:color w:val="000000" w:themeColor="text1"/>
                <w:szCs w:val="21"/>
                <w:highlight w:val="none"/>
              </w:rPr>
              <w:t>：http://www.zcygov.cn）</w:t>
            </w:r>
            <w:r>
              <w:rPr>
                <w:rFonts w:hint="eastAsia" w:ascii="宋体" w:hAnsi="宋体" w:cs="宋体"/>
                <w:bCs/>
                <w:color w:val="000000" w:themeColor="text1"/>
                <w:szCs w:val="21"/>
                <w:highlight w:val="none"/>
                <w:lang w:val="zh-CN"/>
              </w:rPr>
              <w:t>递交电子版</w:t>
            </w:r>
            <w:r>
              <w:rPr>
                <w:rFonts w:hint="eastAsia" w:ascii="宋体" w:hAnsi="宋体" w:cs="宋体"/>
                <w:bCs/>
                <w:color w:val="000000" w:themeColor="text1"/>
                <w:szCs w:val="21"/>
                <w:highlight w:val="none"/>
              </w:rPr>
              <w:t>响应文件</w:t>
            </w:r>
            <w:r>
              <w:rPr>
                <w:rFonts w:hint="eastAsia" w:ascii="宋体" w:hAnsi="宋体" w:cs="宋体"/>
                <w:bCs/>
                <w:color w:val="000000" w:themeColor="text1"/>
                <w:szCs w:val="21"/>
                <w:highlight w:val="none"/>
                <w:lang w:val="zh-CN"/>
              </w:rPr>
              <w:t>。</w:t>
            </w:r>
          </w:p>
        </w:tc>
      </w:tr>
      <w:tr w14:paraId="64D3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14:paraId="4E17210C">
            <w:pPr>
              <w:wordWrap w:val="0"/>
              <w:adjustRightInd w:val="0"/>
              <w:spacing w:line="360" w:lineRule="exact"/>
              <w:jc w:val="center"/>
              <w:rPr>
                <w:color w:val="000000" w:themeColor="text1"/>
                <w:szCs w:val="21"/>
                <w:highlight w:val="none"/>
              </w:rPr>
            </w:pPr>
            <w:r>
              <w:rPr>
                <w:rFonts w:hint="eastAsia" w:ascii="宋体" w:hAnsi="宋体" w:cs="宋体"/>
                <w:bCs/>
                <w:color w:val="000000" w:themeColor="text1"/>
                <w:szCs w:val="21"/>
                <w:highlight w:val="none"/>
                <w:lang w:val="zh-CN"/>
              </w:rPr>
              <w:t>4.2.3</w:t>
            </w:r>
          </w:p>
        </w:tc>
        <w:tc>
          <w:tcPr>
            <w:tcW w:w="2095" w:type="dxa"/>
            <w:vAlign w:val="center"/>
          </w:tcPr>
          <w:p w14:paraId="0B8DC25F">
            <w:pPr>
              <w:wordWrap w:val="0"/>
              <w:adjustRightInd w:val="0"/>
              <w:spacing w:line="360" w:lineRule="exact"/>
              <w:jc w:val="center"/>
              <w:rPr>
                <w:color w:val="000000" w:themeColor="text1"/>
                <w:szCs w:val="21"/>
                <w:highlight w:val="none"/>
              </w:rPr>
            </w:pPr>
            <w:r>
              <w:rPr>
                <w:rFonts w:hint="eastAsia" w:ascii="宋体" w:hAnsi="宋体" w:cs="宋体"/>
                <w:bCs/>
                <w:color w:val="000000" w:themeColor="text1"/>
                <w:szCs w:val="21"/>
                <w:highlight w:val="none"/>
              </w:rPr>
              <w:t>响应文件是否退还</w:t>
            </w:r>
          </w:p>
        </w:tc>
        <w:tc>
          <w:tcPr>
            <w:tcW w:w="6675" w:type="dxa"/>
            <w:vAlign w:val="center"/>
          </w:tcPr>
          <w:p w14:paraId="22E5234B">
            <w:pPr>
              <w:tabs>
                <w:tab w:val="center" w:pos="3086"/>
              </w:tabs>
              <w:wordWrap w:val="0"/>
              <w:adjustRightInd w:val="0"/>
              <w:spacing w:line="0" w:lineRule="atLeas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□是</w:t>
            </w:r>
          </w:p>
          <w:p w14:paraId="2B9780E2">
            <w:pPr>
              <w:tabs>
                <w:tab w:val="center" w:pos="3086"/>
              </w:tabs>
              <w:wordWrap w:val="0"/>
              <w:adjustRightInd w:val="0"/>
              <w:spacing w:line="0" w:lineRule="atLeas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fldChar w:fldCharType="begin"/>
            </w:r>
            <w:r>
              <w:rPr>
                <w:rFonts w:hint="eastAsia" w:ascii="宋体" w:hAnsi="宋体" w:cs="宋体"/>
                <w:bCs/>
                <w:color w:val="000000" w:themeColor="text1"/>
                <w:szCs w:val="21"/>
                <w:highlight w:val="none"/>
                <w:lang w:val="zh-CN"/>
              </w:rPr>
              <w:instrText xml:space="preserve">eq \o\ac(□,√)</w:instrText>
            </w:r>
            <w:r>
              <w:rPr>
                <w:rFonts w:hint="eastAsia" w:ascii="宋体" w:hAnsi="宋体" w:cs="宋体"/>
                <w:bCs/>
                <w:color w:val="000000" w:themeColor="text1"/>
                <w:szCs w:val="21"/>
                <w:highlight w:val="none"/>
                <w:lang w:val="zh-CN"/>
              </w:rPr>
              <w:fldChar w:fldCharType="end"/>
            </w:r>
            <w:r>
              <w:rPr>
                <w:rFonts w:hint="eastAsia" w:ascii="宋体" w:hAnsi="宋体" w:cs="宋体"/>
                <w:bCs/>
                <w:color w:val="000000" w:themeColor="text1"/>
                <w:szCs w:val="21"/>
                <w:highlight w:val="none"/>
                <w:lang w:val="zh-CN"/>
              </w:rPr>
              <w:t>否，已递交的响应文件不予返还，请供应商自行做好备份工作。</w:t>
            </w:r>
          </w:p>
        </w:tc>
      </w:tr>
      <w:tr w14:paraId="06B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95" w:type="dxa"/>
            <w:vAlign w:val="center"/>
          </w:tcPr>
          <w:p w14:paraId="14D7D63F">
            <w:pPr>
              <w:spacing w:line="400" w:lineRule="exact"/>
              <w:jc w:val="center"/>
              <w:rPr>
                <w:color w:val="000000" w:themeColor="text1"/>
                <w:highlight w:val="none"/>
              </w:rPr>
            </w:pPr>
            <w:r>
              <w:rPr>
                <w:rFonts w:hint="eastAsia"/>
                <w:color w:val="000000" w:themeColor="text1"/>
                <w:highlight w:val="none"/>
              </w:rPr>
              <w:t>6.1.1</w:t>
            </w:r>
          </w:p>
        </w:tc>
        <w:tc>
          <w:tcPr>
            <w:tcW w:w="2095" w:type="dxa"/>
            <w:vAlign w:val="center"/>
          </w:tcPr>
          <w:p w14:paraId="4BE61D0B">
            <w:pPr>
              <w:wordWrap w:val="0"/>
              <w:adjustRightInd w:val="0"/>
              <w:spacing w:line="0" w:lineRule="atLeast"/>
              <w:jc w:val="center"/>
              <w:rPr>
                <w:color w:val="000000" w:themeColor="text1"/>
                <w:szCs w:val="21"/>
                <w:highlight w:val="none"/>
              </w:rPr>
            </w:pPr>
            <w:r>
              <w:rPr>
                <w:rFonts w:hint="eastAsia" w:ascii="宋体" w:hAnsi="宋体" w:cs="宋体"/>
                <w:bCs/>
                <w:color w:val="000000" w:themeColor="text1"/>
                <w:szCs w:val="21"/>
                <w:highlight w:val="none"/>
              </w:rPr>
              <w:t>磋商小组</w:t>
            </w:r>
            <w:r>
              <w:rPr>
                <w:rFonts w:hint="eastAsia" w:ascii="宋体" w:hAnsi="宋体" w:cs="宋体"/>
                <w:bCs/>
                <w:color w:val="000000" w:themeColor="text1"/>
                <w:szCs w:val="21"/>
                <w:highlight w:val="none"/>
                <w:lang w:val="zh-CN"/>
              </w:rPr>
              <w:t>的组建</w:t>
            </w:r>
          </w:p>
        </w:tc>
        <w:tc>
          <w:tcPr>
            <w:tcW w:w="6675" w:type="dxa"/>
            <w:vAlign w:val="center"/>
          </w:tcPr>
          <w:p w14:paraId="1C625368">
            <w:pPr>
              <w:wordWrap w:val="0"/>
              <w:spacing w:line="0" w:lineRule="atLeast"/>
              <w:rPr>
                <w:rFonts w:ascii="宋体" w:hAnsi="宋体"/>
                <w:color w:val="000000" w:themeColor="text1"/>
                <w:szCs w:val="21"/>
                <w:highlight w:val="none"/>
              </w:rPr>
            </w:pPr>
            <w:r>
              <w:rPr>
                <w:rFonts w:hint="eastAsia" w:ascii="宋体" w:hAnsi="宋体"/>
                <w:color w:val="000000" w:themeColor="text1"/>
                <w:szCs w:val="21"/>
                <w:highlight w:val="none"/>
              </w:rPr>
              <w:t>磋商小组的</w:t>
            </w:r>
            <w:r>
              <w:rPr>
                <w:rFonts w:hint="eastAsia" w:ascii="宋体" w:hAnsi="宋体"/>
                <w:color w:val="000000" w:themeColor="text1"/>
                <w:szCs w:val="21"/>
                <w:highlight w:val="none"/>
                <w:lang w:val="zh-CN"/>
              </w:rPr>
              <w:t>构成：</w:t>
            </w:r>
            <w:r>
              <w:rPr>
                <w:rFonts w:hint="eastAsia" w:ascii="宋体" w:hAnsi="宋体"/>
                <w:color w:val="000000" w:themeColor="text1"/>
                <w:szCs w:val="21"/>
                <w:highlight w:val="none"/>
              </w:rPr>
              <w:t>专家2</w:t>
            </w:r>
            <w:r>
              <w:rPr>
                <w:rFonts w:hint="eastAsia" w:ascii="宋体" w:hAnsi="宋体"/>
                <w:color w:val="000000" w:themeColor="text1"/>
                <w:szCs w:val="21"/>
                <w:highlight w:val="none"/>
                <w:lang w:val="zh-CN"/>
              </w:rPr>
              <w:t>人，采购人代表</w:t>
            </w:r>
            <w:r>
              <w:rPr>
                <w:rFonts w:hint="eastAsia" w:ascii="宋体" w:hAnsi="宋体"/>
                <w:color w:val="000000" w:themeColor="text1"/>
                <w:szCs w:val="21"/>
                <w:highlight w:val="none"/>
              </w:rPr>
              <w:t>1人。</w:t>
            </w:r>
          </w:p>
          <w:p w14:paraId="28DEC02C">
            <w:pPr>
              <w:wordWrap w:val="0"/>
              <w:spacing w:line="0" w:lineRule="atLeast"/>
              <w:rPr>
                <w:rFonts w:ascii="宋体" w:hAnsi="宋体"/>
                <w:color w:val="000000" w:themeColor="text1"/>
                <w:szCs w:val="21"/>
                <w:highlight w:val="none"/>
              </w:rPr>
            </w:pPr>
            <w:r>
              <w:rPr>
                <w:rFonts w:hint="eastAsia" w:ascii="宋体" w:hAnsi="宋体"/>
                <w:color w:val="000000" w:themeColor="text1"/>
                <w:szCs w:val="21"/>
                <w:highlight w:val="none"/>
                <w:lang w:val="zh-CN"/>
              </w:rPr>
              <w:t>评标专家确定方式</w:t>
            </w:r>
            <w:r>
              <w:rPr>
                <w:rFonts w:hint="eastAsia" w:ascii="宋体" w:hAnsi="宋体"/>
                <w:color w:val="000000" w:themeColor="text1"/>
                <w:szCs w:val="21"/>
                <w:highlight w:val="none"/>
              </w:rPr>
              <w:t>：</w:t>
            </w:r>
            <w:r>
              <w:rPr>
                <w:rFonts w:hint="eastAsia" w:ascii="宋体" w:hAnsi="宋体"/>
                <w:color w:val="000000" w:themeColor="text1"/>
                <w:szCs w:val="21"/>
                <w:highlight w:val="none"/>
                <w:lang w:val="zh-CN"/>
              </w:rPr>
              <w:t>在</w:t>
            </w:r>
            <w:r>
              <w:rPr>
                <w:rFonts w:hint="eastAsia" w:ascii="宋体" w:hAnsi="宋体"/>
                <w:color w:val="000000" w:themeColor="text1"/>
                <w:szCs w:val="21"/>
                <w:highlight w:val="none"/>
              </w:rPr>
              <w:t>“政采云”平台(https://www.zcygov.cn)</w:t>
            </w:r>
            <w:r>
              <w:rPr>
                <w:rFonts w:hint="eastAsia" w:ascii="宋体" w:hAnsi="宋体"/>
                <w:color w:val="000000" w:themeColor="text1"/>
                <w:szCs w:val="21"/>
                <w:highlight w:val="none"/>
                <w:lang w:val="zh-CN"/>
              </w:rPr>
              <w:t>的专家库中随机抽取。</w:t>
            </w:r>
          </w:p>
        </w:tc>
      </w:tr>
      <w:tr w14:paraId="726F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95" w:type="dxa"/>
            <w:vAlign w:val="center"/>
          </w:tcPr>
          <w:p w14:paraId="0C8C412C">
            <w:pPr>
              <w:wordWrap w:val="0"/>
              <w:adjustRightInd w:val="0"/>
              <w:spacing w:line="0" w:lineRule="atLeas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6.3.</w:t>
            </w:r>
            <w:r>
              <w:rPr>
                <w:rFonts w:hint="eastAsia" w:ascii="宋体" w:hAnsi="宋体" w:cs="宋体"/>
                <w:bCs/>
                <w:color w:val="000000" w:themeColor="text1"/>
                <w:szCs w:val="21"/>
                <w:highlight w:val="none"/>
              </w:rPr>
              <w:t>5</w:t>
            </w:r>
          </w:p>
        </w:tc>
        <w:tc>
          <w:tcPr>
            <w:tcW w:w="2095" w:type="dxa"/>
            <w:vAlign w:val="center"/>
          </w:tcPr>
          <w:p w14:paraId="519CA8D4">
            <w:pPr>
              <w:wordWrap w:val="0"/>
              <w:adjustRightInd w:val="0"/>
              <w:spacing w:line="0" w:lineRule="atLeas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磋商小组推荐成交候选人的人数</w:t>
            </w:r>
          </w:p>
        </w:tc>
        <w:tc>
          <w:tcPr>
            <w:tcW w:w="6675" w:type="dxa"/>
            <w:vAlign w:val="center"/>
          </w:tcPr>
          <w:p w14:paraId="54154CD8">
            <w:pPr>
              <w:wordWrap w:val="0"/>
              <w:adjustRightInd w:val="0"/>
              <w:spacing w:line="0" w:lineRule="atLeas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推荐的成交候选人数：3人。磋商小组推荐初步评审合格，综合评审得分由高到低排名第一、第二、第三的供应商为成交候选人。</w:t>
            </w:r>
          </w:p>
        </w:tc>
      </w:tr>
      <w:tr w14:paraId="1F82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95" w:type="dxa"/>
            <w:vAlign w:val="center"/>
          </w:tcPr>
          <w:p w14:paraId="3CF33E2B">
            <w:pPr>
              <w:wordWrap w:val="0"/>
              <w:adjustRightInd w:val="0"/>
              <w:spacing w:line="0" w:lineRule="atLeas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7.1</w:t>
            </w:r>
          </w:p>
        </w:tc>
        <w:tc>
          <w:tcPr>
            <w:tcW w:w="2095" w:type="dxa"/>
            <w:vAlign w:val="center"/>
          </w:tcPr>
          <w:p w14:paraId="49C774FF">
            <w:pPr>
              <w:wordWrap w:val="0"/>
              <w:spacing w:line="0" w:lineRule="atLeas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成交结果公告媒介及期限</w:t>
            </w:r>
          </w:p>
        </w:tc>
        <w:tc>
          <w:tcPr>
            <w:tcW w:w="6675" w:type="dxa"/>
            <w:vAlign w:val="center"/>
          </w:tcPr>
          <w:p w14:paraId="28C86F67">
            <w:pPr>
              <w:wordWrap w:val="0"/>
              <w:adjustRightInd w:val="0"/>
              <w:spacing w:line="0" w:lineRule="atLeas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公告媒介：在“政采云”平台（http:// www.zcygov.cn），同步推送到吉林省政府采购网（http://www.ccgp-jilin.gov.cn/），并同时在中国政府采购网上发布；</w:t>
            </w:r>
          </w:p>
          <w:p w14:paraId="5B93D3E0">
            <w:pPr>
              <w:wordWrap w:val="0"/>
              <w:adjustRightInd w:val="0"/>
              <w:spacing w:line="0" w:lineRule="atLeas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公告期限：1个工作日。</w:t>
            </w:r>
          </w:p>
        </w:tc>
      </w:tr>
      <w:tr w14:paraId="7DEC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95" w:type="dxa"/>
            <w:vAlign w:val="center"/>
          </w:tcPr>
          <w:p w14:paraId="1683AAEC">
            <w:pPr>
              <w:spacing w:line="400" w:lineRule="exact"/>
              <w:jc w:val="center"/>
              <w:rPr>
                <w:color w:val="000000" w:themeColor="text1"/>
                <w:highlight w:val="none"/>
              </w:rPr>
            </w:pPr>
            <w:r>
              <w:rPr>
                <w:rFonts w:hint="eastAsia"/>
                <w:color w:val="000000" w:themeColor="text1"/>
                <w:highlight w:val="none"/>
              </w:rPr>
              <w:t>7.3.1</w:t>
            </w:r>
          </w:p>
        </w:tc>
        <w:tc>
          <w:tcPr>
            <w:tcW w:w="2095" w:type="dxa"/>
            <w:vAlign w:val="center"/>
          </w:tcPr>
          <w:p w14:paraId="628988D3">
            <w:pPr>
              <w:wordWrap w:val="0"/>
              <w:adjustRightInd w:val="0"/>
              <w:spacing w:line="0" w:lineRule="atLeas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履约担保</w:t>
            </w:r>
          </w:p>
        </w:tc>
        <w:tc>
          <w:tcPr>
            <w:tcW w:w="6675" w:type="dxa"/>
            <w:vAlign w:val="center"/>
          </w:tcPr>
          <w:p w14:paraId="6B4D7467">
            <w:pPr>
              <w:wordWrap w:val="0"/>
              <w:adjustRightInd w:val="0"/>
              <w:snapToGrid w:val="0"/>
              <w:spacing w:line="0" w:lineRule="atLeast"/>
              <w:rPr>
                <w:rFonts w:ascii="宋体" w:hAnsi="宋体" w:cs="宋体"/>
                <w:bCs/>
                <w:color w:val="000000" w:themeColor="text1"/>
                <w:szCs w:val="21"/>
                <w:highlight w:val="none"/>
              </w:rPr>
            </w:pPr>
            <w:r>
              <w:rPr>
                <w:rFonts w:ascii="宋体" w:hAnsi="宋体" w:cs="宋体"/>
                <w:bCs/>
                <w:color w:val="000000" w:themeColor="text1"/>
                <w:szCs w:val="21"/>
                <w:highlight w:val="none"/>
              </w:rPr>
              <w:t>是否要求成交人提交履约保证金：</w:t>
            </w:r>
          </w:p>
          <w:p w14:paraId="7C4F3212">
            <w:pPr>
              <w:wordWrap w:val="0"/>
              <w:adjustRightInd w:val="0"/>
              <w:snapToGrid w:val="0"/>
              <w:spacing w:line="0" w:lineRule="atLeast"/>
              <w:rPr>
                <w:rFonts w:ascii="宋体" w:hAnsi="宋体" w:cs="宋体"/>
                <w:bCs/>
                <w:color w:val="000000" w:themeColor="text1"/>
                <w:szCs w:val="21"/>
                <w:highlight w:val="none"/>
              </w:rPr>
            </w:pPr>
            <w:r>
              <w:rPr>
                <w:rFonts w:ascii="宋体" w:hAnsi="宋体" w:cs="宋体"/>
                <w:bCs/>
                <w:color w:val="000000" w:themeColor="text1"/>
                <w:szCs w:val="21"/>
                <w:highlight w:val="none"/>
              </w:rPr>
              <w:sym w:font="Wingdings 2" w:char="00A3"/>
            </w:r>
            <w:r>
              <w:rPr>
                <w:rFonts w:ascii="宋体" w:hAnsi="宋体" w:cs="宋体"/>
                <w:bCs/>
                <w:color w:val="000000" w:themeColor="text1"/>
                <w:szCs w:val="21"/>
                <w:highlight w:val="none"/>
              </w:rPr>
              <w:t>要求</w:t>
            </w:r>
          </w:p>
          <w:p w14:paraId="14F2BBB1">
            <w:pPr>
              <w:wordWrap w:val="0"/>
              <w:adjustRightInd w:val="0"/>
              <w:snapToGrid w:val="0"/>
              <w:spacing w:line="0" w:lineRule="atLeast"/>
              <w:rPr>
                <w:rFonts w:ascii="宋体" w:hAnsi="宋体" w:cs="宋体"/>
                <w:bCs/>
                <w:color w:val="000000" w:themeColor="text1"/>
                <w:szCs w:val="21"/>
                <w:highlight w:val="none"/>
              </w:rPr>
            </w:pPr>
            <w:r>
              <w:rPr>
                <w:rFonts w:ascii="宋体" w:hAnsi="宋体" w:cs="宋体"/>
                <w:bCs/>
                <w:color w:val="000000" w:themeColor="text1"/>
                <w:szCs w:val="21"/>
                <w:highlight w:val="none"/>
              </w:rPr>
              <w:fldChar w:fldCharType="begin"/>
            </w:r>
            <w:r>
              <w:rPr>
                <w:rFonts w:ascii="宋体" w:hAnsi="宋体" w:cs="宋体"/>
                <w:bCs/>
                <w:color w:val="000000" w:themeColor="text1"/>
                <w:szCs w:val="21"/>
                <w:highlight w:val="none"/>
              </w:rPr>
              <w:instrText xml:space="preserve">eq \o\ac(□,√)</w:instrText>
            </w:r>
            <w:r>
              <w:rPr>
                <w:rFonts w:ascii="宋体" w:hAnsi="宋体" w:cs="宋体"/>
                <w:bCs/>
                <w:color w:val="000000" w:themeColor="text1"/>
                <w:szCs w:val="21"/>
                <w:highlight w:val="none"/>
              </w:rPr>
              <w:fldChar w:fldCharType="end"/>
            </w:r>
            <w:r>
              <w:rPr>
                <w:rFonts w:ascii="宋体" w:hAnsi="宋体" w:cs="宋体"/>
                <w:bCs/>
                <w:color w:val="000000" w:themeColor="text1"/>
                <w:szCs w:val="21"/>
                <w:highlight w:val="none"/>
              </w:rPr>
              <w:t>不要求</w:t>
            </w:r>
          </w:p>
        </w:tc>
      </w:tr>
      <w:tr w14:paraId="0362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95" w:type="dxa"/>
            <w:vAlign w:val="center"/>
          </w:tcPr>
          <w:p w14:paraId="77210220">
            <w:pPr>
              <w:wordWrap w:val="0"/>
              <w:adjustRightInd w:val="0"/>
              <w:spacing w:line="0" w:lineRule="atLeast"/>
              <w:jc w:val="center"/>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7.4</w:t>
            </w:r>
          </w:p>
        </w:tc>
        <w:tc>
          <w:tcPr>
            <w:tcW w:w="2095" w:type="dxa"/>
            <w:vAlign w:val="center"/>
          </w:tcPr>
          <w:p w14:paraId="4D728244">
            <w:pPr>
              <w:wordWrap w:val="0"/>
              <w:adjustRightInd w:val="0"/>
              <w:spacing w:line="0" w:lineRule="atLeas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是否授权磋商小组确定成交人</w:t>
            </w:r>
          </w:p>
        </w:tc>
        <w:tc>
          <w:tcPr>
            <w:tcW w:w="6675" w:type="dxa"/>
            <w:vAlign w:val="center"/>
          </w:tcPr>
          <w:p w14:paraId="5C0B5820">
            <w:pPr>
              <w:wordWrap w:val="0"/>
              <w:adjustRightInd w:val="0"/>
              <w:snapToGrid w:val="0"/>
              <w:spacing w:line="0" w:lineRule="atLeas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□是</w:t>
            </w:r>
          </w:p>
          <w:p w14:paraId="23D91391">
            <w:pPr>
              <w:wordWrap w:val="0"/>
              <w:adjustRightInd w:val="0"/>
              <w:snapToGrid w:val="0"/>
              <w:spacing w:line="0" w:lineRule="atLeast"/>
              <w:rPr>
                <w:rFonts w:ascii="宋体" w:hAnsi="宋体" w:cs="宋体"/>
                <w:bCs/>
                <w:color w:val="000000" w:themeColor="text1"/>
                <w:szCs w:val="21"/>
                <w:highlight w:val="none"/>
              </w:rPr>
            </w:pPr>
            <w:r>
              <w:rPr>
                <w:rFonts w:hint="eastAsia" w:ascii="宋体" w:hAnsi="宋体" w:cs="宋体"/>
                <w:bCs/>
                <w:color w:val="000000" w:themeColor="text1"/>
                <w:szCs w:val="21"/>
                <w:highlight w:val="none"/>
              </w:rPr>
              <w:fldChar w:fldCharType="begin"/>
            </w:r>
            <w:r>
              <w:rPr>
                <w:rFonts w:hint="eastAsia" w:ascii="宋体" w:hAnsi="宋体" w:cs="宋体"/>
                <w:bCs/>
                <w:color w:val="000000" w:themeColor="text1"/>
                <w:szCs w:val="21"/>
                <w:highlight w:val="none"/>
              </w:rPr>
              <w:instrText xml:space="preserve">eq \o\ac(□,√)</w:instrText>
            </w:r>
            <w:r>
              <w:rPr>
                <w:rFonts w:hint="eastAsia" w:ascii="宋体" w:hAnsi="宋体" w:cs="宋体"/>
                <w:bCs/>
                <w:color w:val="000000" w:themeColor="text1"/>
                <w:szCs w:val="21"/>
                <w:highlight w:val="none"/>
              </w:rPr>
              <w:fldChar w:fldCharType="end"/>
            </w:r>
            <w:r>
              <w:rPr>
                <w:rFonts w:hint="eastAsia" w:ascii="宋体" w:hAnsi="宋体" w:cs="宋体"/>
                <w:bCs/>
                <w:color w:val="000000" w:themeColor="text1"/>
                <w:szCs w:val="21"/>
                <w:highlight w:val="none"/>
              </w:rPr>
              <w:t>否</w:t>
            </w:r>
          </w:p>
        </w:tc>
      </w:tr>
      <w:tr w14:paraId="30B8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95" w:type="dxa"/>
            <w:vAlign w:val="center"/>
          </w:tcPr>
          <w:p w14:paraId="3CD5F59A">
            <w:pPr>
              <w:spacing w:line="400" w:lineRule="exact"/>
              <w:jc w:val="center"/>
              <w:rPr>
                <w:rFonts w:ascii="宋体" w:hAnsi="宋体" w:cs="宋体"/>
                <w:bCs/>
                <w:color w:val="000000" w:themeColor="text1"/>
                <w:szCs w:val="21"/>
                <w:highlight w:val="none"/>
                <w:lang w:val="zh-CN"/>
              </w:rPr>
            </w:pPr>
            <w:r>
              <w:rPr>
                <w:rFonts w:hint="eastAsia"/>
                <w:color w:val="000000" w:themeColor="text1"/>
                <w:highlight w:val="none"/>
              </w:rPr>
              <w:t>10.8</w:t>
            </w:r>
          </w:p>
        </w:tc>
        <w:tc>
          <w:tcPr>
            <w:tcW w:w="2095" w:type="dxa"/>
            <w:vAlign w:val="center"/>
          </w:tcPr>
          <w:p w14:paraId="2A5215D3">
            <w:pPr>
              <w:spacing w:line="400" w:lineRule="exact"/>
              <w:jc w:val="center"/>
              <w:rPr>
                <w:rFonts w:ascii="宋体" w:hAnsi="宋体" w:cs="宋体"/>
                <w:bCs/>
                <w:color w:val="000000" w:themeColor="text1"/>
                <w:szCs w:val="21"/>
                <w:highlight w:val="none"/>
                <w:lang w:val="zh-CN"/>
              </w:rPr>
            </w:pPr>
            <w:r>
              <w:rPr>
                <w:rFonts w:hint="eastAsia"/>
                <w:color w:val="000000" w:themeColor="text1"/>
                <w:highlight w:val="none"/>
              </w:rPr>
              <w:t>重新招标的其他情形</w:t>
            </w:r>
          </w:p>
        </w:tc>
        <w:tc>
          <w:tcPr>
            <w:tcW w:w="6675" w:type="dxa"/>
            <w:vAlign w:val="center"/>
          </w:tcPr>
          <w:p w14:paraId="12AA78AA">
            <w:pPr>
              <w:spacing w:line="0" w:lineRule="atLeast"/>
              <w:rPr>
                <w:rFonts w:ascii="宋体" w:hAnsi="宋体" w:cs="宋体"/>
                <w:color w:val="000000" w:themeColor="text1"/>
                <w:szCs w:val="21"/>
                <w:highlight w:val="none"/>
              </w:rPr>
            </w:pPr>
            <w:r>
              <w:rPr>
                <w:rFonts w:hint="eastAsia" w:ascii="宋体" w:hAnsi="宋体" w:cs="宋体"/>
                <w:color w:val="000000" w:themeColor="text1"/>
                <w:szCs w:val="21"/>
                <w:highlight w:val="none"/>
              </w:rPr>
              <w:t>除供应商须知正文第8条规定的情形外，除非已经产生成交候选人，在响应有效期内同意延长响应有效期的供应商少于三个的，采购人应当依法重新招标。</w:t>
            </w:r>
          </w:p>
          <w:p w14:paraId="362B3AE1">
            <w:pPr>
              <w:spacing w:line="0" w:lineRule="atLeast"/>
              <w:rPr>
                <w:rFonts w:ascii="宋体" w:hAnsi="宋体" w:cs="宋体"/>
                <w:bCs/>
                <w:color w:val="000000" w:themeColor="text1"/>
                <w:szCs w:val="21"/>
                <w:highlight w:val="none"/>
              </w:rPr>
            </w:pPr>
            <w:r>
              <w:rPr>
                <w:rFonts w:hint="eastAsia" w:ascii="宋体" w:hAnsi="宋体" w:cs="宋体"/>
                <w:color w:val="000000" w:themeColor="text1"/>
                <w:szCs w:val="21"/>
                <w:highlight w:val="none"/>
              </w:rPr>
              <w:t>通过初步评审的有效投标不足三个使得投标明显缺乏竞争的，磋商小组可以否决全部投标。</w:t>
            </w:r>
          </w:p>
        </w:tc>
      </w:tr>
      <w:tr w14:paraId="31E4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95" w:type="dxa"/>
            <w:vAlign w:val="center"/>
          </w:tcPr>
          <w:p w14:paraId="1C71D3F3">
            <w:pPr>
              <w:wordWrap w:val="0"/>
              <w:adjustRightInd w:val="0"/>
              <w:spacing w:line="0" w:lineRule="atLeast"/>
              <w:jc w:val="center"/>
              <w:rPr>
                <w:rFonts w:hint="default" w:ascii="宋体" w:hAnsi="宋体" w:eastAsia="宋体" w:cs="宋体"/>
                <w:bCs/>
                <w:color w:val="000000" w:themeColor="text1"/>
                <w:szCs w:val="21"/>
                <w:highlight w:val="none"/>
                <w:lang w:val="en-US" w:eastAsia="zh-CN"/>
              </w:rPr>
            </w:pPr>
            <w:r>
              <w:rPr>
                <w:rFonts w:hint="eastAsia" w:ascii="宋体" w:hAnsi="宋体" w:cs="宋体"/>
                <w:bCs/>
                <w:color w:val="000000" w:themeColor="text1"/>
                <w:szCs w:val="21"/>
                <w:highlight w:val="none"/>
                <w:lang w:val="zh-CN"/>
              </w:rPr>
              <w:t>9</w:t>
            </w:r>
          </w:p>
        </w:tc>
        <w:tc>
          <w:tcPr>
            <w:tcW w:w="2095" w:type="dxa"/>
            <w:vAlign w:val="center"/>
          </w:tcPr>
          <w:p w14:paraId="7B067A43">
            <w:pPr>
              <w:wordWrap w:val="0"/>
              <w:adjustRightInd w:val="0"/>
              <w:spacing w:line="0" w:lineRule="atLeas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是否采用电子招标投标</w:t>
            </w:r>
          </w:p>
        </w:tc>
        <w:tc>
          <w:tcPr>
            <w:tcW w:w="6675" w:type="dxa"/>
            <w:vAlign w:val="center"/>
          </w:tcPr>
          <w:p w14:paraId="6FD687BD">
            <w:pPr>
              <w:wordWrap w:val="0"/>
              <w:adjustRightInd w:val="0"/>
              <w:snapToGrid w:val="0"/>
              <w:spacing w:line="0" w:lineRule="atLeast"/>
              <w:rPr>
                <w:rFonts w:ascii="宋体" w:hAnsi="宋体" w:cs="宋体"/>
                <w:bCs/>
                <w:color w:val="000000" w:themeColor="text1"/>
                <w:szCs w:val="21"/>
                <w:highlight w:val="none"/>
              </w:rPr>
            </w:pPr>
            <w:r>
              <w:rPr>
                <w:rFonts w:hint="eastAsia" w:ascii="宋体" w:hAnsi="宋体" w:cs="宋体"/>
                <w:bCs/>
                <w:color w:val="000000" w:themeColor="text1"/>
                <w:szCs w:val="21"/>
                <w:highlight w:val="none"/>
              </w:rPr>
              <w:fldChar w:fldCharType="begin"/>
            </w:r>
            <w:r>
              <w:rPr>
                <w:rFonts w:hint="eastAsia" w:ascii="宋体" w:hAnsi="宋体" w:cs="宋体"/>
                <w:bCs/>
                <w:color w:val="000000" w:themeColor="text1"/>
                <w:szCs w:val="21"/>
                <w:highlight w:val="none"/>
              </w:rPr>
              <w:instrText xml:space="preserve">eq \o\ac(□,√)</w:instrText>
            </w:r>
            <w:r>
              <w:rPr>
                <w:rFonts w:hint="eastAsia" w:ascii="宋体" w:hAnsi="宋体" w:cs="宋体"/>
                <w:bCs/>
                <w:color w:val="000000" w:themeColor="text1"/>
                <w:szCs w:val="21"/>
                <w:highlight w:val="none"/>
              </w:rPr>
              <w:fldChar w:fldCharType="end"/>
            </w:r>
            <w:r>
              <w:rPr>
                <w:rFonts w:hint="eastAsia" w:ascii="宋体" w:hAnsi="宋体" w:cs="宋体"/>
                <w:bCs/>
                <w:color w:val="000000" w:themeColor="text1"/>
                <w:szCs w:val="21"/>
                <w:highlight w:val="none"/>
              </w:rPr>
              <w:t>是，具体要求：详见供应商须知前附表第10.7项。</w:t>
            </w:r>
          </w:p>
          <w:p w14:paraId="06CD997A">
            <w:pPr>
              <w:wordWrap w:val="0"/>
              <w:adjustRightInd w:val="0"/>
              <w:snapToGrid w:val="0"/>
              <w:spacing w:line="0" w:lineRule="atLeast"/>
              <w:rPr>
                <w:rFonts w:ascii="宋体" w:hAnsi="宋体" w:cs="宋体"/>
                <w:bCs/>
                <w:color w:val="000000" w:themeColor="text1"/>
                <w:szCs w:val="21"/>
                <w:highlight w:val="none"/>
              </w:rPr>
            </w:pPr>
            <w:r>
              <w:rPr>
                <w:rFonts w:hint="eastAsia" w:ascii="宋体" w:hAnsi="宋体" w:cs="宋体"/>
                <w:bCs/>
                <w:color w:val="000000" w:themeColor="text1"/>
                <w:szCs w:val="21"/>
                <w:highlight w:val="none"/>
              </w:rPr>
              <w:sym w:font="Wingdings 2" w:char="00A3"/>
            </w:r>
            <w:r>
              <w:rPr>
                <w:rFonts w:hint="eastAsia" w:ascii="宋体" w:hAnsi="宋体" w:cs="宋体"/>
                <w:bCs/>
                <w:color w:val="000000" w:themeColor="text1"/>
                <w:szCs w:val="21"/>
                <w:highlight w:val="none"/>
              </w:rPr>
              <w:t>否</w:t>
            </w:r>
          </w:p>
        </w:tc>
      </w:tr>
      <w:tr w14:paraId="2C56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95" w:type="dxa"/>
            <w:vAlign w:val="center"/>
          </w:tcPr>
          <w:p w14:paraId="57E2174F">
            <w:pPr>
              <w:spacing w:line="400" w:lineRule="exact"/>
              <w:jc w:val="center"/>
              <w:rPr>
                <w:color w:val="000000" w:themeColor="text1"/>
                <w:highlight w:val="none"/>
              </w:rPr>
            </w:pPr>
            <w:r>
              <w:rPr>
                <w:rFonts w:hint="eastAsia"/>
                <w:color w:val="000000" w:themeColor="text1"/>
                <w:highlight w:val="none"/>
              </w:rPr>
              <w:t>10.1</w:t>
            </w:r>
          </w:p>
        </w:tc>
        <w:tc>
          <w:tcPr>
            <w:tcW w:w="2095" w:type="dxa"/>
            <w:vAlign w:val="center"/>
          </w:tcPr>
          <w:p w14:paraId="3BDB9947">
            <w:pPr>
              <w:wordWrap w:val="0"/>
              <w:adjustRightInd w:val="0"/>
              <w:spacing w:line="0" w:lineRule="atLeas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评审办法</w:t>
            </w:r>
          </w:p>
        </w:tc>
        <w:tc>
          <w:tcPr>
            <w:tcW w:w="6675" w:type="dxa"/>
            <w:vAlign w:val="center"/>
          </w:tcPr>
          <w:p w14:paraId="49ABA46D">
            <w:pPr>
              <w:wordWrap w:val="0"/>
              <w:adjustRightInd w:val="0"/>
              <w:snapToGrid w:val="0"/>
              <w:spacing w:line="0" w:lineRule="atLeas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综合评分法</w:t>
            </w:r>
          </w:p>
        </w:tc>
      </w:tr>
      <w:tr w14:paraId="663E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5" w:type="dxa"/>
            <w:vAlign w:val="center"/>
          </w:tcPr>
          <w:p w14:paraId="211E1338">
            <w:pPr>
              <w:spacing w:line="400" w:lineRule="exact"/>
              <w:jc w:val="center"/>
              <w:rPr>
                <w:color w:val="000000" w:themeColor="text1"/>
                <w:highlight w:val="none"/>
              </w:rPr>
            </w:pPr>
            <w:r>
              <w:rPr>
                <w:rFonts w:hint="eastAsia"/>
                <w:color w:val="000000" w:themeColor="text1"/>
                <w:highlight w:val="none"/>
              </w:rPr>
              <w:t>10.2</w:t>
            </w:r>
          </w:p>
        </w:tc>
        <w:tc>
          <w:tcPr>
            <w:tcW w:w="2095" w:type="dxa"/>
            <w:vAlign w:val="center"/>
          </w:tcPr>
          <w:p w14:paraId="644B4010">
            <w:pPr>
              <w:wordWrap w:val="0"/>
              <w:adjustRightInd w:val="0"/>
              <w:spacing w:line="0" w:lineRule="atLeas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lang w:val="zh-CN"/>
              </w:rPr>
              <w:t>付款方式</w:t>
            </w:r>
          </w:p>
        </w:tc>
        <w:tc>
          <w:tcPr>
            <w:tcW w:w="6675" w:type="dxa"/>
            <w:vAlign w:val="center"/>
          </w:tcPr>
          <w:p w14:paraId="67BA446B">
            <w:pPr>
              <w:wordWrap w:val="0"/>
              <w:adjustRightInd w:val="0"/>
              <w:snapToGrid w:val="0"/>
              <w:spacing w:line="0" w:lineRule="atLeas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一次性付清</w:t>
            </w:r>
            <w:r>
              <w:rPr>
                <w:rFonts w:ascii="宋体" w:hAnsi="宋体" w:cs="宋体"/>
                <w:bCs/>
                <w:color w:val="000000" w:themeColor="text1"/>
                <w:szCs w:val="21"/>
                <w:highlight w:val="none"/>
              </w:rPr>
              <w:t>；</w:t>
            </w:r>
          </w:p>
        </w:tc>
      </w:tr>
      <w:tr w14:paraId="64F6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5" w:type="dxa"/>
            <w:vAlign w:val="center"/>
          </w:tcPr>
          <w:p w14:paraId="57DE4D88">
            <w:pPr>
              <w:spacing w:line="400" w:lineRule="exact"/>
              <w:jc w:val="center"/>
              <w:rPr>
                <w:color w:val="000000" w:themeColor="text1"/>
                <w:highlight w:val="none"/>
              </w:rPr>
            </w:pPr>
            <w:r>
              <w:rPr>
                <w:rFonts w:hint="eastAsia"/>
                <w:color w:val="000000" w:themeColor="text1"/>
                <w:highlight w:val="none"/>
              </w:rPr>
              <w:t>10.3</w:t>
            </w:r>
          </w:p>
        </w:tc>
        <w:tc>
          <w:tcPr>
            <w:tcW w:w="2095" w:type="dxa"/>
            <w:vAlign w:val="center"/>
          </w:tcPr>
          <w:p w14:paraId="4446008C">
            <w:pPr>
              <w:spacing w:line="0" w:lineRule="atLeast"/>
              <w:jc w:val="center"/>
              <w:rPr>
                <w:color w:val="000000" w:themeColor="text1"/>
                <w:highlight w:val="none"/>
              </w:rPr>
            </w:pPr>
            <w:r>
              <w:rPr>
                <w:rFonts w:hint="eastAsia"/>
                <w:color w:val="000000" w:themeColor="text1"/>
                <w:highlight w:val="none"/>
              </w:rPr>
              <w:t>采购代理服务费</w:t>
            </w:r>
          </w:p>
        </w:tc>
        <w:tc>
          <w:tcPr>
            <w:tcW w:w="6675" w:type="dxa"/>
          </w:tcPr>
          <w:p w14:paraId="42CC8C73">
            <w:pPr>
              <w:spacing w:line="0" w:lineRule="atLeast"/>
              <w:rPr>
                <w:rFonts w:ascii="宋体" w:hAnsi="宋体" w:cs="宋体"/>
                <w:color w:val="000000" w:themeColor="text1"/>
                <w:szCs w:val="21"/>
                <w:highlight w:val="none"/>
              </w:rPr>
            </w:pPr>
            <w:r>
              <w:rPr>
                <w:rFonts w:hint="eastAsia" w:ascii="宋体" w:hAnsi="宋体" w:cs="宋体"/>
                <w:color w:val="000000" w:themeColor="text1"/>
                <w:szCs w:val="21"/>
                <w:highlight w:val="none"/>
              </w:rPr>
              <w:t>按照国家发展计划委员会“发改价格【2015】299号”文要求，于成交通知书下发前向成交人收取。</w:t>
            </w:r>
          </w:p>
        </w:tc>
      </w:tr>
      <w:tr w14:paraId="00A9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995" w:type="dxa"/>
            <w:vMerge w:val="restart"/>
            <w:vAlign w:val="center"/>
          </w:tcPr>
          <w:p w14:paraId="13C35DF5">
            <w:pPr>
              <w:spacing w:line="400" w:lineRule="exact"/>
              <w:jc w:val="center"/>
              <w:rPr>
                <w:color w:val="000000" w:themeColor="text1"/>
                <w:highlight w:val="none"/>
              </w:rPr>
            </w:pPr>
            <w:r>
              <w:rPr>
                <w:rFonts w:hint="eastAsia"/>
                <w:color w:val="000000" w:themeColor="text1"/>
                <w:highlight w:val="none"/>
              </w:rPr>
              <w:t>10.4</w:t>
            </w:r>
          </w:p>
        </w:tc>
        <w:tc>
          <w:tcPr>
            <w:tcW w:w="2095" w:type="dxa"/>
            <w:vMerge w:val="restart"/>
            <w:vAlign w:val="center"/>
          </w:tcPr>
          <w:p w14:paraId="6992157A">
            <w:pPr>
              <w:widowControl/>
              <w:autoSpaceDN w:val="0"/>
              <w:jc w:val="center"/>
              <w:rPr>
                <w:rFonts w:ascii="宋体" w:hAnsi="宋体" w:cs="宋体"/>
                <w:color w:val="000000" w:themeColor="text1"/>
                <w:szCs w:val="21"/>
                <w:highlight w:val="none"/>
                <w:lang w:val="zh-CN"/>
              </w:rPr>
            </w:pPr>
            <w:r>
              <w:rPr>
                <w:rFonts w:hint="eastAsia" w:ascii="宋体" w:hAnsi="宋体" w:cs="宋体"/>
                <w:color w:val="000000" w:themeColor="text1"/>
                <w:szCs w:val="21"/>
                <w:highlight w:val="none"/>
              </w:rPr>
              <w:t>其他要求</w:t>
            </w:r>
          </w:p>
        </w:tc>
        <w:tc>
          <w:tcPr>
            <w:tcW w:w="6675" w:type="dxa"/>
            <w:vAlign w:val="center"/>
          </w:tcPr>
          <w:p w14:paraId="23B378B2">
            <w:pPr>
              <w:numPr>
                <w:ilvl w:val="0"/>
                <w:numId w:val="4"/>
              </w:numPr>
              <w:spacing w:line="320" w:lineRule="exact"/>
              <w:jc w:val="left"/>
              <w:rPr>
                <w:rFonts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按照财政部、发展改革委、生态环境部、市场监管总局最新发布执行的《关于调整优化节能产品、环境标志产品政府采购执行机制的通知》的规定，《货物清单及技术参数》中凡包含强制采购产品的，投标人必须提供列入《节能产品政府采购品目清单》的产品，投标文件中需提供认证证明，认证机构须在市场监管总局公布的名录内（详见《市场监管总局关于发布参与实施政府采购节能产品、环境标志产品认证机构名录的公告》2019年第16号文件），否则投标无效。</w:t>
            </w:r>
          </w:p>
          <w:p w14:paraId="1CC3B121">
            <w:pPr>
              <w:widowControl/>
              <w:autoSpaceDN w:val="0"/>
              <w:rPr>
                <w:rFonts w:ascii="宋体" w:hAnsi="宋体" w:cs="宋体"/>
                <w:color w:val="000000" w:themeColor="text1"/>
                <w:szCs w:val="21"/>
                <w:highlight w:val="none"/>
              </w:rPr>
            </w:pP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《货物清单及技术参数》中包含计算机设备的，投标人必须投标预装正版操作系统软件的计算机产品，否则无效。</w:t>
            </w:r>
          </w:p>
        </w:tc>
      </w:tr>
      <w:tr w14:paraId="489A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vMerge w:val="continue"/>
            <w:vAlign w:val="center"/>
          </w:tcPr>
          <w:p w14:paraId="5FB2CCDF">
            <w:pPr>
              <w:spacing w:line="400" w:lineRule="exact"/>
              <w:jc w:val="center"/>
              <w:rPr>
                <w:color w:val="000000" w:themeColor="text1"/>
                <w:highlight w:val="none"/>
              </w:rPr>
            </w:pPr>
          </w:p>
        </w:tc>
        <w:tc>
          <w:tcPr>
            <w:tcW w:w="2095" w:type="dxa"/>
            <w:vMerge w:val="continue"/>
            <w:vAlign w:val="center"/>
          </w:tcPr>
          <w:p w14:paraId="5DC70BB9">
            <w:pPr>
              <w:widowControl/>
              <w:autoSpaceDN w:val="0"/>
              <w:jc w:val="center"/>
              <w:rPr>
                <w:rFonts w:ascii="宋体" w:hAnsi="宋体" w:cs="宋体"/>
                <w:color w:val="000000" w:themeColor="text1"/>
                <w:szCs w:val="21"/>
                <w:highlight w:val="none"/>
              </w:rPr>
            </w:pPr>
          </w:p>
        </w:tc>
        <w:tc>
          <w:tcPr>
            <w:tcW w:w="6675" w:type="dxa"/>
            <w:vAlign w:val="center"/>
          </w:tcPr>
          <w:p w14:paraId="0C07BB3B">
            <w:pPr>
              <w:widowControl/>
              <w:autoSpaceDN w:val="0"/>
              <w:rPr>
                <w:rFonts w:ascii="宋体" w:hAnsi="宋体" w:cs="宋体"/>
                <w:color w:val="000000" w:themeColor="text1"/>
                <w:szCs w:val="21"/>
                <w:highlight w:val="none"/>
              </w:rPr>
            </w:pPr>
            <w:r>
              <w:rPr>
                <w:rFonts w:hint="eastAsia" w:ascii="宋体" w:hAnsi="宋体" w:cs="宋体"/>
                <w:bCs/>
                <w:color w:val="000000" w:themeColor="text1"/>
                <w:szCs w:val="21"/>
                <w:highlight w:val="none"/>
                <w:lang w:val="zh-CN"/>
              </w:rPr>
              <w:t>本项目全部面向中小企业采购，故不进行价格扣除。中小企业声明函中项目采购标的对应的企业划分标准所属行业为</w:t>
            </w:r>
            <w:r>
              <w:rPr>
                <w:rFonts w:hint="eastAsia" w:ascii="宋体" w:hAnsi="宋体" w:cs="宋体"/>
                <w:b/>
                <w:bCs w:val="0"/>
                <w:color w:val="000000" w:themeColor="text1"/>
                <w:szCs w:val="21"/>
                <w:highlight w:val="none"/>
                <w:u w:val="single"/>
                <w:lang w:val="en-US" w:eastAsia="zh-CN"/>
              </w:rPr>
              <w:t>工业</w:t>
            </w: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若投标人提供的《中小企业声明函》不是货物类的版本或其中填写的行业与招标文件明确的采购标的对应的中小企业划分标准所属行业不一致，则不予认定为中小企业。</w:t>
            </w:r>
          </w:p>
        </w:tc>
      </w:tr>
      <w:tr w14:paraId="1CA7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5" w:type="dxa"/>
            <w:vMerge w:val="continue"/>
            <w:vAlign w:val="center"/>
          </w:tcPr>
          <w:p w14:paraId="12A489E3">
            <w:pPr>
              <w:spacing w:line="400" w:lineRule="exact"/>
              <w:jc w:val="center"/>
              <w:rPr>
                <w:color w:val="000000" w:themeColor="text1"/>
                <w:highlight w:val="none"/>
              </w:rPr>
            </w:pPr>
          </w:p>
        </w:tc>
        <w:tc>
          <w:tcPr>
            <w:tcW w:w="2095" w:type="dxa"/>
            <w:vMerge w:val="continue"/>
            <w:vAlign w:val="center"/>
          </w:tcPr>
          <w:p w14:paraId="75A5523B">
            <w:pPr>
              <w:widowControl/>
              <w:autoSpaceDN w:val="0"/>
              <w:jc w:val="center"/>
              <w:rPr>
                <w:rFonts w:ascii="宋体" w:hAnsi="宋体" w:cs="宋体"/>
                <w:color w:val="000000" w:themeColor="text1"/>
                <w:szCs w:val="21"/>
                <w:highlight w:val="none"/>
              </w:rPr>
            </w:pPr>
          </w:p>
        </w:tc>
        <w:tc>
          <w:tcPr>
            <w:tcW w:w="6675" w:type="dxa"/>
            <w:vAlign w:val="center"/>
          </w:tcPr>
          <w:p w14:paraId="4455C6DF">
            <w:pPr>
              <w:widowControl/>
              <w:autoSpaceDN w:val="0"/>
              <w:rPr>
                <w:rFonts w:ascii="宋体" w:hAnsi="宋体" w:cs="宋体"/>
                <w:color w:val="000000" w:themeColor="text1"/>
                <w:szCs w:val="21"/>
                <w:highlight w:val="none"/>
              </w:rPr>
            </w:pPr>
            <w:r>
              <w:rPr>
                <w:rFonts w:hint="eastAsia" w:ascii="宋体" w:hAnsi="宋体" w:cs="宋体"/>
                <w:color w:val="000000" w:themeColor="text1"/>
                <w:szCs w:val="21"/>
                <w:highlight w:val="none"/>
              </w:rPr>
              <w:t>只接受以书面形式向采购人、采购代理机构提出质疑，不接受以其他形式或提出的质疑。</w:t>
            </w:r>
          </w:p>
        </w:tc>
      </w:tr>
      <w:tr w14:paraId="7A5B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5" w:type="dxa"/>
            <w:vAlign w:val="center"/>
          </w:tcPr>
          <w:p w14:paraId="3EB363C3">
            <w:pPr>
              <w:spacing w:line="400" w:lineRule="exact"/>
              <w:jc w:val="center"/>
              <w:rPr>
                <w:color w:val="000000" w:themeColor="text1"/>
                <w:highlight w:val="none"/>
              </w:rPr>
            </w:pPr>
            <w:r>
              <w:rPr>
                <w:rFonts w:hint="eastAsia"/>
                <w:color w:val="000000" w:themeColor="text1"/>
                <w:highlight w:val="none"/>
              </w:rPr>
              <w:t>10.5</w:t>
            </w:r>
          </w:p>
        </w:tc>
        <w:tc>
          <w:tcPr>
            <w:tcW w:w="2095" w:type="dxa"/>
            <w:vAlign w:val="center"/>
          </w:tcPr>
          <w:p w14:paraId="1754CF28">
            <w:pPr>
              <w:spacing w:line="0" w:lineRule="atLeast"/>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val="zh-CN"/>
              </w:rPr>
              <w:t>供应商</w:t>
            </w:r>
            <w:r>
              <w:rPr>
                <w:rFonts w:hint="eastAsia" w:ascii="宋体" w:hAnsi="宋体" w:cs="宋体"/>
                <w:color w:val="000000" w:themeColor="text1"/>
                <w:szCs w:val="21"/>
                <w:highlight w:val="none"/>
              </w:rPr>
              <w:t>投标无效</w:t>
            </w:r>
            <w:r>
              <w:rPr>
                <w:rFonts w:hint="eastAsia" w:ascii="宋体" w:hAnsi="宋体" w:cs="宋体"/>
                <w:color w:val="000000" w:themeColor="text1"/>
                <w:szCs w:val="21"/>
                <w:highlight w:val="none"/>
                <w:lang w:val="zh-CN"/>
              </w:rPr>
              <w:t>说明</w:t>
            </w:r>
          </w:p>
        </w:tc>
        <w:tc>
          <w:tcPr>
            <w:tcW w:w="6675" w:type="dxa"/>
            <w:vAlign w:val="center"/>
          </w:tcPr>
          <w:p w14:paraId="0EEC75DC">
            <w:pPr>
              <w:spacing w:line="0" w:lineRule="atLeast"/>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zh-CN"/>
              </w:rPr>
              <w:t>、供应商需在开标前将</w:t>
            </w:r>
            <w:r>
              <w:rPr>
                <w:rFonts w:hint="eastAsia" w:ascii="宋体" w:hAnsi="宋体" w:cs="宋体"/>
                <w:color w:val="000000" w:themeColor="text1"/>
                <w:szCs w:val="21"/>
                <w:highlight w:val="none"/>
              </w:rPr>
              <w:t>响应文件</w:t>
            </w:r>
            <w:r>
              <w:rPr>
                <w:rFonts w:hint="eastAsia" w:ascii="宋体" w:hAnsi="宋体" w:cs="宋体"/>
                <w:color w:val="000000" w:themeColor="text1"/>
                <w:szCs w:val="21"/>
                <w:highlight w:val="none"/>
                <w:lang w:val="zh-CN"/>
              </w:rPr>
              <w:t>制作工具生成的加密文件上传到政府采购云平台</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zh-CN"/>
              </w:rPr>
              <w:t>网址</w:t>
            </w:r>
            <w:r>
              <w:rPr>
                <w:rFonts w:hint="eastAsia" w:ascii="宋体" w:hAnsi="宋体" w:cs="宋体"/>
                <w:color w:val="000000" w:themeColor="text1"/>
                <w:szCs w:val="21"/>
                <w:highlight w:val="none"/>
              </w:rPr>
              <w:t>：http://www.zcygov.cn）</w:t>
            </w:r>
            <w:r>
              <w:rPr>
                <w:rFonts w:hint="eastAsia" w:ascii="宋体" w:hAnsi="宋体" w:cs="宋体"/>
                <w:color w:val="000000" w:themeColor="text1"/>
                <w:szCs w:val="21"/>
                <w:highlight w:val="none"/>
                <w:lang w:val="zh-CN"/>
              </w:rPr>
              <w:t>。</w:t>
            </w:r>
          </w:p>
          <w:p w14:paraId="67D46586">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2、开标时，供应商需用生成最终</w:t>
            </w:r>
            <w:r>
              <w:rPr>
                <w:rFonts w:hint="eastAsia" w:ascii="宋体" w:hAnsi="宋体" w:cs="宋体"/>
                <w:color w:val="000000" w:themeColor="text1"/>
                <w:szCs w:val="21"/>
                <w:highlight w:val="none"/>
              </w:rPr>
              <w:t>响应文件</w:t>
            </w:r>
            <w:r>
              <w:rPr>
                <w:rFonts w:hint="eastAsia" w:ascii="宋体" w:hAnsi="宋体" w:cs="宋体"/>
                <w:color w:val="000000" w:themeColor="text1"/>
                <w:szCs w:val="21"/>
                <w:highlight w:val="none"/>
                <w:lang w:val="zh-CN"/>
              </w:rPr>
              <w:t>所使用的数字证书（CA锁），以防</w:t>
            </w:r>
            <w:r>
              <w:rPr>
                <w:rFonts w:hint="eastAsia" w:ascii="宋体" w:hAnsi="宋体" w:cs="宋体"/>
                <w:color w:val="000000" w:themeColor="text1"/>
                <w:szCs w:val="21"/>
                <w:highlight w:val="none"/>
              </w:rPr>
              <w:t>签到、</w:t>
            </w:r>
            <w:r>
              <w:rPr>
                <w:rFonts w:hint="eastAsia" w:ascii="宋体" w:hAnsi="宋体" w:cs="宋体"/>
                <w:color w:val="000000" w:themeColor="text1"/>
                <w:szCs w:val="21"/>
                <w:highlight w:val="none"/>
                <w:lang w:val="zh-CN"/>
              </w:rPr>
              <w:t>解密失败。</w:t>
            </w:r>
          </w:p>
          <w:p w14:paraId="5ED31338">
            <w:pPr>
              <w:spacing w:line="0" w:lineRule="atLeast"/>
              <w:rPr>
                <w:rFonts w:ascii="宋体" w:hAnsi="宋体" w:cs="宋体"/>
                <w:color w:val="000000" w:themeColor="text1"/>
                <w:szCs w:val="21"/>
                <w:highlight w:val="none"/>
              </w:rPr>
            </w:pPr>
            <w:r>
              <w:rPr>
                <w:rFonts w:hint="eastAsia" w:ascii="宋体" w:hAnsi="宋体" w:cs="宋体"/>
                <w:color w:val="000000" w:themeColor="text1"/>
                <w:szCs w:val="21"/>
                <w:highlight w:val="none"/>
                <w:lang w:val="zh-CN"/>
              </w:rPr>
              <w:t>开评标过程中如因上述原因导致</w:t>
            </w:r>
            <w:r>
              <w:rPr>
                <w:rFonts w:hint="eastAsia" w:ascii="宋体" w:hAnsi="宋体" w:cs="宋体"/>
                <w:color w:val="000000" w:themeColor="text1"/>
                <w:szCs w:val="21"/>
                <w:highlight w:val="none"/>
              </w:rPr>
              <w:t>投标无效</w:t>
            </w:r>
            <w:r>
              <w:rPr>
                <w:rFonts w:hint="eastAsia" w:ascii="宋体" w:hAnsi="宋体" w:cs="宋体"/>
                <w:color w:val="000000" w:themeColor="text1"/>
                <w:szCs w:val="21"/>
                <w:highlight w:val="none"/>
                <w:lang w:val="zh-CN"/>
              </w:rPr>
              <w:t>标，供应商自行承担后果。</w:t>
            </w:r>
          </w:p>
        </w:tc>
      </w:tr>
      <w:tr w14:paraId="773D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95" w:type="dxa"/>
            <w:vAlign w:val="center"/>
          </w:tcPr>
          <w:p w14:paraId="188C2174">
            <w:pPr>
              <w:spacing w:line="400" w:lineRule="exact"/>
              <w:jc w:val="center"/>
              <w:rPr>
                <w:color w:val="000000" w:themeColor="text1"/>
                <w:highlight w:val="none"/>
              </w:rPr>
            </w:pPr>
            <w:r>
              <w:rPr>
                <w:rFonts w:hint="eastAsia"/>
                <w:color w:val="000000" w:themeColor="text1"/>
                <w:highlight w:val="none"/>
              </w:rPr>
              <w:t>10.6</w:t>
            </w:r>
          </w:p>
        </w:tc>
        <w:tc>
          <w:tcPr>
            <w:tcW w:w="2095" w:type="dxa"/>
            <w:vAlign w:val="center"/>
          </w:tcPr>
          <w:p w14:paraId="5CDAA0CC">
            <w:pPr>
              <w:spacing w:line="0" w:lineRule="atLeast"/>
              <w:jc w:val="center"/>
              <w:rPr>
                <w:color w:val="000000" w:themeColor="text1"/>
                <w:highlight w:val="none"/>
              </w:rPr>
            </w:pPr>
            <w:r>
              <w:rPr>
                <w:rFonts w:hint="eastAsia"/>
                <w:color w:val="000000" w:themeColor="text1"/>
                <w:highlight w:val="none"/>
                <w:lang w:val="zh-CN"/>
              </w:rPr>
              <w:t>电子招投标相关说明</w:t>
            </w:r>
          </w:p>
        </w:tc>
        <w:tc>
          <w:tcPr>
            <w:tcW w:w="6675" w:type="dxa"/>
            <w:vAlign w:val="center"/>
          </w:tcPr>
          <w:p w14:paraId="4D6A4D91">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本次招标实行不见面开标，具体要求如下：</w:t>
            </w:r>
          </w:p>
          <w:p w14:paraId="7B02C55E">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一、业务要求</w:t>
            </w:r>
          </w:p>
          <w:p w14:paraId="20C2E826">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1.开标项目的时间均以国家授时中心发布的时间为准。</w:t>
            </w:r>
          </w:p>
          <w:p w14:paraId="7575E56F">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2.政府采购云平台不见面开标系统适用进入政府采购云平台的政府采购项目。</w:t>
            </w:r>
          </w:p>
          <w:p w14:paraId="121B8E0D">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3.通过该系统完成投标过程。依照磋商文件的规定完成电子响应文件的编制和提交。如未按磋商文件要求编制、提交电子响应文件，将可能导致否决投标，其后果由供应商自负。</w:t>
            </w:r>
          </w:p>
          <w:p w14:paraId="61227234">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4.供应商应充分考虑到网络及系统平台可能存在的突发状况，在响应文件编制完成后尽早完成上传。</w:t>
            </w:r>
          </w:p>
          <w:p w14:paraId="3B888983">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 xml:space="preserve">5.响应文件提交截止时间前，采购人或招标代理提前进入政府采购云平台（网址：http:// </w:t>
            </w:r>
            <w:r>
              <w:rPr>
                <w:highlight w:val="none"/>
              </w:rPr>
              <w:fldChar w:fldCharType="begin"/>
            </w:r>
            <w:r>
              <w:rPr>
                <w:highlight w:val="none"/>
              </w:rPr>
              <w:instrText xml:space="preserve"> HYPERLINK "http://www.zcygov.cn）不见面开标系统，播放测试音频，各投标人提前进入该系统(网址http:/www.zcygov.cn），实时观看音视频交互效果并及时在系统互动区反馈，未按时加入系统互动区并完成登录操作的或未能在开标会议区内全程参与交互的，视为放弃交互和放弃对开评标全过程质疑的权利，投标人将无法看到解密指令、否决投标及澄清、唱标等实时情况，并承担由此产生的一切后果。" </w:instrText>
            </w:r>
            <w:r>
              <w:rPr>
                <w:highlight w:val="none"/>
              </w:rPr>
              <w:fldChar w:fldCharType="separate"/>
            </w:r>
            <w:r>
              <w:rPr>
                <w:rFonts w:hint="eastAsia" w:ascii="宋体" w:hAnsi="宋体" w:cs="宋体"/>
                <w:color w:val="000000" w:themeColor="text1"/>
                <w:szCs w:val="21"/>
                <w:highlight w:val="none"/>
                <w:lang w:val="zh-CN"/>
              </w:rPr>
              <w:t>www.zcygov.cn）不见面开标系统，播放测试音频，各供应商提前进入该系统(网址http://www.zcygov.cn），实时观看音视频交互效果并及时在系统互动区反馈，未按时加入系统互动区并完成登录操作的或未能在开标会议区内全程参与交互的，视为放弃交互和放弃对开评标全过程质疑的权利，供应商将无法看到解密指令、否决投标及澄清、唱标等实时情况，并承担由此产生的一切后果。</w:t>
            </w:r>
            <w:r>
              <w:rPr>
                <w:rFonts w:hint="eastAsia" w:ascii="宋体" w:hAnsi="宋体" w:cs="宋体"/>
                <w:color w:val="000000" w:themeColor="text1"/>
                <w:szCs w:val="21"/>
                <w:highlight w:val="none"/>
                <w:lang w:val="zh-CN"/>
              </w:rPr>
              <w:fldChar w:fldCharType="end"/>
            </w:r>
          </w:p>
          <w:p w14:paraId="62758AC6">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 xml:space="preserve">6.响应文件提交截止时间后，通过系统互动区发出响应文件解密的指令，供应商在任意地点按规定时间自行实施远程解密，解密限定在规定时间内完成。 </w:t>
            </w:r>
          </w:p>
          <w:p w14:paraId="75A67A1B">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 xml:space="preserve">7.供应商必须使用能正确解密响应文件的CA 证书，在系统规定的时间内完成远程解密，因供应商原因未能解密、解密失败或解密超时，视为供应商撤销其响应文件；因采购人或系统原因，导致无法按时完成响应文件解密或开标、评标工作无法进行的，可根据实际情况相应延迟解密时间或调整开标、评标时间。 </w:t>
            </w:r>
          </w:p>
          <w:p w14:paraId="01B32CFD">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 xml:space="preserve">8.开标当日，供应商不必抵达开标现场，仅需在任意地点通过政府采购云平台（网址：http:// www.zcygov.cn）不见面开标系统参加开标会议，并根据需要使用开标系统与现场采购人进行互动交流、澄清、质疑等活动。 </w:t>
            </w:r>
          </w:p>
          <w:p w14:paraId="236017BB">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9.开标、评标过程中，参与远程交互的各供应商应始终为同一个人，中途不得更换，在否决投标、澄清、质疑等特殊情况下需要交互时，供应商一端参与交互的人员只能是供应商的法定代表人或授权委托人（答辩等类似环节需要其他人员参与的除外），供应商不得以不承认交互人员的资格或身份等为借口推脱，供应商自行承担随意更换人员所导致的一切后果。</w:t>
            </w:r>
          </w:p>
          <w:p w14:paraId="1E126B9F">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二、系统操作注意事项</w:t>
            </w:r>
          </w:p>
          <w:p w14:paraId="7D9A9EF0">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（一）软硬件及网络要求</w:t>
            </w:r>
          </w:p>
          <w:p w14:paraId="05EE7032">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1.参与不见面开标电脑须安装有清晰可用的摄像头、音响和麦克风设备。</w:t>
            </w:r>
          </w:p>
          <w:p w14:paraId="5D5277CB">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2.参与不见面开标电脑须安装正确驱动，可在不见面开标系统登录界面的驱动下载页面进行下载及后续安装。</w:t>
            </w:r>
          </w:p>
          <w:p w14:paraId="572352C5">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3.为更好实时查看不见面开标室现场，推荐使用20M 及以上网络宽带。</w:t>
            </w:r>
          </w:p>
          <w:p w14:paraId="7C416DF6">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4.操作系统为 win7 或 win10 系统，IE10 版本及以上，运存≥4G。</w:t>
            </w:r>
          </w:p>
          <w:p w14:paraId="6E16B248">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（二）响应文件制作及上传说明</w:t>
            </w:r>
          </w:p>
          <w:p w14:paraId="0BF0FE44">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1.供应商在政府采购云平台网注册入库成为正式供应商后，在平台上按《政府采购项目电子交易管理操作指南-供应商》进行投标操作。供应商须办理数字证书方可参加投标。</w:t>
            </w:r>
          </w:p>
          <w:p w14:paraId="78C3E8AA">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2.收到 CA 锁以后在“政采云”登陆界面，点击CA 登录-CA驱动下载-下载并安装政采云投标客户端和CA 驱动，账号绑定CA后才能进行响应文件制作。</w:t>
            </w:r>
          </w:p>
          <w:p w14:paraId="70233557">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3.若对项目采购电子交易系统操作有疑问，可登录“政采云”平台，点击右侧咨询小采，获取采小蜜智能服务管家帮助，或拨打政采云服务热线 95763 获取帮助。</w:t>
            </w:r>
          </w:p>
          <w:p w14:paraId="1F3CD0C6">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4.根据相关要求使用对应版本的响应文件制作工具。</w:t>
            </w:r>
          </w:p>
          <w:p w14:paraId="7579F78E">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（三）开标过程注意事项</w:t>
            </w:r>
          </w:p>
          <w:p w14:paraId="5BF4A9FF">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1.开标当天，供应商务必于开标前提前登录系统，进入所投标项目，在项目签到界面进行线上签到。</w:t>
            </w:r>
          </w:p>
          <w:p w14:paraId="78736050">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2.开标过程中请重点关注不见面开标系统互动区消息，及时查阅，并根据消息提醒及时进行响应文件在线解密等操作。</w:t>
            </w:r>
          </w:p>
          <w:p w14:paraId="6C2F40AB">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3.项目进入响应文件在线解密阶段后，须在磋商文件规定解密时间内使用相应的响应文件 CA 证书进行在线解密，否则将无法解密。</w:t>
            </w:r>
          </w:p>
          <w:p w14:paraId="0F9F86F8">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四、技术支持</w:t>
            </w:r>
          </w:p>
          <w:p w14:paraId="41075623">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1.若遇问题可联系工作人员，通过以下方式：可登录“政采云”平台，点击右侧咨询小采，获取采小蜜智能服务管家帮助，或拨打政采云服务热线95763 获取帮助。</w:t>
            </w:r>
          </w:p>
          <w:p w14:paraId="0E22E292">
            <w:pPr>
              <w:spacing w:line="0" w:lineRule="atLeast"/>
              <w:rPr>
                <w:rFonts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2.为更直观了解、掌握本系统使用方法，建议在具体项目开标前先行浏览本系统相关操作手册，可在本系统登录界面的操作手册页面进行下载、查看。</w:t>
            </w:r>
          </w:p>
          <w:p w14:paraId="624A5292">
            <w:pPr>
              <w:spacing w:line="0" w:lineRule="atLeast"/>
              <w:rPr>
                <w:rFonts w:ascii="宋体" w:hAnsi="宋体" w:cs="宋体"/>
                <w:color w:val="000000" w:themeColor="text1"/>
                <w:szCs w:val="21"/>
                <w:highlight w:val="none"/>
              </w:rPr>
            </w:pPr>
            <w:r>
              <w:rPr>
                <w:rFonts w:hint="eastAsia" w:ascii="宋体" w:hAnsi="宋体" w:cs="宋体"/>
                <w:color w:val="000000" w:themeColor="text1"/>
                <w:szCs w:val="21"/>
                <w:highlight w:val="none"/>
                <w:lang w:val="zh-CN"/>
              </w:rPr>
              <w:t>3.关于后续相关常见问题及注意事项，请及时关注政府采购云平台（网址：http:// www.zcygov.cn）。</w:t>
            </w:r>
          </w:p>
        </w:tc>
      </w:tr>
      <w:tr w14:paraId="12FE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tcBorders>
              <w:top w:val="single" w:color="auto" w:sz="4" w:space="0"/>
              <w:bottom w:val="single" w:color="auto" w:sz="4" w:space="0"/>
            </w:tcBorders>
            <w:vAlign w:val="center"/>
          </w:tcPr>
          <w:p w14:paraId="7AA54A09">
            <w:pPr>
              <w:spacing w:line="400" w:lineRule="exact"/>
              <w:jc w:val="center"/>
              <w:rPr>
                <w:rFonts w:ascii="宋体" w:hAnsi="宋体"/>
                <w:color w:val="000000" w:themeColor="text1"/>
                <w:szCs w:val="21"/>
                <w:highlight w:val="none"/>
              </w:rPr>
            </w:pPr>
            <w:r>
              <w:rPr>
                <w:rFonts w:hint="eastAsia"/>
                <w:color w:val="000000" w:themeColor="text1"/>
                <w:highlight w:val="none"/>
              </w:rPr>
              <w:t>10.7</w:t>
            </w:r>
          </w:p>
        </w:tc>
        <w:tc>
          <w:tcPr>
            <w:tcW w:w="2095" w:type="dxa"/>
            <w:tcBorders>
              <w:top w:val="single" w:color="auto" w:sz="4" w:space="0"/>
              <w:bottom w:val="single" w:color="auto" w:sz="4" w:space="0"/>
            </w:tcBorders>
            <w:vAlign w:val="center"/>
          </w:tcPr>
          <w:p w14:paraId="0D08C64A">
            <w:pPr>
              <w:spacing w:line="400" w:lineRule="exact"/>
              <w:jc w:val="center"/>
              <w:rPr>
                <w:color w:val="000000" w:themeColor="text1"/>
                <w:highlight w:val="none"/>
              </w:rPr>
            </w:pPr>
            <w:r>
              <w:rPr>
                <w:rFonts w:hint="eastAsia"/>
                <w:color w:val="000000" w:themeColor="text1"/>
                <w:highlight w:val="none"/>
              </w:rPr>
              <w:t>解释权</w:t>
            </w:r>
          </w:p>
        </w:tc>
        <w:tc>
          <w:tcPr>
            <w:tcW w:w="6675" w:type="dxa"/>
            <w:tcBorders>
              <w:top w:val="single" w:color="auto" w:sz="4" w:space="0"/>
              <w:bottom w:val="single" w:color="auto" w:sz="4" w:space="0"/>
            </w:tcBorders>
            <w:vAlign w:val="center"/>
          </w:tcPr>
          <w:p w14:paraId="33DA6FD4">
            <w:pPr>
              <w:spacing w:line="0" w:lineRule="atLeast"/>
              <w:rPr>
                <w:rFonts w:ascii="宋体" w:hAnsi="宋体" w:cs="宋体"/>
                <w:color w:val="000000" w:themeColor="text1"/>
                <w:szCs w:val="21"/>
                <w:highlight w:val="none"/>
              </w:rPr>
            </w:pPr>
            <w:r>
              <w:rPr>
                <w:rFonts w:hint="eastAsia" w:ascii="宋体" w:hAnsi="宋体" w:cs="宋体"/>
                <w:color w:val="000000" w:themeColor="text1"/>
                <w:szCs w:val="21"/>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投标邀请书）、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3477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65" w:type="dxa"/>
            <w:gridSpan w:val="3"/>
            <w:tcBorders>
              <w:top w:val="single" w:color="auto" w:sz="4" w:space="0"/>
            </w:tcBorders>
            <w:vAlign w:val="center"/>
          </w:tcPr>
          <w:p w14:paraId="2634BA18">
            <w:pPr>
              <w:spacing w:line="0" w:lineRule="atLeast"/>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评审方式：双盲评审，</w:t>
            </w:r>
            <w:r>
              <w:rPr>
                <w:rFonts w:hint="eastAsia" w:ascii="宋体" w:hAnsi="宋体" w:cs="宋体"/>
                <w:color w:val="000000" w:themeColor="text1"/>
                <w:szCs w:val="21"/>
                <w:highlight w:val="none"/>
              </w:rPr>
              <w:t>即评标专家“盲抽”和“盲评”，</w:t>
            </w:r>
            <w:r>
              <w:rPr>
                <w:rFonts w:hint="eastAsia" w:ascii="宋体" w:hAnsi="宋体" w:cs="宋体"/>
                <w:color w:val="000000" w:themeColor="text1"/>
                <w:szCs w:val="21"/>
                <w:highlight w:val="none"/>
                <w:lang w:eastAsia="zh-CN"/>
              </w:rPr>
              <w:t>响应</w:t>
            </w:r>
            <w:r>
              <w:rPr>
                <w:rFonts w:hint="eastAsia" w:ascii="宋体" w:hAnsi="宋体" w:cs="宋体"/>
                <w:color w:val="000000" w:themeColor="text1"/>
                <w:szCs w:val="21"/>
                <w:highlight w:val="none"/>
              </w:rPr>
              <w:t>文件的技术标部分采用“暗标”形式，</w:t>
            </w:r>
            <w:r>
              <w:rPr>
                <w:rFonts w:hint="eastAsia" w:ascii="宋体" w:hAnsi="宋体" w:cs="宋体"/>
                <w:color w:val="000000" w:themeColor="text1"/>
                <w:szCs w:val="21"/>
                <w:highlight w:val="none"/>
                <w:lang w:eastAsia="zh-CN"/>
              </w:rPr>
              <w:t>响应</w:t>
            </w:r>
            <w:r>
              <w:rPr>
                <w:rFonts w:hint="eastAsia" w:ascii="宋体" w:hAnsi="宋体" w:cs="宋体"/>
                <w:color w:val="000000" w:themeColor="text1"/>
                <w:szCs w:val="21"/>
                <w:highlight w:val="none"/>
              </w:rPr>
              <w:t>人应严格按照“第六章投标文件格式”中的要求编制技术标。如果技术标出现能识别投标人的内容，经评标委员会确定后，将否决其投标。</w:t>
            </w:r>
          </w:p>
        </w:tc>
      </w:tr>
    </w:tbl>
    <w:p w14:paraId="64121F46">
      <w:pPr>
        <w:pStyle w:val="5"/>
        <w:rPr>
          <w:rFonts w:ascii="宋体" w:hAnsi="宋体"/>
          <w:color w:val="000000" w:themeColor="text1"/>
          <w:highlight w:val="none"/>
        </w:rPr>
      </w:pPr>
      <w:r>
        <w:rPr>
          <w:rFonts w:ascii="黑体"/>
          <w:color w:val="000000" w:themeColor="text1"/>
          <w:sz w:val="28"/>
          <w:szCs w:val="28"/>
          <w:highlight w:val="none"/>
        </w:rPr>
        <w:br w:type="page"/>
      </w:r>
      <w:bookmarkEnd w:id="21"/>
      <w:bookmarkEnd w:id="22"/>
      <w:r>
        <w:rPr>
          <w:rFonts w:hint="eastAsia" w:ascii="宋体" w:hAnsi="宋体"/>
          <w:color w:val="000000" w:themeColor="text1"/>
          <w:highlight w:val="none"/>
        </w:rPr>
        <w:t>1 ．总则</w:t>
      </w:r>
      <w:bookmarkEnd w:id="23"/>
    </w:p>
    <w:p w14:paraId="13F44B70">
      <w:pPr>
        <w:pStyle w:val="6"/>
        <w:rPr>
          <w:rFonts w:ascii="宋体" w:hAnsi="宋体" w:eastAsia="宋体"/>
          <w:color w:val="000000" w:themeColor="text1"/>
          <w:highlight w:val="none"/>
        </w:rPr>
      </w:pPr>
      <w:r>
        <w:rPr>
          <w:rFonts w:hint="eastAsia" w:ascii="宋体" w:hAnsi="宋体" w:eastAsia="宋体"/>
          <w:color w:val="000000" w:themeColor="text1"/>
          <w:highlight w:val="none"/>
        </w:rPr>
        <w:t>1.1 项目概况</w:t>
      </w:r>
    </w:p>
    <w:p w14:paraId="30166E7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1.1.1 根据</w:t>
      </w:r>
      <w:r>
        <w:rPr>
          <w:rFonts w:hint="eastAsia" w:ascii="宋体" w:hAnsi="宋体"/>
          <w:color w:val="000000" w:themeColor="text1"/>
          <w:szCs w:val="21"/>
          <w:highlight w:val="none"/>
          <w:lang w:val="zh-CN"/>
        </w:rPr>
        <w:t>《中华人民共和国政府采购法》、《中华人民共和国政府采购法实施条例》、《政府采购竞争性磋商采购方式管理暂行办法》</w:t>
      </w:r>
      <w:r>
        <w:rPr>
          <w:rFonts w:hint="eastAsia" w:ascii="宋体" w:hAnsi="宋体"/>
          <w:color w:val="000000" w:themeColor="text1"/>
          <w:szCs w:val="21"/>
          <w:highlight w:val="none"/>
        </w:rPr>
        <w:t>等有关法律、法规和规章的规定，本采购项目已具备磋商条件，现对本项目进行竞争性磋商。</w:t>
      </w:r>
    </w:p>
    <w:p w14:paraId="6243057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1.1.2 本项目采购人：见供应商须知前附表。</w:t>
      </w:r>
    </w:p>
    <w:p w14:paraId="14FA47B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1.1.3 本项目采购代理机构：见供应商须知前附表。</w:t>
      </w:r>
    </w:p>
    <w:p w14:paraId="6BB3780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1.1.4 本项目采购项目名称：见供应商须知前附表。</w:t>
      </w:r>
    </w:p>
    <w:p w14:paraId="0A19195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1.1.5 本项目供货地点：见供应商须知前附表。</w:t>
      </w:r>
    </w:p>
    <w:p w14:paraId="1042F2A2">
      <w:pPr>
        <w:pStyle w:val="6"/>
        <w:rPr>
          <w:rFonts w:ascii="宋体" w:hAnsi="宋体" w:eastAsia="宋体"/>
          <w:color w:val="000000" w:themeColor="text1"/>
          <w:highlight w:val="none"/>
        </w:rPr>
      </w:pPr>
      <w:r>
        <w:rPr>
          <w:rFonts w:hint="eastAsia" w:ascii="宋体" w:hAnsi="宋体" w:eastAsia="宋体"/>
          <w:color w:val="000000" w:themeColor="text1"/>
          <w:highlight w:val="none"/>
        </w:rPr>
        <w:t>1.2 资金来源和落实情况</w:t>
      </w:r>
    </w:p>
    <w:p w14:paraId="1ED4EE1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1.2.1 本采购项目的资金来源：见供应商须知前附表。</w:t>
      </w:r>
    </w:p>
    <w:p w14:paraId="2E310AC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1.2.2 本采购项目的出资比例：见供应商须知前附表。</w:t>
      </w:r>
    </w:p>
    <w:p w14:paraId="05B6D2F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1.2.3 本采购项目的资金落实情况：见供应商须知前附表。</w:t>
      </w:r>
    </w:p>
    <w:p w14:paraId="6C466E06">
      <w:pPr>
        <w:pStyle w:val="6"/>
        <w:rPr>
          <w:rFonts w:ascii="宋体" w:hAnsi="宋体" w:eastAsia="宋体"/>
          <w:color w:val="000000" w:themeColor="text1"/>
          <w:highlight w:val="none"/>
        </w:rPr>
      </w:pPr>
      <w:r>
        <w:rPr>
          <w:rFonts w:hint="eastAsia" w:ascii="宋体" w:hAnsi="宋体" w:eastAsia="宋体"/>
          <w:color w:val="000000" w:themeColor="text1"/>
          <w:highlight w:val="none"/>
        </w:rPr>
        <w:t>1.3 采购范围、供货期限和质量标准</w:t>
      </w:r>
    </w:p>
    <w:p w14:paraId="1A9766A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1.3.1 本项目采购内容：见供应商须知前附表。</w:t>
      </w:r>
    </w:p>
    <w:p w14:paraId="6DFD84B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1.3.2 本项目供货期限：见供应商须知前附表。</w:t>
      </w:r>
    </w:p>
    <w:p w14:paraId="2CEEDA4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1.3.3 本项目的质量标准：见供应商须知前附表。</w:t>
      </w:r>
    </w:p>
    <w:p w14:paraId="17C93F23">
      <w:pPr>
        <w:pStyle w:val="6"/>
        <w:rPr>
          <w:rFonts w:ascii="宋体" w:hAnsi="宋体" w:eastAsia="宋体"/>
          <w:color w:val="000000" w:themeColor="text1"/>
          <w:highlight w:val="none"/>
        </w:rPr>
      </w:pPr>
      <w:r>
        <w:rPr>
          <w:rFonts w:hint="eastAsia" w:ascii="宋体" w:hAnsi="宋体" w:eastAsia="宋体"/>
          <w:color w:val="000000" w:themeColor="text1"/>
          <w:highlight w:val="none"/>
        </w:rPr>
        <w:t>1.4 供应商资格要求</w:t>
      </w:r>
    </w:p>
    <w:p w14:paraId="3BF376E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 供应商应具备承担本标段的资质条件、能力和信誉。</w:t>
      </w:r>
    </w:p>
    <w:p w14:paraId="44DCFCA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见供应商须知前附表。</w:t>
      </w:r>
    </w:p>
    <w:p w14:paraId="0686D57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1.4.2 供应商须知前附表规定接受联合体投标的，除应符合本章第1.4.1项和供应商须知前附表的要求外，还应遵守以下规定：</w:t>
      </w:r>
    </w:p>
    <w:p w14:paraId="265DCDD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(1）联合体各方应按磋商文件提供的格式签订联合体协议书，明确联合体牵头人和各方权利义务；</w:t>
      </w:r>
    </w:p>
    <w:p w14:paraId="18AEE04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(2）由同一专业的单位组成的联合体，按照资质等级较低的单位确定资质等级；</w:t>
      </w:r>
    </w:p>
    <w:p w14:paraId="4059BA6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(3）联合体各方不得再以自己名义单独或参加其他联合体在同一标段中投标。</w:t>
      </w:r>
    </w:p>
    <w:p w14:paraId="64B5E97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1.4.3 供应商不得存在下列情形之一：</w:t>
      </w:r>
    </w:p>
    <w:p w14:paraId="7121137B">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(1)为</w:t>
      </w:r>
      <w:r>
        <w:rPr>
          <w:rFonts w:hint="eastAsia" w:ascii="宋体" w:hAnsi="宋体" w:cs="宋体"/>
          <w:color w:val="000000" w:themeColor="text1"/>
          <w:szCs w:val="21"/>
          <w:highlight w:val="none"/>
        </w:rPr>
        <w:t>采购人</w:t>
      </w:r>
      <w:r>
        <w:rPr>
          <w:rFonts w:ascii="宋体" w:hAnsi="宋体" w:cs="宋体"/>
          <w:color w:val="000000" w:themeColor="text1"/>
          <w:szCs w:val="21"/>
          <w:highlight w:val="none"/>
        </w:rPr>
        <w:t>不具有独立法人资格的附属机构(单位)；</w:t>
      </w:r>
    </w:p>
    <w:p w14:paraId="04B1934B">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(2)被责令停业的；</w:t>
      </w:r>
    </w:p>
    <w:p w14:paraId="6B924B71">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 xml:space="preserve"> (3)被暂停或取消</w:t>
      </w:r>
      <w:r>
        <w:rPr>
          <w:rFonts w:hint="eastAsia" w:ascii="宋体" w:hAnsi="宋体" w:cs="宋体"/>
          <w:color w:val="000000" w:themeColor="text1"/>
          <w:szCs w:val="21"/>
          <w:highlight w:val="none"/>
        </w:rPr>
        <w:t>磋商</w:t>
      </w:r>
      <w:r>
        <w:rPr>
          <w:rFonts w:ascii="宋体" w:hAnsi="宋体" w:cs="宋体"/>
          <w:color w:val="000000" w:themeColor="text1"/>
          <w:szCs w:val="21"/>
          <w:highlight w:val="none"/>
        </w:rPr>
        <w:t>资格的；</w:t>
      </w:r>
    </w:p>
    <w:p w14:paraId="5AAE250F">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 xml:space="preserve"> (4)财产被接管或冻结的；</w:t>
      </w:r>
    </w:p>
    <w:p w14:paraId="4BB03AB8">
      <w:pPr>
        <w:spacing w:line="360" w:lineRule="auto"/>
        <w:ind w:right="105" w:rightChars="50" w:firstLine="420" w:firstLineChars="200"/>
        <w:rPr>
          <w:rFonts w:ascii="宋体" w:hAnsi="宋体"/>
          <w:color w:val="000000" w:themeColor="text1"/>
          <w:szCs w:val="21"/>
          <w:highlight w:val="none"/>
        </w:rPr>
      </w:pPr>
      <w:r>
        <w:rPr>
          <w:rFonts w:ascii="宋体" w:hAnsi="宋体" w:cs="宋体"/>
          <w:color w:val="000000" w:themeColor="text1"/>
          <w:szCs w:val="21"/>
          <w:highlight w:val="none"/>
        </w:rPr>
        <w:t>(5)在最近三年内有骗取</w:t>
      </w:r>
      <w:r>
        <w:rPr>
          <w:rFonts w:hint="eastAsia" w:ascii="宋体" w:hAnsi="宋体" w:cs="宋体"/>
          <w:color w:val="000000" w:themeColor="text1"/>
          <w:szCs w:val="21"/>
          <w:highlight w:val="none"/>
        </w:rPr>
        <w:t>成交</w:t>
      </w:r>
      <w:r>
        <w:rPr>
          <w:rFonts w:ascii="宋体" w:hAnsi="宋体" w:cs="宋体"/>
          <w:color w:val="000000" w:themeColor="text1"/>
          <w:szCs w:val="21"/>
          <w:highlight w:val="none"/>
        </w:rPr>
        <w:t>或严重违约或重大质量问题的。</w:t>
      </w:r>
    </w:p>
    <w:p w14:paraId="132AA94B">
      <w:pPr>
        <w:pStyle w:val="6"/>
        <w:rPr>
          <w:rFonts w:ascii="宋体" w:hAnsi="宋体" w:eastAsia="宋体"/>
          <w:color w:val="000000" w:themeColor="text1"/>
          <w:highlight w:val="none"/>
        </w:rPr>
      </w:pPr>
      <w:r>
        <w:rPr>
          <w:rFonts w:hint="eastAsia" w:ascii="宋体" w:hAnsi="宋体" w:eastAsia="宋体"/>
          <w:color w:val="000000" w:themeColor="text1"/>
          <w:highlight w:val="none"/>
        </w:rPr>
        <w:t>1.5 费用承担</w:t>
      </w:r>
    </w:p>
    <w:p w14:paraId="6F9EAD7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供应商准备和参加磋商活动发生的费用自理。</w:t>
      </w:r>
    </w:p>
    <w:p w14:paraId="1FF0C9A2">
      <w:pPr>
        <w:pStyle w:val="6"/>
        <w:rPr>
          <w:rFonts w:ascii="宋体" w:hAnsi="宋体" w:eastAsia="宋体"/>
          <w:color w:val="000000" w:themeColor="text1"/>
          <w:highlight w:val="none"/>
        </w:rPr>
      </w:pPr>
      <w:r>
        <w:rPr>
          <w:rFonts w:hint="eastAsia" w:ascii="宋体" w:hAnsi="宋体" w:eastAsia="宋体"/>
          <w:color w:val="000000" w:themeColor="text1"/>
          <w:highlight w:val="none"/>
        </w:rPr>
        <w:t>1.6 保密</w:t>
      </w:r>
    </w:p>
    <w:p w14:paraId="67D7862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参与磋商活动的各方应对磋商文件和响应文件中的商业和技术等秘密保密，违者应对由此造成的后果承担法律责任。</w:t>
      </w:r>
    </w:p>
    <w:p w14:paraId="5FE6A67C">
      <w:pPr>
        <w:pStyle w:val="6"/>
        <w:rPr>
          <w:rFonts w:ascii="宋体" w:hAnsi="宋体" w:eastAsia="宋体"/>
          <w:color w:val="000000" w:themeColor="text1"/>
          <w:highlight w:val="none"/>
        </w:rPr>
      </w:pPr>
      <w:r>
        <w:rPr>
          <w:rFonts w:hint="eastAsia" w:ascii="宋体" w:hAnsi="宋体" w:eastAsia="宋体"/>
          <w:color w:val="000000" w:themeColor="text1"/>
          <w:highlight w:val="none"/>
        </w:rPr>
        <w:t>1.7 语言文字</w:t>
      </w:r>
    </w:p>
    <w:p w14:paraId="64CBAB8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除专用术语外，与磋商活动有关的语言均使用中文。必要时专用术语应附有中文注释。</w:t>
      </w:r>
    </w:p>
    <w:p w14:paraId="0EB5F1AE">
      <w:pPr>
        <w:pStyle w:val="6"/>
        <w:rPr>
          <w:rFonts w:ascii="宋体" w:hAnsi="宋体" w:eastAsia="宋体"/>
          <w:color w:val="000000" w:themeColor="text1"/>
          <w:highlight w:val="none"/>
        </w:rPr>
      </w:pPr>
      <w:r>
        <w:rPr>
          <w:rFonts w:hint="eastAsia" w:ascii="宋体" w:hAnsi="宋体" w:eastAsia="宋体"/>
          <w:color w:val="000000" w:themeColor="text1"/>
          <w:highlight w:val="none"/>
        </w:rPr>
        <w:t>1.8 计量单位</w:t>
      </w:r>
    </w:p>
    <w:p w14:paraId="438B15B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所有计量均采用中华人民共和国法定计量单位。</w:t>
      </w:r>
    </w:p>
    <w:p w14:paraId="577E866A">
      <w:pPr>
        <w:pStyle w:val="6"/>
        <w:rPr>
          <w:rFonts w:ascii="宋体" w:hAnsi="宋体" w:eastAsia="宋体"/>
          <w:color w:val="000000" w:themeColor="text1"/>
          <w:highlight w:val="none"/>
        </w:rPr>
      </w:pPr>
      <w:r>
        <w:rPr>
          <w:rFonts w:hint="eastAsia" w:ascii="宋体" w:hAnsi="宋体" w:eastAsia="宋体"/>
          <w:color w:val="000000" w:themeColor="text1"/>
          <w:highlight w:val="none"/>
        </w:rPr>
        <w:t>1.9 踏勘现场</w:t>
      </w:r>
    </w:p>
    <w:p w14:paraId="2561789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1.9.1 供应商须知前附表规定组织踏勘现场的，采购人按供应商须知前附表规定的时间、地点组织供应商踏勘项目现场。</w:t>
      </w:r>
    </w:p>
    <w:p w14:paraId="775C1DE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1.9.2 供应商踏勘现场发生的费用自理。</w:t>
      </w:r>
    </w:p>
    <w:p w14:paraId="208CE04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1.9 .3 除采购人的原因外，供应商自行负责在踏勘现场中所发生的人员伤亡和财产损失。</w:t>
      </w:r>
    </w:p>
    <w:p w14:paraId="3CCFD80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1.9.4 采购人在踏勘现场中介绍的工程场地和相关的周边环境情况，供供应商在编制响应文件时参考，采购人不对供应商据此作出的判断和决策负责。</w:t>
      </w:r>
    </w:p>
    <w:p w14:paraId="28EFDE4F">
      <w:pPr>
        <w:pStyle w:val="6"/>
        <w:rPr>
          <w:rFonts w:ascii="宋体" w:hAnsi="宋体" w:eastAsia="宋体"/>
          <w:color w:val="000000" w:themeColor="text1"/>
          <w:highlight w:val="none"/>
        </w:rPr>
      </w:pPr>
      <w:r>
        <w:rPr>
          <w:rFonts w:hint="eastAsia" w:ascii="宋体" w:hAnsi="宋体" w:eastAsia="宋体"/>
          <w:color w:val="000000" w:themeColor="text1"/>
          <w:highlight w:val="none"/>
        </w:rPr>
        <w:t>1.10 磋商预备会</w:t>
      </w:r>
    </w:p>
    <w:p w14:paraId="4711E04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1.10.1 供应商须知前附表规定召开磋商预备会的，采购人按供应商须知前附表规定的时间和地点召开磋商预备会，澄清供应商提出的问题。</w:t>
      </w:r>
    </w:p>
    <w:p w14:paraId="5FBE73A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1.10.2 供应商应在供应商须知前附表规定的时间前，以书面形式将提出的问题送达采购人，以便采购人在会议期间澄清。</w:t>
      </w:r>
    </w:p>
    <w:p w14:paraId="6209979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1.10.3 磋商预备会后，采购人在供应商须知前附表规定的时间内，将对供应商所提问题的澄清，以书面方式通知所有购买磋商文件的供应商。该澄清内容为磋商文件的组成部分。</w:t>
      </w:r>
    </w:p>
    <w:p w14:paraId="798F6B79">
      <w:pPr>
        <w:pStyle w:val="6"/>
        <w:rPr>
          <w:rFonts w:ascii="宋体" w:hAnsi="宋体" w:eastAsia="宋体"/>
          <w:color w:val="000000" w:themeColor="text1"/>
          <w:highlight w:val="none"/>
        </w:rPr>
      </w:pPr>
      <w:r>
        <w:rPr>
          <w:rFonts w:hint="eastAsia" w:ascii="宋体" w:hAnsi="宋体" w:eastAsia="宋体"/>
          <w:color w:val="000000" w:themeColor="text1"/>
          <w:highlight w:val="none"/>
        </w:rPr>
        <w:t>1.11 分包</w:t>
      </w:r>
    </w:p>
    <w:p w14:paraId="1E15A0B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供应商拟在成交后将中标项目的部分非主体、非关键性工作进行分包的，应符合供应商须知前附表规定的分包内容、分包金额和接受分包的第三人资质要求等限制性条件。</w:t>
      </w:r>
    </w:p>
    <w:p w14:paraId="0562AFF6">
      <w:pPr>
        <w:pStyle w:val="6"/>
        <w:rPr>
          <w:rFonts w:ascii="宋体" w:hAnsi="宋体" w:eastAsia="宋体"/>
          <w:color w:val="000000" w:themeColor="text1"/>
          <w:highlight w:val="none"/>
        </w:rPr>
      </w:pPr>
      <w:r>
        <w:rPr>
          <w:rFonts w:hint="eastAsia" w:ascii="宋体" w:hAnsi="宋体" w:eastAsia="宋体"/>
          <w:color w:val="000000" w:themeColor="text1"/>
          <w:highlight w:val="none"/>
        </w:rPr>
        <w:t>1.12 偏离</w:t>
      </w:r>
    </w:p>
    <w:p w14:paraId="77B4667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供应商须知前附表允许响应文件偏离磋商文件某些要求的，偏离应当符合磋商文件规定的偏离范围和幅度。</w:t>
      </w:r>
    </w:p>
    <w:p w14:paraId="637C46A7">
      <w:pPr>
        <w:pStyle w:val="5"/>
        <w:rPr>
          <w:rFonts w:ascii="宋体" w:hAnsi="宋体"/>
          <w:color w:val="000000" w:themeColor="text1"/>
          <w:highlight w:val="none"/>
        </w:rPr>
      </w:pPr>
      <w:bookmarkStart w:id="25" w:name="_Toc184635072"/>
      <w:r>
        <w:rPr>
          <w:rFonts w:hint="eastAsia" w:ascii="宋体" w:hAnsi="宋体"/>
          <w:color w:val="000000" w:themeColor="text1"/>
          <w:highlight w:val="none"/>
        </w:rPr>
        <w:t>2．磋商文件</w:t>
      </w:r>
      <w:bookmarkEnd w:id="25"/>
    </w:p>
    <w:p w14:paraId="47C7BE48">
      <w:pPr>
        <w:pStyle w:val="6"/>
        <w:rPr>
          <w:rFonts w:ascii="宋体" w:hAnsi="宋体" w:eastAsia="宋体"/>
          <w:color w:val="000000" w:themeColor="text1"/>
          <w:highlight w:val="none"/>
        </w:rPr>
      </w:pPr>
      <w:r>
        <w:rPr>
          <w:rFonts w:hint="eastAsia" w:ascii="宋体" w:hAnsi="宋体" w:eastAsia="宋体"/>
          <w:color w:val="000000" w:themeColor="text1"/>
          <w:highlight w:val="none"/>
        </w:rPr>
        <w:t>2.1 磋商文件的组成</w:t>
      </w:r>
    </w:p>
    <w:p w14:paraId="15ED5AE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本磋商文件包括：</w:t>
      </w:r>
    </w:p>
    <w:p w14:paraId="2AB6154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(1）竞争性磋商公告；</w:t>
      </w:r>
    </w:p>
    <w:p w14:paraId="3708C15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(2）供应商须知；</w:t>
      </w:r>
    </w:p>
    <w:p w14:paraId="33C48D2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(3）评审办法；</w:t>
      </w:r>
    </w:p>
    <w:p w14:paraId="7C21974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(4）合同条款及格式；</w:t>
      </w:r>
    </w:p>
    <w:p w14:paraId="249C756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(5）采购需求；</w:t>
      </w:r>
    </w:p>
    <w:p w14:paraId="33D4830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(6）响应文件格式；</w:t>
      </w:r>
    </w:p>
    <w:p w14:paraId="36BB1C2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根据本章第1.10 款、第2.2 款和第2.3 款对磋商文件所作的澄清、修改，构成磋商文件的组成部分。</w:t>
      </w:r>
    </w:p>
    <w:p w14:paraId="09DD7DE5">
      <w:pPr>
        <w:pStyle w:val="6"/>
        <w:rPr>
          <w:rFonts w:ascii="宋体" w:hAnsi="宋体" w:eastAsia="宋体"/>
          <w:color w:val="000000" w:themeColor="text1"/>
          <w:highlight w:val="none"/>
        </w:rPr>
      </w:pPr>
      <w:r>
        <w:rPr>
          <w:rFonts w:hint="eastAsia" w:ascii="宋体" w:hAnsi="宋体" w:eastAsia="宋体"/>
          <w:color w:val="000000" w:themeColor="text1"/>
          <w:highlight w:val="none"/>
        </w:rPr>
        <w:t>2.2 磋商文件的澄清和修改</w:t>
      </w:r>
    </w:p>
    <w:p w14:paraId="49DEED03">
      <w:pPr>
        <w:autoSpaceDE w:val="0"/>
        <w:autoSpaceDN w:val="0"/>
        <w:adjustRightInd w:val="0"/>
        <w:spacing w:line="400" w:lineRule="exact"/>
        <w:ind w:firstLine="420"/>
        <w:jc w:val="left"/>
        <w:rPr>
          <w:rFonts w:ascii="宋体" w:hAnsi="宋体" w:cs="宋体"/>
          <w:bCs/>
          <w:color w:val="000000" w:themeColor="text1"/>
          <w:szCs w:val="18"/>
          <w:highlight w:val="none"/>
          <w:lang w:val="zh-CN"/>
        </w:rPr>
      </w:pPr>
      <w:bookmarkStart w:id="26" w:name="_Toc184635073"/>
      <w:r>
        <w:rPr>
          <w:rFonts w:hint="eastAsia" w:ascii="宋体" w:hAnsi="宋体" w:cs="宋体"/>
          <w:bCs/>
          <w:color w:val="000000" w:themeColor="text1"/>
          <w:szCs w:val="18"/>
          <w:highlight w:val="none"/>
        </w:rPr>
        <w:t>2.2.1</w:t>
      </w:r>
      <w:r>
        <w:rPr>
          <w:rFonts w:hint="eastAsia" w:ascii="宋体" w:hAnsi="宋体" w:cs="宋体"/>
          <w:bCs/>
          <w:color w:val="000000" w:themeColor="text1"/>
          <w:szCs w:val="18"/>
          <w:highlight w:val="none"/>
          <w:lang w:val="zh-CN"/>
        </w:rPr>
        <w:t>任何要求对招标文件进行澄清的供应商，采购人可在投标截止时间5日前（含）对</w:t>
      </w:r>
      <w:r>
        <w:rPr>
          <w:rFonts w:hint="eastAsia" w:ascii="宋体" w:hAnsi="宋体" w:cs="宋体"/>
          <w:bCs/>
          <w:color w:val="000000" w:themeColor="text1"/>
          <w:szCs w:val="18"/>
          <w:highlight w:val="none"/>
        </w:rPr>
        <w:t>磋商</w:t>
      </w:r>
      <w:r>
        <w:rPr>
          <w:rFonts w:hint="eastAsia" w:ascii="宋体" w:hAnsi="宋体" w:cs="宋体"/>
          <w:bCs/>
          <w:color w:val="000000" w:themeColor="text1"/>
          <w:szCs w:val="18"/>
          <w:highlight w:val="none"/>
          <w:lang w:val="zh-CN"/>
        </w:rPr>
        <w:t>文件进行澄清、修改、补充。</w:t>
      </w:r>
      <w:r>
        <w:rPr>
          <w:rFonts w:hint="eastAsia" w:ascii="宋体" w:hAnsi="宋体" w:cs="宋体"/>
          <w:bCs/>
          <w:color w:val="000000" w:themeColor="text1"/>
          <w:szCs w:val="18"/>
          <w:highlight w:val="none"/>
        </w:rPr>
        <w:t>磋商</w:t>
      </w:r>
      <w:r>
        <w:rPr>
          <w:rFonts w:hint="eastAsia" w:ascii="宋体" w:hAnsi="宋体" w:cs="宋体"/>
          <w:bCs/>
          <w:color w:val="000000" w:themeColor="text1"/>
          <w:szCs w:val="18"/>
          <w:highlight w:val="none"/>
          <w:lang w:val="zh-CN"/>
        </w:rPr>
        <w:t>文件的澄清、修改、补充文件将在“政采云”平台(http：//www.zcygov.cn)向潜在供应商发出。</w:t>
      </w:r>
    </w:p>
    <w:p w14:paraId="3A8839AA">
      <w:pPr>
        <w:autoSpaceDE w:val="0"/>
        <w:autoSpaceDN w:val="0"/>
        <w:adjustRightInd w:val="0"/>
        <w:spacing w:line="400" w:lineRule="exact"/>
        <w:ind w:firstLine="420"/>
        <w:jc w:val="left"/>
        <w:rPr>
          <w:rFonts w:ascii="宋体" w:hAnsi="宋体" w:cs="宋体"/>
          <w:bCs/>
          <w:color w:val="000000" w:themeColor="text1"/>
          <w:szCs w:val="18"/>
          <w:highlight w:val="none"/>
          <w:lang w:val="zh-CN"/>
        </w:rPr>
      </w:pPr>
      <w:r>
        <w:rPr>
          <w:rFonts w:hint="eastAsia" w:ascii="宋体" w:hAnsi="宋体" w:cs="宋体"/>
          <w:bCs/>
          <w:color w:val="000000" w:themeColor="text1"/>
          <w:szCs w:val="18"/>
          <w:highlight w:val="none"/>
        </w:rPr>
        <w:t>2.2.2</w:t>
      </w:r>
      <w:r>
        <w:rPr>
          <w:rFonts w:hint="eastAsia" w:ascii="宋体" w:hAnsi="宋体" w:cs="宋体"/>
          <w:bCs/>
          <w:color w:val="000000" w:themeColor="text1"/>
          <w:szCs w:val="18"/>
          <w:highlight w:val="none"/>
          <w:lang w:val="zh-CN"/>
        </w:rPr>
        <w:t xml:space="preserve"> 对</w:t>
      </w:r>
      <w:r>
        <w:rPr>
          <w:rFonts w:hint="eastAsia" w:ascii="宋体" w:hAnsi="宋体" w:cs="宋体"/>
          <w:bCs/>
          <w:color w:val="000000" w:themeColor="text1"/>
          <w:szCs w:val="18"/>
          <w:highlight w:val="none"/>
        </w:rPr>
        <w:t>磋商</w:t>
      </w:r>
      <w:r>
        <w:rPr>
          <w:rFonts w:hint="eastAsia" w:ascii="宋体" w:hAnsi="宋体" w:cs="宋体"/>
          <w:bCs/>
          <w:color w:val="000000" w:themeColor="text1"/>
          <w:szCs w:val="18"/>
          <w:highlight w:val="none"/>
          <w:lang w:val="zh-CN"/>
        </w:rPr>
        <w:t>文件内容进行质疑的供应商，均应在《中华人民共和国政府采购法》、《中华人民共和国政府采购法实施条例》规定时间内在“政采云”平台(http：//www.zcygov.cn)提交给采购代理机构，超过规定期限提出的招标文件质疑将不予受理。采购代理机构对收到的质疑要求视所提问题的具体情况在“政采云”平台(http：//www.zcygov.cn)予以答复、发出。答复中可以包括所提的问题，但不包括问题的来源。</w:t>
      </w:r>
    </w:p>
    <w:p w14:paraId="7A9D8BFE">
      <w:pPr>
        <w:autoSpaceDE w:val="0"/>
        <w:autoSpaceDN w:val="0"/>
        <w:adjustRightInd w:val="0"/>
        <w:spacing w:line="400" w:lineRule="exact"/>
        <w:ind w:firstLine="420"/>
        <w:jc w:val="left"/>
        <w:rPr>
          <w:rFonts w:ascii="宋体" w:hAnsi="宋体" w:cs="宋体"/>
          <w:bCs/>
          <w:color w:val="000000" w:themeColor="text1"/>
          <w:szCs w:val="18"/>
          <w:highlight w:val="none"/>
          <w:lang w:val="zh-CN"/>
        </w:rPr>
      </w:pPr>
      <w:r>
        <w:rPr>
          <w:rFonts w:hint="eastAsia" w:ascii="宋体" w:hAnsi="宋体" w:cs="宋体"/>
          <w:bCs/>
          <w:color w:val="000000" w:themeColor="text1"/>
          <w:szCs w:val="18"/>
          <w:highlight w:val="none"/>
        </w:rPr>
        <w:t>2.2.3磋商</w:t>
      </w:r>
      <w:r>
        <w:rPr>
          <w:rFonts w:hint="eastAsia" w:ascii="宋体" w:hAnsi="宋体" w:cs="宋体"/>
          <w:bCs/>
          <w:color w:val="000000" w:themeColor="text1"/>
          <w:szCs w:val="18"/>
          <w:highlight w:val="none"/>
          <w:lang w:val="zh-CN"/>
        </w:rPr>
        <w:t>文件的澄清、修改、补充文件均构成招标文件的组成部分，对所有供应商具有约束力，而无论其是否已经实际收到该澄清、修改、补充文件（包括答疑会纪要）。</w:t>
      </w:r>
    </w:p>
    <w:p w14:paraId="08E7C6CC">
      <w:pPr>
        <w:autoSpaceDE w:val="0"/>
        <w:autoSpaceDN w:val="0"/>
        <w:adjustRightInd w:val="0"/>
        <w:spacing w:line="400" w:lineRule="exact"/>
        <w:ind w:firstLine="420"/>
        <w:jc w:val="left"/>
        <w:rPr>
          <w:rFonts w:ascii="宋体" w:hAnsi="宋体" w:cs="宋体"/>
          <w:bCs/>
          <w:color w:val="000000" w:themeColor="text1"/>
          <w:szCs w:val="18"/>
          <w:highlight w:val="none"/>
          <w:lang w:val="zh-CN"/>
        </w:rPr>
      </w:pPr>
      <w:r>
        <w:rPr>
          <w:rFonts w:hint="eastAsia" w:ascii="宋体" w:hAnsi="宋体" w:cs="宋体"/>
          <w:bCs/>
          <w:color w:val="000000" w:themeColor="text1"/>
          <w:szCs w:val="18"/>
          <w:highlight w:val="none"/>
        </w:rPr>
        <w:t>2.2.4</w:t>
      </w:r>
      <w:r>
        <w:rPr>
          <w:rFonts w:hint="eastAsia" w:ascii="宋体" w:hAnsi="宋体" w:cs="宋体"/>
          <w:bCs/>
          <w:color w:val="000000" w:themeColor="text1"/>
          <w:szCs w:val="18"/>
          <w:highlight w:val="none"/>
          <w:lang w:val="zh-CN"/>
        </w:rPr>
        <w:t>为使供应商有充分的时间对</w:t>
      </w:r>
      <w:r>
        <w:rPr>
          <w:rFonts w:hint="eastAsia" w:ascii="宋体" w:hAnsi="宋体" w:cs="宋体"/>
          <w:bCs/>
          <w:color w:val="000000" w:themeColor="text1"/>
          <w:szCs w:val="18"/>
          <w:highlight w:val="none"/>
        </w:rPr>
        <w:t>磋商</w:t>
      </w:r>
      <w:r>
        <w:rPr>
          <w:rFonts w:hint="eastAsia" w:ascii="宋体" w:hAnsi="宋体" w:cs="宋体"/>
          <w:bCs/>
          <w:color w:val="000000" w:themeColor="text1"/>
          <w:szCs w:val="18"/>
          <w:highlight w:val="none"/>
          <w:lang w:val="zh-CN"/>
        </w:rPr>
        <w:t>文件的澄清、修改、补充部分进行研究，采购人可在投标截止时间前 3日自行决定酌情延长投标截止时间，延长投标截止时间的公告将在“政采云”平台(http：//www.zcygov.cn)向所有潜在供应商发出。在这种情况下，采购代理机构和供应商受投标截止时间制约的所有权利和义务均相应延长至新的投标截止时间。</w:t>
      </w:r>
    </w:p>
    <w:p w14:paraId="608CAC08">
      <w:pPr>
        <w:pStyle w:val="5"/>
        <w:rPr>
          <w:rFonts w:ascii="宋体" w:hAnsi="宋体"/>
          <w:color w:val="000000" w:themeColor="text1"/>
          <w:highlight w:val="none"/>
        </w:rPr>
      </w:pPr>
      <w:r>
        <w:rPr>
          <w:rFonts w:hint="eastAsia" w:ascii="宋体" w:hAnsi="宋体"/>
          <w:color w:val="000000" w:themeColor="text1"/>
          <w:highlight w:val="none"/>
        </w:rPr>
        <w:t>3．响应文件</w:t>
      </w:r>
      <w:bookmarkEnd w:id="26"/>
    </w:p>
    <w:p w14:paraId="4FB9D79C">
      <w:pPr>
        <w:pStyle w:val="6"/>
        <w:rPr>
          <w:rFonts w:ascii="宋体" w:hAnsi="宋体" w:eastAsia="宋体"/>
          <w:color w:val="000000" w:themeColor="text1"/>
          <w:highlight w:val="none"/>
        </w:rPr>
      </w:pPr>
      <w:r>
        <w:rPr>
          <w:rFonts w:hint="eastAsia" w:ascii="宋体" w:hAnsi="宋体" w:eastAsia="宋体"/>
          <w:color w:val="000000" w:themeColor="text1"/>
          <w:highlight w:val="none"/>
        </w:rPr>
        <w:t>3.1 响应文件的组成</w:t>
      </w:r>
    </w:p>
    <w:p w14:paraId="29DC86E5">
      <w:pPr>
        <w:spacing w:line="360" w:lineRule="auto"/>
        <w:ind w:firstLine="420" w:firstLineChars="200"/>
        <w:rPr>
          <w:rFonts w:ascii="宋体" w:hAnsi="宋体"/>
          <w:color w:val="000000" w:themeColor="text1"/>
          <w:szCs w:val="21"/>
          <w:highlight w:val="none"/>
        </w:rPr>
      </w:pPr>
      <w:r>
        <w:rPr>
          <w:rFonts w:ascii="宋体" w:hAnsi="宋体"/>
          <w:color w:val="000000" w:themeColor="text1"/>
          <w:szCs w:val="21"/>
          <w:highlight w:val="none"/>
        </w:rPr>
        <w:t>3.1.1</w:t>
      </w:r>
      <w:r>
        <w:rPr>
          <w:rFonts w:hint="eastAsia" w:ascii="宋体" w:hAnsi="宋体"/>
          <w:color w:val="000000" w:themeColor="text1"/>
          <w:szCs w:val="21"/>
          <w:highlight w:val="none"/>
        </w:rPr>
        <w:t xml:space="preserve"> 响应文件应包括下列内容</w:t>
      </w:r>
      <w:r>
        <w:rPr>
          <w:rFonts w:ascii="宋体" w:hAnsi="宋体"/>
          <w:color w:val="000000" w:themeColor="text1"/>
          <w:szCs w:val="21"/>
          <w:highlight w:val="none"/>
        </w:rPr>
        <w:t>：</w:t>
      </w:r>
    </w:p>
    <w:p w14:paraId="0A90A94A">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一、</w:t>
      </w:r>
      <w:r>
        <w:rPr>
          <w:rFonts w:hint="eastAsia" w:ascii="宋体" w:hAnsi="宋体" w:cs="宋体"/>
          <w:color w:val="000000" w:themeColor="text1"/>
          <w:szCs w:val="21"/>
          <w:highlight w:val="none"/>
        </w:rPr>
        <w:t>磋商函</w:t>
      </w:r>
    </w:p>
    <w:p w14:paraId="5D9B0CB3">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二、</w:t>
      </w:r>
      <w:r>
        <w:rPr>
          <w:rFonts w:hint="eastAsia" w:ascii="宋体" w:hAnsi="宋体" w:cs="宋体"/>
          <w:color w:val="000000" w:themeColor="text1"/>
          <w:szCs w:val="21"/>
          <w:highlight w:val="none"/>
        </w:rPr>
        <w:t>法定代表人资格证明</w:t>
      </w:r>
    </w:p>
    <w:p w14:paraId="69161E73">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三、授权委托书</w:t>
      </w:r>
    </w:p>
    <w:p w14:paraId="5446A8C4">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四、</w:t>
      </w:r>
      <w:r>
        <w:rPr>
          <w:rFonts w:hint="eastAsia" w:ascii="宋体" w:hAnsi="宋体" w:cs="宋体"/>
          <w:color w:val="000000" w:themeColor="text1"/>
          <w:szCs w:val="21"/>
          <w:highlight w:val="none"/>
        </w:rPr>
        <w:t>报价</w:t>
      </w:r>
      <w:r>
        <w:rPr>
          <w:rFonts w:ascii="宋体" w:hAnsi="宋体" w:cs="宋体"/>
          <w:color w:val="000000" w:themeColor="text1"/>
          <w:szCs w:val="21"/>
          <w:highlight w:val="none"/>
        </w:rPr>
        <w:t>一览表</w:t>
      </w:r>
    </w:p>
    <w:p w14:paraId="3D19743A">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五、报价</w:t>
      </w:r>
      <w:r>
        <w:rPr>
          <w:rFonts w:hint="eastAsia" w:ascii="宋体" w:hAnsi="宋体" w:cs="宋体"/>
          <w:color w:val="000000" w:themeColor="text1"/>
          <w:szCs w:val="21"/>
          <w:highlight w:val="none"/>
        </w:rPr>
        <w:t>明细</w:t>
      </w:r>
    </w:p>
    <w:p w14:paraId="12EC4A6D">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六、投标保证金</w:t>
      </w:r>
    </w:p>
    <w:p w14:paraId="5C2A7465">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七、资格审查资料</w:t>
      </w:r>
    </w:p>
    <w:p w14:paraId="6A29A030">
      <w:pPr>
        <w:spacing w:line="360" w:lineRule="auto"/>
        <w:ind w:right="105" w:rightChars="50" w:firstLine="420" w:firstLineChars="200"/>
        <w:rPr>
          <w:rFonts w:ascii="宋体" w:hAnsi="宋体" w:cs="宋体"/>
          <w:color w:val="000000" w:themeColor="text1"/>
          <w:szCs w:val="21"/>
          <w:highlight w:val="none"/>
        </w:rPr>
      </w:pPr>
      <w:r>
        <w:rPr>
          <w:rFonts w:ascii="宋体" w:hAnsi="宋体" w:cs="宋体"/>
          <w:color w:val="000000" w:themeColor="text1"/>
          <w:szCs w:val="21"/>
          <w:highlight w:val="none"/>
        </w:rPr>
        <w:t>八、</w:t>
      </w:r>
      <w:r>
        <w:rPr>
          <w:rFonts w:hint="eastAsia" w:ascii="宋体" w:hAnsi="宋体" w:cs="宋体"/>
          <w:color w:val="000000" w:themeColor="text1"/>
          <w:szCs w:val="21"/>
          <w:highlight w:val="none"/>
        </w:rPr>
        <w:t>技术部分</w:t>
      </w:r>
    </w:p>
    <w:p w14:paraId="081E0D98">
      <w:pPr>
        <w:spacing w:line="360" w:lineRule="auto"/>
        <w:ind w:right="105" w:rightChars="50"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九、</w:t>
      </w:r>
      <w:r>
        <w:rPr>
          <w:rFonts w:ascii="宋体" w:hAnsi="宋体" w:cs="宋体"/>
          <w:color w:val="000000" w:themeColor="text1"/>
          <w:szCs w:val="21"/>
          <w:highlight w:val="none"/>
        </w:rPr>
        <w:t>其他资料</w:t>
      </w:r>
    </w:p>
    <w:p w14:paraId="34418743">
      <w:pPr>
        <w:autoSpaceDE w:val="0"/>
        <w:autoSpaceDN w:val="0"/>
        <w:adjustRightInd w:val="0"/>
        <w:spacing w:line="400" w:lineRule="exact"/>
        <w:jc w:val="left"/>
        <w:rPr>
          <w:rFonts w:ascii="宋体" w:hAnsi="宋体"/>
          <w:color w:val="000000" w:themeColor="text1"/>
          <w:szCs w:val="21"/>
          <w:highlight w:val="none"/>
        </w:rPr>
      </w:pPr>
      <w:r>
        <w:rPr>
          <w:rFonts w:hint="eastAsia" w:ascii="宋体" w:hAnsi="宋体"/>
          <w:color w:val="000000" w:themeColor="text1"/>
          <w:szCs w:val="21"/>
          <w:highlight w:val="none"/>
        </w:rPr>
        <w:t>3.1.2 供应商须知前附表规定不接受联合体投标的，或供应商没有组成联合体的，响应文件不包括本章第3.1.1 （3）所指的联合体协议书。</w:t>
      </w:r>
    </w:p>
    <w:p w14:paraId="0DBE458C">
      <w:pPr>
        <w:pStyle w:val="6"/>
        <w:rPr>
          <w:rFonts w:ascii="宋体" w:hAnsi="宋体" w:eastAsia="宋体"/>
          <w:color w:val="000000" w:themeColor="text1"/>
          <w:highlight w:val="none"/>
        </w:rPr>
      </w:pPr>
      <w:r>
        <w:rPr>
          <w:rFonts w:hint="eastAsia" w:ascii="宋体" w:hAnsi="宋体" w:eastAsia="宋体"/>
          <w:color w:val="000000" w:themeColor="text1"/>
          <w:highlight w:val="none"/>
        </w:rPr>
        <w:t>3.2 磋商报价</w:t>
      </w:r>
    </w:p>
    <w:p w14:paraId="3CC78C7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3.2.1供应商应按采购人提供的“采购需求”的要求填写报价。</w:t>
      </w:r>
    </w:p>
    <w:p w14:paraId="7826E5B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3.2.2 供应商磋商报价总额为各分项金额之和。</w:t>
      </w:r>
    </w:p>
    <w:p w14:paraId="0530CC7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3.2.3 采购人设有采购预算的，供应商的磋商报价不得超过采购预算。</w:t>
      </w:r>
    </w:p>
    <w:p w14:paraId="56CC948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3.2.4 磋商报价为供应商在响应文件中提出的各项报价的总和。</w:t>
      </w:r>
    </w:p>
    <w:p w14:paraId="5C03399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3.2.5 供应商的磋商报价，应是完成本须知和竞争性磋商中所列采购需求的全部，作为供应商计算单价或总价的依据。</w:t>
      </w:r>
    </w:p>
    <w:p w14:paraId="02237C6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3.2.6</w:t>
      </w:r>
      <w:r>
        <w:rPr>
          <w:rFonts w:ascii="宋体" w:hAnsi="宋体"/>
          <w:color w:val="000000" w:themeColor="text1"/>
          <w:szCs w:val="21"/>
          <w:highlight w:val="none"/>
        </w:rPr>
        <w:t>最低报价不能作为</w:t>
      </w:r>
      <w:r>
        <w:rPr>
          <w:rFonts w:hint="eastAsia" w:ascii="宋体" w:hAnsi="宋体"/>
          <w:color w:val="000000" w:themeColor="text1"/>
          <w:szCs w:val="21"/>
          <w:highlight w:val="none"/>
        </w:rPr>
        <w:t>成交</w:t>
      </w:r>
      <w:r>
        <w:rPr>
          <w:rFonts w:ascii="宋体" w:hAnsi="宋体"/>
          <w:color w:val="000000" w:themeColor="text1"/>
          <w:szCs w:val="21"/>
          <w:highlight w:val="none"/>
        </w:rPr>
        <w:t>的唯一依据</w:t>
      </w:r>
      <w:r>
        <w:rPr>
          <w:rFonts w:hint="eastAsia" w:ascii="宋体" w:hAnsi="宋体"/>
          <w:color w:val="000000" w:themeColor="text1"/>
          <w:szCs w:val="21"/>
          <w:highlight w:val="none"/>
        </w:rPr>
        <w:t>。</w:t>
      </w:r>
    </w:p>
    <w:p w14:paraId="24AB97E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3.2.7本项目采用两轮报价（第二轮报价即最后报价）。</w:t>
      </w:r>
    </w:p>
    <w:p w14:paraId="2FBD4907">
      <w:pPr>
        <w:pStyle w:val="6"/>
        <w:rPr>
          <w:rFonts w:ascii="宋体" w:hAnsi="宋体" w:eastAsia="宋体"/>
          <w:color w:val="000000" w:themeColor="text1"/>
          <w:highlight w:val="none"/>
        </w:rPr>
      </w:pPr>
      <w:r>
        <w:rPr>
          <w:rFonts w:hint="eastAsia" w:ascii="宋体" w:hAnsi="宋体" w:eastAsia="宋体"/>
          <w:color w:val="000000" w:themeColor="text1"/>
          <w:highlight w:val="none"/>
        </w:rPr>
        <w:t>3.3 响应有效期</w:t>
      </w:r>
    </w:p>
    <w:p w14:paraId="7283384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3.3.1 在供应商须知前附表规定的响应有效期内，供应商不得要求撤销或修改其响应文件。</w:t>
      </w:r>
    </w:p>
    <w:p w14:paraId="53CD1CB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3.3.2 出现特殊情况需要延长响应有效期的，采购人以书面形式通知所有供应商延长响应有效期。供应商同意延长的，应相应延长其磋商保证金的有效期，但不得要求或被允许修改或撤销其响应文件；供应商拒绝延长的，其投标失效，但供应商有权收回其磋商保证金。</w:t>
      </w:r>
    </w:p>
    <w:p w14:paraId="3DD06C0C">
      <w:pPr>
        <w:pStyle w:val="6"/>
        <w:rPr>
          <w:rFonts w:ascii="宋体" w:hAnsi="宋体" w:eastAsia="宋体"/>
          <w:color w:val="000000" w:themeColor="text1"/>
          <w:highlight w:val="none"/>
        </w:rPr>
      </w:pPr>
      <w:r>
        <w:rPr>
          <w:rFonts w:hint="eastAsia" w:ascii="宋体" w:hAnsi="宋体" w:eastAsia="宋体"/>
          <w:color w:val="000000" w:themeColor="text1"/>
          <w:highlight w:val="none"/>
        </w:rPr>
        <w:t>3.4 磋商保证金</w:t>
      </w:r>
    </w:p>
    <w:p w14:paraId="0AA710D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3.4.1 供应商在递交响应文件的同时，应按供应商须知前附表规定的金额、担保形式和第八章“响应文件格式”规定的磋商保证金格式递交磋商保证金，并作为其响应文件的组成部分。联合体投标的，其磋商保证金由牵头人递交，并应符合供应商须知前附表的规定。</w:t>
      </w:r>
    </w:p>
    <w:p w14:paraId="6A839ED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3.4.2 供应商不按本章第3.4.1 项要求提交磋商保证金的，其响应文件作废标处理</w:t>
      </w:r>
      <w:r>
        <w:rPr>
          <w:rFonts w:hint="eastAsia" w:ascii="宋体" w:hAnsi="宋体"/>
          <w:color w:val="000000" w:themeColor="text1"/>
          <w:szCs w:val="21"/>
          <w:highlight w:val="none"/>
          <w:lang w:val="zh-CN"/>
        </w:rPr>
        <w:t>（</w:t>
      </w:r>
      <w:r>
        <w:rPr>
          <w:rFonts w:hint="eastAsia" w:ascii="宋体" w:hAnsi="宋体"/>
          <w:color w:val="000000" w:themeColor="text1"/>
          <w:szCs w:val="21"/>
          <w:highlight w:val="none"/>
        </w:rPr>
        <w:t>本项目不收取磋商保证金</w:t>
      </w:r>
      <w:r>
        <w:rPr>
          <w:rFonts w:hint="eastAsia" w:ascii="宋体" w:hAnsi="宋体"/>
          <w:color w:val="000000" w:themeColor="text1"/>
          <w:szCs w:val="21"/>
          <w:highlight w:val="none"/>
          <w:lang w:val="zh-CN"/>
        </w:rPr>
        <w:t>）</w:t>
      </w:r>
      <w:r>
        <w:rPr>
          <w:rFonts w:hint="eastAsia" w:ascii="宋体" w:hAnsi="宋体"/>
          <w:color w:val="000000" w:themeColor="text1"/>
          <w:szCs w:val="21"/>
          <w:highlight w:val="none"/>
        </w:rPr>
        <w:t>。</w:t>
      </w:r>
    </w:p>
    <w:p w14:paraId="7512E5A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3.4.3未成交人的磋商保证金应当在成交通知书发出后5个工作日内退还，成交人的磋商保证金应当在项目合同签订后5个工作日内退还</w:t>
      </w:r>
      <w:r>
        <w:rPr>
          <w:rFonts w:hint="eastAsia" w:ascii="宋体" w:hAnsi="宋体"/>
          <w:color w:val="000000" w:themeColor="text1"/>
          <w:szCs w:val="21"/>
          <w:highlight w:val="none"/>
          <w:lang w:val="zh-CN"/>
        </w:rPr>
        <w:t>（</w:t>
      </w:r>
      <w:r>
        <w:rPr>
          <w:rFonts w:hint="eastAsia" w:ascii="宋体" w:hAnsi="宋体"/>
          <w:color w:val="000000" w:themeColor="text1"/>
          <w:szCs w:val="21"/>
          <w:highlight w:val="none"/>
        </w:rPr>
        <w:t>本项目不收取磋商保证金</w:t>
      </w:r>
      <w:r>
        <w:rPr>
          <w:rFonts w:hint="eastAsia" w:ascii="宋体" w:hAnsi="宋体"/>
          <w:color w:val="000000" w:themeColor="text1"/>
          <w:szCs w:val="21"/>
          <w:highlight w:val="none"/>
          <w:lang w:val="zh-CN"/>
        </w:rPr>
        <w:t>）</w:t>
      </w:r>
      <w:r>
        <w:rPr>
          <w:rFonts w:hint="eastAsia" w:ascii="宋体" w:hAnsi="宋体"/>
          <w:color w:val="000000" w:themeColor="text1"/>
          <w:szCs w:val="21"/>
          <w:highlight w:val="none"/>
        </w:rPr>
        <w:t>。</w:t>
      </w:r>
    </w:p>
    <w:p w14:paraId="02FB93E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3.4.4 有下列情形之一的，磋商保证金将不予退还：</w:t>
      </w:r>
    </w:p>
    <w:p w14:paraId="3916612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(1）供应商在规定的响应有效期内撤销或修改其响应文件；</w:t>
      </w:r>
    </w:p>
    <w:p w14:paraId="77BCA5D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(2）成交单位在收到成交通知书后，无正当理由拒签合同协议书或未按磋商文件规定提交履约担保。</w:t>
      </w:r>
    </w:p>
    <w:p w14:paraId="27E65CA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供应商在编制响应文件时，应按新情况更新或补充其在申请资格预审时提供的资料，以证实其各项资格条件仍能继续满足资格预审文件的要求，具备承担本标段施工的资质条件、能力和信誉。</w:t>
      </w:r>
    </w:p>
    <w:p w14:paraId="2C316927">
      <w:pPr>
        <w:pStyle w:val="6"/>
        <w:rPr>
          <w:rFonts w:ascii="宋体" w:hAnsi="宋体" w:eastAsia="宋体"/>
          <w:color w:val="000000" w:themeColor="text1"/>
          <w:highlight w:val="none"/>
        </w:rPr>
      </w:pPr>
      <w:r>
        <w:rPr>
          <w:rFonts w:hint="eastAsia" w:ascii="宋体" w:hAnsi="宋体" w:eastAsia="宋体"/>
          <w:color w:val="000000" w:themeColor="text1"/>
          <w:highlight w:val="none"/>
        </w:rPr>
        <w:t>3.5 备选投标方案</w:t>
      </w:r>
    </w:p>
    <w:p w14:paraId="7B86031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除供应商须知前附表另有规定外，供应商不得递交备选投标方案。允许供应商递交备选投标方案的，只有成交单位所递交的备选投标方案方可予以考虑。磋商小组认为成交单位的备选投标方案优于其按照磋商文件要求编制的投标方案的，采购人可以接受该备选投标方案。</w:t>
      </w:r>
    </w:p>
    <w:p w14:paraId="470CBCE5">
      <w:pPr>
        <w:pStyle w:val="6"/>
        <w:rPr>
          <w:rFonts w:ascii="宋体" w:hAnsi="宋体" w:eastAsia="宋体"/>
          <w:color w:val="000000" w:themeColor="text1"/>
          <w:highlight w:val="none"/>
        </w:rPr>
      </w:pPr>
      <w:r>
        <w:rPr>
          <w:rFonts w:hint="eastAsia" w:ascii="宋体" w:hAnsi="宋体" w:eastAsia="宋体"/>
          <w:color w:val="000000" w:themeColor="text1"/>
          <w:highlight w:val="none"/>
        </w:rPr>
        <w:t>3.6 响应文件的编制</w:t>
      </w:r>
    </w:p>
    <w:p w14:paraId="003D5FF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19E3347C">
      <w:pPr>
        <w:spacing w:line="360" w:lineRule="auto"/>
        <w:ind w:firstLine="420" w:firstLineChars="200"/>
        <w:rPr>
          <w:rFonts w:ascii="宋体" w:hAnsi="宋体"/>
          <w:bCs/>
          <w:color w:val="000000" w:themeColor="text1"/>
          <w:szCs w:val="21"/>
          <w:highlight w:val="none"/>
          <w:lang w:val="zh-CN"/>
        </w:rPr>
      </w:pPr>
      <w:r>
        <w:rPr>
          <w:rFonts w:ascii="宋体" w:hAnsi="宋体"/>
          <w:bCs/>
          <w:color w:val="000000" w:themeColor="text1"/>
          <w:szCs w:val="21"/>
          <w:highlight w:val="none"/>
          <w:lang w:val="zh-CN"/>
        </w:rPr>
        <w:t>3</w:t>
      </w:r>
      <w:r>
        <w:rPr>
          <w:rFonts w:hint="eastAsia" w:ascii="宋体" w:hAnsi="宋体"/>
          <w:bCs/>
          <w:color w:val="000000" w:themeColor="text1"/>
          <w:szCs w:val="21"/>
          <w:highlight w:val="none"/>
          <w:lang w:val="zh-CN"/>
        </w:rPr>
        <w:t>.</w:t>
      </w:r>
      <w:r>
        <w:rPr>
          <w:rFonts w:hint="eastAsia" w:ascii="宋体" w:hAnsi="宋体"/>
          <w:bCs/>
          <w:color w:val="000000" w:themeColor="text1"/>
          <w:szCs w:val="21"/>
          <w:highlight w:val="none"/>
        </w:rPr>
        <w:t>6</w:t>
      </w:r>
      <w:r>
        <w:rPr>
          <w:rFonts w:hint="eastAsia" w:ascii="宋体" w:hAnsi="宋体"/>
          <w:bCs/>
          <w:color w:val="000000" w:themeColor="text1"/>
          <w:szCs w:val="21"/>
          <w:highlight w:val="none"/>
          <w:lang w:val="zh-CN"/>
        </w:rPr>
        <w:t>.</w:t>
      </w:r>
      <w:r>
        <w:rPr>
          <w:rFonts w:ascii="宋体" w:hAnsi="宋体"/>
          <w:bCs/>
          <w:color w:val="000000" w:themeColor="text1"/>
          <w:szCs w:val="21"/>
          <w:highlight w:val="none"/>
          <w:lang w:val="zh-CN"/>
        </w:rPr>
        <w:t>2</w:t>
      </w:r>
      <w:r>
        <w:rPr>
          <w:rFonts w:hint="eastAsia" w:ascii="宋体" w:hAnsi="宋体"/>
          <w:bCs/>
          <w:color w:val="000000" w:themeColor="text1"/>
          <w:szCs w:val="21"/>
          <w:highlight w:val="none"/>
          <w:lang w:val="zh-CN"/>
        </w:rPr>
        <w:t xml:space="preserve"> 响应文件应当对磋商文件有关工期、响应有效期、质量标准、技术标准和要求、</w:t>
      </w:r>
      <w:r>
        <w:rPr>
          <w:rFonts w:hint="eastAsia" w:ascii="宋体" w:hAnsi="宋体"/>
          <w:bCs/>
          <w:color w:val="000000" w:themeColor="text1"/>
          <w:szCs w:val="21"/>
          <w:highlight w:val="none"/>
        </w:rPr>
        <w:t>采购</w:t>
      </w:r>
      <w:r>
        <w:rPr>
          <w:rFonts w:hint="eastAsia" w:ascii="宋体" w:hAnsi="宋体"/>
          <w:bCs/>
          <w:color w:val="000000" w:themeColor="text1"/>
          <w:szCs w:val="21"/>
          <w:highlight w:val="none"/>
          <w:lang w:val="zh-CN"/>
        </w:rPr>
        <w:t>范围等实质性内容作出响应。</w:t>
      </w:r>
    </w:p>
    <w:p w14:paraId="45C7D29C">
      <w:pPr>
        <w:pStyle w:val="5"/>
        <w:rPr>
          <w:rFonts w:ascii="宋体" w:hAnsi="宋体"/>
          <w:color w:val="000000" w:themeColor="text1"/>
          <w:highlight w:val="none"/>
        </w:rPr>
      </w:pPr>
      <w:bookmarkStart w:id="27" w:name="_Toc184635074"/>
      <w:r>
        <w:rPr>
          <w:rFonts w:hint="eastAsia" w:ascii="宋体" w:hAnsi="宋体"/>
          <w:color w:val="000000" w:themeColor="text1"/>
          <w:highlight w:val="none"/>
        </w:rPr>
        <w:t>4．投标</w:t>
      </w:r>
      <w:bookmarkEnd w:id="27"/>
    </w:p>
    <w:p w14:paraId="6CBFDAC8">
      <w:pPr>
        <w:spacing w:line="360" w:lineRule="auto"/>
        <w:rPr>
          <w:rFonts w:ascii="宋体" w:hAnsi="宋体"/>
          <w:b/>
          <w:bCs/>
          <w:color w:val="000000" w:themeColor="text1"/>
          <w:sz w:val="28"/>
          <w:szCs w:val="28"/>
          <w:highlight w:val="none"/>
        </w:rPr>
      </w:pPr>
      <w:r>
        <w:rPr>
          <w:rFonts w:hint="eastAsia" w:ascii="宋体" w:hAnsi="宋体"/>
          <w:b/>
          <w:bCs/>
          <w:color w:val="000000" w:themeColor="text1"/>
          <w:sz w:val="28"/>
          <w:szCs w:val="28"/>
          <w:highlight w:val="none"/>
        </w:rPr>
        <w:t>4.1 响应文件的修改与撤回</w:t>
      </w:r>
    </w:p>
    <w:p w14:paraId="7820C04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4.1.1 在本章第2.2.2 项规定的递交响应文件截止时间前，供应商可以修改或撤回已递交的响应文件，但应以书面形式通知采购人。</w:t>
      </w:r>
    </w:p>
    <w:p w14:paraId="0DBCB39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4.1.2 供应商修改或撤回已递交响应文件的书面通知应按照本章第3.7.3 项的要求签字或盖章。采购人收到书面通知后，向供应商出具签收凭证。</w:t>
      </w:r>
    </w:p>
    <w:p w14:paraId="33895DF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4.1.3 修改的内容为响应文件的组成部分。修改的响应文件应按照本章第3 条、第4 条规定进行编制、密封、标记和递交，并标明“修改”字样。</w:t>
      </w:r>
    </w:p>
    <w:p w14:paraId="5BA2189A">
      <w:pPr>
        <w:pStyle w:val="5"/>
        <w:rPr>
          <w:rFonts w:ascii="宋体" w:hAnsi="宋体"/>
          <w:color w:val="000000" w:themeColor="text1"/>
          <w:highlight w:val="none"/>
        </w:rPr>
      </w:pPr>
      <w:bookmarkStart w:id="28" w:name="_Toc184635075"/>
      <w:r>
        <w:rPr>
          <w:rFonts w:hint="eastAsia" w:ascii="宋体" w:hAnsi="宋体"/>
          <w:color w:val="000000" w:themeColor="text1"/>
          <w:highlight w:val="none"/>
        </w:rPr>
        <w:t>5．开</w:t>
      </w:r>
      <w:bookmarkEnd w:id="28"/>
      <w:r>
        <w:rPr>
          <w:rFonts w:hint="eastAsia" w:ascii="宋体" w:hAnsi="宋体"/>
          <w:color w:val="000000" w:themeColor="text1"/>
          <w:highlight w:val="none"/>
        </w:rPr>
        <w:t>启</w:t>
      </w:r>
    </w:p>
    <w:p w14:paraId="6928A9C7">
      <w:pPr>
        <w:pStyle w:val="6"/>
        <w:rPr>
          <w:rFonts w:ascii="宋体" w:hAnsi="宋体" w:eastAsia="宋体"/>
          <w:color w:val="000000" w:themeColor="text1"/>
          <w:highlight w:val="none"/>
        </w:rPr>
      </w:pPr>
      <w:r>
        <w:rPr>
          <w:rFonts w:hint="eastAsia" w:ascii="宋体" w:hAnsi="宋体" w:eastAsia="宋体"/>
          <w:color w:val="000000" w:themeColor="text1"/>
          <w:highlight w:val="none"/>
        </w:rPr>
        <w:t>5.1 开启时间和地点</w:t>
      </w:r>
    </w:p>
    <w:p w14:paraId="62934CF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采购人在本章第2.2.2 项规定的递交响应文件截止时间（开启时间）</w:t>
      </w:r>
      <w:r>
        <w:rPr>
          <w:rFonts w:hint="eastAsia" w:ascii="宋体" w:hAnsi="宋体"/>
          <w:color w:val="000000" w:themeColor="text1"/>
          <w:szCs w:val="21"/>
          <w:highlight w:val="none"/>
          <w:lang w:val="zh-CN"/>
        </w:rPr>
        <w:t>和供应商须知前附表规定的网址、地点</w:t>
      </w:r>
      <w:r>
        <w:rPr>
          <w:rFonts w:hint="eastAsia" w:ascii="宋体" w:hAnsi="宋体"/>
          <w:color w:val="000000" w:themeColor="text1"/>
          <w:szCs w:val="21"/>
          <w:highlight w:val="none"/>
        </w:rPr>
        <w:t>参加磋商会议。</w:t>
      </w:r>
    </w:p>
    <w:p w14:paraId="1598E4D7">
      <w:pPr>
        <w:pStyle w:val="6"/>
        <w:rPr>
          <w:rFonts w:ascii="宋体" w:hAnsi="宋体" w:eastAsia="宋体"/>
          <w:color w:val="000000" w:themeColor="text1"/>
          <w:highlight w:val="none"/>
        </w:rPr>
      </w:pPr>
      <w:r>
        <w:rPr>
          <w:rFonts w:hint="eastAsia" w:ascii="宋体" w:hAnsi="宋体" w:eastAsia="宋体"/>
          <w:color w:val="000000" w:themeColor="text1"/>
          <w:highlight w:val="none"/>
        </w:rPr>
        <w:t>5.2 磋商程序</w:t>
      </w:r>
    </w:p>
    <w:p w14:paraId="2AC50E0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主持人按下列程序进行开标：</w:t>
      </w:r>
    </w:p>
    <w:p w14:paraId="220C4B84">
      <w:pPr>
        <w:pStyle w:val="6"/>
        <w:rPr>
          <w:rFonts w:ascii="宋体" w:hAnsi="宋体" w:eastAsia="宋体"/>
          <w:b w:val="0"/>
          <w:bCs w:val="0"/>
          <w:color w:val="000000" w:themeColor="text1"/>
          <w:sz w:val="21"/>
          <w:szCs w:val="21"/>
          <w:highlight w:val="none"/>
          <w:lang w:val="zh-CN"/>
        </w:rPr>
      </w:pPr>
      <w:bookmarkStart w:id="29" w:name="_Toc184635076"/>
      <w:r>
        <w:rPr>
          <w:rFonts w:hint="eastAsia" w:ascii="宋体" w:hAnsi="宋体" w:eastAsia="宋体"/>
          <w:b w:val="0"/>
          <w:bCs w:val="0"/>
          <w:color w:val="000000" w:themeColor="text1"/>
          <w:sz w:val="21"/>
          <w:szCs w:val="21"/>
          <w:highlight w:val="none"/>
          <w:lang w:val="zh-CN"/>
        </w:rPr>
        <w:t>（1）宣布开标纪律；</w:t>
      </w:r>
    </w:p>
    <w:p w14:paraId="10C3F40D">
      <w:pPr>
        <w:pStyle w:val="6"/>
        <w:rPr>
          <w:rFonts w:ascii="宋体" w:hAnsi="宋体" w:eastAsia="宋体"/>
          <w:b w:val="0"/>
          <w:bCs w:val="0"/>
          <w:color w:val="000000" w:themeColor="text1"/>
          <w:sz w:val="21"/>
          <w:szCs w:val="21"/>
          <w:highlight w:val="none"/>
          <w:lang w:val="zh-CN"/>
        </w:rPr>
      </w:pPr>
      <w:r>
        <w:rPr>
          <w:rFonts w:hint="eastAsia" w:ascii="宋体" w:hAnsi="宋体" w:eastAsia="宋体"/>
          <w:b w:val="0"/>
          <w:bCs w:val="0"/>
          <w:color w:val="000000" w:themeColor="text1"/>
          <w:sz w:val="21"/>
          <w:szCs w:val="21"/>
          <w:highlight w:val="none"/>
          <w:lang w:val="zh-CN"/>
        </w:rPr>
        <w:t>（2）查看并公布投标报名名单；</w:t>
      </w:r>
    </w:p>
    <w:p w14:paraId="2A9E26AC">
      <w:pPr>
        <w:pStyle w:val="6"/>
        <w:rPr>
          <w:rFonts w:ascii="宋体" w:hAnsi="宋体" w:eastAsia="宋体"/>
          <w:b w:val="0"/>
          <w:bCs w:val="0"/>
          <w:color w:val="000000" w:themeColor="text1"/>
          <w:sz w:val="21"/>
          <w:szCs w:val="21"/>
          <w:highlight w:val="none"/>
          <w:lang w:val="zh-CN"/>
        </w:rPr>
      </w:pPr>
      <w:r>
        <w:rPr>
          <w:rFonts w:hint="eastAsia" w:ascii="宋体" w:hAnsi="宋体" w:eastAsia="宋体"/>
          <w:b w:val="0"/>
          <w:bCs w:val="0"/>
          <w:color w:val="000000" w:themeColor="text1"/>
          <w:sz w:val="21"/>
          <w:szCs w:val="21"/>
          <w:highlight w:val="none"/>
          <w:lang w:val="zh-CN"/>
        </w:rPr>
        <w:t>（3）宣布开标人、监标人等有关人员；</w:t>
      </w:r>
    </w:p>
    <w:p w14:paraId="261F06B2">
      <w:pPr>
        <w:pStyle w:val="6"/>
        <w:rPr>
          <w:rFonts w:ascii="宋体" w:hAnsi="宋体" w:eastAsia="宋体"/>
          <w:b w:val="0"/>
          <w:bCs w:val="0"/>
          <w:color w:val="000000" w:themeColor="text1"/>
          <w:sz w:val="21"/>
          <w:szCs w:val="21"/>
          <w:highlight w:val="none"/>
          <w:lang w:val="zh-CN"/>
        </w:rPr>
      </w:pPr>
      <w:r>
        <w:rPr>
          <w:rFonts w:hint="eastAsia" w:ascii="宋体" w:hAnsi="宋体" w:eastAsia="宋体"/>
          <w:b w:val="0"/>
          <w:bCs w:val="0"/>
          <w:color w:val="000000" w:themeColor="text1"/>
          <w:sz w:val="21"/>
          <w:szCs w:val="21"/>
          <w:highlight w:val="none"/>
          <w:lang w:val="zh-CN"/>
        </w:rPr>
        <w:t>（4）采购代理机构</w:t>
      </w:r>
      <w:r>
        <w:rPr>
          <w:rFonts w:hint="eastAsia" w:ascii="宋体" w:hAnsi="宋体" w:eastAsia="宋体"/>
          <w:b w:val="0"/>
          <w:bCs w:val="0"/>
          <w:color w:val="000000" w:themeColor="text1"/>
          <w:sz w:val="21"/>
          <w:szCs w:val="21"/>
          <w:highlight w:val="none"/>
        </w:rPr>
        <w:t>对</w:t>
      </w:r>
      <w:r>
        <w:rPr>
          <w:rFonts w:hint="eastAsia" w:ascii="宋体" w:hAnsi="宋体" w:eastAsia="宋体"/>
          <w:b w:val="0"/>
          <w:bCs w:val="0"/>
          <w:color w:val="000000" w:themeColor="text1"/>
          <w:sz w:val="21"/>
          <w:szCs w:val="21"/>
          <w:highlight w:val="none"/>
          <w:lang w:val="zh-CN"/>
        </w:rPr>
        <w:t>供应商电子投标文件解密。</w:t>
      </w:r>
    </w:p>
    <w:p w14:paraId="2A81D8E7">
      <w:pPr>
        <w:pStyle w:val="5"/>
        <w:rPr>
          <w:rFonts w:ascii="宋体" w:hAnsi="宋体"/>
          <w:color w:val="000000" w:themeColor="text1"/>
          <w:highlight w:val="none"/>
        </w:rPr>
      </w:pPr>
      <w:r>
        <w:rPr>
          <w:rFonts w:hint="eastAsia" w:ascii="宋体" w:hAnsi="宋体"/>
          <w:color w:val="000000" w:themeColor="text1"/>
          <w:highlight w:val="none"/>
        </w:rPr>
        <w:t>6．评审</w:t>
      </w:r>
      <w:bookmarkEnd w:id="29"/>
    </w:p>
    <w:p w14:paraId="45707792">
      <w:pPr>
        <w:pStyle w:val="6"/>
        <w:rPr>
          <w:rFonts w:ascii="宋体" w:hAnsi="宋体" w:eastAsia="宋体"/>
          <w:color w:val="000000" w:themeColor="text1"/>
          <w:highlight w:val="none"/>
        </w:rPr>
      </w:pPr>
      <w:r>
        <w:rPr>
          <w:rFonts w:hint="eastAsia" w:ascii="宋体" w:hAnsi="宋体" w:eastAsia="宋体"/>
          <w:color w:val="000000" w:themeColor="text1"/>
          <w:highlight w:val="none"/>
        </w:rPr>
        <w:t>6.1 磋商小组</w:t>
      </w:r>
    </w:p>
    <w:p w14:paraId="4BDF167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6.1.1 评审工作由采购人依法组建的磋商小组负责。磋商小组由采购人代表和有关技术、经济等方面专家2人，采购人1人，共3 人组成。磋商小组成员人数以及技术、经济等方面专家的确定方式见供应商须知前附表。</w:t>
      </w:r>
    </w:p>
    <w:p w14:paraId="55D049B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6.1.2 磋商小组成员有下列情形之一的，应当回避：</w:t>
      </w:r>
    </w:p>
    <w:p w14:paraId="61DD361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(1）采购人或供应商的主要负责人的近亲属；</w:t>
      </w:r>
    </w:p>
    <w:p w14:paraId="45A2A9E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(2）项目主管部门或者行政监督部门的人员；</w:t>
      </w:r>
    </w:p>
    <w:p w14:paraId="2B60680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(3）与供应商有经济利益关系，可能影响对投标公正评审的；</w:t>
      </w:r>
    </w:p>
    <w:p w14:paraId="38D2806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(4）曾因在招标、评审工作以及其他与招标投标有关活动中从事违法行为而受过行政处罚或刑事处罚的。</w:t>
      </w:r>
    </w:p>
    <w:p w14:paraId="69FDEEE2">
      <w:pPr>
        <w:pStyle w:val="6"/>
        <w:rPr>
          <w:rFonts w:ascii="宋体" w:hAnsi="宋体" w:eastAsia="宋体"/>
          <w:color w:val="000000" w:themeColor="text1"/>
          <w:highlight w:val="none"/>
        </w:rPr>
      </w:pPr>
      <w:r>
        <w:rPr>
          <w:rFonts w:hint="eastAsia" w:ascii="宋体" w:hAnsi="宋体" w:eastAsia="宋体"/>
          <w:color w:val="000000" w:themeColor="text1"/>
          <w:highlight w:val="none"/>
        </w:rPr>
        <w:t>6.2 评审原则</w:t>
      </w:r>
    </w:p>
    <w:p w14:paraId="307FFF6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评审工作活动遵循公平、公正、科学和择优的原则。</w:t>
      </w:r>
    </w:p>
    <w:p w14:paraId="5B3139C8">
      <w:pPr>
        <w:pStyle w:val="6"/>
        <w:rPr>
          <w:rFonts w:ascii="宋体" w:hAnsi="宋体" w:eastAsia="宋体"/>
          <w:color w:val="000000" w:themeColor="text1"/>
          <w:highlight w:val="none"/>
        </w:rPr>
      </w:pPr>
      <w:r>
        <w:rPr>
          <w:rFonts w:hint="eastAsia" w:ascii="宋体" w:hAnsi="宋体" w:eastAsia="宋体"/>
          <w:color w:val="000000" w:themeColor="text1"/>
          <w:highlight w:val="none"/>
        </w:rPr>
        <w:t>6.3 评审工作</w:t>
      </w:r>
    </w:p>
    <w:p w14:paraId="47A3666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磋商小组按照第三章“评审办法”规定的方法、评审因素、标准和程序对响应文件进行评审。第三章“评审办法”没有规定的方法、评审因素和标准，不作为评审工作依据。</w:t>
      </w:r>
    </w:p>
    <w:p w14:paraId="1AC42033">
      <w:pPr>
        <w:spacing w:line="360" w:lineRule="auto"/>
        <w:ind w:firstLine="420" w:firstLineChars="200"/>
        <w:rPr>
          <w:rFonts w:ascii="宋体" w:hAnsi="宋体"/>
          <w:color w:val="000000" w:themeColor="text1"/>
          <w:szCs w:val="21"/>
          <w:highlight w:val="none"/>
          <w:lang w:val="zh-TW"/>
        </w:rPr>
      </w:pPr>
      <w:r>
        <w:rPr>
          <w:rFonts w:hint="eastAsia" w:ascii="宋体" w:hAnsi="宋体"/>
          <w:color w:val="000000" w:themeColor="text1"/>
          <w:szCs w:val="21"/>
          <w:highlight w:val="none"/>
        </w:rPr>
        <w:t>6.3.1</w:t>
      </w:r>
      <w:r>
        <w:rPr>
          <w:rFonts w:ascii="宋体" w:hAnsi="宋体"/>
          <w:color w:val="000000" w:themeColor="text1"/>
          <w:szCs w:val="21"/>
          <w:highlight w:val="none"/>
          <w:lang w:val="zh-TW"/>
        </w:rPr>
        <w:t>磋商小组对所有响应文件进行</w:t>
      </w:r>
      <w:r>
        <w:rPr>
          <w:rFonts w:hint="eastAsia" w:ascii="宋体" w:hAnsi="宋体"/>
          <w:color w:val="000000" w:themeColor="text1"/>
          <w:szCs w:val="21"/>
          <w:highlight w:val="none"/>
          <w:lang w:val="zh-TW"/>
        </w:rPr>
        <w:t>资格、</w:t>
      </w:r>
      <w:r>
        <w:rPr>
          <w:rFonts w:hint="eastAsia" w:ascii="宋体" w:hAnsi="宋体"/>
          <w:color w:val="000000" w:themeColor="text1"/>
          <w:szCs w:val="21"/>
          <w:highlight w:val="none"/>
        </w:rPr>
        <w:t>符合</w:t>
      </w:r>
      <w:r>
        <w:rPr>
          <w:rFonts w:hint="eastAsia" w:ascii="宋体" w:hAnsi="宋体"/>
          <w:color w:val="000000" w:themeColor="text1"/>
          <w:szCs w:val="21"/>
          <w:highlight w:val="none"/>
          <w:lang w:val="zh-TW"/>
        </w:rPr>
        <w:t>性评审；</w:t>
      </w:r>
    </w:p>
    <w:p w14:paraId="6807E00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6.3.2</w:t>
      </w:r>
      <w:r>
        <w:rPr>
          <w:rFonts w:ascii="宋体" w:hAnsi="宋体"/>
          <w:color w:val="000000" w:themeColor="text1"/>
          <w:szCs w:val="21"/>
          <w:highlight w:val="none"/>
          <w:lang w:val="zh-TW"/>
        </w:rPr>
        <w:t>磋商小组所有成员集中与通过</w:t>
      </w:r>
      <w:r>
        <w:rPr>
          <w:rFonts w:hint="eastAsia" w:ascii="宋体" w:hAnsi="宋体"/>
          <w:color w:val="000000" w:themeColor="text1"/>
          <w:szCs w:val="21"/>
          <w:highlight w:val="none"/>
          <w:lang w:val="zh-TW"/>
        </w:rPr>
        <w:t>资格、符合性评审</w:t>
      </w:r>
      <w:r>
        <w:rPr>
          <w:rFonts w:ascii="宋体" w:hAnsi="宋体"/>
          <w:color w:val="000000" w:themeColor="text1"/>
          <w:szCs w:val="21"/>
          <w:highlight w:val="none"/>
          <w:lang w:val="zh-TW"/>
        </w:rPr>
        <w:t>的单一</w:t>
      </w:r>
      <w:r>
        <w:rPr>
          <w:rFonts w:hint="eastAsia" w:ascii="宋体" w:hAnsi="宋体"/>
          <w:color w:val="000000" w:themeColor="text1"/>
          <w:szCs w:val="21"/>
          <w:highlight w:val="none"/>
          <w:lang w:val="zh-TW"/>
        </w:rPr>
        <w:t>供应商</w:t>
      </w:r>
      <w:r>
        <w:rPr>
          <w:rFonts w:ascii="宋体" w:hAnsi="宋体"/>
          <w:color w:val="000000" w:themeColor="text1"/>
          <w:szCs w:val="21"/>
          <w:highlight w:val="none"/>
          <w:lang w:val="zh-TW"/>
        </w:rPr>
        <w:t>分别进行磋商，并给予所有参加磋商的</w:t>
      </w:r>
      <w:r>
        <w:rPr>
          <w:rFonts w:hint="eastAsia" w:ascii="宋体" w:hAnsi="宋体"/>
          <w:color w:val="000000" w:themeColor="text1"/>
          <w:szCs w:val="21"/>
          <w:highlight w:val="none"/>
          <w:lang w:val="zh-TW"/>
        </w:rPr>
        <w:t>供应商</w:t>
      </w:r>
      <w:r>
        <w:rPr>
          <w:rFonts w:ascii="宋体" w:hAnsi="宋体"/>
          <w:color w:val="000000" w:themeColor="text1"/>
          <w:szCs w:val="21"/>
          <w:highlight w:val="none"/>
          <w:lang w:val="zh-TW"/>
        </w:rPr>
        <w:t>平等的磋商机会。</w:t>
      </w:r>
      <w:r>
        <w:rPr>
          <w:rFonts w:hint="eastAsia" w:ascii="宋体" w:hAnsi="宋体"/>
          <w:color w:val="000000" w:themeColor="text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3E8986B">
      <w:pPr>
        <w:spacing w:line="360" w:lineRule="auto"/>
        <w:ind w:firstLine="420" w:firstLineChars="200"/>
        <w:rPr>
          <w:rFonts w:ascii="宋体" w:hAnsi="宋体"/>
          <w:color w:val="000000" w:themeColor="text1"/>
          <w:szCs w:val="21"/>
          <w:highlight w:val="none"/>
          <w:lang w:val="zh-TW"/>
        </w:rPr>
      </w:pPr>
      <w:r>
        <w:rPr>
          <w:rFonts w:hint="eastAsia" w:ascii="宋体" w:hAnsi="宋体" w:cs="宋体"/>
          <w:color w:val="000000" w:themeColor="text1"/>
          <w:highlight w:val="none"/>
        </w:rPr>
        <w:t>对磋商文件作出的实质性变动是磋商文件的有效组成部分，磋商小组应当及时以书面形式同时通知所有参加磋商的供应商。</w:t>
      </w:r>
    </w:p>
    <w:p w14:paraId="1225462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D018D91">
      <w:pPr>
        <w:spacing w:line="360" w:lineRule="auto"/>
        <w:ind w:firstLine="420" w:firstLineChars="200"/>
        <w:rPr>
          <w:rFonts w:ascii="宋体" w:hAnsi="宋体" w:cs="宋体"/>
          <w:color w:val="000000" w:themeColor="text1"/>
          <w:highlight w:val="none"/>
        </w:rPr>
      </w:pPr>
      <w:r>
        <w:rPr>
          <w:rFonts w:hint="eastAsia" w:ascii="宋体" w:hAnsi="宋体"/>
          <w:color w:val="000000" w:themeColor="text1"/>
          <w:szCs w:val="21"/>
          <w:highlight w:val="none"/>
        </w:rPr>
        <w:t>6.3.3</w:t>
      </w:r>
      <w:r>
        <w:rPr>
          <w:rFonts w:hint="eastAsia" w:ascii="宋体" w:hAnsi="宋体" w:cs="宋体"/>
          <w:color w:val="000000" w:themeColor="text1"/>
          <w:highlight w:val="none"/>
        </w:rPr>
        <w:t>磋商文件能够详细列明采购标的的技术、服务要求的，磋商结束后，磋商小组应当要求所有实质性响应的供应商在规定时间内提交最后报价，提交最后报价的供应商不得少于3家。</w:t>
      </w:r>
    </w:p>
    <w:p w14:paraId="3D7D5FCA">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318792CB">
      <w:pPr>
        <w:spacing w:line="360" w:lineRule="auto"/>
        <w:ind w:firstLine="420" w:firstLineChars="200"/>
        <w:rPr>
          <w:rFonts w:ascii="宋体" w:hAnsi="宋体"/>
          <w:color w:val="000000" w:themeColor="text1"/>
          <w:szCs w:val="21"/>
          <w:highlight w:val="none"/>
          <w:lang w:val="zh-TW"/>
        </w:rPr>
      </w:pPr>
      <w:r>
        <w:rPr>
          <w:rFonts w:hint="eastAsia" w:ascii="宋体" w:hAnsi="宋体" w:cs="宋体"/>
          <w:color w:val="000000" w:themeColor="text1"/>
          <w:highlight w:val="none"/>
        </w:rPr>
        <w:t>已提交响应文件的供应商，在提交最后报价之前，可以根据磋商情况退出磋商。采购人、采购代理机构应当退还退出磋商的供应商的磋商保证金。</w:t>
      </w:r>
    </w:p>
    <w:p w14:paraId="3C91EC2D">
      <w:pPr>
        <w:spacing w:line="360" w:lineRule="auto"/>
        <w:ind w:firstLine="420" w:firstLineChars="200"/>
        <w:rPr>
          <w:rFonts w:ascii="宋体" w:hAnsi="宋体"/>
          <w:color w:val="000000" w:themeColor="text1"/>
          <w:szCs w:val="21"/>
          <w:highlight w:val="none"/>
          <w:lang w:val="zh-TW"/>
        </w:rPr>
      </w:pPr>
      <w:r>
        <w:rPr>
          <w:rFonts w:hint="eastAsia" w:ascii="宋体" w:hAnsi="宋体"/>
          <w:color w:val="000000" w:themeColor="text1"/>
          <w:szCs w:val="21"/>
          <w:highlight w:val="none"/>
          <w:lang w:val="zh-TW"/>
        </w:rPr>
        <w:t>6.3.4</w:t>
      </w:r>
      <w:r>
        <w:rPr>
          <w:rFonts w:hint="eastAsia" w:ascii="宋体" w:hAnsi="宋体"/>
          <w:color w:val="000000" w:themeColor="text1"/>
          <w:szCs w:val="21"/>
          <w:highlight w:val="none"/>
        </w:rPr>
        <w:t>经磋商确定最终采购需求和提交最后报价的供应商后，由磋商小组采用综合评分法对提交最后报价的供应商的响应文件和最后报价进行综合评分</w:t>
      </w:r>
      <w:r>
        <w:rPr>
          <w:rFonts w:ascii="宋体" w:hAnsi="宋体"/>
          <w:color w:val="000000" w:themeColor="text1"/>
          <w:szCs w:val="21"/>
          <w:highlight w:val="none"/>
          <w:lang w:val="zh-TW"/>
        </w:rPr>
        <w:t>；</w:t>
      </w:r>
    </w:p>
    <w:p w14:paraId="1D17991A">
      <w:pPr>
        <w:spacing w:line="360" w:lineRule="auto"/>
        <w:ind w:firstLine="420" w:firstLineChars="200"/>
        <w:rPr>
          <w:color w:val="000000" w:themeColor="text1"/>
          <w:szCs w:val="21"/>
          <w:highlight w:val="none"/>
        </w:rPr>
      </w:pPr>
      <w:r>
        <w:rPr>
          <w:rFonts w:hint="eastAsia" w:ascii="宋体" w:hAnsi="宋体"/>
          <w:color w:val="000000" w:themeColor="text1"/>
          <w:szCs w:val="21"/>
          <w:highlight w:val="none"/>
          <w:lang w:val="zh-TW"/>
        </w:rPr>
        <w:t>6.3.5</w:t>
      </w:r>
      <w:r>
        <w:rPr>
          <w:rFonts w:hint="eastAsia"/>
          <w:color w:val="000000" w:themeColor="text1"/>
          <w:szCs w:val="21"/>
          <w:highlight w:val="none"/>
        </w:rPr>
        <w:t>磋商小组应当根据综合评分情况，按照评审得分由高到低顺序推荐3名成交候选人，并编写评审报告。评审得分相同的，按照最后报价由低到高的顺序推荐。评审得分且最后报价相同的，按照技术指标优劣顺序推荐。</w:t>
      </w:r>
    </w:p>
    <w:p w14:paraId="343B33C9">
      <w:pPr>
        <w:pStyle w:val="5"/>
        <w:rPr>
          <w:rFonts w:ascii="宋体" w:hAnsi="宋体"/>
          <w:color w:val="000000" w:themeColor="text1"/>
          <w:highlight w:val="none"/>
        </w:rPr>
      </w:pPr>
      <w:bookmarkStart w:id="30" w:name="_Toc184635077"/>
      <w:r>
        <w:rPr>
          <w:rFonts w:hint="eastAsia" w:ascii="宋体" w:hAnsi="宋体"/>
          <w:color w:val="000000" w:themeColor="text1"/>
          <w:highlight w:val="none"/>
        </w:rPr>
        <w:t>7．合同授予</w:t>
      </w:r>
      <w:bookmarkEnd w:id="30"/>
    </w:p>
    <w:p w14:paraId="0688B303">
      <w:pPr>
        <w:pStyle w:val="6"/>
        <w:rPr>
          <w:rFonts w:ascii="宋体" w:hAnsi="宋体" w:eastAsia="宋体"/>
          <w:color w:val="000000" w:themeColor="text1"/>
          <w:highlight w:val="none"/>
        </w:rPr>
      </w:pPr>
      <w:r>
        <w:rPr>
          <w:rFonts w:hint="eastAsia" w:ascii="宋体" w:hAnsi="宋体" w:eastAsia="宋体"/>
          <w:color w:val="000000" w:themeColor="text1"/>
          <w:highlight w:val="none"/>
        </w:rPr>
        <w:t>7.1 定标方式</w:t>
      </w:r>
    </w:p>
    <w:p w14:paraId="0BC5CB9E">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除供应商须知前附表规定磋商小组直接确定成交单位外，采购人依据磋商小组推荐的成交候选人确定中标成交单位，磋商小组推荐成交候选人的人数见供应商须知前附表。</w:t>
      </w:r>
    </w:p>
    <w:p w14:paraId="459AA443">
      <w:pPr>
        <w:spacing w:line="400" w:lineRule="exact"/>
        <w:ind w:firstLine="420" w:firstLineChars="200"/>
        <w:rPr>
          <w:color w:val="000000" w:themeColor="text1"/>
          <w:highlight w:val="none"/>
        </w:rPr>
      </w:pPr>
      <w:r>
        <w:rPr>
          <w:rFonts w:hint="eastAsia"/>
          <w:color w:val="000000" w:themeColor="text1"/>
          <w:highlight w:val="none"/>
        </w:rPr>
        <w:t>采购代理机构应当在评审结束后2个工作日内将评审报告送采购人确认。</w:t>
      </w:r>
    </w:p>
    <w:p w14:paraId="1BBA3ABF">
      <w:pPr>
        <w:spacing w:line="400" w:lineRule="exact"/>
        <w:rPr>
          <w:color w:val="000000" w:themeColor="text1"/>
          <w:highlight w:val="none"/>
        </w:rPr>
      </w:pPr>
      <w:r>
        <w:rPr>
          <w:rFonts w:hint="eastAsia"/>
          <w:color w:val="000000" w:themeColor="text1"/>
          <w:highlight w:val="none"/>
        </w:rPr>
        <w:t>　　采购人应当在收到评审报告后5个工作日内，从评审报告推荐的成交候选供应商中，按照排序由高到低的原则确定成交人，也可以书面授权磋商小组直接确定成交人。采购人逾期未确定成交人且不提出异议的，视为确定评审报告提出的排序第一的供应商为成交人。</w:t>
      </w:r>
    </w:p>
    <w:p w14:paraId="7168D9FC">
      <w:pPr>
        <w:pStyle w:val="6"/>
        <w:rPr>
          <w:rFonts w:ascii="宋体" w:hAnsi="宋体" w:eastAsia="宋体"/>
          <w:color w:val="000000" w:themeColor="text1"/>
          <w:highlight w:val="none"/>
        </w:rPr>
      </w:pPr>
      <w:r>
        <w:rPr>
          <w:rFonts w:hint="eastAsia" w:ascii="宋体" w:hAnsi="宋体" w:eastAsia="宋体"/>
          <w:color w:val="000000" w:themeColor="text1"/>
          <w:highlight w:val="none"/>
        </w:rPr>
        <w:t>7.2 成交通知</w:t>
      </w:r>
    </w:p>
    <w:p w14:paraId="6657EB09">
      <w:pPr>
        <w:spacing w:line="400" w:lineRule="exact"/>
        <w:rPr>
          <w:color w:val="000000" w:themeColor="text1"/>
          <w:highlight w:val="none"/>
        </w:rPr>
      </w:pPr>
      <w:r>
        <w:rPr>
          <w:rFonts w:hint="eastAsia"/>
          <w:color w:val="000000" w:themeColor="text1"/>
          <w:highlight w:val="none"/>
        </w:rPr>
        <w:t>　　采购人或者采购代理机构应当在成交人确定后2个工作日内，在省级以上财政部门指定的政府采购信息发布媒体上公告成交结果，同时向成交人发出成交通知书，并将磋商文件随成交结果同时公告。</w:t>
      </w:r>
    </w:p>
    <w:p w14:paraId="22B30720">
      <w:pPr>
        <w:pStyle w:val="6"/>
        <w:rPr>
          <w:rFonts w:ascii="宋体" w:hAnsi="宋体" w:eastAsia="宋体"/>
          <w:color w:val="000000" w:themeColor="text1"/>
          <w:highlight w:val="none"/>
        </w:rPr>
      </w:pPr>
      <w:r>
        <w:rPr>
          <w:rFonts w:hint="eastAsia" w:ascii="宋体" w:hAnsi="宋体" w:eastAsia="宋体"/>
          <w:color w:val="000000" w:themeColor="text1"/>
          <w:highlight w:val="none"/>
        </w:rPr>
        <w:t>7.3 履约担保</w:t>
      </w:r>
      <w:r>
        <w:rPr>
          <w:rFonts w:hint="eastAsia" w:ascii="宋体" w:hAnsi="宋体" w:eastAsia="宋体"/>
          <w:color w:val="000000" w:themeColor="text1"/>
          <w:highlight w:val="none"/>
          <w:lang w:val="zh-CN"/>
        </w:rPr>
        <w:t>（</w:t>
      </w:r>
      <w:r>
        <w:rPr>
          <w:rFonts w:hint="eastAsia" w:ascii="宋体" w:hAnsi="宋体" w:eastAsia="宋体"/>
          <w:color w:val="000000" w:themeColor="text1"/>
          <w:highlight w:val="none"/>
        </w:rPr>
        <w:t>本项目不收取</w:t>
      </w:r>
      <w:r>
        <w:rPr>
          <w:rFonts w:hint="eastAsia" w:ascii="宋体" w:hAnsi="宋体" w:eastAsia="宋体"/>
          <w:color w:val="000000" w:themeColor="text1"/>
          <w:highlight w:val="none"/>
          <w:lang w:val="zh-CN"/>
        </w:rPr>
        <w:t>）</w:t>
      </w:r>
    </w:p>
    <w:p w14:paraId="64C502A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7.3.1 在签订合同前，中标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w:t>
      </w:r>
    </w:p>
    <w:p w14:paraId="0AE857E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7.3.2 中标人不能按本章第7.3.1 项要求提交履约担保的，视为放弃中标，其磋商保证金不予退还，给采购人造成的损失超过磋商保证金数额的，中标人还应当对超过部分予以赔偿。</w:t>
      </w:r>
    </w:p>
    <w:p w14:paraId="4EE5D250">
      <w:pPr>
        <w:pStyle w:val="6"/>
        <w:rPr>
          <w:rFonts w:ascii="宋体" w:hAnsi="宋体" w:eastAsia="宋体"/>
          <w:color w:val="000000" w:themeColor="text1"/>
          <w:highlight w:val="none"/>
        </w:rPr>
      </w:pPr>
      <w:r>
        <w:rPr>
          <w:rFonts w:hint="eastAsia" w:ascii="宋体" w:hAnsi="宋体" w:eastAsia="宋体"/>
          <w:color w:val="000000" w:themeColor="text1"/>
          <w:highlight w:val="none"/>
        </w:rPr>
        <w:t>7.4 签订合同</w:t>
      </w:r>
    </w:p>
    <w:p w14:paraId="5B9C156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7.4.1 采购人和中标人应当自成交通知书发出之日起30 天内，根据磋商文件和中标人的响应文件订立书面合同。中标人无正当理由拒签合同的，采购人取消其中标资格，其磋商保证金不予退还；给采购人造成的损失超过磋商保证金数额的，中标人还应当对超过部分予以赔偿。</w:t>
      </w:r>
    </w:p>
    <w:p w14:paraId="4824AFCE">
      <w:pPr>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7.4.2 发出成交通知书后，采购人无正当理由拒签合同的，采购人向中标人退还磋商保证金；给中标人造成损失的，还应当赔偿损失。</w:t>
      </w:r>
    </w:p>
    <w:p w14:paraId="1C632E0E">
      <w:pPr>
        <w:spacing w:line="400" w:lineRule="exact"/>
        <w:ind w:firstLine="420" w:firstLineChars="200"/>
        <w:rPr>
          <w:color w:val="000000" w:themeColor="text1"/>
          <w:szCs w:val="21"/>
          <w:highlight w:val="none"/>
        </w:rPr>
      </w:pPr>
      <w:r>
        <w:rPr>
          <w:rFonts w:hint="eastAsia" w:ascii="宋体" w:hAnsi="宋体"/>
          <w:color w:val="000000" w:themeColor="text1"/>
          <w:szCs w:val="21"/>
          <w:highlight w:val="none"/>
        </w:rPr>
        <w:t>7.4.3</w:t>
      </w:r>
      <w:r>
        <w:rPr>
          <w:rFonts w:hint="eastAsia"/>
          <w:color w:val="000000" w:themeColor="text1"/>
          <w:szCs w:val="21"/>
          <w:highlight w:val="none"/>
        </w:rPr>
        <w:t>采购人应当确定排名第一的成交候选人为成标人。排名第一的成交候选人放弃中标、因不可抗力不能履行合同、不按照磋商文件要求提交履约保证金，或者被查实存在影响中标结果的违法行为等情形，不符合中标条件的，采购人可以按照磋商小组提出的成交候选人名单排序依次确定其他成交候选人为中标人，也可以重新招标。</w:t>
      </w:r>
    </w:p>
    <w:p w14:paraId="4D68446A">
      <w:pPr>
        <w:pStyle w:val="5"/>
        <w:rPr>
          <w:rFonts w:ascii="宋体" w:hAnsi="宋体"/>
          <w:color w:val="000000" w:themeColor="text1"/>
          <w:highlight w:val="none"/>
        </w:rPr>
      </w:pPr>
      <w:bookmarkStart w:id="31" w:name="_Toc184635078"/>
      <w:r>
        <w:rPr>
          <w:rFonts w:hint="eastAsia" w:ascii="宋体" w:hAnsi="宋体"/>
          <w:color w:val="000000" w:themeColor="text1"/>
          <w:highlight w:val="none"/>
        </w:rPr>
        <w:t>8．重新招标和不再招标</w:t>
      </w:r>
      <w:bookmarkEnd w:id="31"/>
    </w:p>
    <w:p w14:paraId="1D07A139">
      <w:pPr>
        <w:pStyle w:val="6"/>
        <w:rPr>
          <w:rFonts w:ascii="宋体" w:hAnsi="宋体" w:eastAsia="宋体"/>
          <w:color w:val="000000" w:themeColor="text1"/>
          <w:highlight w:val="none"/>
        </w:rPr>
      </w:pPr>
      <w:r>
        <w:rPr>
          <w:rFonts w:hint="eastAsia" w:ascii="宋体" w:hAnsi="宋体" w:eastAsia="宋体"/>
          <w:color w:val="000000" w:themeColor="text1"/>
          <w:highlight w:val="none"/>
        </w:rPr>
        <w:t>8.1 重新招标</w:t>
      </w:r>
    </w:p>
    <w:p w14:paraId="4187AD2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有下列情形之一的，采购人将重新招标：</w:t>
      </w:r>
    </w:p>
    <w:p w14:paraId="3D2BD38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(l）投标截止时间止，供应商少于3 个的；</w:t>
      </w:r>
    </w:p>
    <w:p w14:paraId="52A7AC4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(2）经磋商小组评审后否决所有投标的。</w:t>
      </w:r>
    </w:p>
    <w:p w14:paraId="47E9F59D">
      <w:pPr>
        <w:pStyle w:val="6"/>
        <w:rPr>
          <w:rFonts w:ascii="宋体" w:hAnsi="宋体" w:eastAsia="宋体"/>
          <w:color w:val="000000" w:themeColor="text1"/>
          <w:highlight w:val="none"/>
        </w:rPr>
      </w:pPr>
      <w:r>
        <w:rPr>
          <w:rFonts w:hint="eastAsia" w:ascii="宋体" w:hAnsi="宋体" w:eastAsia="宋体"/>
          <w:color w:val="000000" w:themeColor="text1"/>
          <w:highlight w:val="none"/>
        </w:rPr>
        <w:t>8.2 不再招标</w:t>
      </w:r>
    </w:p>
    <w:p w14:paraId="50AF01B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重新招标后供应商仍少于3 个或者所有投标被否决的，属于必须审批或核准的工程建设项目，经原审批或核准部门批准后不再进行招标。</w:t>
      </w:r>
    </w:p>
    <w:p w14:paraId="5FC009B1">
      <w:pPr>
        <w:pStyle w:val="5"/>
        <w:rPr>
          <w:rFonts w:ascii="宋体" w:hAnsi="宋体"/>
          <w:color w:val="000000" w:themeColor="text1"/>
          <w:highlight w:val="none"/>
        </w:rPr>
      </w:pPr>
      <w:bookmarkStart w:id="32" w:name="_Toc184635079"/>
      <w:r>
        <w:rPr>
          <w:rFonts w:hint="eastAsia" w:ascii="宋体" w:hAnsi="宋体"/>
          <w:color w:val="000000" w:themeColor="text1"/>
          <w:highlight w:val="none"/>
        </w:rPr>
        <w:t>9．纪律和监督</w:t>
      </w:r>
      <w:bookmarkEnd w:id="32"/>
    </w:p>
    <w:p w14:paraId="09415BCB">
      <w:pPr>
        <w:pStyle w:val="6"/>
        <w:rPr>
          <w:rFonts w:ascii="宋体" w:hAnsi="宋体" w:eastAsia="宋体"/>
          <w:color w:val="000000" w:themeColor="text1"/>
          <w:highlight w:val="none"/>
        </w:rPr>
      </w:pPr>
      <w:r>
        <w:rPr>
          <w:rFonts w:hint="eastAsia" w:ascii="宋体" w:hAnsi="宋体" w:eastAsia="宋体"/>
          <w:color w:val="000000" w:themeColor="text1"/>
          <w:highlight w:val="none"/>
        </w:rPr>
        <w:t>9.1 对采购人的纪律要求</w:t>
      </w:r>
    </w:p>
    <w:p w14:paraId="3A1A884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采购人不得泄漏磋商活动中应当保密的情况和资料，不得与供应商串通损害国家利益、社会公共利益或者他人合法权益。</w:t>
      </w:r>
    </w:p>
    <w:p w14:paraId="0A494D1A">
      <w:pPr>
        <w:pStyle w:val="6"/>
        <w:rPr>
          <w:rFonts w:ascii="宋体" w:hAnsi="宋体" w:eastAsia="宋体"/>
          <w:color w:val="000000" w:themeColor="text1"/>
          <w:highlight w:val="none"/>
        </w:rPr>
      </w:pPr>
      <w:r>
        <w:rPr>
          <w:rFonts w:hint="eastAsia" w:ascii="宋体" w:hAnsi="宋体" w:eastAsia="宋体"/>
          <w:color w:val="000000" w:themeColor="text1"/>
          <w:highlight w:val="none"/>
        </w:rPr>
        <w:t>9.2 对供应商的纪律要求</w:t>
      </w:r>
    </w:p>
    <w:p w14:paraId="457B6FC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供应商不得相互串通投标或者与采购人串通投标，不得向采购人或者磋商小组成员行贿谋取中标，不得以他人名义投标或者以其他方式弄虚作假骗取中标；供应商不得以任何方式干扰、影响评审工作工作。</w:t>
      </w:r>
    </w:p>
    <w:p w14:paraId="23AA7DC1">
      <w:pPr>
        <w:pStyle w:val="6"/>
        <w:rPr>
          <w:rFonts w:ascii="宋体" w:hAnsi="宋体" w:eastAsia="宋体"/>
          <w:color w:val="000000" w:themeColor="text1"/>
          <w:highlight w:val="none"/>
        </w:rPr>
      </w:pPr>
      <w:r>
        <w:rPr>
          <w:rFonts w:hint="eastAsia" w:ascii="宋体" w:hAnsi="宋体" w:eastAsia="宋体"/>
          <w:color w:val="000000" w:themeColor="text1"/>
          <w:highlight w:val="none"/>
        </w:rPr>
        <w:t>9.3 对磋商小组成员的纪律要求</w:t>
      </w:r>
    </w:p>
    <w:p w14:paraId="187E43E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14:paraId="1E7204CA">
      <w:pPr>
        <w:pStyle w:val="6"/>
        <w:rPr>
          <w:rFonts w:ascii="宋体" w:hAnsi="宋体" w:eastAsia="宋体"/>
          <w:color w:val="000000" w:themeColor="text1"/>
          <w:highlight w:val="none"/>
        </w:rPr>
      </w:pPr>
      <w:r>
        <w:rPr>
          <w:rFonts w:hint="eastAsia" w:ascii="宋体" w:hAnsi="宋体" w:eastAsia="宋体"/>
          <w:color w:val="000000" w:themeColor="text1"/>
          <w:highlight w:val="none"/>
        </w:rPr>
        <w:t>9.4 对与评审活动有关的工作人员的纪律要求</w:t>
      </w:r>
    </w:p>
    <w:p w14:paraId="27752B4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与评审活动有关的工作人员不得收受他人的财物或者其他好处，不得向他人透漏对响应文件的评审和比较、成交候选人的推荐情况以及评审工作有关的其他情况。在评审活动中，与评审活动有关的工作人员不得擅离职守，影响评审工作程序正常进行。</w:t>
      </w:r>
    </w:p>
    <w:p w14:paraId="057D9B00">
      <w:pPr>
        <w:pStyle w:val="6"/>
        <w:rPr>
          <w:rFonts w:ascii="宋体" w:hAnsi="宋体" w:eastAsia="宋体"/>
          <w:color w:val="000000" w:themeColor="text1"/>
          <w:highlight w:val="none"/>
        </w:rPr>
      </w:pPr>
      <w:r>
        <w:rPr>
          <w:rFonts w:hint="eastAsia" w:ascii="宋体" w:hAnsi="宋体" w:eastAsia="宋体"/>
          <w:color w:val="000000" w:themeColor="text1"/>
          <w:highlight w:val="none"/>
        </w:rPr>
        <w:t>9.5 投诉</w:t>
      </w:r>
    </w:p>
    <w:p w14:paraId="0831556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供应商和其他利害关系人认为本次采购活动违反法律、法规和规章规定的，有权向有关行政监督部门投诉。</w:t>
      </w:r>
    </w:p>
    <w:p w14:paraId="2A221275">
      <w:pPr>
        <w:pStyle w:val="5"/>
        <w:rPr>
          <w:rFonts w:ascii="宋体" w:hAnsi="宋体"/>
          <w:color w:val="000000" w:themeColor="text1"/>
          <w:highlight w:val="none"/>
        </w:rPr>
      </w:pPr>
      <w:bookmarkStart w:id="33" w:name="_Toc184635080"/>
      <w:r>
        <w:rPr>
          <w:rFonts w:hint="eastAsia" w:ascii="宋体" w:hAnsi="宋体"/>
          <w:color w:val="000000" w:themeColor="text1"/>
          <w:highlight w:val="none"/>
        </w:rPr>
        <w:t>10.需要补充的其他内容</w:t>
      </w:r>
      <w:bookmarkEnd w:id="33"/>
    </w:p>
    <w:p w14:paraId="52802FD7">
      <w:pPr>
        <w:spacing w:line="360" w:lineRule="auto"/>
        <w:ind w:firstLine="420" w:firstLineChars="200"/>
        <w:rPr>
          <w:rFonts w:ascii="宋体" w:hAnsi="宋体"/>
          <w:color w:val="000000" w:themeColor="text1"/>
          <w:highlight w:val="none"/>
        </w:rPr>
      </w:pPr>
      <w:r>
        <w:rPr>
          <w:rFonts w:hint="eastAsia" w:ascii="宋体" w:hAnsi="宋体"/>
          <w:color w:val="000000" w:themeColor="text1"/>
          <w:szCs w:val="21"/>
          <w:highlight w:val="none"/>
        </w:rPr>
        <w:t>需要补充的其他内容：见供应商须知前附表。</w:t>
      </w:r>
    </w:p>
    <w:p w14:paraId="597DBBA8">
      <w:pPr>
        <w:pStyle w:val="3"/>
        <w:rPr>
          <w:rFonts w:ascii="宋体" w:hAnsi="宋体"/>
          <w:color w:val="000000" w:themeColor="text1"/>
          <w:sz w:val="32"/>
          <w:szCs w:val="32"/>
          <w:highlight w:val="none"/>
        </w:rPr>
      </w:pPr>
      <w:r>
        <w:rPr>
          <w:rFonts w:ascii="宋体" w:hAnsi="宋体"/>
          <w:color w:val="000000" w:themeColor="text1"/>
          <w:sz w:val="24"/>
          <w:highlight w:val="none"/>
        </w:rPr>
        <w:br w:type="page"/>
      </w:r>
      <w:bookmarkStart w:id="34" w:name="_Toc30908"/>
      <w:r>
        <w:rPr>
          <w:rFonts w:hint="eastAsia"/>
          <w:color w:val="000000" w:themeColor="text1"/>
          <w:highlight w:val="none"/>
        </w:rPr>
        <w:t>评审办法（综合评分法）</w:t>
      </w:r>
      <w:bookmarkEnd w:id="34"/>
    </w:p>
    <w:p w14:paraId="17182D5D">
      <w:pPr>
        <w:spacing w:after="120" w:afterLines="50"/>
        <w:jc w:val="center"/>
        <w:rPr>
          <w:rFonts w:ascii="宋体" w:hAnsi="宋体"/>
          <w:b/>
          <w:color w:val="000000" w:themeColor="text1"/>
          <w:sz w:val="32"/>
          <w:szCs w:val="32"/>
          <w:highlight w:val="none"/>
        </w:rPr>
      </w:pPr>
      <w:bookmarkStart w:id="35" w:name="_Toc184635093"/>
      <w:r>
        <w:rPr>
          <w:rFonts w:hint="eastAsia" w:ascii="宋体" w:hAnsi="宋体"/>
          <w:b/>
          <w:color w:val="000000" w:themeColor="text1"/>
          <w:sz w:val="32"/>
          <w:szCs w:val="32"/>
          <w:highlight w:val="none"/>
        </w:rPr>
        <w:t>评审办法前附表</w:t>
      </w:r>
    </w:p>
    <w:p w14:paraId="253F9F12">
      <w:pPr>
        <w:spacing w:after="120" w:afterLines="50"/>
        <w:jc w:val="center"/>
        <w:rPr>
          <w:rFonts w:ascii="宋体" w:hAnsi="宋体"/>
          <w:b/>
          <w:color w:val="000000" w:themeColor="text1"/>
          <w:szCs w:val="21"/>
          <w:highlight w:val="none"/>
        </w:rPr>
      </w:pPr>
      <w:r>
        <w:rPr>
          <w:rFonts w:hint="eastAsia" w:ascii="宋体" w:hAnsi="宋体"/>
          <w:b/>
          <w:color w:val="000000" w:themeColor="text1"/>
          <w:szCs w:val="21"/>
          <w:highlight w:val="none"/>
        </w:rPr>
        <w:t>初步评审标准</w:t>
      </w:r>
    </w:p>
    <w:tbl>
      <w:tblPr>
        <w:tblStyle w:val="3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49"/>
        <w:gridCol w:w="1710"/>
        <w:gridCol w:w="6039"/>
      </w:tblGrid>
      <w:tr w14:paraId="65C3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890" w:type="dxa"/>
            <w:gridSpan w:val="2"/>
            <w:vAlign w:val="center"/>
          </w:tcPr>
          <w:p w14:paraId="38127EC6">
            <w:pPr>
              <w:jc w:val="center"/>
              <w:rPr>
                <w:rFonts w:ascii="宋体" w:hAnsi="宋体"/>
                <w:color w:val="000000" w:themeColor="text1"/>
                <w:szCs w:val="21"/>
                <w:highlight w:val="none"/>
              </w:rPr>
            </w:pPr>
            <w:r>
              <w:rPr>
                <w:rFonts w:hint="eastAsia" w:ascii="宋体" w:hAnsi="宋体"/>
                <w:color w:val="000000" w:themeColor="text1"/>
                <w:szCs w:val="21"/>
                <w:highlight w:val="none"/>
              </w:rPr>
              <w:t>条款号</w:t>
            </w:r>
          </w:p>
        </w:tc>
        <w:tc>
          <w:tcPr>
            <w:tcW w:w="1710" w:type="dxa"/>
            <w:vAlign w:val="center"/>
          </w:tcPr>
          <w:p w14:paraId="6C28A46B">
            <w:pPr>
              <w:jc w:val="center"/>
              <w:rPr>
                <w:rFonts w:ascii="宋体" w:hAnsi="宋体"/>
                <w:color w:val="000000" w:themeColor="text1"/>
                <w:szCs w:val="21"/>
                <w:highlight w:val="none"/>
              </w:rPr>
            </w:pPr>
            <w:r>
              <w:rPr>
                <w:rFonts w:hint="eastAsia" w:ascii="宋体" w:hAnsi="宋体"/>
                <w:color w:val="000000" w:themeColor="text1"/>
                <w:szCs w:val="21"/>
                <w:highlight w:val="none"/>
              </w:rPr>
              <w:t>评审因素</w:t>
            </w:r>
          </w:p>
        </w:tc>
        <w:tc>
          <w:tcPr>
            <w:tcW w:w="6039" w:type="dxa"/>
            <w:vAlign w:val="center"/>
          </w:tcPr>
          <w:p w14:paraId="4BDD61ED">
            <w:pPr>
              <w:jc w:val="center"/>
              <w:rPr>
                <w:rFonts w:ascii="宋体" w:hAnsi="宋体"/>
                <w:color w:val="000000" w:themeColor="text1"/>
                <w:szCs w:val="21"/>
                <w:highlight w:val="none"/>
              </w:rPr>
            </w:pPr>
            <w:r>
              <w:rPr>
                <w:rFonts w:hint="eastAsia" w:ascii="宋体" w:hAnsi="宋体"/>
                <w:color w:val="000000" w:themeColor="text1"/>
                <w:szCs w:val="21"/>
                <w:highlight w:val="none"/>
              </w:rPr>
              <w:t>评审标准</w:t>
            </w:r>
          </w:p>
        </w:tc>
      </w:tr>
      <w:tr w14:paraId="2C99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49DBADB4">
            <w:pPr>
              <w:jc w:val="center"/>
              <w:rPr>
                <w:rFonts w:ascii="宋体" w:hAnsi="宋体"/>
                <w:color w:val="000000" w:themeColor="text1"/>
                <w:szCs w:val="21"/>
                <w:highlight w:val="none"/>
              </w:rPr>
            </w:pPr>
            <w:r>
              <w:rPr>
                <w:rFonts w:hint="eastAsia" w:ascii="宋体" w:hAnsi="宋体"/>
                <w:color w:val="000000" w:themeColor="text1"/>
                <w:szCs w:val="21"/>
                <w:highlight w:val="none"/>
              </w:rPr>
              <w:t>2.1.1</w:t>
            </w:r>
          </w:p>
        </w:tc>
        <w:tc>
          <w:tcPr>
            <w:tcW w:w="1149" w:type="dxa"/>
            <w:vMerge w:val="restart"/>
            <w:vAlign w:val="center"/>
          </w:tcPr>
          <w:p w14:paraId="45C82AE8">
            <w:pPr>
              <w:jc w:val="center"/>
              <w:rPr>
                <w:rFonts w:ascii="宋体" w:hAnsi="宋体"/>
                <w:color w:val="000000" w:themeColor="text1"/>
                <w:szCs w:val="21"/>
                <w:highlight w:val="none"/>
              </w:rPr>
            </w:pPr>
            <w:r>
              <w:rPr>
                <w:rFonts w:hint="eastAsia" w:ascii="宋体" w:hAnsi="宋体"/>
                <w:color w:val="000000" w:themeColor="text1"/>
                <w:szCs w:val="21"/>
                <w:highlight w:val="none"/>
              </w:rPr>
              <w:t>资格评审标  准</w:t>
            </w:r>
          </w:p>
        </w:tc>
        <w:tc>
          <w:tcPr>
            <w:tcW w:w="1710" w:type="dxa"/>
            <w:vAlign w:val="center"/>
          </w:tcPr>
          <w:p w14:paraId="4A5013E3">
            <w:pPr>
              <w:jc w:val="center"/>
              <w:rPr>
                <w:rFonts w:ascii="宋体" w:hAnsi="宋体"/>
                <w:color w:val="000000" w:themeColor="text1"/>
                <w:szCs w:val="21"/>
                <w:highlight w:val="none"/>
              </w:rPr>
            </w:pPr>
            <w:r>
              <w:rPr>
                <w:rFonts w:hint="eastAsia" w:ascii="宋体" w:hAnsi="宋体"/>
                <w:color w:val="000000" w:themeColor="text1"/>
                <w:szCs w:val="21"/>
                <w:highlight w:val="none"/>
              </w:rPr>
              <w:t>营业执照</w:t>
            </w:r>
          </w:p>
        </w:tc>
        <w:tc>
          <w:tcPr>
            <w:tcW w:w="6039" w:type="dxa"/>
            <w:vAlign w:val="center"/>
          </w:tcPr>
          <w:p w14:paraId="15DAA6BE">
            <w:pPr>
              <w:rPr>
                <w:rFonts w:ascii="宋体" w:hAnsi="宋体"/>
                <w:color w:val="000000" w:themeColor="text1"/>
                <w:szCs w:val="21"/>
                <w:highlight w:val="none"/>
              </w:rPr>
            </w:pPr>
            <w:r>
              <w:rPr>
                <w:rFonts w:hint="eastAsia" w:ascii="宋体" w:hAnsi="宋体" w:cs="宋体"/>
                <w:color w:val="000000" w:themeColor="text1"/>
                <w:szCs w:val="21"/>
                <w:highlight w:val="none"/>
              </w:rPr>
              <w:t>具备有效的营业执照</w:t>
            </w:r>
          </w:p>
        </w:tc>
      </w:tr>
      <w:tr w14:paraId="5749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81FC8E7">
            <w:pPr>
              <w:jc w:val="center"/>
              <w:rPr>
                <w:rFonts w:ascii="宋体" w:hAnsi="宋体"/>
                <w:color w:val="000000" w:themeColor="text1"/>
                <w:szCs w:val="21"/>
                <w:highlight w:val="none"/>
              </w:rPr>
            </w:pPr>
          </w:p>
        </w:tc>
        <w:tc>
          <w:tcPr>
            <w:tcW w:w="1149" w:type="dxa"/>
            <w:vMerge w:val="continue"/>
            <w:vAlign w:val="center"/>
          </w:tcPr>
          <w:p w14:paraId="269683C4">
            <w:pPr>
              <w:jc w:val="center"/>
              <w:rPr>
                <w:rFonts w:ascii="宋体" w:hAnsi="宋体"/>
                <w:color w:val="000000" w:themeColor="text1"/>
                <w:szCs w:val="21"/>
                <w:highlight w:val="none"/>
              </w:rPr>
            </w:pPr>
          </w:p>
        </w:tc>
        <w:tc>
          <w:tcPr>
            <w:tcW w:w="1710" w:type="dxa"/>
            <w:vAlign w:val="center"/>
          </w:tcPr>
          <w:p w14:paraId="7298A237">
            <w:pPr>
              <w:pStyle w:val="21"/>
              <w:tabs>
                <w:tab w:val="left" w:pos="200"/>
              </w:tabs>
              <w:spacing w:before="120" w:line="280" w:lineRule="exact"/>
              <w:jc w:val="center"/>
              <w:rPr>
                <w:rFonts w:hAnsi="宋体" w:eastAsia="宋体"/>
                <w:color w:val="000000" w:themeColor="text1"/>
                <w:szCs w:val="21"/>
                <w:highlight w:val="none"/>
              </w:rPr>
            </w:pPr>
            <w:r>
              <w:rPr>
                <w:rFonts w:hint="eastAsia" w:hAnsi="宋体"/>
                <w:szCs w:val="21"/>
                <w:highlight w:val="none"/>
              </w:rPr>
              <w:t>资格证明</w:t>
            </w:r>
          </w:p>
        </w:tc>
        <w:tc>
          <w:tcPr>
            <w:tcW w:w="6039" w:type="dxa"/>
            <w:vAlign w:val="center"/>
          </w:tcPr>
          <w:p w14:paraId="3F7B9475">
            <w:pPr>
              <w:autoSpaceDE w:val="0"/>
              <w:autoSpaceDN w:val="0"/>
              <w:adjustRightInd w:val="0"/>
              <w:spacing w:line="280" w:lineRule="exact"/>
              <w:rPr>
                <w:rFonts w:ascii="宋体" w:hAnsi="宋体"/>
                <w:szCs w:val="21"/>
                <w:highlight w:val="none"/>
              </w:rPr>
            </w:pPr>
            <w:r>
              <w:rPr>
                <w:rFonts w:hint="eastAsia" w:ascii="宋体" w:hAnsi="宋体"/>
                <w:szCs w:val="21"/>
                <w:highlight w:val="none"/>
              </w:rPr>
              <w:t>(1)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w:t>
            </w:r>
          </w:p>
          <w:p w14:paraId="3C43E95C">
            <w:pPr>
              <w:autoSpaceDE w:val="0"/>
              <w:autoSpaceDN w:val="0"/>
              <w:adjustRightInd w:val="0"/>
              <w:spacing w:line="280" w:lineRule="exact"/>
              <w:rPr>
                <w:rFonts w:ascii="宋体" w:hAnsi="宋体"/>
                <w:szCs w:val="21"/>
                <w:highlight w:val="none"/>
              </w:rPr>
            </w:pPr>
            <w:r>
              <w:rPr>
                <w:rFonts w:hint="eastAsia" w:ascii="宋体" w:hAnsi="宋体"/>
                <w:szCs w:val="21"/>
                <w:highlight w:val="none"/>
              </w:rPr>
              <w:t>(2)投标供应商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p w14:paraId="322AAE7D">
            <w:pPr>
              <w:autoSpaceDE w:val="0"/>
              <w:autoSpaceDN w:val="0"/>
              <w:adjustRightInd w:val="0"/>
              <w:spacing w:line="280" w:lineRule="exact"/>
              <w:rPr>
                <w:rFonts w:ascii="宋体" w:hAnsi="宋体" w:cs="宋体"/>
                <w:color w:val="000000" w:themeColor="text1"/>
                <w:szCs w:val="21"/>
                <w:highlight w:val="none"/>
              </w:rPr>
            </w:pPr>
            <w:r>
              <w:rPr>
                <w:rFonts w:hint="eastAsia" w:ascii="宋体" w:hAnsi="宋体"/>
                <w:szCs w:val="21"/>
                <w:highlight w:val="none"/>
              </w:rPr>
              <w:t>(3)投标产品若纳入中华人民共和国医疗器械监督管理的，第一类医疗器械须具有备案凭证，第二、三类则应取得监督管理部门颁发的相应的《中华人民共和国医疗器械注册证》及《医疗器械产品注册登记表》，若已办</w:t>
            </w:r>
            <w:r>
              <w:rPr>
                <w:rFonts w:hint="eastAsia" w:ascii="宋体" w:hAnsi="宋体"/>
                <w:kern w:val="0"/>
                <w:szCs w:val="21"/>
                <w:highlight w:val="none"/>
              </w:rPr>
              <w:t>理两证合一则只需提供《医疗器械注册证》。</w:t>
            </w:r>
          </w:p>
        </w:tc>
      </w:tr>
      <w:tr w14:paraId="3292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41" w:type="dxa"/>
            <w:vMerge w:val="continue"/>
            <w:vAlign w:val="center"/>
          </w:tcPr>
          <w:p w14:paraId="2D974D84">
            <w:pPr>
              <w:jc w:val="center"/>
              <w:rPr>
                <w:rFonts w:ascii="宋体" w:hAnsi="宋体"/>
                <w:color w:val="000000" w:themeColor="text1"/>
                <w:szCs w:val="21"/>
                <w:highlight w:val="none"/>
              </w:rPr>
            </w:pPr>
          </w:p>
        </w:tc>
        <w:tc>
          <w:tcPr>
            <w:tcW w:w="1149" w:type="dxa"/>
            <w:vMerge w:val="continue"/>
            <w:vAlign w:val="center"/>
          </w:tcPr>
          <w:p w14:paraId="2C1420A9">
            <w:pPr>
              <w:jc w:val="center"/>
              <w:rPr>
                <w:rFonts w:ascii="宋体" w:hAnsi="宋体"/>
                <w:color w:val="000000" w:themeColor="text1"/>
                <w:szCs w:val="21"/>
                <w:highlight w:val="none"/>
              </w:rPr>
            </w:pPr>
          </w:p>
        </w:tc>
        <w:tc>
          <w:tcPr>
            <w:tcW w:w="1710" w:type="dxa"/>
            <w:shd w:val="clear" w:color="auto" w:fill="auto"/>
            <w:vAlign w:val="center"/>
          </w:tcPr>
          <w:p w14:paraId="4A539AC4">
            <w:pPr>
              <w:pStyle w:val="106"/>
              <w:jc w:val="center"/>
              <w:rPr>
                <w:color w:val="000000" w:themeColor="text1"/>
                <w:szCs w:val="21"/>
                <w:highlight w:val="none"/>
              </w:rPr>
            </w:pPr>
            <w:r>
              <w:rPr>
                <w:rFonts w:hint="eastAsia"/>
                <w:color w:val="000000" w:themeColor="text1"/>
                <w:szCs w:val="21"/>
                <w:highlight w:val="none"/>
              </w:rPr>
              <w:t>资格条件承诺函及信用承诺书</w:t>
            </w:r>
          </w:p>
        </w:tc>
        <w:tc>
          <w:tcPr>
            <w:tcW w:w="6039" w:type="dxa"/>
            <w:shd w:val="clear" w:color="auto" w:fill="auto"/>
            <w:vAlign w:val="center"/>
          </w:tcPr>
          <w:p w14:paraId="7F6D63C6">
            <w:pPr>
              <w:autoSpaceDE w:val="0"/>
              <w:autoSpaceDN w:val="0"/>
              <w:adjustRightInd w:val="0"/>
              <w:rPr>
                <w:rFonts w:ascii="宋体" w:hAnsi="宋体" w:cs="宋体"/>
                <w:color w:val="000000" w:themeColor="text1"/>
                <w:szCs w:val="21"/>
                <w:highlight w:val="none"/>
              </w:rPr>
            </w:pPr>
            <w:r>
              <w:rPr>
                <w:rFonts w:hint="eastAsia" w:hAnsi="宋体" w:cs="宋体"/>
                <w:color w:val="000000" w:themeColor="text1"/>
                <w:szCs w:val="21"/>
                <w:highlight w:val="none"/>
              </w:rPr>
              <w:t>供应商应按照磋商文件要求在响应文件中提交反映其财务状况、依法缴纳税收和社保保障资金情况的资格条件承诺函，并对资格条件承诺函有关内容的真实性、有效性、合法性负责</w:t>
            </w:r>
            <w:r>
              <w:rPr>
                <w:rFonts w:hint="eastAsia" w:ascii="宋体" w:hAnsi="宋体" w:cs="宋体"/>
                <w:color w:val="000000" w:themeColor="text1"/>
                <w:szCs w:val="21"/>
                <w:highlight w:val="none"/>
              </w:rPr>
              <w:t>；</w:t>
            </w:r>
          </w:p>
          <w:p w14:paraId="4C72EA94">
            <w:pPr>
              <w:autoSpaceDE w:val="0"/>
              <w:autoSpaceDN w:val="0"/>
              <w:adjustRightInd w:val="0"/>
              <w:rPr>
                <w:rFonts w:ascii="宋体" w:hAnsi="宋体"/>
                <w:color w:val="000000" w:themeColor="text1"/>
                <w:highlight w:val="none"/>
                <w:lang w:val="zh-CN"/>
              </w:rPr>
            </w:pPr>
            <w:r>
              <w:rPr>
                <w:rFonts w:hint="eastAsia"/>
                <w:b/>
                <w:bCs/>
                <w:color w:val="000000" w:themeColor="text1"/>
                <w:highlight w:val="none"/>
                <w:lang w:val="zh-CN"/>
              </w:rPr>
              <w:t>响应文件中提供由法定代表人或其授权委托人签字并加盖公章的</w:t>
            </w:r>
            <w:r>
              <w:rPr>
                <w:rFonts w:hint="eastAsia" w:hAnsi="宋体" w:cs="宋体"/>
                <w:b/>
                <w:bCs/>
                <w:color w:val="000000" w:themeColor="text1"/>
                <w:szCs w:val="21"/>
                <w:highlight w:val="none"/>
              </w:rPr>
              <w:t>资格条件承诺函及符合提供资格条件承诺函的信用承诺书</w:t>
            </w:r>
            <w:r>
              <w:rPr>
                <w:rFonts w:hint="eastAsia"/>
                <w:b/>
                <w:bCs/>
                <w:color w:val="000000" w:themeColor="text1"/>
                <w:highlight w:val="none"/>
                <w:lang w:val="zh-CN"/>
              </w:rPr>
              <w:t>。</w:t>
            </w:r>
          </w:p>
        </w:tc>
      </w:tr>
      <w:tr w14:paraId="03A0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41" w:type="dxa"/>
            <w:vMerge w:val="continue"/>
            <w:vAlign w:val="center"/>
          </w:tcPr>
          <w:p w14:paraId="7623AAB3">
            <w:pPr>
              <w:jc w:val="center"/>
              <w:rPr>
                <w:rFonts w:ascii="宋体" w:hAnsi="宋体"/>
                <w:color w:val="000000" w:themeColor="text1"/>
                <w:szCs w:val="21"/>
                <w:highlight w:val="none"/>
              </w:rPr>
            </w:pPr>
          </w:p>
        </w:tc>
        <w:tc>
          <w:tcPr>
            <w:tcW w:w="1149" w:type="dxa"/>
            <w:vMerge w:val="continue"/>
            <w:vAlign w:val="center"/>
          </w:tcPr>
          <w:p w14:paraId="3F84204D">
            <w:pPr>
              <w:jc w:val="center"/>
              <w:rPr>
                <w:rFonts w:ascii="宋体" w:hAnsi="宋体"/>
                <w:color w:val="000000" w:themeColor="text1"/>
                <w:szCs w:val="21"/>
                <w:highlight w:val="none"/>
              </w:rPr>
            </w:pPr>
          </w:p>
        </w:tc>
        <w:tc>
          <w:tcPr>
            <w:tcW w:w="1710" w:type="dxa"/>
            <w:shd w:val="clear" w:color="auto" w:fill="auto"/>
            <w:vAlign w:val="center"/>
          </w:tcPr>
          <w:p w14:paraId="597F5540">
            <w:pPr>
              <w:pStyle w:val="106"/>
              <w:jc w:val="center"/>
              <w:rPr>
                <w:rFonts w:ascii="Times New Roman" w:hAnsi="Times New Roman" w:cs="Times New Roman"/>
                <w:szCs w:val="21"/>
                <w:highlight w:val="none"/>
                <w:lang w:val="zh-CN"/>
              </w:rPr>
            </w:pPr>
            <w:r>
              <w:rPr>
                <w:rFonts w:hint="eastAsia"/>
                <w:szCs w:val="21"/>
                <w:highlight w:val="none"/>
              </w:rPr>
              <w:t>落实政府采购政策需满足的资格要求</w:t>
            </w:r>
          </w:p>
        </w:tc>
        <w:tc>
          <w:tcPr>
            <w:tcW w:w="6039" w:type="dxa"/>
            <w:shd w:val="clear" w:color="auto" w:fill="auto"/>
            <w:vAlign w:val="center"/>
          </w:tcPr>
          <w:p w14:paraId="4CFC51B4">
            <w:pPr>
              <w:autoSpaceDE w:val="0"/>
              <w:autoSpaceDN w:val="0"/>
              <w:adjustRightInd w:val="0"/>
              <w:rPr>
                <w:rFonts w:ascii="宋体" w:hAnsi="宋体"/>
                <w:highlight w:val="none"/>
              </w:rPr>
            </w:pPr>
            <w:r>
              <w:rPr>
                <w:rFonts w:hint="eastAsia" w:ascii="宋体" w:hAnsi="宋体"/>
                <w:highlight w:val="none"/>
              </w:rPr>
              <w:t>本项目全部面向中小企业采购，供应商须是中小微企业，残疾人福利性单位、监狱企业视同小型、微型企业。本项目中小企业划分标准所属行业为：</w:t>
            </w:r>
            <w:r>
              <w:rPr>
                <w:rFonts w:hint="eastAsia" w:ascii="宋体" w:hAnsi="宋体" w:cs="宋体"/>
                <w:b/>
                <w:bCs/>
                <w:color w:val="000000" w:themeColor="text1"/>
                <w:szCs w:val="21"/>
                <w:highlight w:val="none"/>
                <w:u w:val="single"/>
                <w:lang w:val="en-US" w:eastAsia="zh-CN"/>
              </w:rPr>
              <w:t>工业</w:t>
            </w:r>
            <w:r>
              <w:rPr>
                <w:rFonts w:hint="eastAsia" w:ascii="宋体" w:hAnsi="宋体"/>
                <w:highlight w:val="none"/>
              </w:rPr>
              <w:t>。</w:t>
            </w:r>
          </w:p>
          <w:p w14:paraId="167FD94D">
            <w:pPr>
              <w:autoSpaceDE w:val="0"/>
              <w:autoSpaceDN w:val="0"/>
              <w:adjustRightInd w:val="0"/>
              <w:rPr>
                <w:rFonts w:ascii="宋体" w:hAnsi="宋体"/>
                <w:highlight w:val="none"/>
                <w:lang w:val="zh-CN"/>
              </w:rPr>
            </w:pPr>
            <w:r>
              <w:rPr>
                <w:rFonts w:hint="eastAsia" w:ascii="宋体" w:hAnsi="宋体"/>
                <w:highlight w:val="none"/>
              </w:rPr>
              <w:t>提供中小企业声明函或残疾人福利性单位、监狱企业证明原件于投标文件正本内。</w:t>
            </w:r>
          </w:p>
        </w:tc>
      </w:tr>
      <w:tr w14:paraId="105F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1" w:type="dxa"/>
            <w:vMerge w:val="continue"/>
            <w:vAlign w:val="center"/>
          </w:tcPr>
          <w:p w14:paraId="76EDB3D9">
            <w:pPr>
              <w:jc w:val="center"/>
              <w:rPr>
                <w:rFonts w:ascii="宋体" w:hAnsi="宋体"/>
                <w:color w:val="000000" w:themeColor="text1"/>
                <w:szCs w:val="21"/>
                <w:highlight w:val="none"/>
              </w:rPr>
            </w:pPr>
          </w:p>
        </w:tc>
        <w:tc>
          <w:tcPr>
            <w:tcW w:w="1149" w:type="dxa"/>
            <w:vMerge w:val="continue"/>
            <w:vAlign w:val="center"/>
          </w:tcPr>
          <w:p w14:paraId="7864A362">
            <w:pPr>
              <w:jc w:val="center"/>
              <w:rPr>
                <w:rFonts w:ascii="宋体" w:hAnsi="宋体"/>
                <w:color w:val="000000" w:themeColor="text1"/>
                <w:szCs w:val="21"/>
                <w:highlight w:val="none"/>
              </w:rPr>
            </w:pPr>
          </w:p>
        </w:tc>
        <w:tc>
          <w:tcPr>
            <w:tcW w:w="1710" w:type="dxa"/>
            <w:vAlign w:val="center"/>
          </w:tcPr>
          <w:p w14:paraId="0844C5FC">
            <w:pPr>
              <w:tabs>
                <w:tab w:val="left" w:pos="200"/>
              </w:tabs>
              <w:jc w:val="center"/>
              <w:rPr>
                <w:rFonts w:ascii="宋体" w:hAnsi="宋体"/>
                <w:color w:val="000000" w:themeColor="text1"/>
                <w:highlight w:val="none"/>
              </w:rPr>
            </w:pPr>
            <w:r>
              <w:rPr>
                <w:rFonts w:hint="eastAsia" w:ascii="宋体" w:hAnsi="宋体"/>
                <w:color w:val="000000" w:themeColor="text1"/>
                <w:highlight w:val="none"/>
              </w:rPr>
              <w:t>联合体要求</w:t>
            </w:r>
          </w:p>
        </w:tc>
        <w:tc>
          <w:tcPr>
            <w:tcW w:w="6039" w:type="dxa"/>
            <w:vAlign w:val="center"/>
          </w:tcPr>
          <w:p w14:paraId="0E35D30A">
            <w:pPr>
              <w:rPr>
                <w:rFonts w:ascii="宋体" w:hAnsi="宋体"/>
                <w:color w:val="000000" w:themeColor="text1"/>
                <w:highlight w:val="none"/>
              </w:rPr>
            </w:pPr>
            <w:r>
              <w:rPr>
                <w:rFonts w:hint="eastAsia" w:ascii="宋体" w:hAnsi="宋体"/>
                <w:color w:val="000000" w:themeColor="text1"/>
                <w:highlight w:val="none"/>
              </w:rPr>
              <w:t>供应商不得为联合体</w:t>
            </w:r>
          </w:p>
        </w:tc>
      </w:tr>
      <w:tr w14:paraId="603B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41" w:type="dxa"/>
            <w:vMerge w:val="continue"/>
            <w:vAlign w:val="center"/>
          </w:tcPr>
          <w:p w14:paraId="3F61C45E">
            <w:pPr>
              <w:jc w:val="center"/>
              <w:rPr>
                <w:rFonts w:ascii="宋体" w:hAnsi="宋体"/>
                <w:color w:val="000000" w:themeColor="text1"/>
                <w:szCs w:val="21"/>
                <w:highlight w:val="none"/>
              </w:rPr>
            </w:pPr>
          </w:p>
        </w:tc>
        <w:tc>
          <w:tcPr>
            <w:tcW w:w="1149" w:type="dxa"/>
            <w:vMerge w:val="continue"/>
            <w:vAlign w:val="center"/>
          </w:tcPr>
          <w:p w14:paraId="1938D267">
            <w:pPr>
              <w:jc w:val="center"/>
              <w:rPr>
                <w:rFonts w:ascii="宋体" w:hAnsi="宋体"/>
                <w:color w:val="000000" w:themeColor="text1"/>
                <w:szCs w:val="21"/>
                <w:highlight w:val="none"/>
              </w:rPr>
            </w:pPr>
          </w:p>
        </w:tc>
        <w:tc>
          <w:tcPr>
            <w:tcW w:w="1710" w:type="dxa"/>
            <w:vAlign w:val="center"/>
          </w:tcPr>
          <w:p w14:paraId="4811C9B6">
            <w:pPr>
              <w:jc w:val="center"/>
              <w:rPr>
                <w:rFonts w:ascii="宋体" w:hAnsi="宋体"/>
                <w:color w:val="000000" w:themeColor="text1"/>
                <w:szCs w:val="21"/>
                <w:highlight w:val="none"/>
              </w:rPr>
            </w:pPr>
            <w:r>
              <w:rPr>
                <w:rFonts w:hint="eastAsia" w:ascii="宋体" w:hAnsi="宋体"/>
                <w:color w:val="000000" w:themeColor="text1"/>
                <w:szCs w:val="21"/>
                <w:highlight w:val="none"/>
              </w:rPr>
              <w:t>信誉要求</w:t>
            </w:r>
          </w:p>
        </w:tc>
        <w:tc>
          <w:tcPr>
            <w:tcW w:w="6039" w:type="dxa"/>
            <w:vAlign w:val="center"/>
          </w:tcPr>
          <w:p w14:paraId="342CFF40">
            <w:pPr>
              <w:rPr>
                <w:rFonts w:ascii="宋体" w:hAnsi="宋体" w:cs="宋体"/>
                <w:color w:val="000000" w:themeColor="text1"/>
                <w:szCs w:val="21"/>
                <w:highlight w:val="none"/>
              </w:rPr>
            </w:pPr>
            <w:r>
              <w:rPr>
                <w:rFonts w:hint="eastAsia" w:ascii="宋体" w:hAnsi="宋体" w:cs="宋体"/>
                <w:color w:val="000000" w:themeColor="text1"/>
                <w:szCs w:val="21"/>
                <w:highlight w:val="none"/>
              </w:rPr>
              <w:t>1.拒绝列入政府取消投标资格记录期间的企业或个人投标；</w:t>
            </w:r>
          </w:p>
          <w:p w14:paraId="5D2510C3">
            <w:pPr>
              <w:rPr>
                <w:rFonts w:ascii="宋体" w:hAnsi="宋体" w:cs="宋体"/>
                <w:color w:val="000000" w:themeColor="text1"/>
                <w:szCs w:val="21"/>
                <w:highlight w:val="none"/>
              </w:rPr>
            </w:pPr>
            <w:r>
              <w:rPr>
                <w:rFonts w:hint="eastAsia" w:ascii="宋体" w:hAnsi="宋体" w:cs="宋体"/>
                <w:color w:val="000000" w:themeColor="text1"/>
                <w:szCs w:val="21"/>
                <w:highlight w:val="none"/>
                <w:lang w:val="zh-CN"/>
              </w:rPr>
              <w:t>响应文件中</w:t>
            </w:r>
            <w:r>
              <w:rPr>
                <w:rFonts w:hint="eastAsia" w:ascii="宋体" w:hAnsi="宋体" w:cs="宋体"/>
                <w:color w:val="000000" w:themeColor="text1"/>
                <w:szCs w:val="21"/>
                <w:highlight w:val="none"/>
              </w:rPr>
              <w:t>提供由法定代表人或其授权委托人签字并加盖公章的承诺书。</w:t>
            </w:r>
          </w:p>
          <w:p w14:paraId="27E0B1BB">
            <w:pPr>
              <w:rPr>
                <w:rFonts w:ascii="宋体" w:hAnsi="宋体" w:cs="宋体"/>
                <w:color w:val="000000" w:themeColor="text1"/>
                <w:szCs w:val="21"/>
                <w:highlight w:val="none"/>
              </w:rPr>
            </w:pPr>
            <w:r>
              <w:rPr>
                <w:rFonts w:hint="eastAsia" w:ascii="宋体" w:hAnsi="宋体" w:cs="宋体"/>
                <w:color w:val="000000" w:themeColor="text1"/>
                <w:szCs w:val="21"/>
                <w:highlight w:val="none"/>
              </w:rPr>
              <w:t>2.供应商不得为“信用中国”网站（www.creditchina.gov.cn）中列入失信被执行人、重大税收违法失信主体和企业经营异常名录的供应商，不得为中国政府采购网（www.ccgp.gov.cn）政府采购严重违法失信行为记录名单中被财政部门禁止参加政府采购活动的供应商（在处罚决定规定的时间和地域范围内）（详见财库【2016】125 号），响应文件中提供相关证明材料截图并加盖单位公章。</w:t>
            </w:r>
          </w:p>
          <w:p w14:paraId="3423C3B2">
            <w:pPr>
              <w:rPr>
                <w:rFonts w:ascii="宋体" w:hAnsi="宋体" w:cs="宋体"/>
                <w:color w:val="000000" w:themeColor="text1"/>
                <w:szCs w:val="21"/>
                <w:highlight w:val="none"/>
              </w:rPr>
            </w:pPr>
            <w:r>
              <w:rPr>
                <w:rFonts w:hint="eastAsia" w:ascii="宋体" w:hAnsi="宋体" w:cs="宋体"/>
                <w:color w:val="000000" w:themeColor="text1"/>
                <w:szCs w:val="21"/>
                <w:highlight w:val="none"/>
              </w:rPr>
              <w:t>3.供应商需提供中国裁判文书网（http://wenshu.court.gov.cn/）的无行贿犯罪查询证明网站截图并加盖单位公章（提供的查询结果网页截图需体现企业及法定代表人）。</w:t>
            </w:r>
          </w:p>
          <w:p w14:paraId="690E05F9">
            <w:pPr>
              <w:rPr>
                <w:rFonts w:ascii="宋体" w:hAnsi="宋体" w:cs="宋体"/>
                <w:color w:val="000000" w:themeColor="text1"/>
                <w:szCs w:val="21"/>
                <w:highlight w:val="none"/>
              </w:rPr>
            </w:pPr>
            <w:r>
              <w:rPr>
                <w:rFonts w:hint="eastAsia" w:ascii="宋体" w:hAnsi="宋体" w:cs="宋体"/>
                <w:color w:val="000000" w:themeColor="text1"/>
                <w:szCs w:val="21"/>
                <w:highlight w:val="none"/>
              </w:rPr>
              <w:t>4.供应商参加政府采购活动近3年内（2022年至今）在经营活动中没有重大违法记录。</w:t>
            </w:r>
            <w:r>
              <w:rPr>
                <w:rFonts w:hint="eastAsia" w:ascii="宋体" w:hAnsi="宋体" w:cs="宋体"/>
                <w:color w:val="000000" w:themeColor="text1"/>
                <w:szCs w:val="21"/>
                <w:highlight w:val="none"/>
                <w:lang w:val="zh-CN"/>
              </w:rPr>
              <w:t>响应文件中</w:t>
            </w:r>
            <w:r>
              <w:rPr>
                <w:rFonts w:hint="eastAsia" w:ascii="宋体" w:hAnsi="宋体" w:cs="宋体"/>
                <w:color w:val="000000" w:themeColor="text1"/>
                <w:szCs w:val="21"/>
                <w:highlight w:val="none"/>
              </w:rPr>
              <w:t>提供由法定代表人或其授权委托人签字并加盖公章的承诺书。</w:t>
            </w:r>
          </w:p>
          <w:p w14:paraId="3D399765">
            <w:pPr>
              <w:autoSpaceDE w:val="0"/>
              <w:autoSpaceDN w:val="0"/>
              <w:adjustRightInd w:val="0"/>
              <w:rPr>
                <w:rFonts w:ascii="宋体" w:hAnsi="宋体" w:cs="宋体"/>
                <w:color w:val="000000" w:themeColor="text1"/>
                <w:szCs w:val="21"/>
                <w:highlight w:val="none"/>
              </w:rPr>
            </w:pPr>
            <w:r>
              <w:rPr>
                <w:rFonts w:hint="eastAsia" w:ascii="宋体" w:hAnsi="宋体" w:cs="宋体"/>
                <w:color w:val="000000" w:themeColor="text1"/>
                <w:szCs w:val="21"/>
                <w:highlight w:val="none"/>
              </w:rPr>
              <w:t>5.不存在第二章“供应商须知”第1.4.2及1.4.3项规定的任何一种情形，</w:t>
            </w:r>
            <w:r>
              <w:rPr>
                <w:rFonts w:hint="eastAsia" w:ascii="宋体" w:hAnsi="宋体" w:cs="宋体"/>
                <w:b/>
                <w:bCs/>
                <w:color w:val="000000" w:themeColor="text1"/>
                <w:szCs w:val="21"/>
                <w:highlight w:val="none"/>
              </w:rPr>
              <w:t>响应文件中提供由法定代表人或其授权委托人签字并加盖公章的承诺书。</w:t>
            </w:r>
          </w:p>
          <w:p w14:paraId="5C2713EC">
            <w:pPr>
              <w:jc w:val="left"/>
              <w:rPr>
                <w:rFonts w:ascii="宋体" w:hAnsi="宋体"/>
                <w:color w:val="000000" w:themeColor="text1"/>
                <w:szCs w:val="21"/>
                <w:highlight w:val="none"/>
              </w:rPr>
            </w:pPr>
            <w:r>
              <w:rPr>
                <w:rFonts w:hint="eastAsia" w:ascii="宋体" w:hAnsi="宋体" w:cs="宋体"/>
                <w:color w:val="000000" w:themeColor="text1"/>
                <w:szCs w:val="21"/>
                <w:highlight w:val="none"/>
              </w:rPr>
              <w:t>6.</w:t>
            </w:r>
            <w:r>
              <w:rPr>
                <w:rFonts w:hint="eastAsia" w:ascii="宋体" w:hAnsi="宋体" w:cs="宋体"/>
                <w:color w:val="000000" w:themeColor="text1"/>
                <w:szCs w:val="21"/>
                <w:highlight w:val="none"/>
                <w:lang w:val="zh-CN"/>
              </w:rPr>
              <w:t>供应商</w:t>
            </w:r>
            <w:r>
              <w:rPr>
                <w:rFonts w:hint="eastAsia" w:ascii="宋体" w:hAnsi="宋体" w:cs="宋体"/>
                <w:color w:val="000000" w:themeColor="text1"/>
                <w:szCs w:val="21"/>
                <w:highlight w:val="none"/>
              </w:rPr>
              <w:t>需对公司材料和响应文件的真实性进行承诺，不得提供伪造、变造的材料，否则后果自负。</w:t>
            </w:r>
            <w:r>
              <w:rPr>
                <w:rFonts w:hint="eastAsia" w:ascii="宋体" w:hAnsi="宋体" w:cs="宋体"/>
                <w:b/>
                <w:bCs/>
                <w:color w:val="000000" w:themeColor="text1"/>
                <w:szCs w:val="21"/>
                <w:highlight w:val="none"/>
              </w:rPr>
              <w:t>响应文件中提供由法定代表人或其授权委托人签字并加盖公章的承诺书。</w:t>
            </w:r>
          </w:p>
        </w:tc>
      </w:tr>
      <w:tr w14:paraId="696C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restart"/>
            <w:vAlign w:val="center"/>
          </w:tcPr>
          <w:p w14:paraId="0B8960CD">
            <w:pPr>
              <w:jc w:val="center"/>
              <w:rPr>
                <w:rFonts w:ascii="宋体" w:hAnsi="宋体"/>
                <w:color w:val="000000" w:themeColor="text1"/>
                <w:szCs w:val="21"/>
                <w:highlight w:val="none"/>
              </w:rPr>
            </w:pPr>
            <w:r>
              <w:rPr>
                <w:rFonts w:hint="eastAsia" w:ascii="宋体" w:hAnsi="宋体"/>
                <w:color w:val="000000" w:themeColor="text1"/>
                <w:szCs w:val="21"/>
                <w:highlight w:val="none"/>
              </w:rPr>
              <w:t>2.1.2</w:t>
            </w:r>
          </w:p>
        </w:tc>
        <w:tc>
          <w:tcPr>
            <w:tcW w:w="1149" w:type="dxa"/>
            <w:vMerge w:val="restart"/>
            <w:vAlign w:val="center"/>
          </w:tcPr>
          <w:p w14:paraId="208641A7">
            <w:pPr>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65E1B355">
            <w:pPr>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评审标准</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商务</w:t>
            </w:r>
            <w:r>
              <w:rPr>
                <w:rFonts w:hint="eastAsia" w:ascii="宋体" w:hAnsi="宋体"/>
                <w:color w:val="000000" w:themeColor="text1"/>
                <w:szCs w:val="21"/>
                <w:highlight w:val="none"/>
                <w:lang w:eastAsia="zh-CN"/>
              </w:rPr>
              <w:t>）</w:t>
            </w:r>
          </w:p>
        </w:tc>
        <w:tc>
          <w:tcPr>
            <w:tcW w:w="1710" w:type="dxa"/>
            <w:vAlign w:val="center"/>
          </w:tcPr>
          <w:p w14:paraId="4BDD4ECF">
            <w:pPr>
              <w:jc w:val="center"/>
              <w:rPr>
                <w:rFonts w:ascii="宋体" w:hAnsi="宋体"/>
                <w:color w:val="000000" w:themeColor="text1"/>
                <w:szCs w:val="21"/>
                <w:highlight w:val="none"/>
              </w:rPr>
            </w:pPr>
            <w:r>
              <w:rPr>
                <w:rFonts w:hint="eastAsia" w:ascii="宋体" w:hAnsi="宋体"/>
                <w:color w:val="000000" w:themeColor="text1"/>
                <w:szCs w:val="21"/>
                <w:highlight w:val="none"/>
              </w:rPr>
              <w:t>供应商名称</w:t>
            </w:r>
          </w:p>
        </w:tc>
        <w:tc>
          <w:tcPr>
            <w:tcW w:w="6039" w:type="dxa"/>
            <w:vAlign w:val="center"/>
          </w:tcPr>
          <w:p w14:paraId="7D54FABD">
            <w:pPr>
              <w:rPr>
                <w:rFonts w:ascii="宋体" w:hAnsi="宋体"/>
                <w:color w:val="000000" w:themeColor="text1"/>
                <w:szCs w:val="21"/>
                <w:highlight w:val="none"/>
              </w:rPr>
            </w:pPr>
            <w:r>
              <w:rPr>
                <w:rFonts w:hint="eastAsia" w:ascii="宋体" w:hAnsi="宋体"/>
                <w:color w:val="000000" w:themeColor="text1"/>
                <w:szCs w:val="21"/>
                <w:highlight w:val="none"/>
                <w:lang w:val="zh-CN"/>
              </w:rPr>
              <w:t>与营业执照一致</w:t>
            </w:r>
          </w:p>
        </w:tc>
      </w:tr>
      <w:tr w14:paraId="53C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1E2ED08E">
            <w:pPr>
              <w:jc w:val="center"/>
              <w:rPr>
                <w:rFonts w:ascii="宋体" w:hAnsi="宋体"/>
                <w:color w:val="000000" w:themeColor="text1"/>
                <w:szCs w:val="21"/>
                <w:highlight w:val="none"/>
              </w:rPr>
            </w:pPr>
          </w:p>
        </w:tc>
        <w:tc>
          <w:tcPr>
            <w:tcW w:w="1149" w:type="dxa"/>
            <w:vMerge w:val="continue"/>
            <w:vAlign w:val="center"/>
          </w:tcPr>
          <w:p w14:paraId="0361C283">
            <w:pPr>
              <w:jc w:val="center"/>
              <w:rPr>
                <w:rFonts w:ascii="宋体" w:hAnsi="宋体"/>
                <w:color w:val="000000" w:themeColor="text1"/>
                <w:szCs w:val="21"/>
                <w:highlight w:val="none"/>
              </w:rPr>
            </w:pPr>
          </w:p>
        </w:tc>
        <w:tc>
          <w:tcPr>
            <w:tcW w:w="1710" w:type="dxa"/>
            <w:vAlign w:val="center"/>
          </w:tcPr>
          <w:p w14:paraId="0EEC961A">
            <w:pPr>
              <w:jc w:val="center"/>
              <w:rPr>
                <w:rFonts w:ascii="宋体" w:hAnsi="宋体"/>
                <w:color w:val="000000" w:themeColor="text1"/>
                <w:szCs w:val="21"/>
                <w:highlight w:val="none"/>
              </w:rPr>
            </w:pPr>
            <w:r>
              <w:rPr>
                <w:rFonts w:hint="eastAsia" w:ascii="宋体" w:hAnsi="宋体"/>
                <w:color w:val="000000" w:themeColor="text1"/>
                <w:szCs w:val="21"/>
                <w:highlight w:val="none"/>
              </w:rPr>
              <w:t>磋商函签字盖章</w:t>
            </w:r>
          </w:p>
        </w:tc>
        <w:tc>
          <w:tcPr>
            <w:tcW w:w="6039" w:type="dxa"/>
            <w:vAlign w:val="center"/>
          </w:tcPr>
          <w:p w14:paraId="0FD6A703">
            <w:pPr>
              <w:rPr>
                <w:rFonts w:ascii="宋体" w:hAnsi="宋体"/>
                <w:color w:val="000000" w:themeColor="text1"/>
                <w:szCs w:val="21"/>
                <w:highlight w:val="none"/>
              </w:rPr>
            </w:pPr>
            <w:r>
              <w:rPr>
                <w:rFonts w:hint="eastAsia" w:ascii="宋体" w:hAnsi="宋体"/>
                <w:color w:val="000000" w:themeColor="text1"/>
                <w:szCs w:val="21"/>
                <w:highlight w:val="none"/>
              </w:rPr>
              <w:t>报价函均应加盖投标供应商印章并经法定代表人或其委托代理人签字或盖章。</w:t>
            </w:r>
          </w:p>
        </w:tc>
      </w:tr>
      <w:tr w14:paraId="5516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4FA12686">
            <w:pPr>
              <w:jc w:val="center"/>
              <w:rPr>
                <w:rFonts w:ascii="宋体" w:hAnsi="宋体"/>
                <w:color w:val="000000" w:themeColor="text1"/>
                <w:szCs w:val="21"/>
                <w:highlight w:val="none"/>
              </w:rPr>
            </w:pPr>
          </w:p>
        </w:tc>
        <w:tc>
          <w:tcPr>
            <w:tcW w:w="1149" w:type="dxa"/>
            <w:vMerge w:val="continue"/>
            <w:vAlign w:val="center"/>
          </w:tcPr>
          <w:p w14:paraId="0A9850FF">
            <w:pPr>
              <w:jc w:val="center"/>
              <w:rPr>
                <w:rFonts w:ascii="宋体" w:hAnsi="宋体"/>
                <w:color w:val="000000" w:themeColor="text1"/>
                <w:szCs w:val="21"/>
                <w:highlight w:val="none"/>
              </w:rPr>
            </w:pPr>
          </w:p>
        </w:tc>
        <w:tc>
          <w:tcPr>
            <w:tcW w:w="1710" w:type="dxa"/>
            <w:vAlign w:val="center"/>
          </w:tcPr>
          <w:p w14:paraId="689ED187">
            <w:pPr>
              <w:jc w:val="center"/>
              <w:rPr>
                <w:rFonts w:ascii="宋体" w:hAnsi="宋体"/>
                <w:color w:val="000000" w:themeColor="text1"/>
                <w:szCs w:val="21"/>
                <w:highlight w:val="none"/>
              </w:rPr>
            </w:pPr>
            <w:r>
              <w:rPr>
                <w:rFonts w:hint="eastAsia" w:ascii="宋体" w:hAnsi="宋体"/>
                <w:color w:val="000000" w:themeColor="text1"/>
                <w:szCs w:val="21"/>
                <w:highlight w:val="none"/>
              </w:rPr>
              <w:t>响应文件格式</w:t>
            </w:r>
          </w:p>
        </w:tc>
        <w:tc>
          <w:tcPr>
            <w:tcW w:w="6039" w:type="dxa"/>
            <w:vAlign w:val="center"/>
          </w:tcPr>
          <w:p w14:paraId="4EACA7A0">
            <w:pPr>
              <w:rPr>
                <w:rFonts w:ascii="宋体" w:hAnsi="宋体"/>
                <w:color w:val="000000" w:themeColor="text1"/>
                <w:szCs w:val="21"/>
                <w:highlight w:val="none"/>
              </w:rPr>
            </w:pPr>
            <w:r>
              <w:rPr>
                <w:rFonts w:hint="eastAsia" w:ascii="宋体" w:hAnsi="宋体"/>
                <w:color w:val="000000" w:themeColor="text1"/>
                <w:szCs w:val="21"/>
                <w:highlight w:val="none"/>
                <w:lang w:val="zh-CN"/>
              </w:rPr>
              <w:t>符合磋商文件中 “响应文件格式”的要求，按磋商文件的要求盖章、签署</w:t>
            </w:r>
          </w:p>
        </w:tc>
      </w:tr>
      <w:tr w14:paraId="113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117BCAB1">
            <w:pPr>
              <w:jc w:val="center"/>
              <w:rPr>
                <w:rFonts w:ascii="宋体" w:hAnsi="宋体"/>
                <w:color w:val="000000" w:themeColor="text1"/>
                <w:szCs w:val="21"/>
                <w:highlight w:val="none"/>
              </w:rPr>
            </w:pPr>
          </w:p>
        </w:tc>
        <w:tc>
          <w:tcPr>
            <w:tcW w:w="1149" w:type="dxa"/>
            <w:vMerge w:val="continue"/>
            <w:vAlign w:val="center"/>
          </w:tcPr>
          <w:p w14:paraId="793AA8B1">
            <w:pPr>
              <w:jc w:val="center"/>
              <w:rPr>
                <w:rFonts w:ascii="宋体" w:hAnsi="宋体"/>
                <w:color w:val="000000" w:themeColor="text1"/>
                <w:szCs w:val="21"/>
                <w:highlight w:val="none"/>
              </w:rPr>
            </w:pPr>
          </w:p>
        </w:tc>
        <w:tc>
          <w:tcPr>
            <w:tcW w:w="1710" w:type="dxa"/>
            <w:vAlign w:val="center"/>
          </w:tcPr>
          <w:p w14:paraId="7877FBE3">
            <w:pPr>
              <w:jc w:val="center"/>
              <w:rPr>
                <w:rFonts w:ascii="宋体" w:hAnsi="宋体"/>
                <w:color w:val="000000" w:themeColor="text1"/>
                <w:szCs w:val="21"/>
                <w:highlight w:val="none"/>
              </w:rPr>
            </w:pPr>
            <w:r>
              <w:rPr>
                <w:rFonts w:hint="eastAsia" w:ascii="宋体" w:hAnsi="宋体"/>
                <w:color w:val="000000" w:themeColor="text1"/>
                <w:szCs w:val="21"/>
                <w:highlight w:val="none"/>
              </w:rPr>
              <w:t>报价唯一</w:t>
            </w:r>
          </w:p>
        </w:tc>
        <w:tc>
          <w:tcPr>
            <w:tcW w:w="6039" w:type="dxa"/>
            <w:vAlign w:val="center"/>
          </w:tcPr>
          <w:p w14:paraId="6FDB3753">
            <w:pPr>
              <w:rPr>
                <w:rFonts w:ascii="宋体" w:hAnsi="宋体"/>
                <w:color w:val="000000" w:themeColor="text1"/>
                <w:szCs w:val="21"/>
                <w:highlight w:val="none"/>
              </w:rPr>
            </w:pPr>
            <w:r>
              <w:rPr>
                <w:rFonts w:hint="eastAsia" w:ascii="宋体" w:hAnsi="宋体"/>
                <w:color w:val="000000" w:themeColor="text1"/>
                <w:szCs w:val="21"/>
                <w:highlight w:val="none"/>
              </w:rPr>
              <w:t>只能有一个有效报价</w:t>
            </w:r>
          </w:p>
        </w:tc>
      </w:tr>
      <w:tr w14:paraId="4031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470FA072">
            <w:pPr>
              <w:jc w:val="center"/>
              <w:rPr>
                <w:rFonts w:ascii="宋体" w:hAnsi="宋体"/>
                <w:color w:val="000000" w:themeColor="text1"/>
                <w:szCs w:val="21"/>
                <w:highlight w:val="none"/>
              </w:rPr>
            </w:pPr>
          </w:p>
        </w:tc>
        <w:tc>
          <w:tcPr>
            <w:tcW w:w="1149" w:type="dxa"/>
            <w:vMerge w:val="continue"/>
            <w:vAlign w:val="center"/>
          </w:tcPr>
          <w:p w14:paraId="5BF42F30">
            <w:pPr>
              <w:jc w:val="center"/>
              <w:rPr>
                <w:rFonts w:ascii="宋体" w:hAnsi="宋体"/>
                <w:color w:val="000000" w:themeColor="text1"/>
                <w:szCs w:val="21"/>
                <w:highlight w:val="none"/>
              </w:rPr>
            </w:pPr>
          </w:p>
        </w:tc>
        <w:tc>
          <w:tcPr>
            <w:tcW w:w="1710" w:type="dxa"/>
            <w:vAlign w:val="center"/>
          </w:tcPr>
          <w:p w14:paraId="22D1113D">
            <w:pPr>
              <w:jc w:val="center"/>
              <w:rPr>
                <w:rFonts w:ascii="宋体" w:hAnsi="宋体"/>
                <w:color w:val="000000" w:themeColor="text1"/>
                <w:szCs w:val="21"/>
                <w:highlight w:val="none"/>
              </w:rPr>
            </w:pPr>
            <w:r>
              <w:rPr>
                <w:rFonts w:hint="eastAsia" w:ascii="宋体" w:hAnsi="宋体"/>
                <w:color w:val="000000" w:themeColor="text1"/>
                <w:szCs w:val="21"/>
                <w:highlight w:val="none"/>
              </w:rPr>
              <w:t>响应内容</w:t>
            </w:r>
          </w:p>
        </w:tc>
        <w:tc>
          <w:tcPr>
            <w:tcW w:w="6039" w:type="dxa"/>
            <w:vAlign w:val="center"/>
          </w:tcPr>
          <w:p w14:paraId="1094B65C">
            <w:pPr>
              <w:spacing w:line="240" w:lineRule="exact"/>
              <w:rPr>
                <w:rFonts w:ascii="宋体" w:hAnsi="宋体"/>
                <w:color w:val="000000" w:themeColor="text1"/>
                <w:szCs w:val="21"/>
                <w:highlight w:val="none"/>
              </w:rPr>
            </w:pPr>
            <w:r>
              <w:rPr>
                <w:rFonts w:hint="eastAsia" w:ascii="宋体" w:hAnsi="宋体"/>
                <w:color w:val="000000" w:themeColor="text1"/>
                <w:szCs w:val="21"/>
                <w:highlight w:val="none"/>
              </w:rPr>
              <w:t>符合磋商文件规定</w:t>
            </w:r>
          </w:p>
        </w:tc>
      </w:tr>
      <w:tr w14:paraId="2B87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41" w:type="dxa"/>
            <w:vMerge w:val="continue"/>
            <w:vAlign w:val="center"/>
          </w:tcPr>
          <w:p w14:paraId="2CE39C21">
            <w:pPr>
              <w:jc w:val="center"/>
              <w:rPr>
                <w:rFonts w:ascii="宋体" w:hAnsi="宋体"/>
                <w:color w:val="000000" w:themeColor="text1"/>
                <w:szCs w:val="21"/>
                <w:highlight w:val="none"/>
              </w:rPr>
            </w:pPr>
          </w:p>
        </w:tc>
        <w:tc>
          <w:tcPr>
            <w:tcW w:w="1149" w:type="dxa"/>
            <w:vMerge w:val="continue"/>
            <w:vAlign w:val="center"/>
          </w:tcPr>
          <w:p w14:paraId="297E10C6">
            <w:pPr>
              <w:jc w:val="center"/>
              <w:rPr>
                <w:rFonts w:ascii="宋体" w:hAnsi="宋体"/>
                <w:color w:val="000000" w:themeColor="text1"/>
                <w:szCs w:val="21"/>
                <w:highlight w:val="none"/>
              </w:rPr>
            </w:pPr>
          </w:p>
        </w:tc>
        <w:tc>
          <w:tcPr>
            <w:tcW w:w="1710" w:type="dxa"/>
            <w:vAlign w:val="center"/>
          </w:tcPr>
          <w:p w14:paraId="29DFE953">
            <w:pPr>
              <w:jc w:val="center"/>
              <w:rPr>
                <w:rFonts w:ascii="宋体" w:hAnsi="宋体"/>
                <w:color w:val="000000" w:themeColor="text1"/>
                <w:szCs w:val="21"/>
                <w:highlight w:val="none"/>
              </w:rPr>
            </w:pPr>
            <w:r>
              <w:rPr>
                <w:rFonts w:hint="eastAsia" w:ascii="宋体" w:hAnsi="宋体"/>
                <w:color w:val="000000" w:themeColor="text1"/>
                <w:szCs w:val="21"/>
                <w:highlight w:val="none"/>
              </w:rPr>
              <w:t>供货期限</w:t>
            </w:r>
          </w:p>
        </w:tc>
        <w:tc>
          <w:tcPr>
            <w:tcW w:w="6039" w:type="dxa"/>
            <w:vAlign w:val="center"/>
          </w:tcPr>
          <w:p w14:paraId="0E7AEE7B">
            <w:pPr>
              <w:rPr>
                <w:rFonts w:ascii="宋体" w:hAnsi="宋体"/>
                <w:color w:val="000000" w:themeColor="text1"/>
                <w:szCs w:val="21"/>
                <w:highlight w:val="none"/>
              </w:rPr>
            </w:pPr>
            <w:r>
              <w:rPr>
                <w:rFonts w:hint="eastAsia" w:ascii="宋体" w:hAnsi="宋体"/>
                <w:color w:val="000000" w:themeColor="text1"/>
                <w:szCs w:val="21"/>
                <w:highlight w:val="none"/>
              </w:rPr>
              <w:t>符合磋商文件规定</w:t>
            </w:r>
          </w:p>
        </w:tc>
      </w:tr>
      <w:tr w14:paraId="3437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41" w:type="dxa"/>
            <w:vMerge w:val="continue"/>
            <w:vAlign w:val="center"/>
          </w:tcPr>
          <w:p w14:paraId="5497361D">
            <w:pPr>
              <w:jc w:val="center"/>
              <w:rPr>
                <w:rFonts w:ascii="宋体" w:hAnsi="宋体"/>
                <w:color w:val="000000" w:themeColor="text1"/>
                <w:szCs w:val="21"/>
                <w:highlight w:val="none"/>
              </w:rPr>
            </w:pPr>
          </w:p>
        </w:tc>
        <w:tc>
          <w:tcPr>
            <w:tcW w:w="1149" w:type="dxa"/>
            <w:vMerge w:val="continue"/>
            <w:vAlign w:val="center"/>
          </w:tcPr>
          <w:p w14:paraId="5706A184">
            <w:pPr>
              <w:jc w:val="center"/>
              <w:rPr>
                <w:rFonts w:ascii="宋体" w:hAnsi="宋体"/>
                <w:color w:val="000000" w:themeColor="text1"/>
                <w:szCs w:val="21"/>
                <w:highlight w:val="none"/>
              </w:rPr>
            </w:pPr>
          </w:p>
        </w:tc>
        <w:tc>
          <w:tcPr>
            <w:tcW w:w="1710" w:type="dxa"/>
            <w:vAlign w:val="center"/>
          </w:tcPr>
          <w:p w14:paraId="6ADB3EF0">
            <w:pPr>
              <w:jc w:val="center"/>
              <w:rPr>
                <w:rFonts w:ascii="宋体" w:hAnsi="宋体"/>
                <w:color w:val="000000" w:themeColor="text1"/>
                <w:szCs w:val="21"/>
                <w:highlight w:val="none"/>
              </w:rPr>
            </w:pPr>
            <w:r>
              <w:rPr>
                <w:rFonts w:hint="eastAsia" w:ascii="宋体" w:hAnsi="宋体"/>
                <w:color w:val="000000" w:themeColor="text1"/>
                <w:szCs w:val="21"/>
                <w:highlight w:val="none"/>
              </w:rPr>
              <w:t>质量标准</w:t>
            </w:r>
          </w:p>
        </w:tc>
        <w:tc>
          <w:tcPr>
            <w:tcW w:w="6039" w:type="dxa"/>
            <w:vAlign w:val="center"/>
          </w:tcPr>
          <w:p w14:paraId="0AD5EBC1">
            <w:pPr>
              <w:rPr>
                <w:rFonts w:ascii="宋体" w:hAnsi="宋体"/>
                <w:color w:val="000000" w:themeColor="text1"/>
                <w:szCs w:val="21"/>
                <w:highlight w:val="none"/>
              </w:rPr>
            </w:pPr>
            <w:r>
              <w:rPr>
                <w:rFonts w:hint="eastAsia" w:ascii="宋体" w:hAnsi="宋体"/>
                <w:color w:val="000000" w:themeColor="text1"/>
                <w:szCs w:val="21"/>
                <w:highlight w:val="none"/>
              </w:rPr>
              <w:t>符合现行国家、行业、地方或者其他相关标准的合格要求</w:t>
            </w:r>
          </w:p>
        </w:tc>
      </w:tr>
      <w:tr w14:paraId="046C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5010D4F">
            <w:pPr>
              <w:jc w:val="center"/>
              <w:rPr>
                <w:rFonts w:ascii="宋体" w:hAnsi="宋体"/>
                <w:color w:val="000000" w:themeColor="text1"/>
                <w:szCs w:val="21"/>
                <w:highlight w:val="none"/>
              </w:rPr>
            </w:pPr>
          </w:p>
        </w:tc>
        <w:tc>
          <w:tcPr>
            <w:tcW w:w="1149" w:type="dxa"/>
            <w:vMerge w:val="continue"/>
            <w:vAlign w:val="center"/>
          </w:tcPr>
          <w:p w14:paraId="30EF6063">
            <w:pPr>
              <w:jc w:val="center"/>
              <w:rPr>
                <w:rFonts w:ascii="宋体" w:hAnsi="宋体"/>
                <w:color w:val="000000" w:themeColor="text1"/>
                <w:szCs w:val="21"/>
                <w:highlight w:val="none"/>
              </w:rPr>
            </w:pPr>
          </w:p>
        </w:tc>
        <w:tc>
          <w:tcPr>
            <w:tcW w:w="1710" w:type="dxa"/>
            <w:vAlign w:val="center"/>
          </w:tcPr>
          <w:p w14:paraId="4E31DE86">
            <w:pPr>
              <w:jc w:val="center"/>
              <w:rPr>
                <w:rFonts w:ascii="宋体" w:hAnsi="宋体"/>
                <w:color w:val="000000" w:themeColor="text1"/>
                <w:szCs w:val="21"/>
                <w:highlight w:val="none"/>
              </w:rPr>
            </w:pPr>
            <w:r>
              <w:rPr>
                <w:rFonts w:hint="eastAsia" w:ascii="宋体" w:hAnsi="宋体"/>
                <w:color w:val="000000" w:themeColor="text1"/>
                <w:szCs w:val="21"/>
                <w:highlight w:val="none"/>
              </w:rPr>
              <w:t>响应有效期</w:t>
            </w:r>
          </w:p>
        </w:tc>
        <w:tc>
          <w:tcPr>
            <w:tcW w:w="6039" w:type="dxa"/>
            <w:vAlign w:val="center"/>
          </w:tcPr>
          <w:p w14:paraId="7B27FFFD">
            <w:pPr>
              <w:rPr>
                <w:rFonts w:ascii="宋体" w:hAnsi="宋体"/>
                <w:color w:val="000000" w:themeColor="text1"/>
                <w:szCs w:val="21"/>
                <w:highlight w:val="none"/>
              </w:rPr>
            </w:pPr>
            <w:r>
              <w:rPr>
                <w:rFonts w:hint="eastAsia" w:ascii="宋体" w:hAnsi="宋体"/>
                <w:color w:val="000000" w:themeColor="text1"/>
                <w:szCs w:val="21"/>
                <w:highlight w:val="none"/>
              </w:rPr>
              <w:t>投标截止之日后90天（日历天）</w:t>
            </w:r>
          </w:p>
        </w:tc>
      </w:tr>
      <w:tr w14:paraId="2204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1" w:type="dxa"/>
            <w:vMerge w:val="continue"/>
            <w:vAlign w:val="center"/>
          </w:tcPr>
          <w:p w14:paraId="5C7928BB">
            <w:pPr>
              <w:jc w:val="center"/>
              <w:rPr>
                <w:rFonts w:ascii="宋体" w:hAnsi="宋体"/>
                <w:color w:val="000000" w:themeColor="text1"/>
                <w:szCs w:val="21"/>
                <w:highlight w:val="none"/>
              </w:rPr>
            </w:pPr>
          </w:p>
        </w:tc>
        <w:tc>
          <w:tcPr>
            <w:tcW w:w="1149" w:type="dxa"/>
            <w:vMerge w:val="continue"/>
            <w:vAlign w:val="center"/>
          </w:tcPr>
          <w:p w14:paraId="515B1553">
            <w:pPr>
              <w:jc w:val="center"/>
              <w:rPr>
                <w:rFonts w:ascii="宋体" w:hAnsi="宋体"/>
                <w:color w:val="000000" w:themeColor="text1"/>
                <w:szCs w:val="21"/>
                <w:highlight w:val="none"/>
              </w:rPr>
            </w:pPr>
          </w:p>
        </w:tc>
        <w:tc>
          <w:tcPr>
            <w:tcW w:w="1710" w:type="dxa"/>
            <w:vAlign w:val="center"/>
          </w:tcPr>
          <w:p w14:paraId="678F8AEC">
            <w:pPr>
              <w:jc w:val="center"/>
              <w:rPr>
                <w:rFonts w:ascii="宋体" w:hAnsi="宋体"/>
                <w:color w:val="000000" w:themeColor="text1"/>
                <w:szCs w:val="21"/>
                <w:highlight w:val="none"/>
              </w:rPr>
            </w:pPr>
            <w:r>
              <w:rPr>
                <w:rFonts w:hint="eastAsia" w:ascii="宋体" w:hAnsi="宋体"/>
                <w:color w:val="000000" w:themeColor="text1"/>
                <w:szCs w:val="21"/>
                <w:highlight w:val="none"/>
              </w:rPr>
              <w:t>采购需求</w:t>
            </w:r>
          </w:p>
        </w:tc>
        <w:tc>
          <w:tcPr>
            <w:tcW w:w="6039" w:type="dxa"/>
            <w:vAlign w:val="center"/>
          </w:tcPr>
          <w:p w14:paraId="60377279">
            <w:pPr>
              <w:rPr>
                <w:rFonts w:ascii="宋体" w:hAnsi="宋体"/>
                <w:color w:val="000000" w:themeColor="text1"/>
                <w:szCs w:val="21"/>
                <w:highlight w:val="none"/>
              </w:rPr>
            </w:pPr>
            <w:r>
              <w:rPr>
                <w:rFonts w:hint="eastAsia" w:ascii="宋体" w:hAnsi="宋体"/>
                <w:color w:val="000000" w:themeColor="text1"/>
                <w:szCs w:val="21"/>
                <w:highlight w:val="none"/>
              </w:rPr>
              <w:t>符合第五章“技术标准和要求”规定</w:t>
            </w:r>
          </w:p>
        </w:tc>
      </w:tr>
      <w:tr w14:paraId="132A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1" w:type="dxa"/>
            <w:vMerge w:val="continue"/>
            <w:vAlign w:val="center"/>
          </w:tcPr>
          <w:p w14:paraId="04413F6A">
            <w:pPr>
              <w:jc w:val="center"/>
              <w:rPr>
                <w:rFonts w:ascii="宋体" w:hAnsi="宋体"/>
                <w:color w:val="000000" w:themeColor="text1"/>
                <w:szCs w:val="21"/>
                <w:highlight w:val="none"/>
              </w:rPr>
            </w:pPr>
          </w:p>
        </w:tc>
        <w:tc>
          <w:tcPr>
            <w:tcW w:w="1149" w:type="dxa"/>
            <w:vMerge w:val="continue"/>
            <w:vAlign w:val="center"/>
          </w:tcPr>
          <w:p w14:paraId="04BA0C62">
            <w:pPr>
              <w:jc w:val="center"/>
              <w:rPr>
                <w:rFonts w:ascii="宋体" w:hAnsi="宋体"/>
                <w:color w:val="000000" w:themeColor="text1"/>
                <w:szCs w:val="21"/>
                <w:highlight w:val="none"/>
              </w:rPr>
            </w:pPr>
          </w:p>
        </w:tc>
        <w:tc>
          <w:tcPr>
            <w:tcW w:w="1710" w:type="dxa"/>
            <w:vAlign w:val="center"/>
          </w:tcPr>
          <w:p w14:paraId="6B7BD9BA">
            <w:pPr>
              <w:jc w:val="center"/>
              <w:rPr>
                <w:rFonts w:ascii="宋体" w:hAnsi="宋体"/>
                <w:color w:val="000000" w:themeColor="text1"/>
                <w:szCs w:val="21"/>
                <w:highlight w:val="none"/>
              </w:rPr>
            </w:pPr>
            <w:r>
              <w:rPr>
                <w:rFonts w:hint="eastAsia" w:ascii="宋体" w:hAnsi="宋体"/>
                <w:color w:val="000000" w:themeColor="text1"/>
                <w:szCs w:val="21"/>
                <w:highlight w:val="none"/>
              </w:rPr>
              <w:t>磋商报价</w:t>
            </w:r>
          </w:p>
        </w:tc>
        <w:tc>
          <w:tcPr>
            <w:tcW w:w="6039" w:type="dxa"/>
            <w:vAlign w:val="center"/>
          </w:tcPr>
          <w:p w14:paraId="6BE99791">
            <w:pP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低于（含等于）第二章“供应商须知”前附表载明的最高限价。</w:t>
            </w:r>
            <w:r>
              <w:rPr>
                <w:rFonts w:hint="eastAsia" w:ascii="宋体" w:hAnsi="宋体"/>
                <w:color w:val="000000" w:themeColor="text1"/>
                <w:szCs w:val="21"/>
                <w:highlight w:val="none"/>
                <w:lang w:val="en-US" w:eastAsia="zh-CN"/>
              </w:rPr>
              <w:t>预算金额：350000元。</w:t>
            </w:r>
          </w:p>
        </w:tc>
      </w:tr>
      <w:tr w14:paraId="408D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1" w:type="dxa"/>
            <w:vMerge w:val="continue"/>
            <w:vAlign w:val="center"/>
          </w:tcPr>
          <w:p w14:paraId="6CEAF73F">
            <w:pPr>
              <w:jc w:val="center"/>
              <w:rPr>
                <w:rFonts w:ascii="宋体" w:hAnsi="宋体"/>
                <w:color w:val="000000" w:themeColor="text1"/>
                <w:szCs w:val="21"/>
                <w:highlight w:val="none"/>
              </w:rPr>
            </w:pPr>
          </w:p>
        </w:tc>
        <w:tc>
          <w:tcPr>
            <w:tcW w:w="1149" w:type="dxa"/>
            <w:vMerge w:val="restart"/>
            <w:vAlign w:val="center"/>
          </w:tcPr>
          <w:p w14:paraId="772DECC9">
            <w:pPr>
              <w:overflowPunct/>
              <w:bidi w:val="0"/>
              <w:jc w:val="center"/>
              <w:outlineLvl w:val="9"/>
              <w:rPr>
                <w:rFonts w:ascii="宋体" w:hAnsi="宋体"/>
                <w:color w:val="auto"/>
                <w:szCs w:val="21"/>
                <w:highlight w:val="none"/>
              </w:rPr>
            </w:pPr>
            <w:r>
              <w:rPr>
                <w:rFonts w:hint="eastAsia" w:ascii="宋体" w:hAnsi="宋体"/>
                <w:color w:val="auto"/>
                <w:szCs w:val="21"/>
                <w:highlight w:val="none"/>
                <w:lang w:val="en-US" w:eastAsia="zh-CN"/>
              </w:rPr>
              <w:t>符合</w:t>
            </w:r>
            <w:r>
              <w:rPr>
                <w:rFonts w:hint="eastAsia" w:ascii="宋体" w:hAnsi="宋体"/>
                <w:color w:val="auto"/>
                <w:szCs w:val="21"/>
                <w:highlight w:val="none"/>
              </w:rPr>
              <w:t>性</w:t>
            </w:r>
          </w:p>
          <w:p w14:paraId="4E12391E">
            <w:pPr>
              <w:overflowPunct/>
              <w:bidi w:val="0"/>
              <w:jc w:val="center"/>
              <w:outlineLvl w:val="9"/>
              <w:rPr>
                <w:rFonts w:ascii="宋体" w:hAnsi="宋体"/>
                <w:color w:val="000000" w:themeColor="text1"/>
                <w:szCs w:val="21"/>
                <w:highlight w:val="none"/>
              </w:rPr>
            </w:pPr>
            <w:r>
              <w:rPr>
                <w:rFonts w:hint="eastAsia" w:ascii="宋体" w:hAnsi="宋体"/>
                <w:color w:val="auto"/>
                <w:szCs w:val="21"/>
                <w:highlight w:val="none"/>
              </w:rPr>
              <w:t>评审标准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暗标</w:t>
            </w:r>
            <w:r>
              <w:rPr>
                <w:rFonts w:hint="eastAsia" w:ascii="宋体" w:hAnsi="宋体"/>
                <w:color w:val="auto"/>
                <w:szCs w:val="21"/>
                <w:highlight w:val="none"/>
                <w:lang w:eastAsia="zh-CN"/>
              </w:rPr>
              <w:t>）</w:t>
            </w:r>
          </w:p>
        </w:tc>
        <w:tc>
          <w:tcPr>
            <w:tcW w:w="1710" w:type="dxa"/>
            <w:vAlign w:val="center"/>
          </w:tcPr>
          <w:p w14:paraId="43B3B16C">
            <w:pPr>
              <w:widowControl/>
              <w:spacing w:line="240" w:lineRule="auto"/>
              <w:jc w:val="center"/>
              <w:rPr>
                <w:rFonts w:hint="eastAsia" w:ascii="宋体" w:hAnsi="宋体"/>
                <w:color w:val="000000" w:themeColor="text1"/>
                <w:szCs w:val="21"/>
                <w:highlight w:val="none"/>
              </w:rPr>
            </w:pPr>
            <w:r>
              <w:rPr>
                <w:rFonts w:hint="eastAsia" w:ascii="宋体" w:hAnsi="宋体" w:eastAsia="宋体" w:cs="宋体"/>
                <w:b/>
                <w:bCs w:val="0"/>
                <w:color w:val="auto"/>
                <w:kern w:val="0"/>
                <w:sz w:val="21"/>
                <w:szCs w:val="21"/>
                <w:highlight w:val="none"/>
                <w:lang w:val="en-US" w:eastAsia="zh-CN"/>
              </w:rPr>
              <w:t>技术标格式</w:t>
            </w:r>
          </w:p>
        </w:tc>
        <w:tc>
          <w:tcPr>
            <w:tcW w:w="6039" w:type="dxa"/>
            <w:vAlign w:val="center"/>
          </w:tcPr>
          <w:p w14:paraId="20B9B27A">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 xml:space="preserve">投标文件技术标必须遵守的统一格式和规范。 </w:t>
            </w:r>
          </w:p>
          <w:p w14:paraId="1CA07949">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 xml:space="preserve">技术标文件（暗标）未按以下“盲评”要求制作的，为无效投标，除下述要求外，不得因暗标格式问题认定为无效投标： </w:t>
            </w:r>
          </w:p>
          <w:p w14:paraId="59AD901A">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 xml:space="preserve">1.版面要求：A4 纸张大小； </w:t>
            </w:r>
          </w:p>
          <w:p w14:paraId="782FDDF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 xml:space="preserve">2.颜色要求：所有文字、图表均为黑色； </w:t>
            </w:r>
          </w:p>
          <w:p w14:paraId="25051385">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 xml:space="preserve">3.字体要求：标题及正文部分所用文字均采用“宋体”四号“常规”字；图、表内的字体及字号不作要求；全部使用中文标点符号；所有字体均不得出现加粗、加色、倾斜、下划线等标记； </w:t>
            </w:r>
          </w:p>
          <w:p w14:paraId="38CBDEF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 xml:space="preserve">4.排版要求：页边距要求上边距 2.5 厘米，其余均为 2 厘米；不得设置目录；正文行间距为固定值 30 磅；文字内容（含正文标题、正文及表格标题）统一设为左对齐；首行缩进 2 字符，不得有空格；段落前后不设置空行；不得设置页眉、页脚和页码；图、表部分对齐形式统一设为居中对齐； </w:t>
            </w:r>
          </w:p>
          <w:p w14:paraId="7409E362">
            <w:pPr>
              <w:autoSpaceDE w:val="0"/>
              <w:autoSpaceDN w:val="0"/>
              <w:adjustRightInd w:val="0"/>
              <w:snapToGrid w:val="0"/>
              <w:rPr>
                <w:rFonts w:hint="eastAsia" w:ascii="宋体" w:hAnsi="宋体"/>
                <w:color w:val="000000" w:themeColor="text1"/>
                <w:szCs w:val="21"/>
                <w:highlight w:val="none"/>
              </w:rPr>
            </w:pPr>
            <w:r>
              <w:rPr>
                <w:rFonts w:hint="eastAsia" w:ascii="宋体" w:hAnsi="宋体" w:eastAsia="宋体" w:cs="宋体"/>
                <w:color w:val="auto"/>
                <w:szCs w:val="21"/>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tc>
      </w:tr>
      <w:tr w14:paraId="6E73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41" w:type="dxa"/>
            <w:vMerge w:val="continue"/>
            <w:vAlign w:val="center"/>
          </w:tcPr>
          <w:p w14:paraId="77B3B127">
            <w:pPr>
              <w:jc w:val="center"/>
              <w:rPr>
                <w:rFonts w:ascii="宋体" w:hAnsi="宋体"/>
                <w:color w:val="000000" w:themeColor="text1"/>
                <w:szCs w:val="21"/>
                <w:highlight w:val="none"/>
              </w:rPr>
            </w:pPr>
          </w:p>
        </w:tc>
        <w:tc>
          <w:tcPr>
            <w:tcW w:w="1149" w:type="dxa"/>
            <w:vMerge w:val="continue"/>
            <w:vAlign w:val="center"/>
          </w:tcPr>
          <w:p w14:paraId="2D012EC9">
            <w:pPr>
              <w:jc w:val="center"/>
              <w:rPr>
                <w:rFonts w:ascii="宋体" w:hAnsi="宋体"/>
                <w:color w:val="000000" w:themeColor="text1"/>
                <w:szCs w:val="21"/>
                <w:highlight w:val="none"/>
              </w:rPr>
            </w:pPr>
          </w:p>
        </w:tc>
        <w:tc>
          <w:tcPr>
            <w:tcW w:w="1710" w:type="dxa"/>
            <w:vAlign w:val="center"/>
          </w:tcPr>
          <w:p w14:paraId="5FE6C8E2">
            <w:pPr>
              <w:widowControl/>
              <w:spacing w:line="240" w:lineRule="auto"/>
              <w:jc w:val="center"/>
              <w:rPr>
                <w:rFonts w:hint="eastAsia" w:ascii="宋体" w:hAnsi="宋体"/>
                <w:color w:val="000000" w:themeColor="text1"/>
                <w:szCs w:val="21"/>
                <w:highlight w:val="none"/>
              </w:rPr>
            </w:pPr>
            <w:r>
              <w:rPr>
                <w:rFonts w:hint="eastAsia" w:ascii="宋体" w:hAnsi="宋体" w:eastAsia="宋体" w:cs="宋体"/>
                <w:b/>
                <w:bCs w:val="0"/>
                <w:color w:val="auto"/>
                <w:kern w:val="0"/>
                <w:sz w:val="21"/>
                <w:szCs w:val="21"/>
                <w:highlight w:val="none"/>
                <w:lang w:val="en-US" w:eastAsia="zh-CN"/>
              </w:rPr>
              <w:t>技术标其他要求</w:t>
            </w:r>
          </w:p>
        </w:tc>
        <w:tc>
          <w:tcPr>
            <w:tcW w:w="6039" w:type="dxa"/>
            <w:vAlign w:val="center"/>
          </w:tcPr>
          <w:p w14:paraId="03D0DFC7">
            <w:pPr>
              <w:autoSpaceDE w:val="0"/>
              <w:autoSpaceDN w:val="0"/>
              <w:adjustRightInd w:val="0"/>
              <w:snapToGrid w:val="0"/>
              <w:rPr>
                <w:rFonts w:hint="eastAsia" w:ascii="宋体" w:hAnsi="宋体"/>
                <w:color w:val="000000" w:themeColor="text1"/>
                <w:szCs w:val="21"/>
                <w:highlight w:val="none"/>
              </w:rPr>
            </w:pPr>
            <w:r>
              <w:rPr>
                <w:rFonts w:hint="eastAsia" w:ascii="宋体" w:hAnsi="宋体" w:eastAsia="宋体" w:cs="宋体"/>
                <w:color w:val="auto"/>
                <w:szCs w:val="21"/>
                <w:highlight w:val="none"/>
                <w:lang w:val="en-US" w:eastAsia="zh-CN"/>
              </w:rPr>
              <w:t>为减少评标工作量，服务方案要言简意赅、结合实际，技术方案页数不超过100页。对技术方案超过规定页数的（以电子版中计数为准），作废标处理。</w:t>
            </w:r>
          </w:p>
        </w:tc>
      </w:tr>
    </w:tbl>
    <w:p w14:paraId="47346E8F">
      <w:pPr>
        <w:spacing w:before="240" w:beforeLines="100"/>
        <w:ind w:right="-496" w:rightChars="-236"/>
        <w:rPr>
          <w:rFonts w:ascii="宋体" w:hAnsi="宋体" w:cs="宋体"/>
          <w:b/>
          <w:bCs/>
          <w:color w:val="000000" w:themeColor="text1"/>
          <w:sz w:val="18"/>
          <w:szCs w:val="18"/>
          <w:highlight w:val="none"/>
          <w:lang w:val="zh-CN"/>
        </w:rPr>
      </w:pPr>
      <w:r>
        <w:rPr>
          <w:rFonts w:hint="eastAsia" w:ascii="宋体" w:hAnsi="宋体" w:cs="宋体"/>
          <w:b/>
          <w:bCs/>
          <w:color w:val="000000" w:themeColor="text1"/>
          <w:sz w:val="18"/>
          <w:szCs w:val="18"/>
          <w:highlight w:val="none"/>
          <w:lang w:val="zh-CN"/>
        </w:rPr>
        <w:t>注：1</w:t>
      </w:r>
      <w:r>
        <w:rPr>
          <w:rFonts w:hint="eastAsia" w:ascii="宋体" w:hAnsi="宋体" w:cs="宋体"/>
          <w:b/>
          <w:bCs/>
          <w:color w:val="000000" w:themeColor="text1"/>
          <w:sz w:val="18"/>
          <w:szCs w:val="18"/>
          <w:highlight w:val="none"/>
        </w:rPr>
        <w:t>.</w:t>
      </w:r>
      <w:r>
        <w:rPr>
          <w:rFonts w:hint="eastAsia" w:ascii="宋体" w:hAnsi="宋体" w:cs="宋体"/>
          <w:b/>
          <w:bCs/>
          <w:color w:val="000000" w:themeColor="text1"/>
          <w:sz w:val="18"/>
          <w:szCs w:val="18"/>
          <w:highlight w:val="none"/>
          <w:lang w:val="zh-CN"/>
        </w:rPr>
        <w:t>上述表中要求提供的证书、合同文件和相关证明文件等证件的复印件加盖公章装订在响应文件中。</w:t>
      </w:r>
    </w:p>
    <w:p w14:paraId="7974F7BB">
      <w:pPr>
        <w:ind w:right="-496" w:rightChars="-236" w:firstLine="361" w:firstLineChars="200"/>
        <w:rPr>
          <w:rFonts w:ascii="宋体" w:hAnsi="宋体" w:cs="宋体"/>
          <w:b/>
          <w:bCs/>
          <w:color w:val="000000" w:themeColor="text1"/>
          <w:sz w:val="18"/>
          <w:szCs w:val="18"/>
          <w:highlight w:val="none"/>
          <w:lang w:val="zh-CN"/>
        </w:rPr>
      </w:pPr>
      <w:r>
        <w:rPr>
          <w:rFonts w:hint="eastAsia" w:ascii="宋体" w:hAnsi="宋体" w:cs="宋体"/>
          <w:b/>
          <w:bCs/>
          <w:color w:val="000000" w:themeColor="text1"/>
          <w:sz w:val="18"/>
          <w:szCs w:val="18"/>
          <w:highlight w:val="none"/>
          <w:lang w:val="zh-CN"/>
        </w:rPr>
        <w:t>2</w:t>
      </w:r>
      <w:r>
        <w:rPr>
          <w:rFonts w:hint="eastAsia" w:ascii="宋体" w:hAnsi="宋体" w:cs="宋体"/>
          <w:b/>
          <w:bCs/>
          <w:color w:val="000000" w:themeColor="text1"/>
          <w:sz w:val="18"/>
          <w:szCs w:val="18"/>
          <w:highlight w:val="none"/>
        </w:rPr>
        <w:t>.</w:t>
      </w:r>
      <w:r>
        <w:rPr>
          <w:rFonts w:hint="eastAsia" w:ascii="宋体" w:hAnsi="宋体" w:cs="宋体"/>
          <w:b/>
          <w:bCs/>
          <w:color w:val="000000" w:themeColor="text1"/>
          <w:sz w:val="18"/>
          <w:szCs w:val="18"/>
          <w:highlight w:val="none"/>
          <w:lang w:val="zh-CN"/>
        </w:rPr>
        <w:t>上述内容中如某一证件正在年检或换证，需年检或换证部门出具有效证明方可确认。</w:t>
      </w:r>
    </w:p>
    <w:p w14:paraId="11F73F7D">
      <w:pPr>
        <w:ind w:firstLine="361"/>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3.初步评审因素中有一项评审结果为不合格的，其响应作无效响应处理，不再进行下一步评审。</w:t>
      </w:r>
    </w:p>
    <w:p w14:paraId="4D5BDC2B">
      <w:pPr>
        <w:rPr>
          <w:rFonts w:ascii="宋体" w:hAnsi="宋体"/>
          <w:color w:val="000000" w:themeColor="text1"/>
          <w:highlight w:val="none"/>
        </w:rPr>
      </w:pPr>
      <w:r>
        <w:rPr>
          <w:rFonts w:ascii="宋体" w:hAnsi="宋体"/>
          <w:color w:val="000000" w:themeColor="text1"/>
          <w:highlight w:val="none"/>
        </w:rPr>
        <w:br w:type="page"/>
      </w:r>
    </w:p>
    <w:p w14:paraId="5D3DDE2D">
      <w:pPr>
        <w:spacing w:after="120" w:afterLines="50"/>
        <w:jc w:val="center"/>
        <w:rPr>
          <w:rFonts w:ascii="宋体" w:hAnsi="宋体"/>
          <w:b/>
          <w:color w:val="000000" w:themeColor="text1"/>
          <w:szCs w:val="21"/>
          <w:highlight w:val="none"/>
        </w:rPr>
      </w:pPr>
      <w:r>
        <w:rPr>
          <w:rFonts w:hint="eastAsia" w:ascii="宋体" w:hAnsi="宋体"/>
          <w:b/>
          <w:color w:val="000000" w:themeColor="text1"/>
          <w:szCs w:val="21"/>
          <w:highlight w:val="none"/>
        </w:rPr>
        <w:t>详细评审标准</w:t>
      </w:r>
    </w:p>
    <w:tbl>
      <w:tblPr>
        <w:tblStyle w:val="38"/>
        <w:tblW w:w="963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939"/>
        <w:gridCol w:w="1737"/>
        <w:gridCol w:w="5606"/>
        <w:gridCol w:w="657"/>
      </w:tblGrid>
      <w:tr w14:paraId="047D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639" w:type="dxa"/>
            <w:gridSpan w:val="2"/>
            <w:vAlign w:val="center"/>
          </w:tcPr>
          <w:p w14:paraId="3D5718F8">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条款号</w:t>
            </w:r>
          </w:p>
        </w:tc>
        <w:tc>
          <w:tcPr>
            <w:tcW w:w="1737" w:type="dxa"/>
            <w:vAlign w:val="center"/>
          </w:tcPr>
          <w:p w14:paraId="3F424D14">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条款内容</w:t>
            </w:r>
          </w:p>
        </w:tc>
        <w:tc>
          <w:tcPr>
            <w:tcW w:w="6263" w:type="dxa"/>
            <w:gridSpan w:val="2"/>
            <w:vAlign w:val="center"/>
          </w:tcPr>
          <w:p w14:paraId="14354D8C">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编列内容</w:t>
            </w:r>
          </w:p>
        </w:tc>
      </w:tr>
      <w:tr w14:paraId="56E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1639" w:type="dxa"/>
            <w:gridSpan w:val="2"/>
            <w:vAlign w:val="center"/>
          </w:tcPr>
          <w:p w14:paraId="42A63ED6">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2.2.1</w:t>
            </w:r>
          </w:p>
        </w:tc>
        <w:tc>
          <w:tcPr>
            <w:tcW w:w="1737" w:type="dxa"/>
            <w:vAlign w:val="center"/>
          </w:tcPr>
          <w:p w14:paraId="0E2B1FB5">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分值构成</w:t>
            </w:r>
          </w:p>
          <w:p w14:paraId="030A1DA0">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（总分100分）</w:t>
            </w:r>
          </w:p>
        </w:tc>
        <w:tc>
          <w:tcPr>
            <w:tcW w:w="6263" w:type="dxa"/>
            <w:gridSpan w:val="2"/>
            <w:vAlign w:val="center"/>
          </w:tcPr>
          <w:p w14:paraId="0C4A121A">
            <w:pPr>
              <w:spacing w:line="0" w:lineRule="atLeast"/>
              <w:jc w:val="left"/>
              <w:rPr>
                <w:rFonts w:ascii="宋体" w:hAnsi="宋体" w:cs="微软雅黑"/>
                <w:color w:val="000000" w:themeColor="text1"/>
                <w:szCs w:val="21"/>
                <w:highlight w:val="none"/>
              </w:rPr>
            </w:pPr>
            <w:r>
              <w:rPr>
                <w:rFonts w:hint="eastAsia" w:ascii="宋体" w:hAnsi="宋体" w:cs="微软雅黑"/>
                <w:color w:val="000000" w:themeColor="text1"/>
                <w:szCs w:val="21"/>
                <w:highlight w:val="none"/>
                <w:lang w:val="zh-CN"/>
              </w:rPr>
              <w:t>（</w:t>
            </w:r>
            <w:r>
              <w:rPr>
                <w:rFonts w:hint="eastAsia" w:ascii="宋体" w:hAnsi="宋体" w:cs="微软雅黑"/>
                <w:color w:val="000000" w:themeColor="text1"/>
                <w:szCs w:val="21"/>
                <w:highlight w:val="none"/>
              </w:rPr>
              <w:t>1</w:t>
            </w:r>
            <w:r>
              <w:rPr>
                <w:rFonts w:hint="eastAsia" w:ascii="宋体" w:hAnsi="宋体" w:cs="微软雅黑"/>
                <w:color w:val="000000" w:themeColor="text1"/>
                <w:szCs w:val="21"/>
                <w:highlight w:val="none"/>
                <w:lang w:val="zh-CN"/>
              </w:rPr>
              <w:t>）</w:t>
            </w:r>
            <w:r>
              <w:rPr>
                <w:rFonts w:ascii="宋体" w:hAnsi="宋体" w:cs="微软雅黑"/>
                <w:color w:val="000000" w:themeColor="text1"/>
                <w:szCs w:val="21"/>
                <w:highlight w:val="none"/>
                <w:lang w:val="zh-CN"/>
              </w:rPr>
              <w:t>投标报价：</w:t>
            </w:r>
            <w:r>
              <w:rPr>
                <w:rFonts w:hint="eastAsia" w:ascii="宋体" w:hAnsi="宋体" w:cs="微软雅黑"/>
                <w:color w:val="000000" w:themeColor="text1"/>
                <w:szCs w:val="21"/>
                <w:highlight w:val="none"/>
              </w:rPr>
              <w:t>30</w:t>
            </w:r>
            <w:r>
              <w:rPr>
                <w:rFonts w:ascii="宋体" w:hAnsi="宋体" w:cs="微软雅黑"/>
                <w:color w:val="000000" w:themeColor="text1"/>
                <w:szCs w:val="21"/>
                <w:highlight w:val="none"/>
              </w:rPr>
              <w:t>分；</w:t>
            </w:r>
            <w:r>
              <w:rPr>
                <w:rFonts w:ascii="宋体" w:hAnsi="宋体" w:cs="微软雅黑"/>
                <w:color w:val="000000" w:themeColor="text1"/>
                <w:szCs w:val="21"/>
                <w:highlight w:val="none"/>
                <w:lang w:val="zh-CN"/>
              </w:rPr>
              <w:t>（</w:t>
            </w:r>
            <w:r>
              <w:rPr>
                <w:rFonts w:ascii="宋体" w:hAnsi="宋体" w:cs="微软雅黑"/>
                <w:color w:val="000000" w:themeColor="text1"/>
                <w:szCs w:val="21"/>
                <w:highlight w:val="none"/>
              </w:rPr>
              <w:t>2</w:t>
            </w:r>
            <w:r>
              <w:rPr>
                <w:rFonts w:ascii="宋体" w:hAnsi="宋体" w:cs="微软雅黑"/>
                <w:color w:val="000000" w:themeColor="text1"/>
                <w:szCs w:val="21"/>
                <w:highlight w:val="none"/>
                <w:lang w:val="zh-CN"/>
              </w:rPr>
              <w:t>）</w:t>
            </w:r>
            <w:r>
              <w:rPr>
                <w:rFonts w:hint="eastAsia" w:ascii="宋体" w:hAnsi="宋体" w:cs="微软雅黑"/>
                <w:color w:val="000000" w:themeColor="text1"/>
                <w:szCs w:val="21"/>
                <w:highlight w:val="none"/>
              </w:rPr>
              <w:t>商务因素</w:t>
            </w:r>
            <w:r>
              <w:rPr>
                <w:rFonts w:ascii="宋体" w:hAnsi="宋体" w:cs="微软雅黑"/>
                <w:color w:val="000000" w:themeColor="text1"/>
                <w:szCs w:val="21"/>
                <w:highlight w:val="none"/>
                <w:lang w:val="zh-CN"/>
              </w:rPr>
              <w:t>：</w:t>
            </w:r>
            <w:r>
              <w:rPr>
                <w:rFonts w:hint="eastAsia" w:ascii="宋体" w:hAnsi="宋体" w:cs="微软雅黑"/>
                <w:color w:val="000000" w:themeColor="text1"/>
                <w:szCs w:val="21"/>
                <w:highlight w:val="none"/>
                <w:lang w:val="en-US" w:eastAsia="zh-CN"/>
              </w:rPr>
              <w:t>31</w:t>
            </w:r>
            <w:r>
              <w:rPr>
                <w:rFonts w:ascii="宋体" w:hAnsi="宋体" w:cs="微软雅黑"/>
                <w:color w:val="000000" w:themeColor="text1"/>
                <w:szCs w:val="21"/>
                <w:highlight w:val="none"/>
                <w:lang w:val="zh-CN"/>
              </w:rPr>
              <w:t>分；（</w:t>
            </w:r>
            <w:r>
              <w:rPr>
                <w:rFonts w:ascii="宋体" w:hAnsi="宋体" w:cs="微软雅黑"/>
                <w:color w:val="000000" w:themeColor="text1"/>
                <w:szCs w:val="21"/>
                <w:highlight w:val="none"/>
              </w:rPr>
              <w:t>3</w:t>
            </w:r>
            <w:r>
              <w:rPr>
                <w:rFonts w:ascii="宋体" w:hAnsi="宋体" w:cs="微软雅黑"/>
                <w:color w:val="000000" w:themeColor="text1"/>
                <w:szCs w:val="21"/>
                <w:highlight w:val="none"/>
                <w:lang w:val="zh-CN"/>
              </w:rPr>
              <w:t>）</w:t>
            </w:r>
            <w:r>
              <w:rPr>
                <w:rFonts w:hint="eastAsia" w:ascii="宋体" w:hAnsi="宋体" w:cs="微软雅黑"/>
                <w:color w:val="000000" w:themeColor="text1"/>
                <w:szCs w:val="21"/>
                <w:highlight w:val="none"/>
              </w:rPr>
              <w:t>技术因素</w:t>
            </w:r>
            <w:r>
              <w:rPr>
                <w:rFonts w:ascii="宋体" w:hAnsi="宋体" w:cs="微软雅黑"/>
                <w:color w:val="000000" w:themeColor="text1"/>
                <w:szCs w:val="21"/>
                <w:highlight w:val="none"/>
                <w:lang w:val="zh-CN"/>
              </w:rPr>
              <w:t>：</w:t>
            </w:r>
            <w:r>
              <w:rPr>
                <w:rFonts w:hint="eastAsia" w:ascii="宋体" w:hAnsi="宋体" w:cs="微软雅黑"/>
                <w:color w:val="000000" w:themeColor="text1"/>
                <w:szCs w:val="21"/>
                <w:highlight w:val="none"/>
                <w:lang w:val="en-US" w:eastAsia="zh-CN"/>
              </w:rPr>
              <w:t>39</w:t>
            </w:r>
            <w:r>
              <w:rPr>
                <w:rFonts w:ascii="宋体" w:hAnsi="宋体" w:cs="微软雅黑"/>
                <w:color w:val="000000" w:themeColor="text1"/>
                <w:szCs w:val="21"/>
                <w:highlight w:val="none"/>
                <w:lang w:val="zh-CN"/>
              </w:rPr>
              <w:t>分</w:t>
            </w:r>
            <w:r>
              <w:rPr>
                <w:rFonts w:hint="eastAsia" w:ascii="宋体" w:hAnsi="宋体" w:cs="微软雅黑"/>
                <w:color w:val="000000" w:themeColor="text1"/>
                <w:szCs w:val="21"/>
                <w:highlight w:val="none"/>
                <w:lang w:val="zh-CN"/>
              </w:rPr>
              <w:t>。</w:t>
            </w:r>
          </w:p>
        </w:tc>
      </w:tr>
      <w:tr w14:paraId="29DF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8" w:hRule="atLeast"/>
        </w:trPr>
        <w:tc>
          <w:tcPr>
            <w:tcW w:w="1639" w:type="dxa"/>
            <w:gridSpan w:val="2"/>
            <w:vAlign w:val="center"/>
          </w:tcPr>
          <w:p w14:paraId="4FC6DDF1">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2.2.2</w:t>
            </w:r>
          </w:p>
        </w:tc>
        <w:tc>
          <w:tcPr>
            <w:tcW w:w="1737" w:type="dxa"/>
            <w:vAlign w:val="center"/>
          </w:tcPr>
          <w:p w14:paraId="4E986CB8">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基准价计算方法</w:t>
            </w:r>
          </w:p>
        </w:tc>
        <w:tc>
          <w:tcPr>
            <w:tcW w:w="6263" w:type="dxa"/>
            <w:gridSpan w:val="2"/>
            <w:vAlign w:val="center"/>
          </w:tcPr>
          <w:p w14:paraId="7A5296FA">
            <w:pPr>
              <w:spacing w:line="0" w:lineRule="atLeast"/>
              <w:jc w:val="lef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价格分统一采用低价优先法计算，即满足磋商文件要求且最后报价最低的供应商的价格为磋商基准价，其价格分为满分。其他供应商的价格分统一按照下列公式计算：</w:t>
            </w:r>
          </w:p>
          <w:p w14:paraId="4DDF6C8E">
            <w:pPr>
              <w:spacing w:line="0" w:lineRule="atLeast"/>
              <w:jc w:val="lef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磋商报价得分=（磋商基准价/最后磋商报价）×价格权值30%×100</w:t>
            </w:r>
          </w:p>
          <w:p w14:paraId="7BA55C7C">
            <w:pPr>
              <w:spacing w:line="0" w:lineRule="atLeast"/>
              <w:jc w:val="lef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超出最高限价的磋商响应报价按无效报价处理。</w:t>
            </w:r>
          </w:p>
          <w:p w14:paraId="63AABC94">
            <w:pPr>
              <w:spacing w:line="0" w:lineRule="atLeast"/>
              <w:jc w:val="left"/>
              <w:rPr>
                <w:rFonts w:ascii="宋体" w:hAnsi="宋体"/>
                <w:bCs/>
                <w:color w:val="000000" w:themeColor="text1"/>
                <w:szCs w:val="21"/>
                <w:highlight w:val="none"/>
              </w:rPr>
            </w:pPr>
            <w:r>
              <w:rPr>
                <w:rFonts w:hint="eastAsia" w:ascii="宋体" w:hAnsi="宋体" w:cs="微软雅黑"/>
                <w:color w:val="000000" w:themeColor="text1"/>
                <w:szCs w:val="21"/>
                <w:highlight w:val="none"/>
              </w:rPr>
              <w:t>注：报价得分保留小数点后两位。</w:t>
            </w:r>
          </w:p>
        </w:tc>
      </w:tr>
      <w:tr w14:paraId="0438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639" w:type="dxa"/>
            <w:gridSpan w:val="2"/>
            <w:vAlign w:val="center"/>
          </w:tcPr>
          <w:p w14:paraId="29E84BE8">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条款号</w:t>
            </w:r>
          </w:p>
        </w:tc>
        <w:tc>
          <w:tcPr>
            <w:tcW w:w="1737" w:type="dxa"/>
            <w:vAlign w:val="center"/>
          </w:tcPr>
          <w:p w14:paraId="58FF93E7">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评分因素</w:t>
            </w:r>
          </w:p>
        </w:tc>
        <w:tc>
          <w:tcPr>
            <w:tcW w:w="5606" w:type="dxa"/>
            <w:vAlign w:val="center"/>
          </w:tcPr>
          <w:p w14:paraId="72F98DA9">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评分标准</w:t>
            </w:r>
          </w:p>
        </w:tc>
        <w:tc>
          <w:tcPr>
            <w:tcW w:w="657" w:type="dxa"/>
            <w:vAlign w:val="center"/>
          </w:tcPr>
          <w:p w14:paraId="2E74DE97">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得分</w:t>
            </w:r>
          </w:p>
        </w:tc>
      </w:tr>
      <w:tr w14:paraId="3D01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700" w:type="dxa"/>
            <w:vAlign w:val="center"/>
          </w:tcPr>
          <w:p w14:paraId="39C161EA">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2.2.3</w:t>
            </w:r>
          </w:p>
          <w:p w14:paraId="63FE36CB">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(1)</w:t>
            </w:r>
          </w:p>
        </w:tc>
        <w:tc>
          <w:tcPr>
            <w:tcW w:w="939" w:type="dxa"/>
            <w:vAlign w:val="center"/>
          </w:tcPr>
          <w:p w14:paraId="53D76B49">
            <w:pPr>
              <w:spacing w:line="0" w:lineRule="atLeast"/>
              <w:jc w:val="lef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磋商报价</w:t>
            </w:r>
          </w:p>
          <w:p w14:paraId="354E0FB8">
            <w:pPr>
              <w:spacing w:line="0" w:lineRule="atLeast"/>
              <w:jc w:val="lef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评分标准</w:t>
            </w:r>
          </w:p>
          <w:p w14:paraId="44D7532E">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30分</w:t>
            </w:r>
          </w:p>
        </w:tc>
        <w:tc>
          <w:tcPr>
            <w:tcW w:w="1737" w:type="dxa"/>
            <w:vAlign w:val="center"/>
          </w:tcPr>
          <w:p w14:paraId="327FDF8A">
            <w:pPr>
              <w:spacing w:line="0" w:lineRule="atLeast"/>
              <w:ind w:right="69" w:rightChars="33" w:firstLine="100" w:firstLineChars="48"/>
              <w:jc w:val="center"/>
              <w:rPr>
                <w:color w:val="000000" w:themeColor="text1"/>
                <w:highlight w:val="none"/>
              </w:rPr>
            </w:pPr>
            <w:r>
              <w:rPr>
                <w:rFonts w:hint="eastAsia" w:ascii="宋体" w:hAnsi="宋体" w:cs="微软雅黑"/>
                <w:color w:val="000000" w:themeColor="text1"/>
                <w:szCs w:val="21"/>
                <w:highlight w:val="none"/>
              </w:rPr>
              <w:t>磋商报价得分</w:t>
            </w:r>
          </w:p>
        </w:tc>
        <w:tc>
          <w:tcPr>
            <w:tcW w:w="5606" w:type="dxa"/>
            <w:vAlign w:val="center"/>
          </w:tcPr>
          <w:p w14:paraId="3E51221A">
            <w:pPr>
              <w:spacing w:line="0" w:lineRule="atLeast"/>
              <w:rPr>
                <w:rFonts w:ascii="宋体" w:hAnsi="宋体" w:cs="微软雅黑"/>
                <w:szCs w:val="21"/>
                <w:highlight w:val="none"/>
              </w:rPr>
            </w:pPr>
            <w:r>
              <w:rPr>
                <w:rFonts w:hint="eastAsia" w:ascii="宋体" w:hAnsi="宋体" w:cs="微软雅黑"/>
                <w:szCs w:val="21"/>
                <w:highlight w:val="none"/>
              </w:rPr>
              <w:t>以第二次磋商报价（最终报价）为依据进行计算，通过初步评审的有效磋商报价的最低报价为磋商基准价。</w:t>
            </w:r>
          </w:p>
          <w:p w14:paraId="43183EA8">
            <w:pPr>
              <w:spacing w:line="0" w:lineRule="atLeast"/>
              <w:rPr>
                <w:rFonts w:ascii="宋体" w:hAnsi="宋体" w:cs="微软雅黑"/>
                <w:szCs w:val="21"/>
                <w:highlight w:val="none"/>
              </w:rPr>
            </w:pPr>
            <w:r>
              <w:rPr>
                <w:rFonts w:hint="eastAsia" w:ascii="宋体" w:hAnsi="宋体" w:cs="微软雅黑"/>
                <w:szCs w:val="21"/>
                <w:highlight w:val="none"/>
              </w:rPr>
              <w:t>最终报价得分=（磋商基准价/最终磋商报价）×30%×100，四舍五入保留小数点后两位有效数字。</w:t>
            </w:r>
          </w:p>
          <w:p w14:paraId="54524611">
            <w:pPr>
              <w:pStyle w:val="37"/>
              <w:ind w:firstLine="0" w:firstLineChars="0"/>
              <w:rPr>
                <w:rFonts w:ascii="宋体" w:hAnsi="宋体" w:eastAsia="宋体" w:cs="宋体"/>
                <w:kern w:val="2"/>
                <w:sz w:val="21"/>
                <w:szCs w:val="21"/>
                <w:highlight w:val="none"/>
              </w:rPr>
            </w:pPr>
            <w:r>
              <w:rPr>
                <w:rFonts w:hint="eastAsia" w:ascii="宋体" w:hAnsi="宋体" w:eastAsia="宋体" w:cs="宋体"/>
                <w:kern w:val="2"/>
                <w:sz w:val="21"/>
                <w:szCs w:val="21"/>
                <w:highlight w:val="none"/>
              </w:rPr>
              <w:t>注：1、本项目全部面向中小企业采购，故不进行价格扣除。</w:t>
            </w:r>
          </w:p>
          <w:p w14:paraId="4EFA8B70">
            <w:pPr>
              <w:spacing w:line="0" w:lineRule="atLeast"/>
              <w:rPr>
                <w:color w:val="000000" w:themeColor="text1"/>
                <w:szCs w:val="21"/>
                <w:highlight w:val="none"/>
              </w:rPr>
            </w:pPr>
            <w:r>
              <w:rPr>
                <w:rFonts w:hint="eastAsia" w:ascii="宋体" w:hAnsi="宋体" w:cs="宋体"/>
                <w:szCs w:val="21"/>
                <w:highlight w:val="none"/>
              </w:rPr>
              <w:t>2、报价得分根据二次所报的价格进行计算。</w:t>
            </w:r>
          </w:p>
        </w:tc>
        <w:tc>
          <w:tcPr>
            <w:tcW w:w="657" w:type="dxa"/>
            <w:vAlign w:val="center"/>
          </w:tcPr>
          <w:p w14:paraId="7BB01CA8">
            <w:pPr>
              <w:spacing w:line="0" w:lineRule="atLeast"/>
              <w:ind w:right="84" w:rightChars="40" w:firstLine="54" w:firstLineChars="26"/>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0-30</w:t>
            </w:r>
          </w:p>
        </w:tc>
      </w:tr>
      <w:tr w14:paraId="7537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700" w:type="dxa"/>
            <w:vMerge w:val="restart"/>
            <w:vAlign w:val="center"/>
          </w:tcPr>
          <w:p w14:paraId="07C93C65">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2.2.3</w:t>
            </w:r>
          </w:p>
          <w:p w14:paraId="27EFB8A0">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(2)</w:t>
            </w:r>
          </w:p>
        </w:tc>
        <w:tc>
          <w:tcPr>
            <w:tcW w:w="939" w:type="dxa"/>
            <w:vMerge w:val="restart"/>
            <w:vAlign w:val="center"/>
          </w:tcPr>
          <w:p w14:paraId="0D2A82FC">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商务因素</w:t>
            </w:r>
            <w:r>
              <w:rPr>
                <w:rFonts w:hint="eastAsia" w:ascii="宋体" w:hAnsi="宋体" w:cs="微软雅黑"/>
                <w:color w:val="000000" w:themeColor="text1"/>
                <w:szCs w:val="21"/>
                <w:highlight w:val="none"/>
                <w:lang w:val="en-US" w:eastAsia="zh-CN"/>
              </w:rPr>
              <w:t>30</w:t>
            </w:r>
            <w:r>
              <w:rPr>
                <w:rFonts w:hint="eastAsia" w:ascii="宋体" w:hAnsi="宋体" w:cs="微软雅黑"/>
                <w:color w:val="000000" w:themeColor="text1"/>
                <w:szCs w:val="21"/>
                <w:highlight w:val="none"/>
              </w:rPr>
              <w:t>分</w:t>
            </w:r>
          </w:p>
        </w:tc>
        <w:tc>
          <w:tcPr>
            <w:tcW w:w="1737" w:type="dxa"/>
            <w:vAlign w:val="center"/>
          </w:tcPr>
          <w:p w14:paraId="30715778">
            <w:pPr>
              <w:pStyle w:val="106"/>
              <w:spacing w:line="0" w:lineRule="atLeast"/>
              <w:jc w:val="center"/>
              <w:rPr>
                <w:rFonts w:cs="微软雅黑"/>
                <w:color w:val="000000" w:themeColor="text1"/>
                <w:szCs w:val="21"/>
                <w:highlight w:val="none"/>
              </w:rPr>
            </w:pPr>
            <w:r>
              <w:rPr>
                <w:rFonts w:hint="eastAsia"/>
                <w:color w:val="000000" w:themeColor="text1"/>
                <w:highlight w:val="none"/>
              </w:rPr>
              <w:t>企业业绩（</w:t>
            </w:r>
            <w:r>
              <w:rPr>
                <w:rFonts w:hint="eastAsia"/>
                <w:color w:val="000000" w:themeColor="text1"/>
                <w:highlight w:val="none"/>
                <w:lang w:val="en-US" w:eastAsia="zh-CN"/>
              </w:rPr>
              <w:t>6</w:t>
            </w:r>
            <w:r>
              <w:rPr>
                <w:rFonts w:hint="eastAsia"/>
                <w:color w:val="000000" w:themeColor="text1"/>
                <w:highlight w:val="none"/>
              </w:rPr>
              <w:t>分）</w:t>
            </w:r>
          </w:p>
        </w:tc>
        <w:tc>
          <w:tcPr>
            <w:tcW w:w="5606" w:type="dxa"/>
            <w:vAlign w:val="center"/>
          </w:tcPr>
          <w:p w14:paraId="05A114A2">
            <w:pPr>
              <w:pStyle w:val="106"/>
              <w:spacing w:line="0" w:lineRule="atLeast"/>
              <w:rPr>
                <w:rFonts w:ascii="Times New Roman" w:hAnsi="Times New Roman" w:cs="Times New Roman"/>
                <w:color w:val="000000" w:themeColor="text1"/>
                <w:szCs w:val="21"/>
                <w:highlight w:val="none"/>
              </w:rPr>
            </w:pPr>
            <w:r>
              <w:rPr>
                <w:rFonts w:hint="eastAsia" w:ascii="Times New Roman" w:hAnsi="Times New Roman" w:cs="Times New Roman"/>
                <w:color w:val="000000" w:themeColor="text1"/>
                <w:szCs w:val="21"/>
                <w:highlight w:val="none"/>
              </w:rPr>
              <w:t>每提供一项</w:t>
            </w:r>
            <w:r>
              <w:rPr>
                <w:rFonts w:hint="eastAsia" w:ascii="Times New Roman" w:hAnsi="Times New Roman" w:cs="Times New Roman"/>
                <w:color w:val="000000" w:themeColor="text1"/>
                <w:szCs w:val="21"/>
                <w:highlight w:val="none"/>
                <w:lang w:val="en-US" w:eastAsia="zh-CN"/>
              </w:rPr>
              <w:t>2023</w:t>
            </w:r>
            <w:r>
              <w:rPr>
                <w:rFonts w:hint="eastAsia" w:ascii="Times New Roman" w:hAnsi="Times New Roman" w:cs="Times New Roman"/>
                <w:color w:val="000000" w:themeColor="text1"/>
                <w:szCs w:val="21"/>
                <w:highlight w:val="none"/>
              </w:rPr>
              <w:t>年</w:t>
            </w:r>
            <w:r>
              <w:rPr>
                <w:rFonts w:hint="eastAsia" w:ascii="Times New Roman" w:hAnsi="Times New Roman" w:cs="Times New Roman"/>
                <w:color w:val="000000" w:themeColor="text1"/>
                <w:szCs w:val="21"/>
                <w:highlight w:val="none"/>
                <w:lang w:val="en-US" w:eastAsia="zh-CN"/>
              </w:rPr>
              <w:t>5</w:t>
            </w:r>
            <w:r>
              <w:rPr>
                <w:rFonts w:hint="eastAsia" w:ascii="Times New Roman" w:hAnsi="Times New Roman" w:cs="Times New Roman"/>
                <w:color w:val="000000" w:themeColor="text1"/>
                <w:szCs w:val="21"/>
                <w:highlight w:val="none"/>
              </w:rPr>
              <w:t>月以来类似业绩得2分，最高得</w:t>
            </w:r>
            <w:r>
              <w:rPr>
                <w:rFonts w:hint="eastAsia" w:ascii="Times New Roman" w:hAnsi="Times New Roman" w:cs="Times New Roman"/>
                <w:color w:val="000000" w:themeColor="text1"/>
                <w:szCs w:val="21"/>
                <w:highlight w:val="none"/>
                <w:lang w:val="en-US" w:eastAsia="zh-CN"/>
              </w:rPr>
              <w:t>6</w:t>
            </w:r>
            <w:r>
              <w:rPr>
                <w:rFonts w:hint="eastAsia" w:ascii="Times New Roman" w:hAnsi="Times New Roman" w:cs="Times New Roman"/>
                <w:color w:val="000000" w:themeColor="text1"/>
                <w:szCs w:val="21"/>
                <w:highlight w:val="none"/>
              </w:rPr>
              <w:t>分。</w:t>
            </w:r>
          </w:p>
          <w:p w14:paraId="4B179C3D">
            <w:pPr>
              <w:pStyle w:val="106"/>
              <w:spacing w:line="0" w:lineRule="atLeast"/>
              <w:rPr>
                <w:rFonts w:cs="微软雅黑"/>
                <w:color w:val="000000" w:themeColor="text1"/>
                <w:szCs w:val="21"/>
                <w:highlight w:val="none"/>
              </w:rPr>
            </w:pPr>
            <w:r>
              <w:rPr>
                <w:rFonts w:ascii="Times New Roman" w:hAnsi="Times New Roman" w:cs="Times New Roman"/>
                <w:color w:val="000000" w:themeColor="text1"/>
                <w:szCs w:val="21"/>
                <w:highlight w:val="none"/>
              </w:rPr>
              <w:t>（提供中标</w:t>
            </w:r>
            <w:r>
              <w:rPr>
                <w:rFonts w:hint="eastAsia" w:ascii="Times New Roman" w:hAnsi="Times New Roman" w:cs="Times New Roman"/>
                <w:color w:val="000000" w:themeColor="text1"/>
                <w:szCs w:val="21"/>
                <w:highlight w:val="none"/>
              </w:rPr>
              <w:t>/成交</w:t>
            </w:r>
            <w:r>
              <w:rPr>
                <w:rFonts w:ascii="Times New Roman" w:hAnsi="Times New Roman" w:cs="Times New Roman"/>
                <w:color w:val="000000" w:themeColor="text1"/>
                <w:szCs w:val="21"/>
                <w:highlight w:val="none"/>
              </w:rPr>
              <w:t>通知书或合同协议书</w:t>
            </w:r>
            <w:r>
              <w:rPr>
                <w:rFonts w:hint="eastAsia" w:ascii="Times New Roman" w:hAnsi="Times New Roman" w:cs="Times New Roman"/>
                <w:color w:val="000000" w:themeColor="text1"/>
                <w:szCs w:val="21"/>
                <w:highlight w:val="none"/>
              </w:rPr>
              <w:t>复印件加盖投标单位公章</w:t>
            </w:r>
            <w:r>
              <w:rPr>
                <w:rFonts w:ascii="Times New Roman" w:hAnsi="Times New Roman" w:cs="Times New Roman"/>
                <w:color w:val="000000" w:themeColor="text1"/>
                <w:szCs w:val="21"/>
                <w:highlight w:val="none"/>
              </w:rPr>
              <w:t>）</w:t>
            </w:r>
          </w:p>
        </w:tc>
        <w:tc>
          <w:tcPr>
            <w:tcW w:w="657" w:type="dxa"/>
            <w:vAlign w:val="center"/>
          </w:tcPr>
          <w:p w14:paraId="2C5A1969">
            <w:pPr>
              <w:spacing w:line="0" w:lineRule="atLeast"/>
              <w:jc w:val="center"/>
              <w:rPr>
                <w:rFonts w:hint="eastAsia" w:ascii="宋体" w:hAnsi="宋体" w:eastAsia="宋体" w:cs="微软雅黑"/>
                <w:color w:val="000000" w:themeColor="text1"/>
                <w:szCs w:val="21"/>
                <w:highlight w:val="none"/>
                <w:lang w:val="en-US" w:eastAsia="zh-CN"/>
              </w:rPr>
            </w:pPr>
            <w:r>
              <w:rPr>
                <w:rFonts w:hint="eastAsia" w:ascii="宋体" w:hAnsi="宋体" w:cs="微软雅黑"/>
                <w:color w:val="000000" w:themeColor="text1"/>
                <w:szCs w:val="21"/>
                <w:highlight w:val="none"/>
              </w:rPr>
              <w:t>0-</w:t>
            </w:r>
            <w:r>
              <w:rPr>
                <w:rFonts w:hint="eastAsia" w:ascii="宋体" w:hAnsi="宋体" w:cs="微软雅黑"/>
                <w:color w:val="000000" w:themeColor="text1"/>
                <w:szCs w:val="21"/>
                <w:highlight w:val="none"/>
                <w:lang w:val="en-US" w:eastAsia="zh-CN"/>
              </w:rPr>
              <w:t>6</w:t>
            </w:r>
          </w:p>
        </w:tc>
      </w:tr>
      <w:tr w14:paraId="6956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700" w:type="dxa"/>
            <w:vMerge w:val="continue"/>
            <w:vAlign w:val="center"/>
          </w:tcPr>
          <w:p w14:paraId="0589F039">
            <w:pPr>
              <w:spacing w:line="0" w:lineRule="atLeast"/>
              <w:jc w:val="center"/>
              <w:rPr>
                <w:rFonts w:ascii="宋体" w:hAnsi="宋体" w:cs="微软雅黑"/>
                <w:color w:val="000000" w:themeColor="text1"/>
                <w:szCs w:val="21"/>
                <w:highlight w:val="none"/>
              </w:rPr>
            </w:pPr>
          </w:p>
        </w:tc>
        <w:tc>
          <w:tcPr>
            <w:tcW w:w="939" w:type="dxa"/>
            <w:vMerge w:val="continue"/>
            <w:vAlign w:val="center"/>
          </w:tcPr>
          <w:p w14:paraId="4922A042">
            <w:pPr>
              <w:spacing w:line="0" w:lineRule="atLeast"/>
              <w:jc w:val="center"/>
              <w:rPr>
                <w:rFonts w:ascii="宋体" w:hAnsi="宋体" w:cs="微软雅黑"/>
                <w:color w:val="000000" w:themeColor="text1"/>
                <w:szCs w:val="21"/>
                <w:highlight w:val="none"/>
              </w:rPr>
            </w:pPr>
          </w:p>
        </w:tc>
        <w:tc>
          <w:tcPr>
            <w:tcW w:w="1737" w:type="dxa"/>
            <w:vAlign w:val="center"/>
          </w:tcPr>
          <w:p w14:paraId="2427D059">
            <w:pPr>
              <w:pStyle w:val="106"/>
              <w:spacing w:line="0" w:lineRule="atLeast"/>
              <w:jc w:val="center"/>
              <w:rPr>
                <w:color w:val="000000" w:themeColor="text1"/>
                <w:highlight w:val="none"/>
              </w:rPr>
            </w:pPr>
            <w:r>
              <w:rPr>
                <w:rFonts w:hint="eastAsia"/>
                <w:color w:val="000000" w:themeColor="text1"/>
                <w:highlight w:val="none"/>
              </w:rPr>
              <w:t>体系认证（3分）</w:t>
            </w:r>
          </w:p>
        </w:tc>
        <w:tc>
          <w:tcPr>
            <w:tcW w:w="5606" w:type="dxa"/>
            <w:vAlign w:val="center"/>
          </w:tcPr>
          <w:p w14:paraId="7907610F">
            <w:pPr>
              <w:pStyle w:val="106"/>
              <w:spacing w:line="0" w:lineRule="atLeast"/>
              <w:rPr>
                <w:rFonts w:ascii="Times New Roman" w:hAnsi="Times New Roman" w:cs="Times New Roman"/>
                <w:color w:val="000000" w:themeColor="text1"/>
                <w:szCs w:val="21"/>
                <w:highlight w:val="none"/>
              </w:rPr>
            </w:pPr>
            <w:r>
              <w:rPr>
                <w:rFonts w:hint="eastAsia" w:ascii="Times New Roman" w:hAnsi="Times New Roman" w:cs="Times New Roman"/>
                <w:color w:val="000000" w:themeColor="text1"/>
                <w:szCs w:val="21"/>
                <w:highlight w:val="none"/>
              </w:rPr>
              <w:t>响应人具有有效的质量管理体系证书、环境管理体系认证证书、职业健康安全管理体系认证证书；每提供1份证书扫描件得1分；最高得3分。</w:t>
            </w:r>
          </w:p>
          <w:p w14:paraId="18B17B8F">
            <w:pPr>
              <w:pStyle w:val="106"/>
              <w:spacing w:line="0" w:lineRule="atLeast"/>
              <w:rPr>
                <w:rFonts w:ascii="Times New Roman" w:hAnsi="Times New Roman" w:cs="Times New Roman"/>
                <w:color w:val="000000" w:themeColor="text1"/>
                <w:szCs w:val="21"/>
                <w:highlight w:val="none"/>
              </w:rPr>
            </w:pPr>
            <w:r>
              <w:rPr>
                <w:rFonts w:hint="eastAsia" w:ascii="Times New Roman" w:hAnsi="Times New Roman" w:cs="Times New Roman"/>
                <w:color w:val="000000" w:themeColor="text1"/>
                <w:szCs w:val="21"/>
                <w:highlight w:val="none"/>
              </w:rPr>
              <w:t>注：投标文件中提供相关证书扫描件并加盖公章，未提供或未按要求提供不得分。</w:t>
            </w:r>
          </w:p>
        </w:tc>
        <w:tc>
          <w:tcPr>
            <w:tcW w:w="657" w:type="dxa"/>
            <w:vAlign w:val="center"/>
          </w:tcPr>
          <w:p w14:paraId="3B62AADB">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0-3</w:t>
            </w:r>
          </w:p>
        </w:tc>
      </w:tr>
      <w:tr w14:paraId="1165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700" w:type="dxa"/>
            <w:vMerge w:val="continue"/>
            <w:vAlign w:val="center"/>
          </w:tcPr>
          <w:p w14:paraId="4D1263DA">
            <w:pPr>
              <w:spacing w:line="0" w:lineRule="atLeast"/>
              <w:jc w:val="center"/>
              <w:rPr>
                <w:rFonts w:ascii="宋体" w:hAnsi="宋体" w:cs="微软雅黑"/>
                <w:color w:val="000000" w:themeColor="text1"/>
                <w:szCs w:val="21"/>
                <w:highlight w:val="none"/>
              </w:rPr>
            </w:pPr>
          </w:p>
        </w:tc>
        <w:tc>
          <w:tcPr>
            <w:tcW w:w="939" w:type="dxa"/>
            <w:vMerge w:val="continue"/>
            <w:vAlign w:val="center"/>
          </w:tcPr>
          <w:p w14:paraId="2BBD9514">
            <w:pPr>
              <w:spacing w:line="0" w:lineRule="atLeast"/>
              <w:jc w:val="center"/>
              <w:rPr>
                <w:rFonts w:ascii="宋体" w:hAnsi="宋体" w:cs="微软雅黑"/>
                <w:color w:val="000000" w:themeColor="text1"/>
                <w:szCs w:val="21"/>
                <w:highlight w:val="none"/>
              </w:rPr>
            </w:pPr>
          </w:p>
        </w:tc>
        <w:tc>
          <w:tcPr>
            <w:tcW w:w="1737" w:type="dxa"/>
            <w:shd w:val="clear" w:color="auto" w:fill="auto"/>
            <w:vAlign w:val="center"/>
          </w:tcPr>
          <w:p w14:paraId="6B48EC02">
            <w:pPr>
              <w:spacing w:line="0" w:lineRule="atLeast"/>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微软雅黑"/>
                <w:color w:val="auto"/>
                <w:szCs w:val="21"/>
                <w:highlight w:val="none"/>
                <w:lang w:val="en-US" w:eastAsia="zh-CN"/>
              </w:rPr>
              <w:t>技术标准（20分）</w:t>
            </w:r>
          </w:p>
        </w:tc>
        <w:tc>
          <w:tcPr>
            <w:tcW w:w="5606" w:type="dxa"/>
            <w:shd w:val="clear" w:color="auto" w:fill="auto"/>
            <w:vAlign w:val="center"/>
          </w:tcPr>
          <w:p w14:paraId="164920EB">
            <w:pPr>
              <w:spacing w:line="0" w:lineRule="atLeast"/>
              <w:rPr>
                <w:rFonts w:hint="eastAsia" w:ascii="宋体" w:hAnsi="宋体" w:cs="微软雅黑"/>
                <w:color w:val="auto"/>
                <w:szCs w:val="21"/>
                <w:highlight w:val="none"/>
                <w:lang w:val="zh-CN"/>
              </w:rPr>
            </w:pPr>
            <w:r>
              <w:rPr>
                <w:rFonts w:hint="eastAsia" w:ascii="宋体" w:hAnsi="宋体" w:cs="微软雅黑"/>
                <w:color w:val="auto"/>
                <w:szCs w:val="21"/>
                <w:highlight w:val="none"/>
                <w:lang w:val="zh-CN"/>
              </w:rPr>
              <w:t>供应商所提供货物的技术要求，满足“采购需求”的技术要求时，得满分20分；如</w:t>
            </w:r>
            <w:r>
              <w:rPr>
                <w:rFonts w:hint="eastAsia" w:ascii="宋体" w:hAnsi="宋体" w:cs="微软雅黑"/>
                <w:color w:val="auto"/>
                <w:szCs w:val="21"/>
                <w:highlight w:val="none"/>
                <w:lang w:val="en-US" w:eastAsia="zh-CN"/>
              </w:rPr>
              <w:t>除</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项外其余</w:t>
            </w:r>
            <w:r>
              <w:rPr>
                <w:rFonts w:hint="eastAsia" w:ascii="宋体" w:hAnsi="宋体" w:cs="微软雅黑"/>
                <w:color w:val="auto"/>
                <w:szCs w:val="21"/>
                <w:highlight w:val="none"/>
                <w:lang w:val="zh-CN"/>
              </w:rPr>
              <w:t>技术要求出现负偏离时，每有一项减2分，最低得0分。</w:t>
            </w:r>
          </w:p>
          <w:p w14:paraId="1B53747A">
            <w:pPr>
              <w:spacing w:line="0" w:lineRule="atLeast"/>
              <w:rPr>
                <w:rFonts w:hint="eastAsia" w:ascii="宋体" w:hAnsi="宋体" w:eastAsia="宋体" w:cs="微软雅黑"/>
                <w:color w:val="auto"/>
                <w:kern w:val="2"/>
                <w:sz w:val="21"/>
                <w:szCs w:val="21"/>
                <w:highlight w:val="none"/>
                <w:lang w:val="en-US" w:eastAsia="zh-CN" w:bidi="ar-SA"/>
              </w:rPr>
            </w:pPr>
            <w:r>
              <w:rPr>
                <w:rFonts w:hint="eastAsia" w:ascii="宋体" w:hAnsi="宋体" w:cs="微软雅黑"/>
                <w:color w:val="auto"/>
                <w:szCs w:val="21"/>
                <w:highlight w:val="none"/>
                <w:lang w:val="zh-CN"/>
              </w:rPr>
              <w:t>注：技术偏离情况以响应文件内附货物产品的技术白皮书、官方网站截图、检验报告和经公开发行的产品彩页为准，以上均加盖生产商的公章（不得以电子章或扫描章代替），未按上述要求提供不得分，或证明材料未体现谈判采购文件要求的技术参数不得分。</w:t>
            </w:r>
          </w:p>
        </w:tc>
        <w:tc>
          <w:tcPr>
            <w:tcW w:w="657" w:type="dxa"/>
            <w:shd w:val="clear" w:color="auto" w:fill="auto"/>
            <w:vAlign w:val="center"/>
          </w:tcPr>
          <w:p w14:paraId="4D626983">
            <w:pPr>
              <w:spacing w:line="0" w:lineRule="atLeast"/>
              <w:jc w:val="center"/>
              <w:rPr>
                <w:rFonts w:hint="eastAsia" w:ascii="宋体" w:hAnsi="宋体" w:eastAsia="宋体" w:cs="微软雅黑"/>
                <w:color w:val="auto"/>
                <w:kern w:val="2"/>
                <w:sz w:val="21"/>
                <w:szCs w:val="21"/>
                <w:highlight w:val="none"/>
                <w:lang w:val="en-US" w:eastAsia="zh-CN" w:bidi="ar-SA"/>
              </w:rPr>
            </w:pPr>
            <w:r>
              <w:rPr>
                <w:rFonts w:hint="eastAsia" w:ascii="宋体" w:hAnsi="宋体" w:cs="微软雅黑"/>
                <w:color w:val="auto"/>
                <w:szCs w:val="21"/>
                <w:highlight w:val="none"/>
                <w:lang w:val="en-US" w:eastAsia="zh-CN"/>
              </w:rPr>
              <w:t>0-20</w:t>
            </w:r>
          </w:p>
        </w:tc>
      </w:tr>
      <w:tr w14:paraId="51C8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700" w:type="dxa"/>
            <w:vMerge w:val="continue"/>
            <w:vAlign w:val="center"/>
          </w:tcPr>
          <w:p w14:paraId="407B3888">
            <w:pPr>
              <w:spacing w:line="0" w:lineRule="atLeast"/>
              <w:jc w:val="center"/>
              <w:rPr>
                <w:rFonts w:ascii="宋体" w:hAnsi="宋体" w:cs="微软雅黑"/>
                <w:color w:val="000000" w:themeColor="text1"/>
                <w:szCs w:val="21"/>
                <w:highlight w:val="none"/>
              </w:rPr>
            </w:pPr>
          </w:p>
        </w:tc>
        <w:tc>
          <w:tcPr>
            <w:tcW w:w="939" w:type="dxa"/>
            <w:vMerge w:val="continue"/>
            <w:vAlign w:val="center"/>
          </w:tcPr>
          <w:p w14:paraId="22240CC5">
            <w:pPr>
              <w:spacing w:line="0" w:lineRule="atLeast"/>
              <w:jc w:val="center"/>
              <w:rPr>
                <w:rFonts w:ascii="宋体" w:hAnsi="宋体" w:cs="微软雅黑"/>
                <w:color w:val="000000" w:themeColor="text1"/>
                <w:szCs w:val="21"/>
                <w:highlight w:val="none"/>
              </w:rPr>
            </w:pPr>
          </w:p>
        </w:tc>
        <w:tc>
          <w:tcPr>
            <w:tcW w:w="1737" w:type="dxa"/>
            <w:shd w:val="clear" w:color="auto" w:fill="auto"/>
            <w:vAlign w:val="center"/>
          </w:tcPr>
          <w:p w14:paraId="0CB83976">
            <w:pPr>
              <w:pStyle w:val="106"/>
              <w:spacing w:line="0" w:lineRule="atLeast"/>
              <w:jc w:val="center"/>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微软雅黑"/>
                <w:color w:val="auto"/>
                <w:kern w:val="2"/>
                <w:sz w:val="21"/>
                <w:szCs w:val="21"/>
                <w:highlight w:val="none"/>
                <w:lang w:val="en-US" w:eastAsia="zh-CN" w:bidi="ar-SA"/>
              </w:rPr>
              <w:t>产品授权（</w:t>
            </w:r>
            <w:r>
              <w:rPr>
                <w:rFonts w:hint="eastAsia" w:cs="微软雅黑"/>
                <w:color w:val="auto"/>
                <w:kern w:val="2"/>
                <w:sz w:val="21"/>
                <w:szCs w:val="21"/>
                <w:highlight w:val="none"/>
                <w:lang w:val="en-US" w:eastAsia="zh-CN" w:bidi="ar-SA"/>
              </w:rPr>
              <w:t>1</w:t>
            </w:r>
            <w:r>
              <w:rPr>
                <w:rFonts w:hint="eastAsia" w:ascii="宋体" w:hAnsi="宋体" w:eastAsia="宋体" w:cs="微软雅黑"/>
                <w:color w:val="auto"/>
                <w:kern w:val="2"/>
                <w:sz w:val="21"/>
                <w:szCs w:val="21"/>
                <w:highlight w:val="none"/>
                <w:lang w:val="en-US" w:eastAsia="zh-CN" w:bidi="ar-SA"/>
              </w:rPr>
              <w:t>分）</w:t>
            </w:r>
          </w:p>
        </w:tc>
        <w:tc>
          <w:tcPr>
            <w:tcW w:w="5606" w:type="dxa"/>
            <w:shd w:val="clear" w:color="auto" w:fill="auto"/>
            <w:vAlign w:val="center"/>
          </w:tcPr>
          <w:p w14:paraId="077081BE">
            <w:pPr>
              <w:autoSpaceDE w:val="0"/>
              <w:autoSpaceDN w:val="0"/>
              <w:adjustRightInd w:val="0"/>
              <w:snapToGrid w:val="0"/>
              <w:rPr>
                <w:rFonts w:hint="default" w:ascii="宋体" w:hAnsi="宋体" w:eastAsia="宋体" w:cs="宋体"/>
                <w:b w:val="0"/>
                <w:bCs/>
                <w:color w:val="000000"/>
                <w:szCs w:val="21"/>
                <w:highlight w:val="none"/>
                <w:lang w:val="en-US"/>
              </w:rPr>
            </w:pPr>
            <w:r>
              <w:rPr>
                <w:rFonts w:hint="eastAsia" w:ascii="宋体" w:hAnsi="宋体" w:eastAsia="宋体" w:cs="宋体"/>
                <w:b w:val="0"/>
                <w:bCs/>
                <w:color w:val="000000"/>
                <w:szCs w:val="21"/>
                <w:highlight w:val="none"/>
              </w:rPr>
              <w:t>响应产品非响应人所有或制造，提供制造商或经销商就本项目出具的授权书</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rPr>
              <w:t>从制造商到响应人授权层级关系必须明确，逐级授权，且下一级授权日期及授权范围不得超过上一级授权有效范围</w:t>
            </w:r>
            <w:r>
              <w:rPr>
                <w:rFonts w:hint="eastAsia" w:ascii="宋体" w:hAnsi="宋体" w:eastAsia="宋体" w:cs="宋体"/>
                <w:b w:val="0"/>
                <w:bCs/>
                <w:color w:val="000000"/>
                <w:szCs w:val="21"/>
                <w:highlight w:val="none"/>
                <w:lang w:eastAsia="zh-CN"/>
              </w:rPr>
              <w:t>）。</w:t>
            </w:r>
            <w:r>
              <w:rPr>
                <w:rFonts w:hint="eastAsia" w:ascii="宋体" w:hAnsi="宋体" w:eastAsia="宋体" w:cs="宋体"/>
                <w:b w:val="0"/>
                <w:bCs/>
                <w:color w:val="000000"/>
                <w:szCs w:val="21"/>
                <w:highlight w:val="none"/>
                <w:lang w:val="en-US" w:eastAsia="zh-CN"/>
              </w:rPr>
              <w:t>提供一个完整有效授权得</w:t>
            </w:r>
            <w:r>
              <w:rPr>
                <w:rFonts w:hint="eastAsia" w:ascii="宋体" w:hAnsi="宋体" w:cs="宋体"/>
                <w:b w:val="0"/>
                <w:bCs/>
                <w:color w:val="000000"/>
                <w:szCs w:val="21"/>
                <w:highlight w:val="none"/>
                <w:lang w:val="en-US" w:eastAsia="zh-CN"/>
              </w:rPr>
              <w:t>1</w:t>
            </w:r>
            <w:r>
              <w:rPr>
                <w:rFonts w:hint="eastAsia" w:ascii="宋体" w:hAnsi="宋体" w:eastAsia="宋体" w:cs="宋体"/>
                <w:b w:val="0"/>
                <w:bCs/>
                <w:color w:val="000000"/>
                <w:szCs w:val="21"/>
                <w:highlight w:val="none"/>
                <w:lang w:val="en-US" w:eastAsia="zh-CN"/>
              </w:rPr>
              <w:t>分，最多得</w:t>
            </w:r>
            <w:r>
              <w:rPr>
                <w:rFonts w:hint="eastAsia" w:ascii="宋体" w:hAnsi="宋体" w:cs="宋体"/>
                <w:b w:val="0"/>
                <w:bCs/>
                <w:color w:val="000000"/>
                <w:szCs w:val="21"/>
                <w:highlight w:val="none"/>
                <w:lang w:val="en-US" w:eastAsia="zh-CN"/>
              </w:rPr>
              <w:t>1</w:t>
            </w:r>
            <w:r>
              <w:rPr>
                <w:rFonts w:hint="eastAsia" w:ascii="宋体" w:hAnsi="宋体" w:eastAsia="宋体" w:cs="宋体"/>
                <w:b w:val="0"/>
                <w:bCs/>
                <w:color w:val="000000"/>
                <w:szCs w:val="21"/>
                <w:highlight w:val="none"/>
                <w:lang w:val="en-US" w:eastAsia="zh-CN"/>
              </w:rPr>
              <w:t>分；没有不得分。</w:t>
            </w:r>
          </w:p>
          <w:p w14:paraId="12CE862E">
            <w:pPr>
              <w:autoSpaceDE w:val="0"/>
              <w:autoSpaceDN w:val="0"/>
              <w:adjustRightInd w:val="0"/>
              <w:snapToGrid w:val="0"/>
              <w:rPr>
                <w:rFonts w:hint="eastAsia" w:ascii="宋体" w:hAnsi="宋体" w:eastAsia="宋体" w:cs="宋体"/>
                <w:b w:val="0"/>
                <w:bCs/>
                <w:color w:val="000000"/>
                <w:szCs w:val="21"/>
                <w:highlight w:val="none"/>
              </w:rPr>
            </w:pPr>
            <w:r>
              <w:rPr>
                <w:rFonts w:hint="eastAsia" w:ascii="宋体" w:hAnsi="宋体" w:eastAsia="宋体" w:cs="宋体"/>
                <w:b w:val="0"/>
                <w:bCs/>
                <w:color w:val="000000"/>
                <w:szCs w:val="21"/>
                <w:highlight w:val="none"/>
                <w:lang w:val="en-US" w:eastAsia="zh-CN"/>
              </w:rPr>
              <w:t>注</w:t>
            </w:r>
            <w:r>
              <w:rPr>
                <w:rFonts w:hint="eastAsia" w:ascii="宋体" w:hAnsi="宋体" w:eastAsia="宋体" w:cs="宋体"/>
                <w:b w:val="0"/>
                <w:bCs/>
                <w:color w:val="000000"/>
                <w:szCs w:val="21"/>
                <w:highlight w:val="none"/>
              </w:rPr>
              <w:t>：响应人与制造商之间的关联关系，其间所有单位需提供相关相应</w:t>
            </w:r>
            <w:r>
              <w:rPr>
                <w:rFonts w:hint="eastAsia" w:ascii="宋体" w:hAnsi="宋体" w:eastAsia="宋体" w:cs="宋体"/>
                <w:b w:val="0"/>
                <w:bCs/>
                <w:color w:val="000000"/>
                <w:szCs w:val="21"/>
                <w:highlight w:val="none"/>
                <w:lang w:eastAsia="zh-CN"/>
              </w:rPr>
              <w:t>资格</w:t>
            </w:r>
            <w:r>
              <w:rPr>
                <w:rFonts w:hint="eastAsia" w:ascii="宋体" w:hAnsi="宋体" w:eastAsia="宋体" w:cs="宋体"/>
                <w:b w:val="0"/>
                <w:bCs/>
                <w:color w:val="000000"/>
                <w:szCs w:val="21"/>
                <w:highlight w:val="none"/>
              </w:rPr>
              <w:t>证明（营业执照、授权书等）；</w:t>
            </w:r>
          </w:p>
          <w:p w14:paraId="634D3EF0">
            <w:pPr>
              <w:pStyle w:val="106"/>
              <w:spacing w:line="0" w:lineRule="atLeast"/>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eastAsia="宋体" w:cs="宋体"/>
                <w:b/>
                <w:color w:val="000000"/>
                <w:szCs w:val="21"/>
                <w:highlight w:val="none"/>
                <w:lang w:eastAsia="zh-CN"/>
              </w:rPr>
              <w:t>响应文件中附有效期内的证件复印件并加盖公章。</w:t>
            </w:r>
          </w:p>
        </w:tc>
        <w:tc>
          <w:tcPr>
            <w:tcW w:w="657" w:type="dxa"/>
            <w:shd w:val="clear" w:color="auto" w:fill="auto"/>
            <w:vAlign w:val="center"/>
          </w:tcPr>
          <w:p w14:paraId="47E3AE2E">
            <w:pPr>
              <w:spacing w:line="0" w:lineRule="atLeast"/>
              <w:jc w:val="center"/>
              <w:rPr>
                <w:rFonts w:hint="eastAsia" w:ascii="宋体" w:hAnsi="宋体" w:eastAsia="宋体" w:cs="微软雅黑"/>
                <w:color w:val="000000" w:themeColor="text1"/>
                <w:kern w:val="2"/>
                <w:sz w:val="21"/>
                <w:szCs w:val="21"/>
                <w:highlight w:val="none"/>
                <w:lang w:val="en-US" w:eastAsia="zh-CN" w:bidi="ar-SA"/>
              </w:rPr>
            </w:pPr>
            <w:r>
              <w:rPr>
                <w:rFonts w:hint="eastAsia" w:ascii="宋体" w:hAnsi="宋体" w:cs="微软雅黑"/>
                <w:color w:val="000000" w:themeColor="text1"/>
                <w:szCs w:val="21"/>
                <w:highlight w:val="none"/>
                <w:lang w:val="en-US" w:eastAsia="zh-CN"/>
              </w:rPr>
              <w:t>0-1</w:t>
            </w:r>
          </w:p>
        </w:tc>
      </w:tr>
      <w:tr w14:paraId="2B13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00" w:type="dxa"/>
            <w:vMerge w:val="restart"/>
            <w:vAlign w:val="center"/>
          </w:tcPr>
          <w:p w14:paraId="44DC9D8F">
            <w:pPr>
              <w:spacing w:line="0" w:lineRule="atLeast"/>
              <w:rPr>
                <w:rFonts w:hint="default" w:ascii="宋体" w:hAnsi="宋体" w:eastAsia="宋体" w:cs="微软雅黑"/>
                <w:color w:val="000000" w:themeColor="text1"/>
                <w:szCs w:val="21"/>
                <w:highlight w:val="none"/>
                <w:lang w:val="en-US" w:eastAsia="zh-CN"/>
              </w:rPr>
            </w:pPr>
            <w:r>
              <w:rPr>
                <w:rFonts w:hint="eastAsia" w:ascii="宋体" w:hAnsi="宋体" w:cs="微软雅黑"/>
                <w:color w:val="000000" w:themeColor="text1"/>
                <w:szCs w:val="21"/>
                <w:highlight w:val="none"/>
                <w:lang w:val="en-US" w:eastAsia="zh-CN"/>
              </w:rPr>
              <w:t>2.2.3（3）</w:t>
            </w:r>
          </w:p>
        </w:tc>
        <w:tc>
          <w:tcPr>
            <w:tcW w:w="939" w:type="dxa"/>
            <w:vMerge w:val="restart"/>
            <w:vAlign w:val="center"/>
          </w:tcPr>
          <w:p w14:paraId="0BFFB519">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技术因素</w:t>
            </w:r>
            <w:r>
              <w:rPr>
                <w:rFonts w:hint="eastAsia" w:ascii="宋体" w:hAnsi="宋体" w:cs="微软雅黑"/>
                <w:color w:val="000000" w:themeColor="text1"/>
                <w:szCs w:val="21"/>
                <w:highlight w:val="none"/>
                <w:lang w:val="en-US" w:eastAsia="zh-CN"/>
              </w:rPr>
              <w:t>40</w:t>
            </w:r>
            <w:r>
              <w:rPr>
                <w:rFonts w:hint="eastAsia" w:ascii="宋体" w:hAnsi="宋体" w:cs="微软雅黑"/>
                <w:color w:val="000000" w:themeColor="text1"/>
                <w:szCs w:val="21"/>
                <w:highlight w:val="none"/>
              </w:rPr>
              <w:t>分</w:t>
            </w:r>
          </w:p>
        </w:tc>
        <w:tc>
          <w:tcPr>
            <w:tcW w:w="1737" w:type="dxa"/>
            <w:vAlign w:val="center"/>
          </w:tcPr>
          <w:p w14:paraId="3B99977C">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供货方案</w:t>
            </w:r>
          </w:p>
          <w:p w14:paraId="75F46800">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w:t>
            </w:r>
            <w:r>
              <w:rPr>
                <w:rFonts w:hint="eastAsia" w:ascii="宋体" w:hAnsi="宋体" w:cs="微软雅黑"/>
                <w:color w:val="000000" w:themeColor="text1"/>
                <w:szCs w:val="21"/>
                <w:highlight w:val="none"/>
                <w:lang w:val="en-US" w:eastAsia="zh-CN"/>
              </w:rPr>
              <w:t>10</w:t>
            </w:r>
            <w:r>
              <w:rPr>
                <w:rFonts w:hint="eastAsia" w:ascii="宋体" w:hAnsi="宋体" w:cs="微软雅黑"/>
                <w:color w:val="000000" w:themeColor="text1"/>
                <w:szCs w:val="21"/>
                <w:highlight w:val="none"/>
              </w:rPr>
              <w:t>分）</w:t>
            </w:r>
          </w:p>
        </w:tc>
        <w:tc>
          <w:tcPr>
            <w:tcW w:w="5606" w:type="dxa"/>
            <w:vAlign w:val="center"/>
          </w:tcPr>
          <w:p w14:paraId="7E5B34CB">
            <w:pPr>
              <w:spacing w:line="0" w:lineRule="atLeas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根据投标人提供的供货方案，需包含但不限于以下要点：①供货期限是否满足招标文件要求；②交货方式是否切合实际；③供货保障流程是否合理；④供货流程要点是否明确；⑤供货实施步骤是否清晰。以上</w:t>
            </w:r>
            <w:r>
              <w:rPr>
                <w:rFonts w:hint="eastAsia" w:ascii="宋体" w:hAnsi="宋体" w:cs="微软雅黑"/>
                <w:color w:val="000000" w:themeColor="text1"/>
                <w:szCs w:val="21"/>
                <w:highlight w:val="none"/>
                <w:lang w:val="en-US" w:eastAsia="zh-CN"/>
              </w:rPr>
              <w:t>五</w:t>
            </w:r>
            <w:r>
              <w:rPr>
                <w:rFonts w:hint="eastAsia" w:ascii="宋体" w:hAnsi="宋体" w:cs="微软雅黑"/>
                <w:color w:val="000000" w:themeColor="text1"/>
                <w:szCs w:val="21"/>
                <w:highlight w:val="none"/>
              </w:rPr>
              <w:t>项方案每提供一小项内容适用于项目且无缺失的方案得2分，有缺失的得1分，本项满分</w:t>
            </w:r>
            <w:r>
              <w:rPr>
                <w:rFonts w:hint="eastAsia" w:ascii="宋体" w:hAnsi="宋体" w:cs="微软雅黑"/>
                <w:color w:val="000000" w:themeColor="text1"/>
                <w:szCs w:val="21"/>
                <w:highlight w:val="none"/>
                <w:lang w:val="en-US" w:eastAsia="zh-CN"/>
              </w:rPr>
              <w:t>10</w:t>
            </w:r>
            <w:r>
              <w:rPr>
                <w:rFonts w:hint="eastAsia" w:ascii="宋体" w:hAnsi="宋体" w:cs="微软雅黑"/>
                <w:color w:val="000000" w:themeColor="text1"/>
                <w:szCs w:val="21"/>
                <w:highlight w:val="none"/>
              </w:rPr>
              <w:t>分，未提供的得0分。</w:t>
            </w:r>
          </w:p>
          <w:p w14:paraId="4C217AA6">
            <w:pPr>
              <w:spacing w:line="0" w:lineRule="atLeas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（缺失是指：不符合实际，存在偏离内容、内容前后不一致、文不对题、前后逻辑错误、内容缺失有瑕疵、无具体流程细节描述之处）</w:t>
            </w:r>
          </w:p>
        </w:tc>
        <w:tc>
          <w:tcPr>
            <w:tcW w:w="657" w:type="dxa"/>
            <w:vAlign w:val="center"/>
          </w:tcPr>
          <w:p w14:paraId="5A0C586C">
            <w:pPr>
              <w:spacing w:line="0" w:lineRule="atLeast"/>
              <w:jc w:val="center"/>
              <w:rPr>
                <w:rFonts w:hint="default" w:ascii="宋体" w:hAnsi="宋体" w:eastAsia="宋体" w:cs="微软雅黑"/>
                <w:color w:val="000000" w:themeColor="text1"/>
                <w:szCs w:val="21"/>
                <w:highlight w:val="none"/>
                <w:lang w:val="en-US" w:eastAsia="zh-CN"/>
              </w:rPr>
            </w:pPr>
            <w:r>
              <w:rPr>
                <w:rFonts w:hint="eastAsia" w:ascii="宋体" w:hAnsi="宋体" w:cs="微软雅黑"/>
                <w:color w:val="000000" w:themeColor="text1"/>
                <w:szCs w:val="21"/>
                <w:highlight w:val="none"/>
              </w:rPr>
              <w:t>0-</w:t>
            </w:r>
            <w:r>
              <w:rPr>
                <w:rFonts w:hint="eastAsia" w:ascii="宋体" w:hAnsi="宋体" w:cs="微软雅黑"/>
                <w:color w:val="000000" w:themeColor="text1"/>
                <w:szCs w:val="21"/>
                <w:highlight w:val="none"/>
                <w:lang w:val="en-US" w:eastAsia="zh-CN"/>
              </w:rPr>
              <w:t>10</w:t>
            </w:r>
          </w:p>
        </w:tc>
      </w:tr>
      <w:tr w14:paraId="335A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700" w:type="dxa"/>
            <w:vMerge w:val="continue"/>
            <w:vAlign w:val="center"/>
          </w:tcPr>
          <w:p w14:paraId="3A0393EC">
            <w:pPr>
              <w:spacing w:line="0" w:lineRule="atLeast"/>
              <w:jc w:val="center"/>
              <w:rPr>
                <w:rFonts w:ascii="宋体" w:hAnsi="宋体" w:cs="微软雅黑"/>
                <w:color w:val="000000" w:themeColor="text1"/>
                <w:szCs w:val="21"/>
                <w:highlight w:val="none"/>
              </w:rPr>
            </w:pPr>
          </w:p>
        </w:tc>
        <w:tc>
          <w:tcPr>
            <w:tcW w:w="939" w:type="dxa"/>
            <w:vMerge w:val="continue"/>
            <w:vAlign w:val="center"/>
          </w:tcPr>
          <w:p w14:paraId="4708939B">
            <w:pPr>
              <w:spacing w:line="0" w:lineRule="atLeast"/>
              <w:jc w:val="center"/>
              <w:rPr>
                <w:rFonts w:ascii="宋体" w:hAnsi="宋体" w:cs="微软雅黑"/>
                <w:color w:val="000000" w:themeColor="text1"/>
                <w:szCs w:val="21"/>
                <w:highlight w:val="none"/>
              </w:rPr>
            </w:pPr>
          </w:p>
        </w:tc>
        <w:tc>
          <w:tcPr>
            <w:tcW w:w="1737" w:type="dxa"/>
            <w:vAlign w:val="center"/>
          </w:tcPr>
          <w:p w14:paraId="33016045">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安装与验收方案</w:t>
            </w:r>
          </w:p>
          <w:p w14:paraId="34FD19F5">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w:t>
            </w:r>
            <w:r>
              <w:rPr>
                <w:rFonts w:hint="eastAsia" w:ascii="宋体" w:hAnsi="宋体" w:cs="微软雅黑"/>
                <w:color w:val="000000" w:themeColor="text1"/>
                <w:szCs w:val="21"/>
                <w:highlight w:val="none"/>
                <w:lang w:val="en-US" w:eastAsia="zh-CN"/>
              </w:rPr>
              <w:t>10</w:t>
            </w:r>
            <w:r>
              <w:rPr>
                <w:rFonts w:hint="eastAsia" w:ascii="宋体" w:hAnsi="宋体" w:cs="微软雅黑"/>
                <w:color w:val="000000" w:themeColor="text1"/>
                <w:szCs w:val="21"/>
                <w:highlight w:val="none"/>
              </w:rPr>
              <w:t>分）</w:t>
            </w:r>
          </w:p>
        </w:tc>
        <w:tc>
          <w:tcPr>
            <w:tcW w:w="5606" w:type="dxa"/>
            <w:vAlign w:val="center"/>
          </w:tcPr>
          <w:p w14:paraId="140D766E">
            <w:pPr>
              <w:spacing w:line="0" w:lineRule="atLeast"/>
              <w:rPr>
                <w:rFonts w:hint="eastAsia" w:ascii="宋体" w:hAnsi="宋体" w:cs="微软雅黑"/>
                <w:color w:val="000000" w:themeColor="text1"/>
                <w:szCs w:val="21"/>
                <w:highlight w:val="none"/>
              </w:rPr>
            </w:pPr>
            <w:r>
              <w:rPr>
                <w:rFonts w:hint="eastAsia" w:ascii="宋体" w:hAnsi="宋体" w:cs="微软雅黑"/>
                <w:color w:val="000000" w:themeColor="text1"/>
                <w:szCs w:val="21"/>
                <w:highlight w:val="none"/>
              </w:rPr>
              <w:t>根据投标人提供的安装与验收方案，需包含但不限于以下要点：①安装方案；②安装人员配置；③调试要求；④开箱测试方式；⑤产品验收方案。</w:t>
            </w:r>
          </w:p>
          <w:p w14:paraId="2635DBD7">
            <w:pPr>
              <w:spacing w:line="0" w:lineRule="atLeas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以上</w:t>
            </w:r>
            <w:r>
              <w:rPr>
                <w:rFonts w:hint="eastAsia" w:ascii="宋体" w:hAnsi="宋体" w:cs="微软雅黑"/>
                <w:color w:val="000000" w:themeColor="text1"/>
                <w:szCs w:val="21"/>
                <w:highlight w:val="none"/>
                <w:lang w:val="en-US" w:eastAsia="zh-CN"/>
              </w:rPr>
              <w:t>五</w:t>
            </w:r>
            <w:r>
              <w:rPr>
                <w:rFonts w:hint="eastAsia" w:ascii="宋体" w:hAnsi="宋体" w:cs="微软雅黑"/>
                <w:color w:val="000000" w:themeColor="text1"/>
                <w:szCs w:val="21"/>
                <w:highlight w:val="none"/>
              </w:rPr>
              <w:t>项方案每提供一小项内容适用于项目且无缺失的方案得2分，有缺失的得1分，本项满分</w:t>
            </w:r>
            <w:r>
              <w:rPr>
                <w:rFonts w:hint="eastAsia" w:ascii="宋体" w:hAnsi="宋体" w:cs="微软雅黑"/>
                <w:color w:val="000000" w:themeColor="text1"/>
                <w:szCs w:val="21"/>
                <w:highlight w:val="none"/>
                <w:lang w:val="en-US" w:eastAsia="zh-CN"/>
              </w:rPr>
              <w:t>10</w:t>
            </w:r>
            <w:r>
              <w:rPr>
                <w:rFonts w:hint="eastAsia" w:ascii="宋体" w:hAnsi="宋体" w:cs="微软雅黑"/>
                <w:color w:val="000000" w:themeColor="text1"/>
                <w:szCs w:val="21"/>
                <w:highlight w:val="none"/>
              </w:rPr>
              <w:t>分，未提供的得0分。</w:t>
            </w:r>
          </w:p>
          <w:p w14:paraId="2516AE6F">
            <w:pPr>
              <w:spacing w:line="0" w:lineRule="atLeas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（缺失是指：不符合实际，存在偏离内容、内容前后不一致、文不对题、前后逻辑错误、内容缺失有瑕疵、无具体流程细节描述之处）</w:t>
            </w:r>
          </w:p>
        </w:tc>
        <w:tc>
          <w:tcPr>
            <w:tcW w:w="657" w:type="dxa"/>
            <w:vAlign w:val="center"/>
          </w:tcPr>
          <w:p w14:paraId="25742C14">
            <w:pPr>
              <w:spacing w:line="0" w:lineRule="atLeast"/>
              <w:jc w:val="center"/>
              <w:rPr>
                <w:rFonts w:hint="default" w:ascii="宋体" w:hAnsi="宋体" w:eastAsia="宋体" w:cs="微软雅黑"/>
                <w:color w:val="000000" w:themeColor="text1"/>
                <w:szCs w:val="21"/>
                <w:highlight w:val="none"/>
                <w:lang w:val="en-US" w:eastAsia="zh-CN"/>
              </w:rPr>
            </w:pPr>
            <w:r>
              <w:rPr>
                <w:rFonts w:hint="eastAsia" w:ascii="宋体" w:hAnsi="宋体" w:cs="微软雅黑"/>
                <w:color w:val="000000" w:themeColor="text1"/>
                <w:szCs w:val="21"/>
                <w:highlight w:val="none"/>
                <w:lang w:val="en-US" w:eastAsia="zh-CN"/>
              </w:rPr>
              <w:t>0-10</w:t>
            </w:r>
          </w:p>
        </w:tc>
      </w:tr>
      <w:tr w14:paraId="45F6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atLeast"/>
        </w:trPr>
        <w:tc>
          <w:tcPr>
            <w:tcW w:w="700" w:type="dxa"/>
            <w:vMerge w:val="continue"/>
            <w:vAlign w:val="center"/>
          </w:tcPr>
          <w:p w14:paraId="42D45C88">
            <w:pPr>
              <w:spacing w:line="0" w:lineRule="atLeast"/>
              <w:jc w:val="center"/>
              <w:rPr>
                <w:rFonts w:ascii="宋体" w:hAnsi="宋体" w:cs="微软雅黑"/>
                <w:color w:val="000000" w:themeColor="text1"/>
                <w:szCs w:val="21"/>
                <w:highlight w:val="none"/>
              </w:rPr>
            </w:pPr>
          </w:p>
        </w:tc>
        <w:tc>
          <w:tcPr>
            <w:tcW w:w="939" w:type="dxa"/>
            <w:vMerge w:val="continue"/>
            <w:vAlign w:val="center"/>
          </w:tcPr>
          <w:p w14:paraId="080E0970">
            <w:pPr>
              <w:spacing w:line="0" w:lineRule="atLeast"/>
              <w:jc w:val="center"/>
              <w:rPr>
                <w:rFonts w:ascii="宋体" w:hAnsi="宋体" w:cs="微软雅黑"/>
                <w:color w:val="000000" w:themeColor="text1"/>
                <w:szCs w:val="21"/>
                <w:highlight w:val="none"/>
              </w:rPr>
            </w:pPr>
          </w:p>
        </w:tc>
        <w:tc>
          <w:tcPr>
            <w:tcW w:w="1737" w:type="dxa"/>
            <w:vAlign w:val="center"/>
          </w:tcPr>
          <w:p w14:paraId="36581EE2">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所投设备运行和维修成本（8分）</w:t>
            </w:r>
          </w:p>
        </w:tc>
        <w:tc>
          <w:tcPr>
            <w:tcW w:w="5606" w:type="dxa"/>
            <w:vAlign w:val="center"/>
          </w:tcPr>
          <w:p w14:paraId="079455E5">
            <w:pPr>
              <w:spacing w:line="0" w:lineRule="atLeast"/>
              <w:rPr>
                <w:rFonts w:hint="eastAsia" w:ascii="宋体" w:hAnsi="宋体" w:cs="微软雅黑"/>
                <w:color w:val="000000" w:themeColor="text1"/>
                <w:szCs w:val="21"/>
                <w:highlight w:val="none"/>
                <w:lang w:val="zh-CN"/>
              </w:rPr>
            </w:pPr>
            <w:r>
              <w:rPr>
                <w:rFonts w:hint="eastAsia" w:ascii="宋体" w:hAnsi="宋体" w:cs="微软雅黑"/>
                <w:color w:val="000000" w:themeColor="text1"/>
                <w:szCs w:val="21"/>
                <w:highlight w:val="none"/>
                <w:lang w:val="zh-CN"/>
              </w:rPr>
              <w:t>根据提供的维修成本方案，需包含但不限于以下要点：①提供的保修价格、设备配件价格、维修服务费是否合理；②维修人员配备是否全面；③维修完成时间是否及时；④维修质量的保障。</w:t>
            </w:r>
          </w:p>
          <w:p w14:paraId="1743466D">
            <w:pPr>
              <w:spacing w:line="0" w:lineRule="atLeast"/>
              <w:rPr>
                <w:rFonts w:ascii="宋体" w:hAnsi="宋体" w:cs="微软雅黑"/>
                <w:color w:val="000000" w:themeColor="text1"/>
                <w:szCs w:val="21"/>
                <w:highlight w:val="none"/>
              </w:rPr>
            </w:pPr>
            <w:r>
              <w:rPr>
                <w:rFonts w:hint="eastAsia" w:ascii="宋体" w:hAnsi="宋体" w:cs="微软雅黑"/>
                <w:color w:val="000000" w:themeColor="text1"/>
                <w:szCs w:val="21"/>
                <w:highlight w:val="none"/>
              </w:rPr>
              <w:t>以上</w:t>
            </w:r>
            <w:r>
              <w:rPr>
                <w:rFonts w:hint="eastAsia" w:ascii="宋体" w:hAnsi="宋体" w:cs="微软雅黑"/>
                <w:color w:val="000000" w:themeColor="text1"/>
                <w:szCs w:val="21"/>
                <w:highlight w:val="none"/>
                <w:lang w:val="en-US" w:eastAsia="zh-CN"/>
              </w:rPr>
              <w:t>四</w:t>
            </w:r>
            <w:r>
              <w:rPr>
                <w:rFonts w:hint="eastAsia" w:ascii="宋体" w:hAnsi="宋体" w:cs="微软雅黑"/>
                <w:color w:val="000000" w:themeColor="text1"/>
                <w:szCs w:val="21"/>
                <w:highlight w:val="none"/>
              </w:rPr>
              <w:t>项方案每提供一小项内容适用于项目且无缺失的方案得2分，有缺失的得1分，本项满分</w:t>
            </w:r>
            <w:r>
              <w:rPr>
                <w:rFonts w:hint="eastAsia" w:ascii="宋体" w:hAnsi="宋体" w:cs="微软雅黑"/>
                <w:color w:val="000000" w:themeColor="text1"/>
                <w:szCs w:val="21"/>
                <w:highlight w:val="none"/>
                <w:lang w:val="en-US" w:eastAsia="zh-CN"/>
              </w:rPr>
              <w:t>8</w:t>
            </w:r>
            <w:r>
              <w:rPr>
                <w:rFonts w:hint="eastAsia" w:ascii="宋体" w:hAnsi="宋体" w:cs="微软雅黑"/>
                <w:color w:val="000000" w:themeColor="text1"/>
                <w:szCs w:val="21"/>
                <w:highlight w:val="none"/>
              </w:rPr>
              <w:t>分，未提供的得0分。</w:t>
            </w:r>
          </w:p>
          <w:p w14:paraId="17101A04">
            <w:pPr>
              <w:spacing w:line="0" w:lineRule="atLeast"/>
              <w:rPr>
                <w:rFonts w:ascii="宋体" w:hAnsi="宋体" w:cs="微软雅黑"/>
                <w:color w:val="000000" w:themeColor="text1"/>
                <w:szCs w:val="21"/>
                <w:highlight w:val="none"/>
                <w:lang w:val="zh-CN"/>
              </w:rPr>
            </w:pPr>
            <w:r>
              <w:rPr>
                <w:rFonts w:hint="eastAsia" w:ascii="宋体" w:hAnsi="宋体" w:cs="微软雅黑"/>
                <w:color w:val="000000" w:themeColor="text1"/>
                <w:szCs w:val="21"/>
                <w:highlight w:val="none"/>
              </w:rPr>
              <w:t>（缺失是指：不符合实际，存在偏离内容、内容前后不一致、文不对题、前后逻辑错误、内容缺失有瑕疵、无具体流程细节描述之处）</w:t>
            </w:r>
          </w:p>
        </w:tc>
        <w:tc>
          <w:tcPr>
            <w:tcW w:w="657" w:type="dxa"/>
            <w:vAlign w:val="center"/>
          </w:tcPr>
          <w:p w14:paraId="1BD7F183">
            <w:pPr>
              <w:spacing w:line="0" w:lineRule="atLeast"/>
              <w:jc w:val="center"/>
              <w:rPr>
                <w:rFonts w:hint="default" w:ascii="宋体" w:hAnsi="宋体" w:eastAsia="宋体" w:cs="微软雅黑"/>
                <w:color w:val="000000" w:themeColor="text1"/>
                <w:szCs w:val="21"/>
                <w:highlight w:val="none"/>
                <w:lang w:val="en-US" w:eastAsia="zh-CN"/>
              </w:rPr>
            </w:pPr>
            <w:r>
              <w:rPr>
                <w:rFonts w:hint="eastAsia" w:ascii="宋体" w:hAnsi="宋体" w:cs="微软雅黑"/>
                <w:color w:val="000000" w:themeColor="text1"/>
                <w:szCs w:val="21"/>
                <w:highlight w:val="none"/>
                <w:lang w:val="en-US" w:eastAsia="zh-CN"/>
              </w:rPr>
              <w:t>0-8</w:t>
            </w:r>
          </w:p>
        </w:tc>
      </w:tr>
      <w:tr w14:paraId="5D9F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atLeast"/>
        </w:trPr>
        <w:tc>
          <w:tcPr>
            <w:tcW w:w="700" w:type="dxa"/>
            <w:vMerge w:val="continue"/>
            <w:vAlign w:val="center"/>
          </w:tcPr>
          <w:p w14:paraId="6E61F7D3">
            <w:pPr>
              <w:spacing w:line="0" w:lineRule="atLeast"/>
              <w:jc w:val="center"/>
              <w:rPr>
                <w:rFonts w:ascii="宋体" w:hAnsi="宋体" w:cs="微软雅黑"/>
                <w:color w:val="000000" w:themeColor="text1"/>
                <w:szCs w:val="21"/>
                <w:highlight w:val="none"/>
              </w:rPr>
            </w:pPr>
          </w:p>
        </w:tc>
        <w:tc>
          <w:tcPr>
            <w:tcW w:w="939" w:type="dxa"/>
            <w:vMerge w:val="continue"/>
            <w:vAlign w:val="center"/>
          </w:tcPr>
          <w:p w14:paraId="0E7DE8B6">
            <w:pPr>
              <w:spacing w:line="0" w:lineRule="atLeast"/>
              <w:jc w:val="center"/>
              <w:rPr>
                <w:rFonts w:ascii="宋体" w:hAnsi="宋体" w:cs="微软雅黑"/>
                <w:color w:val="000000" w:themeColor="text1"/>
                <w:szCs w:val="21"/>
                <w:highlight w:val="none"/>
              </w:rPr>
            </w:pPr>
          </w:p>
        </w:tc>
        <w:tc>
          <w:tcPr>
            <w:tcW w:w="1737" w:type="dxa"/>
            <w:vAlign w:val="center"/>
          </w:tcPr>
          <w:p w14:paraId="19C802D4">
            <w:pPr>
              <w:spacing w:line="0" w:lineRule="atLeast"/>
              <w:jc w:val="center"/>
              <w:rPr>
                <w:rFonts w:ascii="宋体" w:hAnsi="宋体" w:cs="微软雅黑"/>
                <w:color w:val="000000" w:themeColor="text1"/>
                <w:szCs w:val="21"/>
                <w:highlight w:val="none"/>
              </w:rPr>
            </w:pPr>
            <w:r>
              <w:rPr>
                <w:rFonts w:hint="eastAsia" w:ascii="宋体" w:hAnsi="宋体" w:cs="微软雅黑"/>
                <w:color w:val="000000" w:themeColor="text1"/>
                <w:szCs w:val="21"/>
                <w:highlight w:val="none"/>
                <w:lang w:eastAsia="zh-CN"/>
              </w:rPr>
              <w:t>售后</w:t>
            </w:r>
            <w:r>
              <w:rPr>
                <w:rFonts w:hint="eastAsia" w:ascii="宋体" w:hAnsi="宋体" w:cs="微软雅黑"/>
                <w:color w:val="000000" w:themeColor="text1"/>
                <w:szCs w:val="21"/>
                <w:highlight w:val="none"/>
              </w:rPr>
              <w:t>服务承诺（</w:t>
            </w:r>
            <w:r>
              <w:rPr>
                <w:rFonts w:hint="eastAsia" w:ascii="宋体" w:hAnsi="宋体" w:cs="微软雅黑"/>
                <w:color w:val="000000" w:themeColor="text1"/>
                <w:szCs w:val="21"/>
                <w:highlight w:val="none"/>
                <w:lang w:val="en-US" w:eastAsia="zh-CN"/>
              </w:rPr>
              <w:t>12</w:t>
            </w:r>
            <w:r>
              <w:rPr>
                <w:rFonts w:hint="eastAsia" w:ascii="宋体" w:hAnsi="宋体" w:cs="微软雅黑"/>
                <w:color w:val="000000" w:themeColor="text1"/>
                <w:szCs w:val="21"/>
                <w:highlight w:val="none"/>
              </w:rPr>
              <w:t>分）</w:t>
            </w:r>
          </w:p>
        </w:tc>
        <w:tc>
          <w:tcPr>
            <w:tcW w:w="5606" w:type="dxa"/>
            <w:vAlign w:val="center"/>
          </w:tcPr>
          <w:p w14:paraId="4E41E838">
            <w:pPr>
              <w:spacing w:line="0" w:lineRule="atLeast"/>
              <w:rPr>
                <w:rFonts w:hint="eastAsia" w:ascii="宋体" w:hAnsi="宋体" w:cs="微软雅黑"/>
                <w:color w:val="000000" w:themeColor="text1"/>
                <w:szCs w:val="21"/>
                <w:highlight w:val="none"/>
              </w:rPr>
            </w:pPr>
            <w:r>
              <w:rPr>
                <w:rFonts w:hint="eastAsia" w:ascii="宋体" w:hAnsi="宋体" w:cs="微软雅黑"/>
                <w:color w:val="000000" w:themeColor="text1"/>
                <w:szCs w:val="21"/>
                <w:highlight w:val="none"/>
              </w:rPr>
              <w:t>根据投标人提供的救护车</w:t>
            </w:r>
            <w:r>
              <w:rPr>
                <w:rFonts w:hint="eastAsia" w:ascii="宋体" w:hAnsi="宋体" w:cs="微软雅黑"/>
                <w:color w:val="000000" w:themeColor="text1"/>
                <w:szCs w:val="21"/>
                <w:highlight w:val="none"/>
                <w:lang w:eastAsia="zh-CN"/>
              </w:rPr>
              <w:t>售后</w:t>
            </w:r>
            <w:r>
              <w:rPr>
                <w:rFonts w:hint="eastAsia" w:ascii="宋体" w:hAnsi="宋体" w:cs="微软雅黑"/>
                <w:color w:val="000000" w:themeColor="text1"/>
                <w:szCs w:val="21"/>
                <w:highlight w:val="none"/>
              </w:rPr>
              <w:t>服务承诺，需包含但不限于以下要点：①针对救护车的专项服务方式；②救护车应急服务响应时间；③救护车专业技术支持；④覆盖救护车全生命周期的服务体系；⑤救护车相关货品（含关键配件、易损件）退换承诺</w:t>
            </w:r>
            <w:r>
              <w:rPr>
                <w:rFonts w:hint="eastAsia" w:ascii="宋体" w:hAnsi="宋体" w:cs="微软雅黑"/>
                <w:color w:val="000000" w:themeColor="text1"/>
                <w:szCs w:val="21"/>
                <w:highlight w:val="none"/>
                <w:lang w:eastAsia="zh-CN"/>
              </w:rPr>
              <w:t>；⑥</w:t>
            </w:r>
            <w:r>
              <w:rPr>
                <w:rFonts w:hint="eastAsia" w:ascii="宋体" w:hAnsi="宋体" w:cs="微软雅黑"/>
                <w:color w:val="000000" w:themeColor="text1"/>
                <w:szCs w:val="21"/>
                <w:highlight w:val="none"/>
              </w:rPr>
              <w:t>质保期内定期服务方案；</w:t>
            </w:r>
          </w:p>
          <w:p w14:paraId="10158ACA">
            <w:pPr>
              <w:spacing w:line="0" w:lineRule="atLeast"/>
              <w:rPr>
                <w:rFonts w:hint="eastAsia" w:ascii="宋体" w:hAnsi="宋体" w:cs="微软雅黑"/>
                <w:color w:val="000000" w:themeColor="text1"/>
                <w:szCs w:val="21"/>
                <w:highlight w:val="none"/>
              </w:rPr>
            </w:pPr>
            <w:r>
              <w:rPr>
                <w:rFonts w:hint="eastAsia" w:ascii="宋体" w:hAnsi="宋体" w:cs="微软雅黑"/>
                <w:color w:val="000000" w:themeColor="text1"/>
                <w:szCs w:val="21"/>
                <w:highlight w:val="none"/>
              </w:rPr>
              <w:t>以上</w:t>
            </w:r>
            <w:r>
              <w:rPr>
                <w:rFonts w:hint="eastAsia" w:ascii="宋体" w:hAnsi="宋体" w:cs="微软雅黑"/>
                <w:color w:val="000000" w:themeColor="text1"/>
                <w:szCs w:val="21"/>
                <w:highlight w:val="none"/>
                <w:lang w:val="en-US" w:eastAsia="zh-CN"/>
              </w:rPr>
              <w:t>六</w:t>
            </w:r>
            <w:r>
              <w:rPr>
                <w:rFonts w:hint="eastAsia" w:ascii="宋体" w:hAnsi="宋体" w:cs="微软雅黑"/>
                <w:color w:val="000000" w:themeColor="text1"/>
                <w:szCs w:val="21"/>
                <w:highlight w:val="none"/>
              </w:rPr>
              <w:t>项方案每提供一小项内容适用于项目且无缺失的方案得2分，有缺失的得1分，本项满分</w:t>
            </w:r>
            <w:r>
              <w:rPr>
                <w:rFonts w:hint="eastAsia" w:ascii="宋体" w:hAnsi="宋体" w:cs="微软雅黑"/>
                <w:color w:val="000000" w:themeColor="text1"/>
                <w:szCs w:val="21"/>
                <w:highlight w:val="none"/>
                <w:lang w:val="en-US" w:eastAsia="zh-CN"/>
              </w:rPr>
              <w:t>12</w:t>
            </w:r>
            <w:r>
              <w:rPr>
                <w:rFonts w:hint="eastAsia" w:ascii="宋体" w:hAnsi="宋体" w:cs="微软雅黑"/>
                <w:color w:val="000000" w:themeColor="text1"/>
                <w:szCs w:val="21"/>
                <w:highlight w:val="none"/>
              </w:rPr>
              <w:t>分，未提供的得0分。</w:t>
            </w:r>
          </w:p>
          <w:p w14:paraId="5CC917DC">
            <w:pPr>
              <w:spacing w:line="0" w:lineRule="atLeast"/>
              <w:rPr>
                <w:highlight w:val="none"/>
              </w:rPr>
            </w:pPr>
            <w:r>
              <w:rPr>
                <w:rFonts w:hint="eastAsia" w:ascii="宋体" w:hAnsi="宋体" w:cs="微软雅黑"/>
                <w:color w:val="000000" w:themeColor="text1"/>
                <w:szCs w:val="21"/>
                <w:highlight w:val="none"/>
              </w:rPr>
              <w:t>（缺失是指：不符合实际，存在偏离内容、内容前后不一致、文不对题、前后逻辑错误、内容缺失有瑕疵、无具体流程细节描述之处）</w:t>
            </w:r>
          </w:p>
        </w:tc>
        <w:tc>
          <w:tcPr>
            <w:tcW w:w="657" w:type="dxa"/>
            <w:vAlign w:val="center"/>
          </w:tcPr>
          <w:p w14:paraId="26300C90">
            <w:pPr>
              <w:spacing w:line="0" w:lineRule="atLeast"/>
              <w:jc w:val="center"/>
              <w:rPr>
                <w:rFonts w:hint="default" w:ascii="宋体" w:hAnsi="宋体" w:eastAsia="宋体" w:cs="微软雅黑"/>
                <w:color w:val="000000" w:themeColor="text1"/>
                <w:szCs w:val="21"/>
                <w:highlight w:val="none"/>
                <w:lang w:val="en-US" w:eastAsia="zh-CN"/>
              </w:rPr>
            </w:pPr>
            <w:r>
              <w:rPr>
                <w:rFonts w:hint="eastAsia" w:ascii="宋体" w:hAnsi="宋体" w:cs="微软雅黑"/>
                <w:color w:val="000000" w:themeColor="text1"/>
                <w:szCs w:val="21"/>
                <w:highlight w:val="none"/>
                <w:lang w:val="en-US" w:eastAsia="zh-CN"/>
              </w:rPr>
              <w:t>0-12</w:t>
            </w:r>
          </w:p>
        </w:tc>
      </w:tr>
    </w:tbl>
    <w:p w14:paraId="76BD0438">
      <w:pPr>
        <w:autoSpaceDN w:val="0"/>
        <w:rPr>
          <w:rFonts w:ascii="宋体" w:hAnsi="宋体" w:cs="宋体"/>
          <w:color w:val="000000" w:themeColor="text1"/>
          <w:szCs w:val="21"/>
          <w:highlight w:val="none"/>
        </w:rPr>
      </w:pPr>
      <w:r>
        <w:rPr>
          <w:rFonts w:hint="eastAsia" w:ascii="宋体" w:hAnsi="宋体" w:cs="宋体"/>
          <w:b/>
          <w:bCs/>
          <w:color w:val="000000" w:themeColor="text1"/>
          <w:szCs w:val="21"/>
          <w:highlight w:val="none"/>
        </w:rPr>
        <w:t>综合评估表：</w:t>
      </w:r>
    </w:p>
    <w:p w14:paraId="3A2C43C8">
      <w:pPr>
        <w:autoSpaceDN w:val="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(一) 说明</w:t>
      </w:r>
    </w:p>
    <w:p w14:paraId="25ED7D20">
      <w:pPr>
        <w:autoSpaceDN w:val="0"/>
        <w:rPr>
          <w:rFonts w:ascii="宋体" w:hAnsi="宋体" w:cs="宋体"/>
          <w:b/>
          <w:bCs/>
          <w:color w:val="000000" w:themeColor="text1"/>
          <w:szCs w:val="21"/>
          <w:highlight w:val="none"/>
        </w:rPr>
      </w:pPr>
      <w:r>
        <w:rPr>
          <w:rFonts w:hint="eastAsia" w:ascii="宋体" w:hAnsi="宋体" w:cs="宋体"/>
          <w:color w:val="000000" w:themeColor="text1"/>
          <w:szCs w:val="21"/>
          <w:highlight w:val="none"/>
        </w:rPr>
        <w:t>1、 按最终得分由高到低的顺序推荐预中标候选人3名，最终推荐排名第1名的为中标候选人。得分相同的，按投标报价（指投标报价经算术修正和落实政府采购政策需进行的价格扣除后的投标价格）由低到高顺序排列；得分且投标报价（指投标报价经算术修正和落实政府采购政策需进行的价格扣除后的投标价格）相同的，按技术服务评分由高到低顺序排列；得分、投标报价（指投标报价经算术修正和落实政府采购政策需进行的价格扣除后的投标价格）且技术服务评分相同的，按所投产品列入政府优先采购产品类别认证证书多少顺序排列；以上均相同的，按解密投标文件时间先后顺序（以递交投标文件登记表为准）排列。分包采购的，每包评标结果按上述规则排列。提供相同品牌产品且通过资格审查、符合性审查的不同 投标人参加同一合同项下投标的，按一家投标人计算，评审后得分最高的同品牌投标人获得中标人推荐资格；评审得分相同的，由评标委员会采取随机抽取方式确定，其他同品牌投标人不作为中标候选人。</w:t>
      </w:r>
      <w:r>
        <w:rPr>
          <w:rFonts w:hint="eastAsia" w:ascii="宋体" w:hAnsi="宋体" w:cs="宋体"/>
          <w:b/>
          <w:bCs/>
          <w:color w:val="000000" w:themeColor="text1"/>
          <w:szCs w:val="21"/>
          <w:highlight w:val="none"/>
        </w:rPr>
        <w:t>核心产品见采购需求表已注明。</w:t>
      </w:r>
    </w:p>
    <w:p w14:paraId="5FD5FE08">
      <w:pPr>
        <w:autoSpaceDN w:val="0"/>
        <w:rPr>
          <w:rFonts w:ascii="宋体" w:hAnsi="宋体" w:cs="宋体"/>
          <w:color w:val="000000" w:themeColor="text1"/>
          <w:szCs w:val="21"/>
          <w:highlight w:val="none"/>
        </w:rPr>
      </w:pPr>
      <w:r>
        <w:rPr>
          <w:rFonts w:hint="eastAsia" w:ascii="宋体" w:hAnsi="宋体" w:cs="宋体"/>
          <w:color w:val="000000" w:themeColor="text1"/>
          <w:szCs w:val="21"/>
          <w:highlight w:val="none"/>
        </w:rPr>
        <w:t>2、本办法未列内容，不作为本次评审依据。</w:t>
      </w:r>
    </w:p>
    <w:p w14:paraId="6A33F362">
      <w:pPr>
        <w:autoSpaceDN w:val="0"/>
        <w:rPr>
          <w:rFonts w:ascii="宋体" w:hAnsi="宋体" w:cs="宋体"/>
          <w:color w:val="000000" w:themeColor="text1"/>
          <w:szCs w:val="21"/>
          <w:highlight w:val="none"/>
        </w:rPr>
      </w:pPr>
      <w:r>
        <w:rPr>
          <w:rFonts w:hint="eastAsia" w:ascii="宋体" w:hAnsi="宋体" w:cs="宋体"/>
          <w:color w:val="000000" w:themeColor="text1"/>
          <w:szCs w:val="21"/>
          <w:highlight w:val="none"/>
        </w:rPr>
        <w:t>纳入节能产品政府采购清单的的投标产品及纳入环境标志产品政府采购品目清单的投标产品的证明材料：</w:t>
      </w:r>
    </w:p>
    <w:tbl>
      <w:tblPr>
        <w:tblStyle w:val="38"/>
        <w:tblW w:w="4997"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806"/>
        <w:gridCol w:w="806"/>
        <w:gridCol w:w="3019"/>
        <w:gridCol w:w="954"/>
        <w:gridCol w:w="3314"/>
        <w:gridCol w:w="955"/>
      </w:tblGrid>
      <w:tr w14:paraId="6F2E46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0" w:hRule="atLeast"/>
        </w:trPr>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68E88">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项目名称</w:t>
            </w:r>
          </w:p>
        </w:tc>
        <w:tc>
          <w:tcPr>
            <w:tcW w:w="645" w:type="pct"/>
            <w:tcBorders>
              <w:top w:val="single" w:color="auto" w:sz="4" w:space="0"/>
              <w:left w:val="nil"/>
              <w:bottom w:val="single" w:color="auto" w:sz="4" w:space="0"/>
              <w:right w:val="single" w:color="auto" w:sz="4" w:space="0"/>
            </w:tcBorders>
            <w:shd w:val="clear" w:color="auto" w:fill="auto"/>
            <w:noWrap/>
            <w:vAlign w:val="center"/>
          </w:tcPr>
          <w:p w14:paraId="1491DB25">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项目编码</w:t>
            </w:r>
          </w:p>
        </w:tc>
        <w:tc>
          <w:tcPr>
            <w:tcW w:w="1004" w:type="pct"/>
            <w:tcBorders>
              <w:top w:val="single" w:color="auto" w:sz="4" w:space="0"/>
              <w:left w:val="nil"/>
              <w:bottom w:val="single" w:color="auto" w:sz="4" w:space="0"/>
              <w:right w:val="single" w:color="auto" w:sz="4" w:space="0"/>
            </w:tcBorders>
            <w:shd w:val="clear" w:color="auto" w:fill="auto"/>
            <w:noWrap/>
            <w:vAlign w:val="center"/>
          </w:tcPr>
          <w:p w14:paraId="70657D50">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是否纳入节能产品政府采购清单的投标产品</w:t>
            </w:r>
          </w:p>
        </w:tc>
        <w:tc>
          <w:tcPr>
            <w:tcW w:w="589" w:type="pct"/>
            <w:tcBorders>
              <w:top w:val="single" w:color="auto" w:sz="4" w:space="0"/>
              <w:left w:val="nil"/>
              <w:bottom w:val="single" w:color="auto" w:sz="4" w:space="0"/>
              <w:right w:val="single" w:color="auto" w:sz="4" w:space="0"/>
            </w:tcBorders>
            <w:shd w:val="clear" w:color="auto" w:fill="auto"/>
            <w:noWrap/>
            <w:vAlign w:val="center"/>
          </w:tcPr>
          <w:p w14:paraId="497C9D8F">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金额（元）</w:t>
            </w:r>
          </w:p>
        </w:tc>
        <w:tc>
          <w:tcPr>
            <w:tcW w:w="1265" w:type="pct"/>
            <w:tcBorders>
              <w:top w:val="single" w:color="auto" w:sz="4" w:space="0"/>
              <w:left w:val="nil"/>
              <w:bottom w:val="single" w:color="auto" w:sz="4" w:space="0"/>
              <w:right w:val="single" w:color="auto" w:sz="4" w:space="0"/>
            </w:tcBorders>
            <w:shd w:val="clear" w:color="auto" w:fill="auto"/>
            <w:noWrap/>
            <w:vAlign w:val="center"/>
          </w:tcPr>
          <w:p w14:paraId="327C825B">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是否环境标志产品政府采购品目清单的投标产品</w:t>
            </w:r>
          </w:p>
        </w:tc>
        <w:tc>
          <w:tcPr>
            <w:tcW w:w="666" w:type="pct"/>
            <w:tcBorders>
              <w:top w:val="single" w:color="auto" w:sz="4" w:space="0"/>
              <w:left w:val="nil"/>
              <w:bottom w:val="single" w:color="auto" w:sz="4" w:space="0"/>
              <w:right w:val="single" w:color="auto" w:sz="4" w:space="0"/>
            </w:tcBorders>
            <w:shd w:val="clear" w:color="auto" w:fill="auto"/>
            <w:noWrap/>
            <w:vAlign w:val="center"/>
          </w:tcPr>
          <w:p w14:paraId="2EDE40EF">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金额（元）</w:t>
            </w:r>
          </w:p>
        </w:tc>
      </w:tr>
      <w:tr w14:paraId="2CC906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0" w:hRule="atLeast"/>
        </w:trPr>
        <w:tc>
          <w:tcPr>
            <w:tcW w:w="827" w:type="pct"/>
            <w:tcBorders>
              <w:top w:val="single" w:color="auto" w:sz="4" w:space="0"/>
              <w:left w:val="single" w:color="auto" w:sz="4" w:space="0"/>
              <w:bottom w:val="single" w:color="auto" w:sz="4" w:space="0"/>
              <w:right w:val="single" w:color="auto" w:sz="4" w:space="0"/>
            </w:tcBorders>
            <w:shd w:val="clear" w:color="auto" w:fill="auto"/>
            <w:noWrap/>
          </w:tcPr>
          <w:p w14:paraId="0AF4C58C">
            <w:pPr>
              <w:widowControl/>
              <w:autoSpaceDN w:val="0"/>
              <w:rPr>
                <w:rFonts w:ascii="宋体" w:hAnsi="宋体" w:cs="宋体"/>
                <w:color w:val="000000" w:themeColor="text1"/>
                <w:szCs w:val="21"/>
                <w:highlight w:val="none"/>
              </w:rPr>
            </w:pPr>
          </w:p>
        </w:tc>
        <w:tc>
          <w:tcPr>
            <w:tcW w:w="645" w:type="pct"/>
            <w:tcBorders>
              <w:top w:val="single" w:color="auto" w:sz="4" w:space="0"/>
              <w:left w:val="nil"/>
              <w:bottom w:val="single" w:color="auto" w:sz="4" w:space="0"/>
              <w:right w:val="single" w:color="auto" w:sz="4" w:space="0"/>
            </w:tcBorders>
            <w:shd w:val="clear" w:color="auto" w:fill="auto"/>
            <w:noWrap/>
          </w:tcPr>
          <w:p w14:paraId="46FC2FBF">
            <w:pPr>
              <w:widowControl/>
              <w:autoSpaceDN w:val="0"/>
              <w:rPr>
                <w:rFonts w:ascii="宋体" w:hAnsi="宋体" w:cs="宋体"/>
                <w:color w:val="000000" w:themeColor="text1"/>
                <w:szCs w:val="21"/>
                <w:highlight w:val="none"/>
              </w:rPr>
            </w:pPr>
          </w:p>
        </w:tc>
        <w:tc>
          <w:tcPr>
            <w:tcW w:w="1004" w:type="pct"/>
            <w:tcBorders>
              <w:top w:val="single" w:color="auto" w:sz="4" w:space="0"/>
              <w:left w:val="nil"/>
              <w:bottom w:val="single" w:color="auto" w:sz="4" w:space="0"/>
              <w:right w:val="single" w:color="auto" w:sz="4" w:space="0"/>
            </w:tcBorders>
            <w:shd w:val="clear" w:color="auto" w:fill="auto"/>
            <w:noWrap/>
          </w:tcPr>
          <w:p w14:paraId="17AAC0E0">
            <w:pPr>
              <w:widowControl/>
              <w:autoSpaceDN w:val="0"/>
              <w:rPr>
                <w:rFonts w:ascii="宋体" w:hAnsi="宋体" w:cs="宋体"/>
                <w:color w:val="000000" w:themeColor="text1"/>
                <w:szCs w:val="21"/>
                <w:highlight w:val="none"/>
              </w:rPr>
            </w:pPr>
          </w:p>
        </w:tc>
        <w:tc>
          <w:tcPr>
            <w:tcW w:w="589" w:type="pct"/>
            <w:tcBorders>
              <w:top w:val="single" w:color="auto" w:sz="4" w:space="0"/>
              <w:left w:val="nil"/>
              <w:bottom w:val="single" w:color="auto" w:sz="4" w:space="0"/>
              <w:right w:val="single" w:color="auto" w:sz="4" w:space="0"/>
            </w:tcBorders>
            <w:shd w:val="clear" w:color="auto" w:fill="auto"/>
            <w:noWrap/>
          </w:tcPr>
          <w:p w14:paraId="3D54CCD6">
            <w:pPr>
              <w:widowControl/>
              <w:autoSpaceDN w:val="0"/>
              <w:rPr>
                <w:rFonts w:ascii="宋体" w:hAnsi="宋体" w:cs="宋体"/>
                <w:color w:val="000000" w:themeColor="text1"/>
                <w:szCs w:val="21"/>
                <w:highlight w:val="none"/>
              </w:rPr>
            </w:pPr>
          </w:p>
        </w:tc>
        <w:tc>
          <w:tcPr>
            <w:tcW w:w="1265" w:type="pct"/>
            <w:tcBorders>
              <w:top w:val="single" w:color="auto" w:sz="4" w:space="0"/>
              <w:left w:val="nil"/>
              <w:bottom w:val="single" w:color="auto" w:sz="4" w:space="0"/>
              <w:right w:val="single" w:color="auto" w:sz="4" w:space="0"/>
            </w:tcBorders>
            <w:shd w:val="clear" w:color="auto" w:fill="auto"/>
            <w:noWrap/>
          </w:tcPr>
          <w:p w14:paraId="3029DA59">
            <w:pPr>
              <w:widowControl/>
              <w:autoSpaceDN w:val="0"/>
              <w:rPr>
                <w:rFonts w:ascii="宋体" w:hAnsi="宋体" w:cs="宋体"/>
                <w:color w:val="000000" w:themeColor="text1"/>
                <w:szCs w:val="21"/>
                <w:highlight w:val="none"/>
              </w:rPr>
            </w:pPr>
          </w:p>
        </w:tc>
        <w:tc>
          <w:tcPr>
            <w:tcW w:w="666" w:type="pct"/>
            <w:tcBorders>
              <w:top w:val="single" w:color="auto" w:sz="4" w:space="0"/>
              <w:left w:val="nil"/>
              <w:bottom w:val="single" w:color="auto" w:sz="4" w:space="0"/>
              <w:right w:val="single" w:color="auto" w:sz="4" w:space="0"/>
            </w:tcBorders>
            <w:shd w:val="clear" w:color="auto" w:fill="auto"/>
            <w:noWrap/>
          </w:tcPr>
          <w:p w14:paraId="177AA930">
            <w:pPr>
              <w:widowControl/>
              <w:autoSpaceDN w:val="0"/>
              <w:rPr>
                <w:rFonts w:ascii="宋体" w:hAnsi="宋体" w:cs="宋体"/>
                <w:color w:val="000000" w:themeColor="text1"/>
                <w:szCs w:val="21"/>
                <w:highlight w:val="none"/>
              </w:rPr>
            </w:pPr>
          </w:p>
        </w:tc>
      </w:tr>
      <w:tr w14:paraId="10CD7F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0" w:hRule="atLeast"/>
        </w:trPr>
        <w:tc>
          <w:tcPr>
            <w:tcW w:w="827" w:type="pct"/>
            <w:tcBorders>
              <w:top w:val="single" w:color="auto" w:sz="4" w:space="0"/>
              <w:left w:val="single" w:color="auto" w:sz="4" w:space="0"/>
              <w:bottom w:val="single" w:color="auto" w:sz="4" w:space="0"/>
              <w:right w:val="single" w:color="auto" w:sz="4" w:space="0"/>
            </w:tcBorders>
            <w:shd w:val="clear" w:color="auto" w:fill="auto"/>
            <w:noWrap/>
          </w:tcPr>
          <w:p w14:paraId="35CC1838">
            <w:pPr>
              <w:widowControl/>
              <w:autoSpaceDN w:val="0"/>
              <w:rPr>
                <w:rFonts w:ascii="宋体" w:hAnsi="宋体" w:cs="宋体"/>
                <w:color w:val="000000" w:themeColor="text1"/>
                <w:szCs w:val="21"/>
                <w:highlight w:val="none"/>
              </w:rPr>
            </w:pPr>
          </w:p>
        </w:tc>
        <w:tc>
          <w:tcPr>
            <w:tcW w:w="645" w:type="pct"/>
            <w:tcBorders>
              <w:top w:val="single" w:color="auto" w:sz="4" w:space="0"/>
              <w:left w:val="nil"/>
              <w:bottom w:val="single" w:color="auto" w:sz="4" w:space="0"/>
              <w:right w:val="single" w:color="auto" w:sz="4" w:space="0"/>
            </w:tcBorders>
            <w:shd w:val="clear" w:color="auto" w:fill="auto"/>
            <w:noWrap/>
          </w:tcPr>
          <w:p w14:paraId="0425EB1E">
            <w:pPr>
              <w:widowControl/>
              <w:autoSpaceDN w:val="0"/>
              <w:rPr>
                <w:rFonts w:ascii="宋体" w:hAnsi="宋体" w:cs="宋体"/>
                <w:color w:val="000000" w:themeColor="text1"/>
                <w:szCs w:val="21"/>
                <w:highlight w:val="none"/>
              </w:rPr>
            </w:pPr>
          </w:p>
        </w:tc>
        <w:tc>
          <w:tcPr>
            <w:tcW w:w="1004" w:type="pct"/>
            <w:tcBorders>
              <w:top w:val="single" w:color="auto" w:sz="4" w:space="0"/>
              <w:left w:val="nil"/>
              <w:bottom w:val="single" w:color="auto" w:sz="4" w:space="0"/>
              <w:right w:val="single" w:color="auto" w:sz="4" w:space="0"/>
            </w:tcBorders>
            <w:shd w:val="clear" w:color="auto" w:fill="auto"/>
            <w:noWrap/>
          </w:tcPr>
          <w:p w14:paraId="631A42C4">
            <w:pPr>
              <w:widowControl/>
              <w:autoSpaceDN w:val="0"/>
              <w:rPr>
                <w:rFonts w:ascii="宋体" w:hAnsi="宋体" w:cs="宋体"/>
                <w:color w:val="000000" w:themeColor="text1"/>
                <w:szCs w:val="21"/>
                <w:highlight w:val="none"/>
              </w:rPr>
            </w:pPr>
          </w:p>
        </w:tc>
        <w:tc>
          <w:tcPr>
            <w:tcW w:w="589" w:type="pct"/>
            <w:tcBorders>
              <w:top w:val="single" w:color="auto" w:sz="4" w:space="0"/>
              <w:left w:val="nil"/>
              <w:bottom w:val="single" w:color="auto" w:sz="4" w:space="0"/>
              <w:right w:val="single" w:color="auto" w:sz="4" w:space="0"/>
            </w:tcBorders>
            <w:shd w:val="clear" w:color="auto" w:fill="auto"/>
            <w:noWrap/>
          </w:tcPr>
          <w:p w14:paraId="2C1B71C9">
            <w:pPr>
              <w:widowControl/>
              <w:autoSpaceDN w:val="0"/>
              <w:rPr>
                <w:rFonts w:ascii="宋体" w:hAnsi="宋体" w:cs="宋体"/>
                <w:color w:val="000000" w:themeColor="text1"/>
                <w:szCs w:val="21"/>
                <w:highlight w:val="none"/>
              </w:rPr>
            </w:pPr>
          </w:p>
        </w:tc>
        <w:tc>
          <w:tcPr>
            <w:tcW w:w="1265" w:type="pct"/>
            <w:tcBorders>
              <w:top w:val="single" w:color="auto" w:sz="4" w:space="0"/>
              <w:left w:val="nil"/>
              <w:bottom w:val="single" w:color="auto" w:sz="4" w:space="0"/>
              <w:right w:val="single" w:color="auto" w:sz="4" w:space="0"/>
            </w:tcBorders>
            <w:shd w:val="clear" w:color="auto" w:fill="auto"/>
            <w:noWrap/>
          </w:tcPr>
          <w:p w14:paraId="26A97B81">
            <w:pPr>
              <w:widowControl/>
              <w:autoSpaceDN w:val="0"/>
              <w:rPr>
                <w:rFonts w:ascii="宋体" w:hAnsi="宋体" w:cs="宋体"/>
                <w:color w:val="000000" w:themeColor="text1"/>
                <w:szCs w:val="21"/>
                <w:highlight w:val="none"/>
              </w:rPr>
            </w:pPr>
          </w:p>
        </w:tc>
        <w:tc>
          <w:tcPr>
            <w:tcW w:w="666" w:type="pct"/>
            <w:tcBorders>
              <w:top w:val="single" w:color="auto" w:sz="4" w:space="0"/>
              <w:left w:val="nil"/>
              <w:bottom w:val="single" w:color="auto" w:sz="4" w:space="0"/>
              <w:right w:val="single" w:color="auto" w:sz="4" w:space="0"/>
            </w:tcBorders>
            <w:shd w:val="clear" w:color="auto" w:fill="auto"/>
            <w:noWrap/>
          </w:tcPr>
          <w:p w14:paraId="27973771">
            <w:pPr>
              <w:widowControl/>
              <w:autoSpaceDN w:val="0"/>
              <w:rPr>
                <w:rFonts w:ascii="宋体" w:hAnsi="宋体" w:cs="宋体"/>
                <w:color w:val="000000" w:themeColor="text1"/>
                <w:szCs w:val="21"/>
                <w:highlight w:val="none"/>
              </w:rPr>
            </w:pPr>
          </w:p>
        </w:tc>
      </w:tr>
      <w:tr w14:paraId="373355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0" w:hRule="atLeast"/>
        </w:trPr>
        <w:tc>
          <w:tcPr>
            <w:tcW w:w="827" w:type="pct"/>
            <w:tcBorders>
              <w:top w:val="single" w:color="auto" w:sz="4" w:space="0"/>
              <w:left w:val="single" w:color="auto" w:sz="4" w:space="0"/>
              <w:bottom w:val="single" w:color="auto" w:sz="4" w:space="0"/>
              <w:right w:val="single" w:color="auto" w:sz="4" w:space="0"/>
            </w:tcBorders>
            <w:shd w:val="clear" w:color="auto" w:fill="auto"/>
            <w:noWrap/>
          </w:tcPr>
          <w:p w14:paraId="7D45039E">
            <w:pPr>
              <w:widowControl/>
              <w:autoSpaceDN w:val="0"/>
              <w:rPr>
                <w:rFonts w:ascii="宋体" w:hAnsi="宋体" w:cs="宋体"/>
                <w:color w:val="000000" w:themeColor="text1"/>
                <w:szCs w:val="21"/>
                <w:highlight w:val="none"/>
              </w:rPr>
            </w:pPr>
          </w:p>
        </w:tc>
        <w:tc>
          <w:tcPr>
            <w:tcW w:w="645" w:type="pct"/>
            <w:tcBorders>
              <w:top w:val="single" w:color="auto" w:sz="4" w:space="0"/>
              <w:left w:val="nil"/>
              <w:bottom w:val="single" w:color="auto" w:sz="4" w:space="0"/>
              <w:right w:val="single" w:color="auto" w:sz="4" w:space="0"/>
            </w:tcBorders>
            <w:shd w:val="clear" w:color="auto" w:fill="auto"/>
            <w:noWrap/>
          </w:tcPr>
          <w:p w14:paraId="11604653">
            <w:pPr>
              <w:widowControl/>
              <w:autoSpaceDN w:val="0"/>
              <w:rPr>
                <w:rFonts w:ascii="宋体" w:hAnsi="宋体" w:cs="宋体"/>
                <w:color w:val="000000" w:themeColor="text1"/>
                <w:szCs w:val="21"/>
                <w:highlight w:val="none"/>
              </w:rPr>
            </w:pPr>
          </w:p>
        </w:tc>
        <w:tc>
          <w:tcPr>
            <w:tcW w:w="1004" w:type="pct"/>
            <w:tcBorders>
              <w:top w:val="single" w:color="auto" w:sz="4" w:space="0"/>
              <w:left w:val="nil"/>
              <w:bottom w:val="single" w:color="auto" w:sz="4" w:space="0"/>
              <w:right w:val="single" w:color="auto" w:sz="4" w:space="0"/>
            </w:tcBorders>
            <w:shd w:val="clear" w:color="auto" w:fill="auto"/>
            <w:noWrap/>
          </w:tcPr>
          <w:p w14:paraId="0A81C5E0">
            <w:pPr>
              <w:widowControl/>
              <w:autoSpaceDN w:val="0"/>
              <w:rPr>
                <w:rFonts w:ascii="宋体" w:hAnsi="宋体" w:cs="宋体"/>
                <w:color w:val="000000" w:themeColor="text1"/>
                <w:szCs w:val="21"/>
                <w:highlight w:val="none"/>
              </w:rPr>
            </w:pPr>
          </w:p>
        </w:tc>
        <w:tc>
          <w:tcPr>
            <w:tcW w:w="589" w:type="pct"/>
            <w:tcBorders>
              <w:top w:val="single" w:color="auto" w:sz="4" w:space="0"/>
              <w:left w:val="nil"/>
              <w:bottom w:val="single" w:color="auto" w:sz="4" w:space="0"/>
              <w:right w:val="single" w:color="auto" w:sz="4" w:space="0"/>
            </w:tcBorders>
            <w:shd w:val="clear" w:color="auto" w:fill="auto"/>
            <w:noWrap/>
          </w:tcPr>
          <w:p w14:paraId="29BC67E4">
            <w:pPr>
              <w:widowControl/>
              <w:autoSpaceDN w:val="0"/>
              <w:rPr>
                <w:rFonts w:ascii="宋体" w:hAnsi="宋体" w:cs="宋体"/>
                <w:color w:val="000000" w:themeColor="text1"/>
                <w:szCs w:val="21"/>
                <w:highlight w:val="none"/>
              </w:rPr>
            </w:pPr>
          </w:p>
        </w:tc>
        <w:tc>
          <w:tcPr>
            <w:tcW w:w="1265" w:type="pct"/>
            <w:tcBorders>
              <w:top w:val="single" w:color="auto" w:sz="4" w:space="0"/>
              <w:left w:val="nil"/>
              <w:bottom w:val="single" w:color="auto" w:sz="4" w:space="0"/>
              <w:right w:val="single" w:color="auto" w:sz="4" w:space="0"/>
            </w:tcBorders>
            <w:shd w:val="clear" w:color="auto" w:fill="auto"/>
            <w:noWrap/>
          </w:tcPr>
          <w:p w14:paraId="06A484BC">
            <w:pPr>
              <w:widowControl/>
              <w:autoSpaceDN w:val="0"/>
              <w:rPr>
                <w:rFonts w:ascii="宋体" w:hAnsi="宋体" w:cs="宋体"/>
                <w:color w:val="000000" w:themeColor="text1"/>
                <w:szCs w:val="21"/>
                <w:highlight w:val="none"/>
              </w:rPr>
            </w:pPr>
          </w:p>
        </w:tc>
        <w:tc>
          <w:tcPr>
            <w:tcW w:w="666" w:type="pct"/>
            <w:tcBorders>
              <w:top w:val="single" w:color="auto" w:sz="4" w:space="0"/>
              <w:left w:val="nil"/>
              <w:bottom w:val="single" w:color="auto" w:sz="4" w:space="0"/>
              <w:right w:val="single" w:color="auto" w:sz="4" w:space="0"/>
            </w:tcBorders>
            <w:shd w:val="clear" w:color="auto" w:fill="auto"/>
            <w:noWrap/>
          </w:tcPr>
          <w:p w14:paraId="38111BCA">
            <w:pPr>
              <w:widowControl/>
              <w:autoSpaceDN w:val="0"/>
              <w:rPr>
                <w:rFonts w:ascii="宋体" w:hAnsi="宋体" w:cs="宋体"/>
                <w:color w:val="000000" w:themeColor="text1"/>
                <w:szCs w:val="21"/>
                <w:highlight w:val="none"/>
              </w:rPr>
            </w:pPr>
          </w:p>
        </w:tc>
      </w:tr>
      <w:tr w14:paraId="3F27D5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4" w:hRule="atLeast"/>
        </w:trPr>
        <w:tc>
          <w:tcPr>
            <w:tcW w:w="827" w:type="pct"/>
            <w:tcBorders>
              <w:top w:val="single" w:color="auto" w:sz="4" w:space="0"/>
              <w:left w:val="single" w:color="auto" w:sz="4" w:space="0"/>
              <w:bottom w:val="single" w:color="auto" w:sz="4" w:space="0"/>
              <w:right w:val="single" w:color="auto" w:sz="4" w:space="0"/>
            </w:tcBorders>
            <w:shd w:val="clear" w:color="auto" w:fill="auto"/>
            <w:noWrap/>
          </w:tcPr>
          <w:p w14:paraId="34CBD0C2">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645" w:type="pct"/>
            <w:tcBorders>
              <w:top w:val="single" w:color="auto" w:sz="4" w:space="0"/>
              <w:left w:val="nil"/>
              <w:bottom w:val="single" w:color="auto" w:sz="4" w:space="0"/>
              <w:right w:val="single" w:color="auto" w:sz="4" w:space="0"/>
            </w:tcBorders>
            <w:shd w:val="clear" w:color="auto" w:fill="auto"/>
            <w:noWrap/>
          </w:tcPr>
          <w:p w14:paraId="36C39887">
            <w:pPr>
              <w:widowControl/>
              <w:autoSpaceDN w:val="0"/>
              <w:jc w:val="center"/>
              <w:rPr>
                <w:rFonts w:ascii="宋体" w:hAnsi="宋体" w:cs="宋体"/>
                <w:b/>
                <w:bCs/>
                <w:color w:val="000000" w:themeColor="text1"/>
                <w:szCs w:val="21"/>
                <w:highlight w:val="none"/>
              </w:rPr>
            </w:pPr>
          </w:p>
        </w:tc>
        <w:tc>
          <w:tcPr>
            <w:tcW w:w="1004" w:type="pct"/>
            <w:tcBorders>
              <w:top w:val="single" w:color="auto" w:sz="4" w:space="0"/>
              <w:left w:val="nil"/>
              <w:bottom w:val="single" w:color="auto" w:sz="4" w:space="0"/>
              <w:right w:val="single" w:color="auto" w:sz="4" w:space="0"/>
            </w:tcBorders>
            <w:shd w:val="clear" w:color="auto" w:fill="auto"/>
            <w:noWrap/>
          </w:tcPr>
          <w:p w14:paraId="10C4BF28">
            <w:pPr>
              <w:widowControl/>
              <w:autoSpaceDN w:val="0"/>
              <w:jc w:val="center"/>
              <w:rPr>
                <w:rFonts w:ascii="宋体" w:hAnsi="宋体" w:cs="宋体"/>
                <w:b/>
                <w:bCs/>
                <w:color w:val="000000" w:themeColor="text1"/>
                <w:szCs w:val="21"/>
                <w:highlight w:val="none"/>
              </w:rPr>
            </w:pPr>
          </w:p>
        </w:tc>
        <w:tc>
          <w:tcPr>
            <w:tcW w:w="589" w:type="pct"/>
            <w:tcBorders>
              <w:top w:val="single" w:color="auto" w:sz="4" w:space="0"/>
              <w:left w:val="nil"/>
              <w:bottom w:val="single" w:color="auto" w:sz="4" w:space="0"/>
              <w:right w:val="single" w:color="auto" w:sz="4" w:space="0"/>
            </w:tcBorders>
            <w:shd w:val="clear" w:color="auto" w:fill="auto"/>
            <w:noWrap/>
          </w:tcPr>
          <w:p w14:paraId="52F08181">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元</w:t>
            </w:r>
          </w:p>
        </w:tc>
        <w:tc>
          <w:tcPr>
            <w:tcW w:w="1265" w:type="pct"/>
            <w:tcBorders>
              <w:top w:val="single" w:color="auto" w:sz="4" w:space="0"/>
              <w:left w:val="nil"/>
              <w:bottom w:val="single" w:color="auto" w:sz="4" w:space="0"/>
              <w:right w:val="single" w:color="auto" w:sz="4" w:space="0"/>
            </w:tcBorders>
            <w:shd w:val="clear" w:color="auto" w:fill="auto"/>
            <w:noWrap/>
          </w:tcPr>
          <w:p w14:paraId="64F0D681">
            <w:pPr>
              <w:widowControl/>
              <w:autoSpaceDN w:val="0"/>
              <w:jc w:val="center"/>
              <w:rPr>
                <w:rFonts w:ascii="宋体" w:hAnsi="宋体" w:cs="宋体"/>
                <w:b/>
                <w:bCs/>
                <w:color w:val="000000" w:themeColor="text1"/>
                <w:szCs w:val="21"/>
                <w:highlight w:val="none"/>
              </w:rPr>
            </w:pPr>
          </w:p>
        </w:tc>
        <w:tc>
          <w:tcPr>
            <w:tcW w:w="666" w:type="pct"/>
            <w:tcBorders>
              <w:top w:val="single" w:color="auto" w:sz="4" w:space="0"/>
              <w:left w:val="nil"/>
              <w:bottom w:val="single" w:color="auto" w:sz="4" w:space="0"/>
              <w:right w:val="single" w:color="auto" w:sz="4" w:space="0"/>
            </w:tcBorders>
            <w:shd w:val="clear" w:color="auto" w:fill="auto"/>
            <w:noWrap/>
          </w:tcPr>
          <w:p w14:paraId="3B6D722F">
            <w:pPr>
              <w:widowControl/>
              <w:autoSpaceDN w:val="0"/>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元</w:t>
            </w:r>
          </w:p>
        </w:tc>
      </w:tr>
    </w:tbl>
    <w:p w14:paraId="774B13F2">
      <w:pPr>
        <w:autoSpaceDN w:val="0"/>
        <w:rPr>
          <w:rFonts w:ascii="宋体" w:hAnsi="宋体" w:cs="宋体"/>
          <w:color w:val="000000" w:themeColor="text1"/>
          <w:szCs w:val="21"/>
          <w:highlight w:val="none"/>
        </w:rPr>
      </w:pPr>
    </w:p>
    <w:p w14:paraId="5BFFB3D8">
      <w:pPr>
        <w:pStyle w:val="35"/>
        <w:jc w:val="left"/>
        <w:rPr>
          <w:color w:val="000000" w:themeColor="text1"/>
          <w:sz w:val="21"/>
          <w:szCs w:val="21"/>
          <w:highlight w:val="none"/>
        </w:rPr>
        <w:sectPr>
          <w:pgSz w:w="11906" w:h="16838"/>
          <w:pgMar w:top="1134" w:right="1134" w:bottom="1134" w:left="1134" w:header="851" w:footer="851" w:gutter="0"/>
          <w:cols w:space="720" w:num="1"/>
          <w:docGrid w:linePitch="312" w:charSpace="0"/>
        </w:sectPr>
      </w:pPr>
      <w:bookmarkStart w:id="36" w:name="_Toc11273"/>
      <w:r>
        <w:rPr>
          <w:rFonts w:hint="eastAsia" w:ascii="宋体" w:hAnsi="宋体" w:cs="宋体"/>
          <w:color w:val="000000" w:themeColor="text1"/>
          <w:sz w:val="21"/>
          <w:szCs w:val="21"/>
          <w:highlight w:val="none"/>
        </w:rPr>
        <w:t>投标单位的投标报价明显低于其他通过符合性审查投标人的报价，有可能影响产品质量或者不能诚信履约的，须提供成本构成表及相应证明材料，内容包括但不限于生产成本（如原材成本、设备损耗成本等），管理成本（人员工资、福利、社保等），交通成本（汽油、过路费等），税费等，并列明计算过程。投标人不能证明其报价合理性的，未提供或内容不全面无法支持成本构成的，由评标委员会认定该投标人是否以低于成本价竞标，如果是，其报价分不得分。超过采购预算的投标报价将否决其投标。</w:t>
      </w:r>
      <w:bookmarkEnd w:id="36"/>
    </w:p>
    <w:p w14:paraId="455977FC">
      <w:pPr>
        <w:pStyle w:val="5"/>
        <w:rPr>
          <w:rFonts w:ascii="宋体" w:hAnsi="宋体"/>
          <w:color w:val="000000" w:themeColor="text1"/>
          <w:highlight w:val="none"/>
        </w:rPr>
      </w:pPr>
      <w:r>
        <w:rPr>
          <w:rFonts w:hint="eastAsia" w:ascii="宋体" w:hAnsi="宋体"/>
          <w:color w:val="000000" w:themeColor="text1"/>
          <w:highlight w:val="none"/>
        </w:rPr>
        <w:t>1.评审方法</w:t>
      </w:r>
      <w:bookmarkEnd w:id="35"/>
    </w:p>
    <w:p w14:paraId="6729B10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本次评审办法采用综合评分法。磋商小组对满足磋商文件实质性要求的响应文件，按照本章第2.2 款规定的评分标准进行打分，并按得分由高到低顺序推荐成交候选人，或根据采购人授权直接确定中标成交单位，但磋商报价低于其成本的除外。评审得分相同的，按照最后报价由低到高的顺序推荐。评审得分且最后报价相同的，按照技术指标优劣顺序推荐。</w:t>
      </w:r>
    </w:p>
    <w:p w14:paraId="3B7E8855">
      <w:pPr>
        <w:pStyle w:val="5"/>
        <w:rPr>
          <w:rFonts w:ascii="宋体" w:hAnsi="宋体"/>
          <w:color w:val="000000" w:themeColor="text1"/>
          <w:highlight w:val="none"/>
        </w:rPr>
      </w:pPr>
      <w:bookmarkStart w:id="37" w:name="_Toc184635094"/>
      <w:r>
        <w:rPr>
          <w:rFonts w:hint="eastAsia" w:ascii="宋体" w:hAnsi="宋体"/>
          <w:color w:val="000000" w:themeColor="text1"/>
          <w:highlight w:val="none"/>
        </w:rPr>
        <w:t>2.评审标准</w:t>
      </w:r>
      <w:bookmarkEnd w:id="37"/>
    </w:p>
    <w:p w14:paraId="1EEA322A">
      <w:pPr>
        <w:pStyle w:val="6"/>
        <w:rPr>
          <w:rFonts w:ascii="宋体" w:hAnsi="宋体" w:eastAsia="宋体"/>
          <w:color w:val="000000" w:themeColor="text1"/>
          <w:highlight w:val="none"/>
        </w:rPr>
      </w:pPr>
      <w:r>
        <w:rPr>
          <w:rFonts w:hint="eastAsia" w:ascii="宋体" w:hAnsi="宋体" w:eastAsia="宋体"/>
          <w:color w:val="000000" w:themeColor="text1"/>
          <w:highlight w:val="none"/>
        </w:rPr>
        <w:t>2.1 初步评审标准</w:t>
      </w:r>
    </w:p>
    <w:p w14:paraId="04DC01E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2.1.1 资格评审标准：见评审办法前附表。</w:t>
      </w:r>
    </w:p>
    <w:p w14:paraId="105886F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2.1.2符合性评审标准：见评审办法前附表。</w:t>
      </w:r>
    </w:p>
    <w:p w14:paraId="658D28B1">
      <w:pPr>
        <w:pStyle w:val="6"/>
        <w:rPr>
          <w:rFonts w:ascii="宋体" w:hAnsi="宋体" w:eastAsia="宋体"/>
          <w:color w:val="000000" w:themeColor="text1"/>
          <w:highlight w:val="none"/>
        </w:rPr>
      </w:pPr>
      <w:r>
        <w:rPr>
          <w:rFonts w:hint="eastAsia" w:ascii="宋体" w:hAnsi="宋体" w:eastAsia="宋体"/>
          <w:color w:val="000000" w:themeColor="text1"/>
          <w:highlight w:val="none"/>
        </w:rPr>
        <w:t>2.2 分值构成与评分标准</w:t>
      </w:r>
    </w:p>
    <w:p w14:paraId="2EFCE34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2.2.1 分值构成</w:t>
      </w:r>
    </w:p>
    <w:p w14:paraId="211AB2A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(l）商务因素：见评审办法前附表；</w:t>
      </w:r>
    </w:p>
    <w:p w14:paraId="7BD6272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(2）磋商报价：见评审办法前附表；</w:t>
      </w:r>
    </w:p>
    <w:p w14:paraId="4066F17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(3）技术因素：见评审办法前附表；</w:t>
      </w:r>
    </w:p>
    <w:p w14:paraId="4583A07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(4）其他因素：见评审办法前附表。</w:t>
      </w:r>
    </w:p>
    <w:p w14:paraId="7CCD9DC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2.2.2 评审基准价计算</w:t>
      </w:r>
    </w:p>
    <w:p w14:paraId="52968CC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评审基准价计算方法：见评审办法前附表。</w:t>
      </w:r>
    </w:p>
    <w:p w14:paraId="29272B0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2.2.3 磋商报价计算公式</w:t>
      </w:r>
    </w:p>
    <w:p w14:paraId="676999E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磋商报价计算公式：见评审办法前附表。</w:t>
      </w:r>
    </w:p>
    <w:p w14:paraId="2A03413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2.2.4 评分标准</w:t>
      </w:r>
    </w:p>
    <w:p w14:paraId="3DA33B9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(1）商务因素评分标准：见评审办法前附表；</w:t>
      </w:r>
    </w:p>
    <w:p w14:paraId="3B4A64F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(2）磋商报价评分标准：见评审办法前附表；</w:t>
      </w:r>
    </w:p>
    <w:p w14:paraId="3B13EC7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(3）技术因素评分标准：见评审办法前附表；</w:t>
      </w:r>
    </w:p>
    <w:p w14:paraId="6927382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(4）其他因素评分标准：见评审办法前附表。</w:t>
      </w:r>
    </w:p>
    <w:p w14:paraId="7B3A0C70">
      <w:pPr>
        <w:pStyle w:val="5"/>
        <w:rPr>
          <w:rFonts w:ascii="宋体" w:hAnsi="宋体"/>
          <w:color w:val="000000" w:themeColor="text1"/>
          <w:highlight w:val="none"/>
        </w:rPr>
      </w:pPr>
      <w:bookmarkStart w:id="38" w:name="_Toc184635095"/>
      <w:r>
        <w:rPr>
          <w:rFonts w:hint="eastAsia" w:ascii="宋体" w:hAnsi="宋体"/>
          <w:color w:val="000000" w:themeColor="text1"/>
          <w:highlight w:val="none"/>
        </w:rPr>
        <w:t>3.评审工作程序</w:t>
      </w:r>
      <w:bookmarkEnd w:id="38"/>
    </w:p>
    <w:p w14:paraId="6FD9F24D">
      <w:pPr>
        <w:pStyle w:val="6"/>
        <w:rPr>
          <w:rFonts w:ascii="宋体" w:hAnsi="宋体" w:eastAsia="宋体"/>
          <w:color w:val="000000" w:themeColor="text1"/>
          <w:highlight w:val="none"/>
        </w:rPr>
      </w:pPr>
      <w:r>
        <w:rPr>
          <w:rFonts w:hint="eastAsia" w:ascii="宋体" w:hAnsi="宋体" w:eastAsia="宋体"/>
          <w:color w:val="000000" w:themeColor="text1"/>
          <w:highlight w:val="none"/>
        </w:rPr>
        <w:t>3.1 初步评审</w:t>
      </w:r>
    </w:p>
    <w:p w14:paraId="1B1A1A4F">
      <w:pPr>
        <w:spacing w:line="360" w:lineRule="auto"/>
        <w:ind w:firstLine="420" w:firstLineChars="200"/>
        <w:rPr>
          <w:rFonts w:ascii="宋体" w:hAnsi="宋体"/>
          <w:bCs/>
          <w:color w:val="000000" w:themeColor="text1"/>
          <w:szCs w:val="21"/>
          <w:highlight w:val="none"/>
          <w:lang w:val="zh-CN"/>
        </w:rPr>
      </w:pPr>
      <w:r>
        <w:rPr>
          <w:rFonts w:ascii="宋体" w:hAnsi="宋体"/>
          <w:bCs/>
          <w:color w:val="000000" w:themeColor="text1"/>
          <w:szCs w:val="21"/>
          <w:highlight w:val="none"/>
          <w:lang w:val="zh-CN"/>
        </w:rPr>
        <w:t>3.1.1</w:t>
      </w:r>
      <w:r>
        <w:rPr>
          <w:rFonts w:hint="eastAsia" w:ascii="宋体" w:hAnsi="宋体"/>
          <w:bCs/>
          <w:color w:val="000000" w:themeColor="text1"/>
          <w:szCs w:val="21"/>
          <w:highlight w:val="none"/>
          <w:lang w:val="zh-CN"/>
        </w:rPr>
        <w:t xml:space="preserve"> 磋商小组依据本章第</w:t>
      </w:r>
      <w:r>
        <w:rPr>
          <w:rFonts w:ascii="宋体" w:hAnsi="宋体"/>
          <w:bCs/>
          <w:color w:val="000000" w:themeColor="text1"/>
          <w:szCs w:val="21"/>
          <w:highlight w:val="none"/>
          <w:lang w:val="zh-CN"/>
        </w:rPr>
        <w:t>2.1</w:t>
      </w:r>
      <w:r>
        <w:rPr>
          <w:rFonts w:hint="eastAsia" w:ascii="宋体" w:hAnsi="宋体"/>
          <w:bCs/>
          <w:color w:val="000000" w:themeColor="text1"/>
          <w:szCs w:val="21"/>
          <w:highlight w:val="none"/>
          <w:lang w:val="zh-CN"/>
        </w:rPr>
        <w:t>款规定的标准对响应文件进行初步评审。有一项不符合评审标准的，磋商小组应当否决其投标，作废标处理。只有当通过初步评审的投标单位超过3家（包含3家）时，此次投标才能进入详细评审，否则视为具有竞争性投标单位不足3家，应当重新招标。</w:t>
      </w:r>
    </w:p>
    <w:p w14:paraId="1B743E1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3.1.2 供应商有以下情形之一的，其投标作废标处理：</w:t>
      </w:r>
    </w:p>
    <w:p w14:paraId="5143540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(l）第二章“供应商须知”第1.4.3 项规定的任何一种情形的：</w:t>
      </w:r>
    </w:p>
    <w:p w14:paraId="0379F9B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(2）串通投标或弄虚作假或有其他违法行为的；</w:t>
      </w:r>
    </w:p>
    <w:p w14:paraId="7CACED5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(3）不按磋商小组要求澄清、说明或补正的。</w:t>
      </w:r>
    </w:p>
    <w:p w14:paraId="41B08B8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3.1.3 磋商报价有算术错误的，磋商小组按以下原则对磋商报价进行修正，修正的价格经供应商书面确认后具有约束力。供应商不接受修正价格的，其投标作废标处理。</w:t>
      </w:r>
    </w:p>
    <w:p w14:paraId="7841AE0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(1）响应文件中的大写金额与小写金额不一致的，以大写金额为准；</w:t>
      </w:r>
    </w:p>
    <w:p w14:paraId="18A50F8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(2）总价金额与依据单价计算出的结果不一致的，以单价金额为准修正总价，但单价金额小数点有明显错误的除外。</w:t>
      </w:r>
    </w:p>
    <w:p w14:paraId="4BA8749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3.1.4报价算术修正规则</w:t>
      </w:r>
    </w:p>
    <w:p w14:paraId="10E8682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非最终报价环节中，供应商的报价因明显的小数点位置错误或计价单位错误等原因超出了最高限价的，磋商小组可要求该供应商现场进行书面澄清，供应商拒绝澄清的，磋商小组应当将其作为无效报价处理。</w:t>
      </w:r>
    </w:p>
    <w:p w14:paraId="3332ADBC">
      <w:pPr>
        <w:pStyle w:val="6"/>
        <w:rPr>
          <w:rFonts w:ascii="宋体" w:hAnsi="宋体" w:eastAsia="宋体"/>
          <w:color w:val="000000" w:themeColor="text1"/>
          <w:highlight w:val="none"/>
        </w:rPr>
      </w:pPr>
      <w:bookmarkStart w:id="39" w:name="_Toc447010080"/>
      <w:r>
        <w:rPr>
          <w:rFonts w:hint="eastAsia" w:ascii="宋体" w:hAnsi="宋体" w:eastAsia="宋体"/>
          <w:color w:val="000000" w:themeColor="text1"/>
          <w:highlight w:val="none"/>
        </w:rPr>
        <w:t>3.</w:t>
      </w:r>
      <w:r>
        <w:rPr>
          <w:rFonts w:ascii="宋体" w:hAnsi="宋体" w:eastAsia="宋体"/>
          <w:color w:val="000000" w:themeColor="text1"/>
          <w:highlight w:val="none"/>
        </w:rPr>
        <w:t>2</w:t>
      </w:r>
      <w:r>
        <w:rPr>
          <w:rFonts w:hint="eastAsia" w:ascii="宋体" w:hAnsi="宋体" w:eastAsia="宋体"/>
          <w:color w:val="000000" w:themeColor="text1"/>
          <w:highlight w:val="none"/>
        </w:rPr>
        <w:t>响应文件的澄清</w:t>
      </w:r>
      <w:bookmarkEnd w:id="39"/>
    </w:p>
    <w:p w14:paraId="39BE5D2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在评审过程中，磋商小组可以书面形式，要求供应商对所提交的响应文件中不明确的内容进行必要的澄清或说明。供应商的澄清或说明采用书面形式，并不得改变响应文件的实质性内容。供应商的澄清和说明内容属于响应文件的组成部分。采购人和磋商小组不接受供应商主动提出的澄清或说明。</w:t>
      </w:r>
    </w:p>
    <w:p w14:paraId="08E2024D">
      <w:pPr>
        <w:pStyle w:val="6"/>
        <w:rPr>
          <w:rFonts w:ascii="宋体" w:hAnsi="宋体" w:eastAsia="宋体"/>
          <w:color w:val="000000" w:themeColor="text1"/>
          <w:highlight w:val="none"/>
        </w:rPr>
      </w:pPr>
      <w:bookmarkStart w:id="40" w:name="_Toc447010081"/>
      <w:r>
        <w:rPr>
          <w:rFonts w:hint="eastAsia" w:ascii="宋体" w:hAnsi="宋体" w:eastAsia="宋体"/>
          <w:color w:val="000000" w:themeColor="text1"/>
          <w:highlight w:val="none"/>
        </w:rPr>
        <w:t>3.</w:t>
      </w:r>
      <w:r>
        <w:rPr>
          <w:rFonts w:ascii="宋体" w:hAnsi="宋体" w:eastAsia="宋体"/>
          <w:color w:val="000000" w:themeColor="text1"/>
          <w:highlight w:val="none"/>
        </w:rPr>
        <w:t>3</w:t>
      </w:r>
      <w:r>
        <w:rPr>
          <w:rFonts w:hint="eastAsia" w:ascii="宋体" w:hAnsi="宋体" w:eastAsia="宋体"/>
          <w:color w:val="000000" w:themeColor="text1"/>
          <w:highlight w:val="none"/>
        </w:rPr>
        <w:t>确定最终采购需求方案</w:t>
      </w:r>
      <w:bookmarkEnd w:id="40"/>
    </w:p>
    <w:p w14:paraId="5A715CB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磋商小组可以与供应商进行多轮磋商，磋商过程中可实质性修订磋商文件的技术、服务要求以及合同草案条款，</w:t>
      </w:r>
      <w:r>
        <w:rPr>
          <w:rFonts w:hint="eastAsia" w:ascii="宋体" w:hAnsi="宋体" w:cs="宋体"/>
          <w:color w:val="000000" w:themeColor="text1"/>
          <w:highlight w:val="none"/>
        </w:rPr>
        <w:t>但不得变动磋商文件中的其他内容。实质性变动的内容，须经采购人代表确认，</w:t>
      </w:r>
      <w:r>
        <w:rPr>
          <w:rFonts w:hint="eastAsia" w:ascii="宋体" w:hAnsi="宋体"/>
          <w:color w:val="000000" w:themeColor="text1"/>
          <w:szCs w:val="21"/>
          <w:highlight w:val="none"/>
        </w:rPr>
        <w:t>并及时以书面形式同时通知所有参与磋商的供应商。</w:t>
      </w:r>
    </w:p>
    <w:p w14:paraId="68BA3A76">
      <w:pPr>
        <w:pStyle w:val="6"/>
        <w:rPr>
          <w:rFonts w:ascii="宋体" w:hAnsi="宋体" w:eastAsia="宋体"/>
          <w:color w:val="000000" w:themeColor="text1"/>
          <w:highlight w:val="none"/>
        </w:rPr>
      </w:pPr>
      <w:bookmarkStart w:id="41" w:name="_Toc447010082"/>
      <w:r>
        <w:rPr>
          <w:rFonts w:hint="eastAsia" w:ascii="宋体" w:hAnsi="宋体" w:eastAsia="宋体"/>
          <w:color w:val="000000" w:themeColor="text1"/>
          <w:highlight w:val="none"/>
        </w:rPr>
        <w:t>3.</w:t>
      </w:r>
      <w:r>
        <w:rPr>
          <w:rFonts w:ascii="宋体" w:hAnsi="宋体" w:eastAsia="宋体"/>
          <w:color w:val="000000" w:themeColor="text1"/>
          <w:highlight w:val="none"/>
        </w:rPr>
        <w:t>4</w:t>
      </w:r>
      <w:r>
        <w:rPr>
          <w:rFonts w:hint="eastAsia" w:ascii="宋体" w:hAnsi="宋体" w:eastAsia="宋体"/>
          <w:color w:val="000000" w:themeColor="text1"/>
          <w:highlight w:val="none"/>
        </w:rPr>
        <w:t>重新提交响应文件和最后报价</w:t>
      </w:r>
      <w:bookmarkEnd w:id="41"/>
    </w:p>
    <w:p w14:paraId="6B8679E0">
      <w:pPr>
        <w:topLinePunct/>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4</w:t>
      </w:r>
      <w:r>
        <w:rPr>
          <w:rFonts w:hint="eastAsia" w:ascii="宋体" w:hAnsi="宋体"/>
          <w:color w:val="000000" w:themeColor="text1"/>
          <w:szCs w:val="21"/>
          <w:highlight w:val="none"/>
        </w:rPr>
        <w:t>.</w:t>
      </w:r>
      <w:r>
        <w:rPr>
          <w:rFonts w:ascii="宋体" w:hAnsi="宋体"/>
          <w:color w:val="000000" w:themeColor="text1"/>
          <w:szCs w:val="21"/>
          <w:highlight w:val="none"/>
        </w:rPr>
        <w:t>1</w:t>
      </w:r>
      <w:r>
        <w:rPr>
          <w:rFonts w:hint="eastAsia" w:ascii="宋体" w:hAnsi="宋体"/>
          <w:color w:val="000000" w:themeColor="text1"/>
          <w:szCs w:val="21"/>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扫描件。</w:t>
      </w:r>
    </w:p>
    <w:p w14:paraId="7730D24C">
      <w:pPr>
        <w:topLinePunct/>
        <w:spacing w:line="40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4</w:t>
      </w:r>
      <w:r>
        <w:rPr>
          <w:rFonts w:hint="eastAsia" w:ascii="宋体" w:hAnsi="宋体"/>
          <w:color w:val="000000" w:themeColor="text1"/>
          <w:szCs w:val="21"/>
          <w:highlight w:val="none"/>
        </w:rPr>
        <w:t>.</w:t>
      </w:r>
      <w:r>
        <w:rPr>
          <w:rFonts w:ascii="宋体" w:hAnsi="宋体"/>
          <w:color w:val="000000" w:themeColor="text1"/>
          <w:szCs w:val="21"/>
          <w:highlight w:val="none"/>
        </w:rPr>
        <w:t>2</w:t>
      </w:r>
      <w:r>
        <w:rPr>
          <w:rFonts w:hint="eastAsia" w:ascii="宋体" w:hAnsi="宋体"/>
          <w:color w:val="000000" w:themeColor="text1"/>
          <w:szCs w:val="21"/>
          <w:highlight w:val="none"/>
        </w:rPr>
        <w:t>磋商结束后，磋商小组应当要求所有实质性响应的供应商在规定时间内提交最后报价。</w:t>
      </w:r>
    </w:p>
    <w:p w14:paraId="1817AC51">
      <w:pPr>
        <w:pStyle w:val="6"/>
        <w:rPr>
          <w:rFonts w:ascii="宋体" w:hAnsi="宋体" w:eastAsia="宋体"/>
          <w:color w:val="000000" w:themeColor="text1"/>
          <w:highlight w:val="none"/>
        </w:rPr>
      </w:pPr>
      <w:r>
        <w:rPr>
          <w:rFonts w:hint="eastAsia" w:ascii="宋体" w:hAnsi="宋体" w:eastAsia="宋体"/>
          <w:color w:val="000000" w:themeColor="text1"/>
          <w:highlight w:val="none"/>
        </w:rPr>
        <w:t>3.5详细评审</w:t>
      </w:r>
    </w:p>
    <w:p w14:paraId="224C73F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3.5.1最后报价结束后，磋商小组依据本章第2.2款规定的标准，对提交最后报价的供应商的响应文件和最后报价进行综合评分。</w:t>
      </w:r>
    </w:p>
    <w:p w14:paraId="11BDEF6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(1）按本章第2.2.4(1）目规定的评审因素和分值对商务因素计算出得分A ；</w:t>
      </w:r>
    </w:p>
    <w:p w14:paraId="15D2344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(2）按本章第2.2.4(2）目规定的评审因素和分值对磋商报价计算出得分B；</w:t>
      </w:r>
    </w:p>
    <w:p w14:paraId="0A8E074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(3）按本章第2.2.4(3）目规定的评审因素和分值对技术因素计算出得分C；</w:t>
      </w:r>
    </w:p>
    <w:p w14:paraId="700F004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(4）按本章第2.2.4(4）目规定的评审因素和分值对其他因素计算出得分D 。</w:t>
      </w:r>
    </w:p>
    <w:p w14:paraId="0DDA97D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3.5.2 评分分值计算保留小数点后两位，小数点后第三位“四舍五入”。</w:t>
      </w:r>
    </w:p>
    <w:p w14:paraId="34EB616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3.5.3 供应商得分=A十B十C十D 。</w:t>
      </w:r>
      <w:bookmarkStart w:id="84" w:name="_GoBack"/>
      <w:bookmarkEnd w:id="84"/>
    </w:p>
    <w:p w14:paraId="4DA53A6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3.5.4 依据财政部第87号令第60条：评标委员会发现供应商的报价明显低于其他通过符合性审查供应商的报价，有可能影响产品质量或者不能诚信履约的，应当要求该供应商在评标现场四十分钟内作出书面说明证明其报价的合理性并提供相应的证明材料。供应商不能合理说明其报价的合理性或者不能提供相应证明材料的，由评标委员会认定该供应商以恶意畸低报价竞标，其投标将被否决。</w:t>
      </w:r>
    </w:p>
    <w:p w14:paraId="33650016">
      <w:pPr>
        <w:pStyle w:val="6"/>
        <w:rPr>
          <w:rFonts w:ascii="宋体" w:hAnsi="宋体" w:eastAsia="宋体"/>
          <w:color w:val="000000" w:themeColor="text1"/>
          <w:highlight w:val="none"/>
        </w:rPr>
      </w:pPr>
      <w:r>
        <w:rPr>
          <w:rFonts w:hint="eastAsia" w:ascii="宋体" w:hAnsi="宋体" w:eastAsia="宋体"/>
          <w:color w:val="000000" w:themeColor="text1"/>
          <w:highlight w:val="none"/>
        </w:rPr>
        <w:t>3.4 评审结果</w:t>
      </w:r>
    </w:p>
    <w:p w14:paraId="5197C97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3.4.1 除第二章“供应商须知”前附表授权直接确定中标成交单位外，磋商小组按照得分高到低的顺序推荐成交候选人。</w:t>
      </w:r>
    </w:p>
    <w:p w14:paraId="1506CC3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3.4.2 磋商小组完成评审工作后，应当向采购人提交书面评审报告。</w:t>
      </w:r>
    </w:p>
    <w:p w14:paraId="644AFA58">
      <w:pPr>
        <w:jc w:val="left"/>
        <w:rPr>
          <w:color w:val="000000" w:themeColor="text1"/>
          <w:highlight w:val="none"/>
        </w:rPr>
      </w:pPr>
    </w:p>
    <w:p w14:paraId="7246F952">
      <w:pPr>
        <w:spacing w:line="420" w:lineRule="exact"/>
        <w:jc w:val="center"/>
        <w:rPr>
          <w:rFonts w:ascii="宋体" w:hAnsi="宋体"/>
          <w:color w:val="000000" w:themeColor="text1"/>
          <w:highlight w:val="none"/>
        </w:rPr>
      </w:pPr>
    </w:p>
    <w:p w14:paraId="03D0042D">
      <w:pPr>
        <w:jc w:val="center"/>
        <w:rPr>
          <w:rFonts w:ascii="宋体" w:hAnsi="宋体"/>
          <w:b/>
          <w:color w:val="000000" w:themeColor="text1"/>
          <w:sz w:val="32"/>
          <w:szCs w:val="32"/>
          <w:highlight w:val="none"/>
        </w:rPr>
      </w:pPr>
    </w:p>
    <w:p w14:paraId="57F2A430">
      <w:pPr>
        <w:jc w:val="center"/>
        <w:rPr>
          <w:rFonts w:ascii="宋体" w:hAnsi="宋体"/>
          <w:b/>
          <w:color w:val="000000" w:themeColor="text1"/>
          <w:sz w:val="32"/>
          <w:szCs w:val="32"/>
          <w:highlight w:val="none"/>
        </w:rPr>
      </w:pPr>
    </w:p>
    <w:p w14:paraId="41D3DECB">
      <w:pPr>
        <w:jc w:val="center"/>
        <w:rPr>
          <w:rFonts w:ascii="宋体" w:hAnsi="宋体"/>
          <w:b/>
          <w:color w:val="000000" w:themeColor="text1"/>
          <w:sz w:val="32"/>
          <w:szCs w:val="32"/>
          <w:highlight w:val="none"/>
        </w:rPr>
      </w:pPr>
    </w:p>
    <w:p w14:paraId="354C7FAC">
      <w:pPr>
        <w:jc w:val="center"/>
        <w:rPr>
          <w:rFonts w:ascii="宋体" w:hAnsi="宋体"/>
          <w:b/>
          <w:color w:val="000000" w:themeColor="text1"/>
          <w:sz w:val="32"/>
          <w:szCs w:val="32"/>
          <w:highlight w:val="none"/>
        </w:rPr>
      </w:pPr>
    </w:p>
    <w:p w14:paraId="0273B8FE">
      <w:pPr>
        <w:jc w:val="center"/>
        <w:rPr>
          <w:rFonts w:ascii="宋体" w:hAnsi="宋体"/>
          <w:b/>
          <w:color w:val="000000" w:themeColor="text1"/>
          <w:sz w:val="32"/>
          <w:szCs w:val="32"/>
          <w:highlight w:val="none"/>
        </w:rPr>
      </w:pPr>
    </w:p>
    <w:p w14:paraId="7332DB4D">
      <w:pPr>
        <w:jc w:val="center"/>
        <w:rPr>
          <w:rFonts w:ascii="宋体" w:hAnsi="宋体"/>
          <w:b/>
          <w:color w:val="000000" w:themeColor="text1"/>
          <w:sz w:val="32"/>
          <w:szCs w:val="32"/>
          <w:highlight w:val="none"/>
        </w:rPr>
      </w:pPr>
    </w:p>
    <w:p w14:paraId="34FDD51C">
      <w:pPr>
        <w:pStyle w:val="3"/>
        <w:rPr>
          <w:color w:val="000000" w:themeColor="text1"/>
          <w:highlight w:val="none"/>
        </w:rPr>
      </w:pPr>
      <w:bookmarkStart w:id="42" w:name="_Toc5702"/>
      <w:r>
        <w:rPr>
          <w:rFonts w:hint="eastAsia"/>
          <w:color w:val="000000" w:themeColor="text1"/>
          <w:highlight w:val="none"/>
        </w:rPr>
        <w:t>合同条款及格式</w:t>
      </w:r>
      <w:bookmarkEnd w:id="42"/>
    </w:p>
    <w:p w14:paraId="507CA768">
      <w:pPr>
        <w:pStyle w:val="2"/>
        <w:spacing w:line="360" w:lineRule="auto"/>
        <w:ind w:left="0" w:leftChars="0" w:right="63"/>
        <w:jc w:val="both"/>
        <w:rPr>
          <w:color w:val="000000" w:themeColor="text1"/>
          <w:highlight w:val="none"/>
        </w:rPr>
      </w:pPr>
    </w:p>
    <w:p w14:paraId="6EB6CDF0">
      <w:pPr>
        <w:pStyle w:val="5"/>
        <w:widowControl/>
        <w:spacing w:before="0" w:after="0" w:line="360" w:lineRule="auto"/>
        <w:jc w:val="center"/>
        <w:rPr>
          <w:rFonts w:ascii="宋体" w:hAnsi="宋体" w:cs="宋体"/>
          <w:color w:val="000000" w:themeColor="text1"/>
          <w:sz w:val="36"/>
          <w:szCs w:val="36"/>
          <w:highlight w:val="none"/>
        </w:rPr>
      </w:pPr>
      <w:r>
        <w:rPr>
          <w:rFonts w:hint="eastAsia" w:ascii="宋体" w:hAnsi="宋体" w:cs="宋体"/>
          <w:color w:val="000000" w:themeColor="text1"/>
          <w:sz w:val="36"/>
          <w:szCs w:val="36"/>
          <w:highlight w:val="none"/>
        </w:rPr>
        <w:t>政府采购合同条款及格式（参考）</w:t>
      </w:r>
    </w:p>
    <w:p w14:paraId="2421802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合同编号：</w:t>
      </w:r>
    </w:p>
    <w:p w14:paraId="74B4B8E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签订地点： </w:t>
      </w:r>
    </w:p>
    <w:p w14:paraId="717AF18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签订日期：</w:t>
      </w:r>
    </w:p>
    <w:p w14:paraId="067FD3C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采购任务编号：</w:t>
      </w:r>
    </w:p>
    <w:p w14:paraId="43B2A21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（需方）需求的“             ”（货物名称）经        以编号为      的招标文件在国内公开招标，经评标委员会评定                        （供方）（包号）为中标单位。供需双方按照《中华人民共和国民法典》和有关法律法规，遵循平等、自愿、公平和诚实信用原则，同意按照下面的条款和条件订立本合同，共同信守。</w:t>
      </w:r>
    </w:p>
    <w:p w14:paraId="068D501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一、货物名称、品牌、规格、数量</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48"/>
        <w:gridCol w:w="1152"/>
        <w:gridCol w:w="2520"/>
        <w:gridCol w:w="900"/>
        <w:gridCol w:w="1260"/>
        <w:gridCol w:w="2004"/>
      </w:tblGrid>
      <w:tr w14:paraId="280653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548" w:type="dxa"/>
            <w:vAlign w:val="center"/>
          </w:tcPr>
          <w:p w14:paraId="46A986C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货物名称</w:t>
            </w:r>
          </w:p>
        </w:tc>
        <w:tc>
          <w:tcPr>
            <w:tcW w:w="1152" w:type="dxa"/>
            <w:vAlign w:val="center"/>
          </w:tcPr>
          <w:p w14:paraId="43E4890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品牌</w:t>
            </w:r>
          </w:p>
        </w:tc>
        <w:tc>
          <w:tcPr>
            <w:tcW w:w="2520" w:type="dxa"/>
            <w:vAlign w:val="center"/>
          </w:tcPr>
          <w:p w14:paraId="4B1F6FC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规格型号及配置</w:t>
            </w:r>
          </w:p>
        </w:tc>
        <w:tc>
          <w:tcPr>
            <w:tcW w:w="900" w:type="dxa"/>
            <w:vAlign w:val="center"/>
          </w:tcPr>
          <w:p w14:paraId="641F22F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数量</w:t>
            </w:r>
          </w:p>
        </w:tc>
        <w:tc>
          <w:tcPr>
            <w:tcW w:w="1260" w:type="dxa"/>
            <w:vAlign w:val="center"/>
          </w:tcPr>
          <w:p w14:paraId="08BB0C0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单价(元)</w:t>
            </w:r>
          </w:p>
        </w:tc>
        <w:tc>
          <w:tcPr>
            <w:tcW w:w="2004" w:type="dxa"/>
            <w:vAlign w:val="center"/>
          </w:tcPr>
          <w:p w14:paraId="4B469B2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小计金额(元)</w:t>
            </w:r>
          </w:p>
        </w:tc>
      </w:tr>
      <w:tr w14:paraId="7873A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548" w:type="dxa"/>
            <w:vAlign w:val="center"/>
          </w:tcPr>
          <w:p w14:paraId="7E143D60">
            <w:pPr>
              <w:spacing w:line="360" w:lineRule="auto"/>
              <w:ind w:firstLine="420" w:firstLineChars="200"/>
              <w:rPr>
                <w:rFonts w:ascii="宋体" w:hAnsi="宋体"/>
                <w:color w:val="000000" w:themeColor="text1"/>
                <w:szCs w:val="21"/>
                <w:highlight w:val="none"/>
              </w:rPr>
            </w:pPr>
          </w:p>
        </w:tc>
        <w:tc>
          <w:tcPr>
            <w:tcW w:w="1152" w:type="dxa"/>
            <w:vAlign w:val="center"/>
          </w:tcPr>
          <w:p w14:paraId="70CC8F97">
            <w:pPr>
              <w:spacing w:line="360" w:lineRule="auto"/>
              <w:ind w:firstLine="420" w:firstLineChars="200"/>
              <w:rPr>
                <w:rFonts w:ascii="宋体" w:hAnsi="宋体"/>
                <w:color w:val="000000" w:themeColor="text1"/>
                <w:szCs w:val="21"/>
                <w:highlight w:val="none"/>
              </w:rPr>
            </w:pPr>
          </w:p>
        </w:tc>
        <w:tc>
          <w:tcPr>
            <w:tcW w:w="2520" w:type="dxa"/>
            <w:vAlign w:val="center"/>
          </w:tcPr>
          <w:p w14:paraId="415C736A">
            <w:pPr>
              <w:spacing w:line="360" w:lineRule="auto"/>
              <w:ind w:firstLine="420" w:firstLineChars="200"/>
              <w:rPr>
                <w:rFonts w:ascii="宋体" w:hAnsi="宋体"/>
                <w:color w:val="000000" w:themeColor="text1"/>
                <w:szCs w:val="21"/>
                <w:highlight w:val="none"/>
              </w:rPr>
            </w:pPr>
          </w:p>
        </w:tc>
        <w:tc>
          <w:tcPr>
            <w:tcW w:w="900" w:type="dxa"/>
            <w:vAlign w:val="center"/>
          </w:tcPr>
          <w:p w14:paraId="0914A6CC">
            <w:pPr>
              <w:spacing w:line="360" w:lineRule="auto"/>
              <w:ind w:firstLine="420" w:firstLineChars="200"/>
              <w:rPr>
                <w:rFonts w:ascii="宋体" w:hAnsi="宋体"/>
                <w:color w:val="000000" w:themeColor="text1"/>
                <w:szCs w:val="21"/>
                <w:highlight w:val="none"/>
              </w:rPr>
            </w:pPr>
          </w:p>
        </w:tc>
        <w:tc>
          <w:tcPr>
            <w:tcW w:w="1260" w:type="dxa"/>
            <w:vAlign w:val="center"/>
          </w:tcPr>
          <w:p w14:paraId="67DE2238">
            <w:pPr>
              <w:spacing w:line="360" w:lineRule="auto"/>
              <w:ind w:firstLine="420" w:firstLineChars="200"/>
              <w:rPr>
                <w:rFonts w:ascii="宋体" w:hAnsi="宋体"/>
                <w:color w:val="000000" w:themeColor="text1"/>
                <w:szCs w:val="21"/>
                <w:highlight w:val="none"/>
              </w:rPr>
            </w:pPr>
          </w:p>
        </w:tc>
        <w:tc>
          <w:tcPr>
            <w:tcW w:w="2004" w:type="dxa"/>
            <w:vAlign w:val="center"/>
          </w:tcPr>
          <w:p w14:paraId="15DD6D37">
            <w:pPr>
              <w:spacing w:line="360" w:lineRule="auto"/>
              <w:ind w:firstLine="420" w:firstLineChars="200"/>
              <w:rPr>
                <w:rFonts w:ascii="宋体" w:hAnsi="宋体"/>
                <w:color w:val="000000" w:themeColor="text1"/>
                <w:szCs w:val="21"/>
                <w:highlight w:val="none"/>
              </w:rPr>
            </w:pPr>
          </w:p>
        </w:tc>
      </w:tr>
      <w:tr w14:paraId="3FCE8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548" w:type="dxa"/>
            <w:vAlign w:val="center"/>
          </w:tcPr>
          <w:p w14:paraId="6D4DEEA1">
            <w:pPr>
              <w:spacing w:line="360" w:lineRule="auto"/>
              <w:ind w:firstLine="420" w:firstLineChars="200"/>
              <w:rPr>
                <w:rFonts w:ascii="宋体" w:hAnsi="宋体"/>
                <w:color w:val="000000" w:themeColor="text1"/>
                <w:szCs w:val="21"/>
                <w:highlight w:val="none"/>
              </w:rPr>
            </w:pPr>
          </w:p>
        </w:tc>
        <w:tc>
          <w:tcPr>
            <w:tcW w:w="1152" w:type="dxa"/>
            <w:vAlign w:val="center"/>
          </w:tcPr>
          <w:p w14:paraId="2BEDD79C">
            <w:pPr>
              <w:spacing w:line="360" w:lineRule="auto"/>
              <w:ind w:firstLine="420" w:firstLineChars="200"/>
              <w:rPr>
                <w:rFonts w:ascii="宋体" w:hAnsi="宋体"/>
                <w:color w:val="000000" w:themeColor="text1"/>
                <w:szCs w:val="21"/>
                <w:highlight w:val="none"/>
              </w:rPr>
            </w:pPr>
          </w:p>
        </w:tc>
        <w:tc>
          <w:tcPr>
            <w:tcW w:w="2520" w:type="dxa"/>
            <w:vAlign w:val="center"/>
          </w:tcPr>
          <w:p w14:paraId="25357097">
            <w:pPr>
              <w:spacing w:line="360" w:lineRule="auto"/>
              <w:ind w:firstLine="420" w:firstLineChars="200"/>
              <w:rPr>
                <w:rFonts w:ascii="宋体" w:hAnsi="宋体"/>
                <w:color w:val="000000" w:themeColor="text1"/>
                <w:szCs w:val="21"/>
                <w:highlight w:val="none"/>
              </w:rPr>
            </w:pPr>
          </w:p>
        </w:tc>
        <w:tc>
          <w:tcPr>
            <w:tcW w:w="900" w:type="dxa"/>
            <w:vAlign w:val="center"/>
          </w:tcPr>
          <w:p w14:paraId="74787A51">
            <w:pPr>
              <w:spacing w:line="360" w:lineRule="auto"/>
              <w:ind w:firstLine="420" w:firstLineChars="200"/>
              <w:rPr>
                <w:rFonts w:ascii="宋体" w:hAnsi="宋体"/>
                <w:color w:val="000000" w:themeColor="text1"/>
                <w:szCs w:val="21"/>
                <w:highlight w:val="none"/>
              </w:rPr>
            </w:pPr>
          </w:p>
        </w:tc>
        <w:tc>
          <w:tcPr>
            <w:tcW w:w="1260" w:type="dxa"/>
            <w:vAlign w:val="center"/>
          </w:tcPr>
          <w:p w14:paraId="5D0CF45E">
            <w:pPr>
              <w:spacing w:line="360" w:lineRule="auto"/>
              <w:ind w:firstLine="420" w:firstLineChars="200"/>
              <w:rPr>
                <w:rFonts w:ascii="宋体" w:hAnsi="宋体"/>
                <w:color w:val="000000" w:themeColor="text1"/>
                <w:szCs w:val="21"/>
                <w:highlight w:val="none"/>
              </w:rPr>
            </w:pPr>
          </w:p>
        </w:tc>
        <w:tc>
          <w:tcPr>
            <w:tcW w:w="2004" w:type="dxa"/>
            <w:vAlign w:val="center"/>
          </w:tcPr>
          <w:p w14:paraId="0E33A54E">
            <w:pPr>
              <w:spacing w:line="360" w:lineRule="auto"/>
              <w:ind w:firstLine="420" w:firstLineChars="200"/>
              <w:rPr>
                <w:rFonts w:ascii="宋体" w:hAnsi="宋体"/>
                <w:color w:val="000000" w:themeColor="text1"/>
                <w:szCs w:val="21"/>
                <w:highlight w:val="none"/>
              </w:rPr>
            </w:pPr>
          </w:p>
        </w:tc>
      </w:tr>
      <w:tr w14:paraId="5E9EBB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548" w:type="dxa"/>
            <w:vAlign w:val="center"/>
          </w:tcPr>
          <w:p w14:paraId="3D2BA568">
            <w:pPr>
              <w:spacing w:line="360" w:lineRule="auto"/>
              <w:ind w:firstLine="420" w:firstLineChars="200"/>
              <w:rPr>
                <w:rFonts w:ascii="宋体" w:hAnsi="宋体"/>
                <w:color w:val="000000" w:themeColor="text1"/>
                <w:szCs w:val="21"/>
                <w:highlight w:val="none"/>
              </w:rPr>
            </w:pPr>
          </w:p>
        </w:tc>
        <w:tc>
          <w:tcPr>
            <w:tcW w:w="1152" w:type="dxa"/>
            <w:vAlign w:val="center"/>
          </w:tcPr>
          <w:p w14:paraId="47A2826A">
            <w:pPr>
              <w:spacing w:line="360" w:lineRule="auto"/>
              <w:ind w:firstLine="420" w:firstLineChars="200"/>
              <w:rPr>
                <w:rFonts w:ascii="宋体" w:hAnsi="宋体"/>
                <w:color w:val="000000" w:themeColor="text1"/>
                <w:szCs w:val="21"/>
                <w:highlight w:val="none"/>
              </w:rPr>
            </w:pPr>
          </w:p>
        </w:tc>
        <w:tc>
          <w:tcPr>
            <w:tcW w:w="2520" w:type="dxa"/>
            <w:vAlign w:val="center"/>
          </w:tcPr>
          <w:p w14:paraId="6DABE165">
            <w:pPr>
              <w:spacing w:line="360" w:lineRule="auto"/>
              <w:ind w:firstLine="420" w:firstLineChars="200"/>
              <w:rPr>
                <w:rFonts w:ascii="宋体" w:hAnsi="宋体"/>
                <w:color w:val="000000" w:themeColor="text1"/>
                <w:szCs w:val="21"/>
                <w:highlight w:val="none"/>
              </w:rPr>
            </w:pPr>
          </w:p>
        </w:tc>
        <w:tc>
          <w:tcPr>
            <w:tcW w:w="900" w:type="dxa"/>
            <w:vAlign w:val="center"/>
          </w:tcPr>
          <w:p w14:paraId="17FCBC1E">
            <w:pPr>
              <w:spacing w:line="360" w:lineRule="auto"/>
              <w:ind w:firstLine="420" w:firstLineChars="200"/>
              <w:rPr>
                <w:rFonts w:ascii="宋体" w:hAnsi="宋体"/>
                <w:color w:val="000000" w:themeColor="text1"/>
                <w:szCs w:val="21"/>
                <w:highlight w:val="none"/>
              </w:rPr>
            </w:pPr>
          </w:p>
        </w:tc>
        <w:tc>
          <w:tcPr>
            <w:tcW w:w="1260" w:type="dxa"/>
            <w:vAlign w:val="center"/>
          </w:tcPr>
          <w:p w14:paraId="79F76A9F">
            <w:pPr>
              <w:spacing w:line="360" w:lineRule="auto"/>
              <w:ind w:firstLine="420" w:firstLineChars="200"/>
              <w:rPr>
                <w:rFonts w:ascii="宋体" w:hAnsi="宋体"/>
                <w:color w:val="000000" w:themeColor="text1"/>
                <w:szCs w:val="21"/>
                <w:highlight w:val="none"/>
              </w:rPr>
            </w:pPr>
          </w:p>
        </w:tc>
        <w:tc>
          <w:tcPr>
            <w:tcW w:w="2004" w:type="dxa"/>
            <w:vAlign w:val="center"/>
          </w:tcPr>
          <w:p w14:paraId="33C4408C">
            <w:pPr>
              <w:spacing w:line="360" w:lineRule="auto"/>
              <w:ind w:firstLine="420" w:firstLineChars="200"/>
              <w:rPr>
                <w:rFonts w:ascii="宋体" w:hAnsi="宋体"/>
                <w:color w:val="000000" w:themeColor="text1"/>
                <w:szCs w:val="21"/>
                <w:highlight w:val="none"/>
              </w:rPr>
            </w:pPr>
          </w:p>
        </w:tc>
      </w:tr>
    </w:tbl>
    <w:p w14:paraId="53C8F85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二、合同价款</w:t>
      </w:r>
    </w:p>
    <w:p w14:paraId="1E267C3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2.1合同总价：人民币（大写）              元，（小写）            元。</w:t>
      </w:r>
    </w:p>
    <w:p w14:paraId="753C2D3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三、交货地点及交货时间</w:t>
      </w:r>
    </w:p>
    <w:p w14:paraId="19B07D8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合同订立后   个工作日内，将相关设备送至需方指定位置，并负责相关要求安装调试。</w:t>
      </w:r>
      <w:r>
        <w:rPr>
          <w:rFonts w:hint="eastAsia" w:ascii="宋体" w:hAnsi="宋体"/>
          <w:color w:val="000000" w:themeColor="text1"/>
          <w:szCs w:val="21"/>
          <w:highlight w:val="none"/>
          <w:lang w:val="zh-CN"/>
        </w:rPr>
        <w:t>如果供方没有按照合同规定的时间交货和提供服务，供方应向需方支付误期赔偿费。误期赔偿费每天按迟交货物的交货价或延期服务的服务费用的百分之一（1%）计收，直至交货或提供服务为止。一天按24小时计算，不足一天按一天计算。但误期赔偿费的最高限额不超过合同价的百分之五（5%）。</w:t>
      </w:r>
    </w:p>
    <w:p w14:paraId="6041714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付款 </w:t>
      </w:r>
    </w:p>
    <w:p w14:paraId="533EE38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val="zh-CN"/>
        </w:rPr>
        <w:t xml:space="preserve"> 4.1货到验收合格后付</w:t>
      </w:r>
      <w:r>
        <w:rPr>
          <w:rFonts w:hint="eastAsia" w:ascii="宋体" w:hAnsi="宋体"/>
          <w:color w:val="000000" w:themeColor="text1"/>
          <w:szCs w:val="21"/>
          <w:highlight w:val="none"/>
        </w:rPr>
        <w:t xml:space="preserve">          货款</w:t>
      </w:r>
      <w:r>
        <w:rPr>
          <w:rFonts w:hint="eastAsia" w:ascii="宋体" w:hAnsi="宋体"/>
          <w:color w:val="000000" w:themeColor="text1"/>
          <w:szCs w:val="21"/>
          <w:highlight w:val="none"/>
          <w:lang w:val="zh-CN"/>
        </w:rPr>
        <w:t>。</w:t>
      </w:r>
    </w:p>
    <w:p w14:paraId="598BE57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五、施工</w:t>
      </w:r>
    </w:p>
    <w:p w14:paraId="7B32552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六、验收（严格执行国家相关标准和招标文件要求）。</w:t>
      </w:r>
    </w:p>
    <w:p w14:paraId="7C3EAF1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七、知识产权及有关规定</w:t>
      </w:r>
    </w:p>
    <w:p w14:paraId="69190C8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7.1 供方应保证需方在使用本合同项下的货物或其任何一部分时免受第三方提出侵犯其知识产权、商标权或工业设计权的起诉。如果发生此类问题，供方应负责交涉并承担一切费用和责任。</w:t>
      </w:r>
    </w:p>
    <w:p w14:paraId="7A017F1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7.2 供方应保证所供货物符合国家的有关规定。</w:t>
      </w:r>
    </w:p>
    <w:p w14:paraId="31F6059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八、伴随服务</w:t>
      </w:r>
    </w:p>
    <w:p w14:paraId="30B2308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8.1供方应提供所交付货物的全套技术文件资料，包括产品目录、图纸、操作手册、使用说明、维护手册和服务指南等。</w:t>
      </w:r>
    </w:p>
    <w:p w14:paraId="445A920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8.2供方还应提供下列服务：货物的运输、集成和试运行；提供货物组装和维修所需的工具；在质量保证期内对所交付货物提供运行监督、维修、保养等；在制造厂家和/或在项目现场就货物的安装调试、运行、维护等对需方人员进行培训。</w:t>
      </w:r>
    </w:p>
    <w:p w14:paraId="744FFE9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8.3上述伴随服务的费用应包含在合同价中，不单独进行支付。</w:t>
      </w:r>
    </w:p>
    <w:p w14:paraId="35A06D0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九、质量保证期及售后服务</w:t>
      </w:r>
    </w:p>
    <w:p w14:paraId="5D7DC1D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9.1 质量保证期：  </w:t>
      </w:r>
    </w:p>
    <w:p w14:paraId="4EE635B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9.2 售后服务要求：</w:t>
      </w:r>
    </w:p>
    <w:p w14:paraId="21F398F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十、质量保证</w:t>
      </w:r>
    </w:p>
    <w:p w14:paraId="5CBA926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10.1 供方应保证所提供的货物是原制造厂商制造的、经过合法销售渠道取得的、全新的、未使用过的，并完全符合合同规定的品牌、规格型号、技术性能、配置、质量、数量等要求。供方应保证其所提供的货物在正常使用和保养条件下，在其使用寿命期内具有满意的性能。在货物最终验收合格交付后不少于本合同第八条约定的质量保证期内，供方应对其交付的货物由于设计、工艺或材料的缺陷而产生的故障负责。</w:t>
      </w:r>
    </w:p>
    <w:p w14:paraId="56BBE2D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10.2 在质量保证期内，如果货物的规格型号、技术性能、原产地及制造厂商以及其他质量技术指标与合同约定不符，或证实货物是有缺陷的，包括潜在的缺陷或使用不符合要求的材料等，需方应尽快以书面形式向供方提出本保证下的索赔。</w:t>
      </w:r>
    </w:p>
    <w:p w14:paraId="7F34A23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10.3在质量保证期内，供方在接到需方的通知后，应在本合同第八条约定的响应时间内,免费维修和/或更换有缺陷的货物或部件。</w:t>
      </w:r>
    </w:p>
    <w:p w14:paraId="7C98AB0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10.4 如果供方在接到需方通知后，在本合同第八条约定的响应时间内没有弥补缺陷，需方可采取必要的补救措施，但其风险和费用将由供方负担，并且需方根据合同规定对供方行使的其他权利不受影响。</w:t>
      </w:r>
    </w:p>
    <w:p w14:paraId="17A0DBE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十一、索赔</w:t>
      </w:r>
    </w:p>
    <w:p w14:paraId="25357E2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11.1需方有权根据当地国家技术监督局、进出口商品检验局或其他具有法定资格的质检机构出具的检验证书向供方提出索赔。</w:t>
      </w:r>
    </w:p>
    <w:p w14:paraId="7ACFBE9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11.2如果供方对缺陷负有责任而需方提出索赔，供方应按照需方同意的下列一种或多种方式解决索赔事宜：</w:t>
      </w:r>
    </w:p>
    <w:p w14:paraId="6BBA601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（1）供方同意退货并用合同规定的货币将货款退还给需方，并承担由此发生的一切损失和费用，包括利息、银行手续费、运费、保险费、检验费、仓储费、装卸费以及为保护退回货物所需的其他必要费用。</w:t>
      </w:r>
    </w:p>
    <w:p w14:paraId="7FFD7C3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（2）根据货物低劣、损坏程度以及需方所遭受损失的金额，经过供需双方商定降低货物的价格。</w:t>
      </w:r>
    </w:p>
    <w:p w14:paraId="23889DF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用符合合同规定的规格、质量和性能要求的新零件、部件和／或设备来更换有缺陷的部分和／或修补缺陷部分，供方应承担一切费用和风险，并负担需方蒙受的全部直接损失。供方应同时按合同第八条的规定，相应延长修补和／或更换件的质量保证期。</w:t>
      </w:r>
    </w:p>
    <w:p w14:paraId="12DCCE1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11.3如果在需方发出索赔通知后十天内，供方未作答复，上述索赔应视为已被供方接受。如供方未能在接到需方索赔通知后十天内或需方同意的延长期限内，按照本合同第10.2条规定的任何一种或多种方式解决索赔事宜并征得需方同意，需方有权通过采购方从应付货款或从供方提交的履约保证金中扣回索赔金额，并拥有对赔偿不足部分进一步索赔的权利。</w:t>
      </w:r>
    </w:p>
    <w:p w14:paraId="570B484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十二、供方履约延误</w:t>
      </w:r>
    </w:p>
    <w:p w14:paraId="5DDA683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12.1 供方应按照合同规定的时间、地点交货和提供服务。</w:t>
      </w:r>
    </w:p>
    <w:p w14:paraId="68621E4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12.2 如供方无正当理由拖延交货或不按投标文件提供服务，将受到以下制裁：没收履约保证金、加收误期赔偿和／或违约终止合同。</w:t>
      </w:r>
    </w:p>
    <w:p w14:paraId="1F7D3AF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12.3 在履行合同过程中，如果供方遇到可能妨碍其按时交货和提供服务的情况，应及时以书面形式将拖延的事实，可能拖延的期限和理由通知需方。需方在收到供方通知后，应尽快对情况进行评价，并确定是否通过修改合同，酌情延长交货时间和/或延期提供服务，或者终止合同。</w:t>
      </w:r>
    </w:p>
    <w:p w14:paraId="58C98B9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十三、误期赔偿</w:t>
      </w:r>
    </w:p>
    <w:p w14:paraId="53EDDF0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13.1除合同第14条规定外，如果供方没有按照合同规定的时间交货和提供服务，供方应向需方支付误期赔偿费。误期赔偿费每天按迟交货物的交货价或延期服务的服务费用的百分之一（1%）计收，直至交货或提供服务为止。一天按24小时计算，不足一天按一一天计算。但误期赔偿费的最高限额不超过合同价的百分之五（5%）。</w:t>
      </w:r>
    </w:p>
    <w:p w14:paraId="2CBF2E5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13.2误期赔偿费可从应付货款和/或履约保证金中扣除。</w:t>
      </w:r>
    </w:p>
    <w:p w14:paraId="4EEA150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13.3收取误期赔偿费不影响需方采取合同规定的其他补救措施的权利。</w:t>
      </w:r>
    </w:p>
    <w:p w14:paraId="08D651F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13.4供方如未能按本合同第九条规定进行售后服务，在收到需方县级远程办书面故障处理通知之日起一个月内仍未能解决故障，需方将按出现故障设备供货价格扣除质量保证金。</w:t>
      </w:r>
    </w:p>
    <w:p w14:paraId="1C98088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13.5在收取误期赔偿费期间，需方有权决定是否终止合同。</w:t>
      </w:r>
    </w:p>
    <w:p w14:paraId="12147A8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十四、履约保证金</w:t>
      </w:r>
    </w:p>
    <w:p w14:paraId="6853423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14.1 中标供应商接到中标通知书后，合同签订前向采购人缴纳中标金额的5%做为履约保证金。</w:t>
      </w:r>
    </w:p>
    <w:p w14:paraId="59D818D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14.2 履约金返还的时间和条件：按相关规定执行。</w:t>
      </w:r>
    </w:p>
    <w:p w14:paraId="7EAB8FB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十五、不可抗力</w:t>
      </w:r>
    </w:p>
    <w:p w14:paraId="712A351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15.1 如果供需双方因不可抗力而导致合同实施延误或不能履行合同义务，不应该承担误期赔偿或不能履行合同义务的责任。</w:t>
      </w:r>
    </w:p>
    <w:p w14:paraId="3342099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15.2 本条所述的“不可抗力”系指那些双方无法控制，不可预见的事件，但不包括供需双方的违约或疏忽。这些事件包括但不限于：战争、严重火灾、洪水、台风、地震以及其它供需双方商定的事件(供需双方认定国家政策重大变化属不可抗力)。</w:t>
      </w:r>
    </w:p>
    <w:p w14:paraId="090BD52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15.3 在不可抗力事件发生后，当事方应尽快以书面形式将不可抗力的情况和原因通知对方。供需双方应尽实际可能继续履行合同义务，并积极寻求采取合理的方案履行不受不可抗力影响的其他事项。供需双方应通过友好协商在合理的时间内达成进一步履行合同的协议。</w:t>
      </w:r>
    </w:p>
    <w:p w14:paraId="3C32A4B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十六、税费</w:t>
      </w:r>
    </w:p>
    <w:p w14:paraId="5C97C24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16.1 根据现行法律规定对需方征收的与本合同有关的一切税费均由需方负担。</w:t>
      </w:r>
    </w:p>
    <w:p w14:paraId="432B095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16.2 根据现行法律规定对供方征收的与本合同有关的一切税费均由供方负担。</w:t>
      </w:r>
    </w:p>
    <w:p w14:paraId="085FF52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16.3 在中国境外发生的与执行本合同有关的一切税费均由供方负担。</w:t>
      </w:r>
    </w:p>
    <w:p w14:paraId="3020FB6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十七、争端的解决</w:t>
      </w:r>
    </w:p>
    <w:p w14:paraId="42C7929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17.1 供需双方应通过友好协商，解决在执行本合同过程中所发生的或与本合同有关的一切争端。如从协商开始十（10）天内仍不能解决，可以向有关合同管理部门提请调解。</w:t>
      </w:r>
    </w:p>
    <w:p w14:paraId="54F2375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17.2 如果调解不成，供需双方的任何一方可以向人民法院提起诉讼。诉讼由合同签订地人民法院管辖。</w:t>
      </w:r>
    </w:p>
    <w:p w14:paraId="6E7FD28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17.3诉讼费除法院另有裁决外均由败诉方负担。</w:t>
      </w:r>
    </w:p>
    <w:p w14:paraId="0D3ADE6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17.4在诉讼期间，除正在进行诉讼的部分外，本合同的其它部分应继续执行。</w:t>
      </w:r>
    </w:p>
    <w:p w14:paraId="4332491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十八、违约终止合同</w:t>
      </w:r>
    </w:p>
    <w:p w14:paraId="2EAECC6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18.1 在需方因供方违约而按合同约定采取的任何补救措施不受影响的情况下，需方可在下列情况下向供方发出书面通知，提出终止部分或全部合同。</w:t>
      </w:r>
    </w:p>
    <w:p w14:paraId="205C6F5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（1）如果供方未能在合同规定的限期或需方同意延长的限期内提供部分或全部货物和服务。</w:t>
      </w:r>
    </w:p>
    <w:p w14:paraId="41E200E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（2）如果供方未能履行合同规定的其它任何义务。</w:t>
      </w:r>
    </w:p>
    <w:p w14:paraId="2ABD5E6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3）如果需方认为供方在本合同的竞争或实施中有腐败和欺诈行为。为此，定义如下：“腐败行为”是指提供、给予、接受或索取任何有价值的东西来影响采购人员在采购过程或合同实施过程中的行为；“欺诈行为”是指为了影响采购过程或合同实施过程而谎报事实，损害采购人的利益，包括供货单位之间串通，人为地使供货活动丧失竞争性，损害采购人所能获得的权益。</w:t>
      </w:r>
    </w:p>
    <w:p w14:paraId="4B25F48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18.2 如果需方根据上述第18.1款的规定，终止了全部或部分合同，需方可以依其认为适当的条件和方法购买与未交货物类似的货物，供方应对购买类似货物所超出的那部分费用负责。供方提交的履约保证金将被作为需方采取上述补救措施的购买资金的一部分。并且，供方应继续履行合同中未终止的部分。</w:t>
      </w:r>
    </w:p>
    <w:p w14:paraId="2CBAE6D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十九、破产终止合同</w:t>
      </w:r>
    </w:p>
    <w:p w14:paraId="26DEAD1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19.1 如果供方破产或丧失清偿能力，需方可在任何时候以书面形式通知供方终止合同而不给供方补偿。该终止合同将不损害或影响需方已经采取或将要采取任何补救措施的权力。</w:t>
      </w:r>
    </w:p>
    <w:p w14:paraId="1AB6EE8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二十、合同转让和分包</w:t>
      </w:r>
    </w:p>
    <w:p w14:paraId="7957712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20.1 供方不得部分转让和分包或全部转让和分包其应履行的合同义务。</w:t>
      </w:r>
    </w:p>
    <w:p w14:paraId="3FACA87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二十一、需要补充的合同条款</w:t>
      </w:r>
    </w:p>
    <w:p w14:paraId="7F62430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21.1 根据评标过程中或者商务谈判时商定的条款和条件在订立合同时标明。</w:t>
      </w:r>
    </w:p>
    <w:p w14:paraId="1D6EA01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二十二、适用法律</w:t>
      </w:r>
    </w:p>
    <w:p w14:paraId="0B0D367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22.1 本合同按照中华人民共和国的现行法律进行解释。</w:t>
      </w:r>
    </w:p>
    <w:p w14:paraId="375E9B2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二十三、合同生效</w:t>
      </w:r>
    </w:p>
    <w:p w14:paraId="73D2CF01">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    23.1 本合同在供需双方法定代表人或其授权代理人签字并加盖公章并且采购方收到供方提交的履约保证金后生效。 </w:t>
      </w:r>
    </w:p>
    <w:p w14:paraId="62B44F4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二十四、合同附件</w:t>
      </w:r>
    </w:p>
    <w:p w14:paraId="704C25E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24.1下列文件构成本合同不可分割的组成部分，与本合同具有同等法律效力：</w:t>
      </w:r>
    </w:p>
    <w:p w14:paraId="0EF8146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1、招标文件及澄清、补充文件；</w:t>
      </w:r>
    </w:p>
    <w:p w14:paraId="10AAA110">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2、供方的投标文件、在投标期间的书面承诺文件和售后服务承诺书；        </w:t>
      </w:r>
    </w:p>
    <w:p w14:paraId="195A6B2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3、产品样本、说明书、图纸（与合同配置不符之处，以合同为准）；</w:t>
      </w:r>
    </w:p>
    <w:p w14:paraId="30BB7FC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4、中标通知书；</w:t>
      </w:r>
    </w:p>
    <w:p w14:paraId="4D12B12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5、政府采购验收报告单；</w:t>
      </w:r>
    </w:p>
    <w:p w14:paraId="3401AEF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6、合同的其他附件：</w:t>
      </w:r>
    </w:p>
    <w:p w14:paraId="2775DCD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上述合同附件如果有不一致之处，以日期在后的和对需方有利的为准。</w:t>
      </w:r>
    </w:p>
    <w:p w14:paraId="1EEC63CF">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二十五、合同修改</w:t>
      </w:r>
    </w:p>
    <w:p w14:paraId="1637FA7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25.1除供需双方和采购方签署书面修改、补充协议，并成为本合同不可分割的一部分之外，本合同条件不得有任何变化或修改。</w:t>
      </w:r>
    </w:p>
    <w:p w14:paraId="08CCEB5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二十六、合同备案</w:t>
      </w:r>
    </w:p>
    <w:p w14:paraId="66CC99C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26.1自本合同订立之日起七个工作日内，向本级政府采购监督管理部门备案。</w:t>
      </w:r>
    </w:p>
    <w:p w14:paraId="4319BAE3">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十七、政府采购法对政府采购合同变更终止的规定：“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在本合同中，双方当事人指供需双方。</w:t>
      </w:r>
    </w:p>
    <w:p w14:paraId="19542359">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需方：                                  供方：</w:t>
      </w:r>
    </w:p>
    <w:p w14:paraId="1AB305C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地址：                                  地址：</w:t>
      </w:r>
    </w:p>
    <w:p w14:paraId="725D044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 xml:space="preserve">法定代表人 ：                           法定代表人 :              </w:t>
      </w:r>
    </w:p>
    <w:p w14:paraId="42DF2A16">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或授权委托人：                          或授权代理人：</w:t>
      </w:r>
    </w:p>
    <w:p w14:paraId="4FA130A8">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签字日期：                              签字日期：</w:t>
      </w:r>
    </w:p>
    <w:p w14:paraId="55096B9D">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邮政编码：                              邮政编码：</w:t>
      </w:r>
    </w:p>
    <w:p w14:paraId="74EC3FFB">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                                  电话：</w:t>
      </w:r>
    </w:p>
    <w:p w14:paraId="7C3E856C">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                                  传真：</w:t>
      </w:r>
    </w:p>
    <w:p w14:paraId="4B84285E">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                                联系人：</w:t>
      </w:r>
    </w:p>
    <w:p w14:paraId="3214924A">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开户银行：                              开户银行：</w:t>
      </w:r>
    </w:p>
    <w:p w14:paraId="244F9BE4">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帐户名称:                               帐户名称：</w:t>
      </w:r>
    </w:p>
    <w:p w14:paraId="1DF202B2">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帐号：                                  帐号：</w:t>
      </w:r>
    </w:p>
    <w:p w14:paraId="012ABA45">
      <w:pPr>
        <w:rPr>
          <w:rFonts w:ascii="宋体" w:hAnsi="宋体" w:cs="宋体"/>
          <w:b/>
          <w:color w:val="000000" w:themeColor="text1"/>
          <w:kern w:val="44"/>
          <w:sz w:val="24"/>
          <w:highlight w:val="none"/>
        </w:rPr>
      </w:pPr>
      <w:r>
        <w:rPr>
          <w:rFonts w:hint="eastAsia" w:ascii="宋体" w:hAnsi="宋体" w:cs="宋体"/>
          <w:b/>
          <w:color w:val="000000" w:themeColor="text1"/>
          <w:kern w:val="44"/>
          <w:sz w:val="24"/>
          <w:highlight w:val="none"/>
        </w:rPr>
        <w:t>本合同为参考范本，合同协议条款将由采购人（甲方）与成交人（乙方）结合磋商文件、响应文件和本项目具体情况协商后签订。具体以实际签订合同为准。</w:t>
      </w:r>
    </w:p>
    <w:p w14:paraId="18F5670A">
      <w:pPr>
        <w:rPr>
          <w:rFonts w:ascii="宋体" w:hAnsi="宋体" w:cs="宋体"/>
          <w:b/>
          <w:color w:val="000000" w:themeColor="text1"/>
          <w:kern w:val="44"/>
          <w:sz w:val="24"/>
          <w:highlight w:val="none"/>
        </w:rPr>
      </w:pPr>
    </w:p>
    <w:p w14:paraId="15A4DBA5">
      <w:pPr>
        <w:spacing w:line="420" w:lineRule="exact"/>
        <w:jc w:val="center"/>
        <w:rPr>
          <w:rFonts w:ascii="宋体" w:hAnsi="宋体"/>
          <w:color w:val="000000" w:themeColor="text1"/>
          <w:highlight w:val="none"/>
        </w:rPr>
      </w:pPr>
    </w:p>
    <w:p w14:paraId="47A9929C">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14:paraId="108CD9B6">
      <w:pPr>
        <w:pStyle w:val="3"/>
        <w:rPr>
          <w:color w:val="000000" w:themeColor="text1"/>
          <w:highlight w:val="none"/>
        </w:rPr>
      </w:pPr>
      <w:bookmarkStart w:id="43" w:name="_Toc32019"/>
      <w:r>
        <w:rPr>
          <w:rFonts w:hint="eastAsia"/>
          <w:color w:val="000000" w:themeColor="text1"/>
          <w:highlight w:val="none"/>
        </w:rPr>
        <w:t>采购需求</w:t>
      </w:r>
      <w:bookmarkEnd w:id="43"/>
    </w:p>
    <w:p w14:paraId="6EE5A1D1">
      <w:pPr>
        <w:numPr>
          <w:ilvl w:val="0"/>
          <w:numId w:val="5"/>
        </w:numPr>
        <w:adjustRightInd w:val="0"/>
        <w:snapToGrid w:val="0"/>
        <w:spacing w:line="360" w:lineRule="auto"/>
        <w:rPr>
          <w:rFonts w:cs="宋体"/>
          <w:b/>
          <w:bCs/>
          <w:color w:val="000000" w:themeColor="text1"/>
          <w:sz w:val="32"/>
          <w:szCs w:val="32"/>
          <w:highlight w:val="none"/>
        </w:rPr>
      </w:pPr>
      <w:r>
        <w:rPr>
          <w:rFonts w:hint="eastAsia" w:cs="宋体"/>
          <w:b/>
          <w:bCs/>
          <w:color w:val="000000" w:themeColor="text1"/>
          <w:sz w:val="32"/>
          <w:szCs w:val="32"/>
          <w:highlight w:val="none"/>
        </w:rPr>
        <w:t>技术参数</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251"/>
        <w:gridCol w:w="6324"/>
      </w:tblGrid>
      <w:tr w14:paraId="7F96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3E6A0500">
            <w:pPr>
              <w:jc w:val="center"/>
              <w:rPr>
                <w:b/>
                <w:sz w:val="28"/>
                <w:szCs w:val="28"/>
                <w:highlight w:val="none"/>
              </w:rPr>
            </w:pPr>
            <w:r>
              <w:rPr>
                <w:b/>
                <w:sz w:val="28"/>
                <w:szCs w:val="28"/>
                <w:highlight w:val="none"/>
              </w:rPr>
              <w:t>车辆技术参数</w:t>
            </w:r>
          </w:p>
        </w:tc>
      </w:tr>
      <w:tr w14:paraId="0568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2318F4E">
            <w:pPr>
              <w:jc w:val="center"/>
              <w:rPr>
                <w:rFonts w:asciiTheme="minorEastAsia" w:hAnsiTheme="minorEastAsia"/>
                <w:sz w:val="28"/>
                <w:szCs w:val="28"/>
                <w:highlight w:val="none"/>
              </w:rPr>
            </w:pPr>
            <w:r>
              <w:rPr>
                <w:rFonts w:hint="eastAsia" w:asciiTheme="minorEastAsia" w:hAnsiTheme="minorEastAsia"/>
                <w:sz w:val="28"/>
                <w:szCs w:val="28"/>
                <w:highlight w:val="none"/>
              </w:rPr>
              <w:t>1</w:t>
            </w:r>
          </w:p>
        </w:tc>
        <w:tc>
          <w:tcPr>
            <w:tcW w:w="1212" w:type="pct"/>
            <w:vAlign w:val="center"/>
          </w:tcPr>
          <w:p w14:paraId="003A343F">
            <w:pPr>
              <w:jc w:val="left"/>
              <w:rPr>
                <w:rFonts w:asciiTheme="minorEastAsia" w:hAnsiTheme="minorEastAsia"/>
                <w:sz w:val="28"/>
                <w:szCs w:val="28"/>
                <w:highlight w:val="none"/>
              </w:rPr>
            </w:pPr>
            <w:r>
              <w:rPr>
                <w:rFonts w:asciiTheme="minorEastAsia" w:hAnsiTheme="minorEastAsia"/>
                <w:sz w:val="28"/>
                <w:szCs w:val="28"/>
                <w:highlight w:val="none"/>
              </w:rPr>
              <w:t>项目内容</w:t>
            </w:r>
          </w:p>
        </w:tc>
        <w:tc>
          <w:tcPr>
            <w:tcW w:w="3403" w:type="pct"/>
          </w:tcPr>
          <w:p w14:paraId="1AFB8E16">
            <w:pPr>
              <w:pStyle w:val="2"/>
              <w:ind w:left="63" w:right="63"/>
              <w:rPr>
                <w:rFonts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rPr>
              <w:t>一）投标车是按中华人民共和国卫生行业标准-救护车生产的救护车。</w:t>
            </w:r>
          </w:p>
          <w:p w14:paraId="27627353">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（二）投标文件内提供救护车产品的国家强制性产品 CCC认证。</w:t>
            </w:r>
          </w:p>
          <w:p w14:paraId="7DADCD40">
            <w:pPr>
              <w:pStyle w:val="2"/>
              <w:ind w:left="63" w:right="63"/>
              <w:rPr>
                <w:rFonts w:asciiTheme="minorEastAsia" w:hAnsiTheme="minorEastAsia" w:eastAsiaTheme="minorEastAsia"/>
                <w:sz w:val="28"/>
                <w:szCs w:val="28"/>
                <w:highlight w:val="none"/>
              </w:rPr>
            </w:pPr>
            <w:r>
              <w:rPr>
                <w:rFonts w:hint="eastAsia" w:cs="仿宋" w:asciiTheme="minorEastAsia" w:hAnsiTheme="minorEastAsia" w:eastAsiaTheme="minorEastAsia"/>
                <w:sz w:val="28"/>
                <w:szCs w:val="28"/>
                <w:highlight w:val="none"/>
              </w:rPr>
              <w:t>（</w:t>
            </w:r>
            <w:r>
              <w:rPr>
                <w:rFonts w:hint="eastAsia" w:asciiTheme="minorEastAsia" w:hAnsiTheme="minorEastAsia" w:eastAsiaTheme="minorEastAsia"/>
                <w:sz w:val="28"/>
                <w:szCs w:val="28"/>
                <w:highlight w:val="none"/>
              </w:rPr>
              <w:t>三)发动机废气排放指标：不低于国Ⅵ排放标准。</w:t>
            </w:r>
          </w:p>
        </w:tc>
      </w:tr>
      <w:tr w14:paraId="753E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B5AE1E0">
            <w:pPr>
              <w:jc w:val="center"/>
              <w:rPr>
                <w:rFonts w:asciiTheme="minorEastAsia" w:hAnsiTheme="minorEastAsia"/>
                <w:sz w:val="28"/>
                <w:szCs w:val="28"/>
                <w:highlight w:val="none"/>
              </w:rPr>
            </w:pPr>
            <w:r>
              <w:rPr>
                <w:rFonts w:hint="eastAsia" w:asciiTheme="minorEastAsia" w:hAnsiTheme="minorEastAsia"/>
                <w:sz w:val="28"/>
                <w:szCs w:val="28"/>
                <w:highlight w:val="none"/>
              </w:rPr>
              <w:t>2</w:t>
            </w:r>
          </w:p>
        </w:tc>
        <w:tc>
          <w:tcPr>
            <w:tcW w:w="1212" w:type="pct"/>
          </w:tcPr>
          <w:p w14:paraId="2A779F74">
            <w:pPr>
              <w:jc w:val="left"/>
              <w:rPr>
                <w:rFonts w:asciiTheme="minorEastAsia" w:hAnsiTheme="minorEastAsia"/>
                <w:sz w:val="28"/>
                <w:szCs w:val="28"/>
                <w:highlight w:val="none"/>
              </w:rPr>
            </w:pPr>
            <w:r>
              <w:rPr>
                <w:rFonts w:hint="eastAsia" w:asciiTheme="minorEastAsia" w:hAnsiTheme="minorEastAsia"/>
                <w:sz w:val="28"/>
                <w:szCs w:val="28"/>
                <w:highlight w:val="none"/>
              </w:rPr>
              <w:t>★车体</w:t>
            </w:r>
            <w:r>
              <w:rPr>
                <w:rFonts w:asciiTheme="minorEastAsia" w:hAnsiTheme="minorEastAsia"/>
                <w:sz w:val="28"/>
                <w:szCs w:val="28"/>
                <w:highlight w:val="none"/>
              </w:rPr>
              <w:t>尺寸：</w:t>
            </w:r>
          </w:p>
        </w:tc>
        <w:tc>
          <w:tcPr>
            <w:tcW w:w="3403" w:type="pct"/>
          </w:tcPr>
          <w:p w14:paraId="445AE412">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5000mm≤长≤5500mm，2000mm ≤宽≤2100mm，2400mm ≤ 高 ≤2500mm；</w:t>
            </w:r>
          </w:p>
        </w:tc>
      </w:tr>
      <w:tr w14:paraId="2CE4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4B5BC276">
            <w:pPr>
              <w:jc w:val="center"/>
              <w:rPr>
                <w:rFonts w:asciiTheme="minorEastAsia" w:hAnsiTheme="minorEastAsia"/>
                <w:sz w:val="28"/>
                <w:szCs w:val="28"/>
                <w:highlight w:val="none"/>
              </w:rPr>
            </w:pPr>
            <w:r>
              <w:rPr>
                <w:rFonts w:hint="eastAsia" w:asciiTheme="minorEastAsia" w:hAnsiTheme="minorEastAsia"/>
                <w:sz w:val="28"/>
                <w:szCs w:val="28"/>
                <w:highlight w:val="none"/>
              </w:rPr>
              <w:t>3</w:t>
            </w:r>
          </w:p>
        </w:tc>
        <w:tc>
          <w:tcPr>
            <w:tcW w:w="1212" w:type="pct"/>
          </w:tcPr>
          <w:p w14:paraId="23C05D7E">
            <w:pPr>
              <w:jc w:val="left"/>
              <w:rPr>
                <w:rFonts w:asciiTheme="minorEastAsia" w:hAnsiTheme="minorEastAsia"/>
                <w:sz w:val="28"/>
                <w:szCs w:val="28"/>
                <w:highlight w:val="none"/>
              </w:rPr>
            </w:pPr>
            <w:r>
              <w:rPr>
                <w:rFonts w:asciiTheme="minorEastAsia" w:hAnsiTheme="minorEastAsia"/>
                <w:sz w:val="28"/>
                <w:szCs w:val="28"/>
                <w:highlight w:val="none"/>
              </w:rPr>
              <w:t>医疗舱尺寸：</w:t>
            </w:r>
          </w:p>
        </w:tc>
        <w:tc>
          <w:tcPr>
            <w:tcW w:w="3403" w:type="pct"/>
          </w:tcPr>
          <w:p w14:paraId="1960600E">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3000mm≤长，1700mm ≤宽，1600mm ≤ 高；</w:t>
            </w:r>
          </w:p>
        </w:tc>
      </w:tr>
      <w:tr w14:paraId="3D35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91AC2FF">
            <w:pPr>
              <w:jc w:val="center"/>
              <w:rPr>
                <w:rFonts w:asciiTheme="minorEastAsia" w:hAnsiTheme="minorEastAsia"/>
                <w:sz w:val="28"/>
                <w:szCs w:val="28"/>
                <w:highlight w:val="none"/>
              </w:rPr>
            </w:pPr>
            <w:r>
              <w:rPr>
                <w:rFonts w:hint="eastAsia" w:asciiTheme="minorEastAsia" w:hAnsiTheme="minorEastAsia"/>
                <w:sz w:val="28"/>
                <w:szCs w:val="28"/>
                <w:highlight w:val="none"/>
              </w:rPr>
              <w:t>4</w:t>
            </w:r>
          </w:p>
        </w:tc>
        <w:tc>
          <w:tcPr>
            <w:tcW w:w="1212" w:type="pct"/>
          </w:tcPr>
          <w:p w14:paraId="5A806C24">
            <w:pPr>
              <w:jc w:val="left"/>
              <w:rPr>
                <w:rFonts w:asciiTheme="minorEastAsia" w:hAnsiTheme="minorEastAsia"/>
                <w:sz w:val="28"/>
                <w:szCs w:val="28"/>
                <w:highlight w:val="none"/>
              </w:rPr>
            </w:pPr>
            <w:r>
              <w:rPr>
                <w:rFonts w:hint="eastAsia" w:asciiTheme="minorEastAsia" w:hAnsiTheme="minorEastAsia"/>
                <w:sz w:val="28"/>
                <w:szCs w:val="28"/>
                <w:highlight w:val="none"/>
              </w:rPr>
              <w:t>发动机型式：</w:t>
            </w:r>
          </w:p>
        </w:tc>
        <w:tc>
          <w:tcPr>
            <w:tcW w:w="3403" w:type="pct"/>
          </w:tcPr>
          <w:p w14:paraId="7BC22FA7">
            <w:pPr>
              <w:jc w:val="left"/>
              <w:rPr>
                <w:rFonts w:asciiTheme="minorEastAsia" w:hAnsiTheme="minorEastAsia"/>
                <w:sz w:val="28"/>
                <w:szCs w:val="28"/>
                <w:highlight w:val="none"/>
              </w:rPr>
            </w:pPr>
            <w:r>
              <w:rPr>
                <w:rFonts w:hint="eastAsia" w:asciiTheme="minorEastAsia" w:hAnsiTheme="minorEastAsia"/>
                <w:sz w:val="28"/>
                <w:szCs w:val="28"/>
                <w:highlight w:val="none"/>
              </w:rPr>
              <w:t>双涡流涡轮增压器、高压缸内直喷发动机；</w:t>
            </w:r>
          </w:p>
        </w:tc>
      </w:tr>
      <w:tr w14:paraId="36E9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 w:type="pct"/>
            <w:vAlign w:val="center"/>
          </w:tcPr>
          <w:p w14:paraId="7C3D8BFB">
            <w:pPr>
              <w:jc w:val="center"/>
              <w:rPr>
                <w:rFonts w:asciiTheme="minorEastAsia" w:hAnsiTheme="minorEastAsia"/>
                <w:sz w:val="28"/>
                <w:szCs w:val="28"/>
                <w:highlight w:val="none"/>
              </w:rPr>
            </w:pPr>
            <w:r>
              <w:rPr>
                <w:rFonts w:hint="eastAsia" w:asciiTheme="minorEastAsia" w:hAnsiTheme="minorEastAsia"/>
                <w:sz w:val="28"/>
                <w:szCs w:val="28"/>
                <w:highlight w:val="none"/>
              </w:rPr>
              <w:t>5</w:t>
            </w:r>
          </w:p>
        </w:tc>
        <w:tc>
          <w:tcPr>
            <w:tcW w:w="1212" w:type="pct"/>
          </w:tcPr>
          <w:p w14:paraId="49E5E1F1">
            <w:pPr>
              <w:jc w:val="left"/>
              <w:rPr>
                <w:rFonts w:asciiTheme="minorEastAsia" w:hAnsiTheme="minorEastAsia"/>
                <w:sz w:val="28"/>
                <w:szCs w:val="28"/>
                <w:highlight w:val="none"/>
              </w:rPr>
            </w:pPr>
            <w:r>
              <w:rPr>
                <w:rFonts w:hint="eastAsia" w:asciiTheme="minorEastAsia" w:hAnsiTheme="minorEastAsia"/>
                <w:sz w:val="28"/>
                <w:szCs w:val="28"/>
                <w:highlight w:val="none"/>
              </w:rPr>
              <w:t>燃油种类：</w:t>
            </w:r>
          </w:p>
        </w:tc>
        <w:tc>
          <w:tcPr>
            <w:tcW w:w="3403" w:type="pct"/>
          </w:tcPr>
          <w:p w14:paraId="225DC056">
            <w:pPr>
              <w:jc w:val="left"/>
              <w:rPr>
                <w:rFonts w:asciiTheme="minorEastAsia" w:hAnsiTheme="minorEastAsia"/>
                <w:sz w:val="28"/>
                <w:szCs w:val="28"/>
                <w:highlight w:val="none"/>
              </w:rPr>
            </w:pPr>
            <w:r>
              <w:rPr>
                <w:rFonts w:hint="eastAsia" w:asciiTheme="minorEastAsia" w:hAnsiTheme="minorEastAsia"/>
                <w:sz w:val="28"/>
                <w:szCs w:val="28"/>
                <w:highlight w:val="none"/>
              </w:rPr>
              <w:t>柴油；</w:t>
            </w:r>
          </w:p>
        </w:tc>
      </w:tr>
      <w:tr w14:paraId="1416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0CEDC01">
            <w:pPr>
              <w:jc w:val="center"/>
              <w:rPr>
                <w:rFonts w:asciiTheme="minorEastAsia" w:hAnsiTheme="minorEastAsia"/>
                <w:sz w:val="28"/>
                <w:szCs w:val="28"/>
                <w:highlight w:val="none"/>
              </w:rPr>
            </w:pPr>
            <w:r>
              <w:rPr>
                <w:rFonts w:hint="eastAsia" w:asciiTheme="minorEastAsia" w:hAnsiTheme="minorEastAsia"/>
                <w:sz w:val="28"/>
                <w:szCs w:val="28"/>
                <w:highlight w:val="none"/>
              </w:rPr>
              <w:t>6</w:t>
            </w:r>
          </w:p>
        </w:tc>
        <w:tc>
          <w:tcPr>
            <w:tcW w:w="1212" w:type="pct"/>
          </w:tcPr>
          <w:p w14:paraId="171E557B">
            <w:pPr>
              <w:jc w:val="left"/>
              <w:rPr>
                <w:rFonts w:asciiTheme="minorEastAsia" w:hAnsiTheme="minorEastAsia"/>
                <w:sz w:val="28"/>
                <w:szCs w:val="28"/>
                <w:highlight w:val="none"/>
              </w:rPr>
            </w:pPr>
            <w:r>
              <w:rPr>
                <w:rFonts w:hint="eastAsia" w:asciiTheme="minorEastAsia" w:hAnsiTheme="minorEastAsia"/>
                <w:sz w:val="28"/>
                <w:szCs w:val="28"/>
                <w:highlight w:val="none"/>
              </w:rPr>
              <w:t>最大功率</w:t>
            </w:r>
          </w:p>
        </w:tc>
        <w:tc>
          <w:tcPr>
            <w:tcW w:w="3403" w:type="pct"/>
          </w:tcPr>
          <w:p w14:paraId="3A1F4663">
            <w:pPr>
              <w:jc w:val="left"/>
              <w:rPr>
                <w:rFonts w:asciiTheme="minorEastAsia" w:hAnsiTheme="minorEastAsia"/>
                <w:sz w:val="28"/>
                <w:szCs w:val="28"/>
                <w:highlight w:val="none"/>
              </w:rPr>
            </w:pPr>
            <w:r>
              <w:rPr>
                <w:rFonts w:hint="eastAsia" w:asciiTheme="minorEastAsia" w:hAnsiTheme="minorEastAsia"/>
                <w:sz w:val="28"/>
                <w:szCs w:val="28"/>
                <w:highlight w:val="none"/>
              </w:rPr>
              <w:t>≥120kW；</w:t>
            </w:r>
          </w:p>
        </w:tc>
      </w:tr>
      <w:tr w14:paraId="1C9B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4DBEABFD">
            <w:pPr>
              <w:jc w:val="center"/>
              <w:rPr>
                <w:rFonts w:asciiTheme="minorEastAsia" w:hAnsiTheme="minorEastAsia"/>
                <w:sz w:val="28"/>
                <w:szCs w:val="28"/>
                <w:highlight w:val="none"/>
              </w:rPr>
            </w:pPr>
            <w:r>
              <w:rPr>
                <w:rFonts w:hint="eastAsia" w:asciiTheme="minorEastAsia" w:hAnsiTheme="minorEastAsia"/>
                <w:sz w:val="28"/>
                <w:szCs w:val="28"/>
                <w:highlight w:val="none"/>
              </w:rPr>
              <w:t>7</w:t>
            </w:r>
          </w:p>
        </w:tc>
        <w:tc>
          <w:tcPr>
            <w:tcW w:w="1212" w:type="pct"/>
          </w:tcPr>
          <w:p w14:paraId="0E81B557">
            <w:pPr>
              <w:jc w:val="left"/>
              <w:rPr>
                <w:rFonts w:asciiTheme="minorEastAsia" w:hAnsiTheme="minorEastAsia"/>
                <w:sz w:val="28"/>
                <w:szCs w:val="28"/>
                <w:highlight w:val="none"/>
              </w:rPr>
            </w:pPr>
            <w:r>
              <w:rPr>
                <w:rFonts w:hint="eastAsia" w:asciiTheme="minorEastAsia" w:hAnsiTheme="minorEastAsia"/>
                <w:sz w:val="28"/>
                <w:szCs w:val="28"/>
                <w:highlight w:val="none"/>
              </w:rPr>
              <w:t>排量</w:t>
            </w:r>
          </w:p>
        </w:tc>
        <w:tc>
          <w:tcPr>
            <w:tcW w:w="3403" w:type="pct"/>
          </w:tcPr>
          <w:p w14:paraId="70D52C64">
            <w:pPr>
              <w:jc w:val="left"/>
              <w:rPr>
                <w:rFonts w:asciiTheme="minorEastAsia" w:hAnsiTheme="minorEastAsia"/>
                <w:sz w:val="28"/>
                <w:szCs w:val="28"/>
                <w:highlight w:val="none"/>
              </w:rPr>
            </w:pPr>
            <w:r>
              <w:rPr>
                <w:rFonts w:hint="eastAsia" w:asciiTheme="minorEastAsia" w:hAnsiTheme="minorEastAsia"/>
                <w:sz w:val="28"/>
                <w:szCs w:val="28"/>
                <w:highlight w:val="none"/>
              </w:rPr>
              <w:t>＞2200cc；</w:t>
            </w:r>
          </w:p>
        </w:tc>
      </w:tr>
      <w:tr w14:paraId="6CD3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1F69970">
            <w:pPr>
              <w:jc w:val="center"/>
              <w:rPr>
                <w:rFonts w:asciiTheme="minorEastAsia" w:hAnsiTheme="minorEastAsia"/>
                <w:sz w:val="28"/>
                <w:szCs w:val="28"/>
                <w:highlight w:val="none"/>
              </w:rPr>
            </w:pPr>
            <w:r>
              <w:rPr>
                <w:rFonts w:hint="eastAsia" w:asciiTheme="minorEastAsia" w:hAnsiTheme="minorEastAsia"/>
                <w:sz w:val="28"/>
                <w:szCs w:val="28"/>
                <w:highlight w:val="none"/>
              </w:rPr>
              <w:t>8</w:t>
            </w:r>
          </w:p>
        </w:tc>
        <w:tc>
          <w:tcPr>
            <w:tcW w:w="1212" w:type="pct"/>
          </w:tcPr>
          <w:p w14:paraId="48DE31BB">
            <w:pPr>
              <w:jc w:val="left"/>
              <w:rPr>
                <w:rFonts w:asciiTheme="minorEastAsia" w:hAnsiTheme="minorEastAsia"/>
                <w:sz w:val="28"/>
                <w:szCs w:val="28"/>
                <w:highlight w:val="none"/>
              </w:rPr>
            </w:pPr>
            <w:r>
              <w:rPr>
                <w:rFonts w:hint="eastAsia" w:asciiTheme="minorEastAsia" w:hAnsiTheme="minorEastAsia"/>
                <w:sz w:val="28"/>
                <w:szCs w:val="28"/>
                <w:highlight w:val="none"/>
              </w:rPr>
              <w:t>轴距</w:t>
            </w:r>
          </w:p>
        </w:tc>
        <w:tc>
          <w:tcPr>
            <w:tcW w:w="3403" w:type="pct"/>
          </w:tcPr>
          <w:p w14:paraId="678294CC">
            <w:pPr>
              <w:jc w:val="left"/>
              <w:rPr>
                <w:rFonts w:asciiTheme="minorEastAsia" w:hAnsiTheme="minorEastAsia"/>
                <w:sz w:val="28"/>
                <w:szCs w:val="28"/>
                <w:highlight w:val="none"/>
              </w:rPr>
            </w:pPr>
            <w:r>
              <w:rPr>
                <w:rFonts w:hint="eastAsia" w:asciiTheme="minorEastAsia" w:hAnsiTheme="minorEastAsia"/>
                <w:sz w:val="28"/>
                <w:szCs w:val="28"/>
                <w:highlight w:val="none"/>
              </w:rPr>
              <w:t>≥3300mm；</w:t>
            </w:r>
          </w:p>
        </w:tc>
      </w:tr>
      <w:tr w14:paraId="7E5C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BD9A6BC">
            <w:pPr>
              <w:jc w:val="center"/>
              <w:rPr>
                <w:rFonts w:asciiTheme="minorEastAsia" w:hAnsiTheme="minorEastAsia"/>
                <w:sz w:val="28"/>
                <w:szCs w:val="28"/>
                <w:highlight w:val="none"/>
              </w:rPr>
            </w:pPr>
            <w:r>
              <w:rPr>
                <w:rFonts w:hint="eastAsia" w:asciiTheme="minorEastAsia" w:hAnsiTheme="minorEastAsia"/>
                <w:sz w:val="28"/>
                <w:szCs w:val="28"/>
                <w:highlight w:val="none"/>
              </w:rPr>
              <w:t>9</w:t>
            </w:r>
          </w:p>
        </w:tc>
        <w:tc>
          <w:tcPr>
            <w:tcW w:w="1212" w:type="pct"/>
          </w:tcPr>
          <w:p w14:paraId="0CF49B4D">
            <w:pPr>
              <w:jc w:val="left"/>
              <w:rPr>
                <w:rFonts w:asciiTheme="minorEastAsia" w:hAnsiTheme="minorEastAsia"/>
                <w:sz w:val="28"/>
                <w:szCs w:val="28"/>
                <w:highlight w:val="none"/>
              </w:rPr>
            </w:pPr>
            <w:r>
              <w:rPr>
                <w:rFonts w:hint="eastAsia" w:asciiTheme="minorEastAsia" w:hAnsiTheme="minorEastAsia"/>
                <w:sz w:val="28"/>
                <w:szCs w:val="28"/>
                <w:highlight w:val="none"/>
              </w:rPr>
              <w:t>转向系：</w:t>
            </w:r>
          </w:p>
        </w:tc>
        <w:tc>
          <w:tcPr>
            <w:tcW w:w="3403" w:type="pct"/>
          </w:tcPr>
          <w:p w14:paraId="185E53F1">
            <w:pPr>
              <w:jc w:val="left"/>
              <w:rPr>
                <w:rFonts w:asciiTheme="minorEastAsia" w:hAnsiTheme="minorEastAsia"/>
                <w:sz w:val="28"/>
                <w:szCs w:val="28"/>
                <w:highlight w:val="none"/>
              </w:rPr>
            </w:pPr>
            <w:r>
              <w:rPr>
                <w:rFonts w:hint="eastAsia" w:asciiTheme="minorEastAsia" w:hAnsiTheme="minorEastAsia"/>
                <w:sz w:val="28"/>
                <w:szCs w:val="28"/>
                <w:highlight w:val="none"/>
              </w:rPr>
              <w:t>可调节角度方向盘，助力转向；</w:t>
            </w:r>
          </w:p>
        </w:tc>
      </w:tr>
      <w:tr w14:paraId="2533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6678C3E">
            <w:pPr>
              <w:jc w:val="center"/>
              <w:rPr>
                <w:rFonts w:asciiTheme="minorEastAsia" w:hAnsiTheme="minorEastAsia"/>
                <w:sz w:val="28"/>
                <w:szCs w:val="28"/>
                <w:highlight w:val="none"/>
              </w:rPr>
            </w:pPr>
            <w:r>
              <w:rPr>
                <w:rFonts w:hint="eastAsia" w:asciiTheme="minorEastAsia" w:hAnsiTheme="minorEastAsia"/>
                <w:sz w:val="28"/>
                <w:szCs w:val="28"/>
                <w:highlight w:val="none"/>
              </w:rPr>
              <w:t>10</w:t>
            </w:r>
          </w:p>
        </w:tc>
        <w:tc>
          <w:tcPr>
            <w:tcW w:w="1212" w:type="pct"/>
          </w:tcPr>
          <w:p w14:paraId="116AB595">
            <w:pPr>
              <w:jc w:val="left"/>
              <w:rPr>
                <w:rFonts w:asciiTheme="minorEastAsia" w:hAnsiTheme="minorEastAsia"/>
                <w:sz w:val="28"/>
                <w:szCs w:val="28"/>
                <w:highlight w:val="none"/>
              </w:rPr>
            </w:pPr>
            <w:r>
              <w:rPr>
                <w:rFonts w:hint="eastAsia" w:asciiTheme="minorEastAsia" w:hAnsiTheme="minorEastAsia"/>
                <w:sz w:val="28"/>
                <w:szCs w:val="28"/>
                <w:highlight w:val="none"/>
              </w:rPr>
              <w:t>变速箱：</w:t>
            </w:r>
          </w:p>
        </w:tc>
        <w:tc>
          <w:tcPr>
            <w:tcW w:w="3403" w:type="pct"/>
          </w:tcPr>
          <w:p w14:paraId="2A886B5A">
            <w:pPr>
              <w:jc w:val="left"/>
              <w:rPr>
                <w:rFonts w:asciiTheme="minorEastAsia" w:hAnsiTheme="minorEastAsia"/>
                <w:sz w:val="28"/>
                <w:szCs w:val="28"/>
                <w:highlight w:val="none"/>
              </w:rPr>
            </w:pPr>
            <w:r>
              <w:rPr>
                <w:rFonts w:hint="eastAsia" w:asciiTheme="minorEastAsia" w:hAnsiTheme="minorEastAsia"/>
                <w:sz w:val="28"/>
                <w:szCs w:val="28"/>
                <w:highlight w:val="none"/>
              </w:rPr>
              <w:t>6MT；</w:t>
            </w:r>
          </w:p>
        </w:tc>
      </w:tr>
      <w:tr w14:paraId="6EB4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225C414">
            <w:pPr>
              <w:jc w:val="center"/>
              <w:rPr>
                <w:rFonts w:asciiTheme="minorEastAsia" w:hAnsiTheme="minorEastAsia"/>
                <w:sz w:val="28"/>
                <w:szCs w:val="28"/>
                <w:highlight w:val="none"/>
              </w:rPr>
            </w:pPr>
            <w:r>
              <w:rPr>
                <w:rFonts w:hint="eastAsia" w:asciiTheme="minorEastAsia" w:hAnsiTheme="minorEastAsia"/>
                <w:sz w:val="28"/>
                <w:szCs w:val="28"/>
                <w:highlight w:val="none"/>
              </w:rPr>
              <w:t>11</w:t>
            </w:r>
          </w:p>
        </w:tc>
        <w:tc>
          <w:tcPr>
            <w:tcW w:w="1212" w:type="pct"/>
          </w:tcPr>
          <w:p w14:paraId="08AC2A8C">
            <w:pPr>
              <w:jc w:val="left"/>
              <w:rPr>
                <w:rFonts w:asciiTheme="minorEastAsia" w:hAnsiTheme="minorEastAsia"/>
                <w:sz w:val="28"/>
                <w:szCs w:val="28"/>
                <w:highlight w:val="none"/>
              </w:rPr>
            </w:pPr>
            <w:r>
              <w:rPr>
                <w:rFonts w:hint="eastAsia" w:asciiTheme="minorEastAsia" w:hAnsiTheme="minorEastAsia"/>
                <w:sz w:val="28"/>
                <w:szCs w:val="28"/>
                <w:highlight w:val="none"/>
              </w:rPr>
              <w:t>空调</w:t>
            </w:r>
          </w:p>
        </w:tc>
        <w:tc>
          <w:tcPr>
            <w:tcW w:w="3403" w:type="pct"/>
          </w:tcPr>
          <w:p w14:paraId="19A4BCBD">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前后空调，前后暖风，独立控制。</w:t>
            </w:r>
          </w:p>
        </w:tc>
      </w:tr>
      <w:tr w14:paraId="17BB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8E40E37">
            <w:pPr>
              <w:jc w:val="center"/>
              <w:rPr>
                <w:rFonts w:asciiTheme="minorEastAsia" w:hAnsiTheme="minorEastAsia"/>
                <w:sz w:val="28"/>
                <w:szCs w:val="28"/>
                <w:highlight w:val="none"/>
              </w:rPr>
            </w:pPr>
            <w:r>
              <w:rPr>
                <w:rFonts w:hint="eastAsia" w:asciiTheme="minorEastAsia" w:hAnsiTheme="minorEastAsia"/>
                <w:sz w:val="28"/>
                <w:szCs w:val="28"/>
                <w:highlight w:val="none"/>
              </w:rPr>
              <w:t>12</w:t>
            </w:r>
          </w:p>
        </w:tc>
        <w:tc>
          <w:tcPr>
            <w:tcW w:w="1212" w:type="pct"/>
          </w:tcPr>
          <w:p w14:paraId="7F724516">
            <w:pPr>
              <w:jc w:val="left"/>
              <w:rPr>
                <w:rFonts w:asciiTheme="minorEastAsia" w:hAnsiTheme="minorEastAsia"/>
                <w:sz w:val="28"/>
                <w:szCs w:val="28"/>
                <w:highlight w:val="none"/>
              </w:rPr>
            </w:pPr>
            <w:r>
              <w:rPr>
                <w:rFonts w:hint="eastAsia" w:asciiTheme="minorEastAsia" w:hAnsiTheme="minorEastAsia"/>
                <w:sz w:val="28"/>
                <w:szCs w:val="28"/>
                <w:highlight w:val="none"/>
              </w:rPr>
              <w:t>最高车速</w:t>
            </w:r>
          </w:p>
        </w:tc>
        <w:tc>
          <w:tcPr>
            <w:tcW w:w="3403" w:type="pct"/>
          </w:tcPr>
          <w:p w14:paraId="527E6F87">
            <w:pPr>
              <w:jc w:val="left"/>
              <w:rPr>
                <w:rFonts w:asciiTheme="minorEastAsia" w:hAnsiTheme="minorEastAsia"/>
                <w:sz w:val="28"/>
                <w:szCs w:val="28"/>
                <w:highlight w:val="none"/>
              </w:rPr>
            </w:pPr>
            <w:r>
              <w:rPr>
                <w:rFonts w:hint="eastAsia" w:asciiTheme="minorEastAsia" w:hAnsiTheme="minorEastAsia"/>
                <w:sz w:val="28"/>
                <w:szCs w:val="28"/>
                <w:highlight w:val="none"/>
              </w:rPr>
              <w:t>≥160km／h；</w:t>
            </w:r>
          </w:p>
        </w:tc>
      </w:tr>
      <w:tr w14:paraId="10C7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CCA8E24">
            <w:pPr>
              <w:jc w:val="center"/>
              <w:rPr>
                <w:rFonts w:asciiTheme="minorEastAsia" w:hAnsiTheme="minorEastAsia"/>
                <w:sz w:val="28"/>
                <w:szCs w:val="28"/>
                <w:highlight w:val="none"/>
              </w:rPr>
            </w:pPr>
            <w:r>
              <w:rPr>
                <w:rFonts w:hint="eastAsia" w:asciiTheme="minorEastAsia" w:hAnsiTheme="minorEastAsia"/>
                <w:sz w:val="28"/>
                <w:szCs w:val="28"/>
                <w:highlight w:val="none"/>
              </w:rPr>
              <w:t>13</w:t>
            </w:r>
          </w:p>
        </w:tc>
        <w:tc>
          <w:tcPr>
            <w:tcW w:w="1212" w:type="pct"/>
          </w:tcPr>
          <w:p w14:paraId="4B85597F">
            <w:pPr>
              <w:jc w:val="left"/>
              <w:rPr>
                <w:rFonts w:asciiTheme="minorEastAsia" w:hAnsiTheme="minorEastAsia"/>
                <w:sz w:val="28"/>
                <w:szCs w:val="28"/>
                <w:highlight w:val="none"/>
              </w:rPr>
            </w:pPr>
            <w:r>
              <w:rPr>
                <w:rFonts w:hint="eastAsia" w:asciiTheme="minorEastAsia" w:hAnsiTheme="minorEastAsia"/>
                <w:sz w:val="28"/>
                <w:szCs w:val="28"/>
                <w:highlight w:val="none"/>
              </w:rPr>
              <w:t>油箱容积</w:t>
            </w:r>
          </w:p>
        </w:tc>
        <w:tc>
          <w:tcPr>
            <w:tcW w:w="3403" w:type="pct"/>
          </w:tcPr>
          <w:p w14:paraId="1B3C6F2E">
            <w:pPr>
              <w:jc w:val="left"/>
              <w:rPr>
                <w:rFonts w:asciiTheme="minorEastAsia" w:hAnsiTheme="minorEastAsia"/>
                <w:sz w:val="28"/>
                <w:szCs w:val="28"/>
                <w:highlight w:val="none"/>
              </w:rPr>
            </w:pPr>
            <w:r>
              <w:rPr>
                <w:rFonts w:hint="eastAsia" w:asciiTheme="minorEastAsia" w:hAnsiTheme="minorEastAsia"/>
                <w:sz w:val="28"/>
                <w:szCs w:val="28"/>
                <w:highlight w:val="none"/>
              </w:rPr>
              <w:t>≥80L，保证车辆连续行驶500公里以上；</w:t>
            </w:r>
          </w:p>
        </w:tc>
      </w:tr>
      <w:tr w14:paraId="7835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6D02E013">
            <w:pPr>
              <w:jc w:val="center"/>
              <w:rPr>
                <w:rFonts w:asciiTheme="minorEastAsia" w:hAnsiTheme="minorEastAsia"/>
                <w:sz w:val="28"/>
                <w:szCs w:val="28"/>
                <w:highlight w:val="none"/>
              </w:rPr>
            </w:pPr>
            <w:r>
              <w:rPr>
                <w:rFonts w:hint="eastAsia" w:asciiTheme="minorEastAsia" w:hAnsiTheme="minorEastAsia"/>
                <w:sz w:val="28"/>
                <w:szCs w:val="28"/>
                <w:highlight w:val="none"/>
              </w:rPr>
              <w:t>14</w:t>
            </w:r>
          </w:p>
        </w:tc>
        <w:tc>
          <w:tcPr>
            <w:tcW w:w="1212" w:type="pct"/>
          </w:tcPr>
          <w:p w14:paraId="6FD9F9FC">
            <w:pPr>
              <w:jc w:val="left"/>
              <w:rPr>
                <w:rFonts w:asciiTheme="minorEastAsia" w:hAnsiTheme="minorEastAsia"/>
                <w:sz w:val="28"/>
                <w:szCs w:val="28"/>
                <w:highlight w:val="none"/>
              </w:rPr>
            </w:pPr>
            <w:r>
              <w:rPr>
                <w:rFonts w:hint="eastAsia" w:asciiTheme="minorEastAsia" w:hAnsiTheme="minorEastAsia"/>
                <w:sz w:val="28"/>
                <w:szCs w:val="28"/>
                <w:highlight w:val="none"/>
              </w:rPr>
              <w:t>准乘人数</w:t>
            </w:r>
          </w:p>
        </w:tc>
        <w:tc>
          <w:tcPr>
            <w:tcW w:w="3403" w:type="pct"/>
          </w:tcPr>
          <w:p w14:paraId="5E6BC085">
            <w:pPr>
              <w:jc w:val="left"/>
              <w:rPr>
                <w:rFonts w:asciiTheme="minorEastAsia" w:hAnsiTheme="minorEastAsia"/>
                <w:sz w:val="28"/>
                <w:szCs w:val="28"/>
                <w:highlight w:val="none"/>
              </w:rPr>
            </w:pPr>
            <w:r>
              <w:rPr>
                <w:rFonts w:hint="eastAsia" w:asciiTheme="minorEastAsia" w:hAnsiTheme="minorEastAsia"/>
                <w:sz w:val="28"/>
                <w:szCs w:val="28"/>
                <w:highlight w:val="none"/>
              </w:rPr>
              <w:t>≥8；</w:t>
            </w:r>
          </w:p>
        </w:tc>
      </w:tr>
      <w:tr w14:paraId="1FCF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C76C548">
            <w:pPr>
              <w:jc w:val="center"/>
              <w:rPr>
                <w:rFonts w:asciiTheme="minorEastAsia" w:hAnsiTheme="minorEastAsia"/>
                <w:sz w:val="28"/>
                <w:szCs w:val="28"/>
                <w:highlight w:val="none"/>
              </w:rPr>
            </w:pPr>
            <w:r>
              <w:rPr>
                <w:rFonts w:hint="eastAsia" w:asciiTheme="minorEastAsia" w:hAnsiTheme="minorEastAsia"/>
                <w:sz w:val="28"/>
                <w:szCs w:val="28"/>
                <w:highlight w:val="none"/>
              </w:rPr>
              <w:t>15</w:t>
            </w:r>
          </w:p>
        </w:tc>
        <w:tc>
          <w:tcPr>
            <w:tcW w:w="1212" w:type="pct"/>
          </w:tcPr>
          <w:p w14:paraId="675F7D53">
            <w:pPr>
              <w:jc w:val="left"/>
              <w:rPr>
                <w:rFonts w:asciiTheme="minorEastAsia" w:hAnsiTheme="minorEastAsia"/>
                <w:sz w:val="28"/>
                <w:szCs w:val="28"/>
                <w:highlight w:val="none"/>
              </w:rPr>
            </w:pPr>
            <w:r>
              <w:rPr>
                <w:rFonts w:hint="eastAsia" w:asciiTheme="minorEastAsia" w:hAnsiTheme="minorEastAsia"/>
                <w:sz w:val="28"/>
                <w:szCs w:val="28"/>
                <w:highlight w:val="none"/>
              </w:rPr>
              <w:t>整车整备质量</w:t>
            </w:r>
          </w:p>
        </w:tc>
        <w:tc>
          <w:tcPr>
            <w:tcW w:w="3403" w:type="pct"/>
            <w:vAlign w:val="center"/>
          </w:tcPr>
          <w:p w14:paraId="38C2EA08">
            <w:pPr>
              <w:rPr>
                <w:rFonts w:asciiTheme="minorEastAsia" w:hAnsiTheme="minorEastAsia"/>
                <w:sz w:val="28"/>
                <w:szCs w:val="28"/>
                <w:highlight w:val="none"/>
              </w:rPr>
            </w:pPr>
            <w:r>
              <w:rPr>
                <w:rFonts w:hint="eastAsia" w:asciiTheme="minorEastAsia" w:hAnsiTheme="minorEastAsia"/>
                <w:sz w:val="28"/>
                <w:szCs w:val="28"/>
                <w:highlight w:val="none"/>
              </w:rPr>
              <w:t>≥2850kg；</w:t>
            </w:r>
          </w:p>
        </w:tc>
      </w:tr>
      <w:tr w14:paraId="0B6B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BCAC4CD">
            <w:pPr>
              <w:jc w:val="center"/>
              <w:rPr>
                <w:rFonts w:asciiTheme="minorEastAsia" w:hAnsiTheme="minorEastAsia"/>
                <w:sz w:val="28"/>
                <w:szCs w:val="28"/>
                <w:highlight w:val="none"/>
              </w:rPr>
            </w:pPr>
            <w:r>
              <w:rPr>
                <w:rFonts w:hint="eastAsia" w:asciiTheme="minorEastAsia" w:hAnsiTheme="minorEastAsia"/>
                <w:sz w:val="28"/>
                <w:szCs w:val="28"/>
                <w:highlight w:val="none"/>
              </w:rPr>
              <w:t>16</w:t>
            </w:r>
          </w:p>
        </w:tc>
        <w:tc>
          <w:tcPr>
            <w:tcW w:w="1212" w:type="pct"/>
          </w:tcPr>
          <w:p w14:paraId="4B671A34">
            <w:pPr>
              <w:jc w:val="left"/>
              <w:rPr>
                <w:rFonts w:asciiTheme="minorEastAsia" w:hAnsiTheme="minorEastAsia"/>
                <w:sz w:val="28"/>
                <w:szCs w:val="28"/>
                <w:highlight w:val="none"/>
              </w:rPr>
            </w:pPr>
            <w:r>
              <w:rPr>
                <w:rFonts w:hint="eastAsia" w:asciiTheme="minorEastAsia" w:hAnsiTheme="minorEastAsia"/>
                <w:sz w:val="28"/>
                <w:szCs w:val="28"/>
                <w:highlight w:val="none"/>
              </w:rPr>
              <w:t>满载总质量</w:t>
            </w:r>
          </w:p>
        </w:tc>
        <w:tc>
          <w:tcPr>
            <w:tcW w:w="3403" w:type="pct"/>
          </w:tcPr>
          <w:p w14:paraId="14FF9AC5">
            <w:pPr>
              <w:jc w:val="left"/>
              <w:rPr>
                <w:rFonts w:asciiTheme="minorEastAsia" w:hAnsiTheme="minorEastAsia"/>
                <w:sz w:val="28"/>
                <w:szCs w:val="28"/>
                <w:highlight w:val="none"/>
              </w:rPr>
            </w:pPr>
            <w:r>
              <w:rPr>
                <w:rFonts w:hint="eastAsia" w:asciiTheme="minorEastAsia" w:hAnsiTheme="minorEastAsia"/>
                <w:sz w:val="28"/>
                <w:szCs w:val="28"/>
                <w:highlight w:val="none"/>
              </w:rPr>
              <w:t>≤3550kg；</w:t>
            </w:r>
          </w:p>
        </w:tc>
      </w:tr>
      <w:tr w14:paraId="17D7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4A3B9F7">
            <w:pPr>
              <w:jc w:val="center"/>
              <w:rPr>
                <w:rFonts w:asciiTheme="minorEastAsia" w:hAnsiTheme="minorEastAsia"/>
                <w:sz w:val="28"/>
                <w:szCs w:val="28"/>
                <w:highlight w:val="none"/>
              </w:rPr>
            </w:pPr>
            <w:r>
              <w:rPr>
                <w:rFonts w:hint="eastAsia" w:asciiTheme="minorEastAsia" w:hAnsiTheme="minorEastAsia"/>
                <w:sz w:val="28"/>
                <w:szCs w:val="28"/>
                <w:highlight w:val="none"/>
              </w:rPr>
              <w:t>17</w:t>
            </w:r>
          </w:p>
        </w:tc>
        <w:tc>
          <w:tcPr>
            <w:tcW w:w="1212" w:type="pct"/>
            <w:vAlign w:val="center"/>
          </w:tcPr>
          <w:p w14:paraId="35B02F51">
            <w:pPr>
              <w:jc w:val="center"/>
              <w:rPr>
                <w:rFonts w:asciiTheme="minorEastAsia" w:hAnsiTheme="minorEastAsia"/>
                <w:sz w:val="28"/>
                <w:szCs w:val="28"/>
                <w:highlight w:val="none"/>
              </w:rPr>
            </w:pPr>
            <w:r>
              <w:rPr>
                <w:rFonts w:hint="eastAsia" w:asciiTheme="minorEastAsia" w:hAnsiTheme="minorEastAsia"/>
                <w:sz w:val="28"/>
                <w:szCs w:val="28"/>
                <w:highlight w:val="none"/>
              </w:rPr>
              <w:t>车辆安全性能</w:t>
            </w:r>
          </w:p>
        </w:tc>
        <w:tc>
          <w:tcPr>
            <w:tcW w:w="3403" w:type="pct"/>
          </w:tcPr>
          <w:p w14:paraId="2B1FC659">
            <w:pPr>
              <w:jc w:val="left"/>
              <w:rPr>
                <w:rFonts w:asciiTheme="minorEastAsia" w:hAnsiTheme="minorEastAsia"/>
                <w:sz w:val="28"/>
                <w:szCs w:val="28"/>
                <w:highlight w:val="none"/>
              </w:rPr>
            </w:pPr>
            <w:r>
              <w:rPr>
                <w:rFonts w:hint="eastAsia" w:asciiTheme="minorEastAsia" w:hAnsiTheme="minorEastAsia"/>
                <w:sz w:val="28"/>
                <w:szCs w:val="28"/>
                <w:highlight w:val="none"/>
              </w:rPr>
              <w:t>车辆应有电子式ABS防抱死系统，电子制动分配系统（EBD）胎压监测；</w:t>
            </w:r>
          </w:p>
          <w:p w14:paraId="655A41CB">
            <w:pPr>
              <w:jc w:val="left"/>
              <w:rPr>
                <w:rFonts w:asciiTheme="minorEastAsia" w:hAnsiTheme="minorEastAsia"/>
                <w:sz w:val="28"/>
                <w:szCs w:val="28"/>
                <w:highlight w:val="none"/>
              </w:rPr>
            </w:pPr>
            <w:r>
              <w:rPr>
                <w:rFonts w:hint="eastAsia" w:asciiTheme="minorEastAsia" w:hAnsiTheme="minorEastAsia"/>
                <w:sz w:val="28"/>
                <w:szCs w:val="28"/>
                <w:highlight w:val="none"/>
              </w:rPr>
              <w:t>车辆应有安全气囊、电动窗、中央门锁；</w:t>
            </w:r>
          </w:p>
          <w:p w14:paraId="61736F74">
            <w:pPr>
              <w:jc w:val="left"/>
              <w:rPr>
                <w:rFonts w:asciiTheme="minorEastAsia" w:hAnsiTheme="minorEastAsia"/>
                <w:sz w:val="28"/>
                <w:szCs w:val="28"/>
                <w:highlight w:val="none"/>
              </w:rPr>
            </w:pPr>
            <w:r>
              <w:rPr>
                <w:rFonts w:hint="eastAsia" w:asciiTheme="minorEastAsia" w:hAnsiTheme="minorEastAsia"/>
                <w:sz w:val="28"/>
                <w:szCs w:val="28"/>
                <w:highlight w:val="none"/>
              </w:rPr>
              <w:t>中门电动踏板；</w:t>
            </w:r>
          </w:p>
        </w:tc>
      </w:tr>
      <w:tr w14:paraId="481D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780D4B8">
            <w:pPr>
              <w:jc w:val="center"/>
              <w:rPr>
                <w:rFonts w:asciiTheme="minorEastAsia" w:hAnsiTheme="minorEastAsia"/>
                <w:sz w:val="28"/>
                <w:szCs w:val="28"/>
                <w:highlight w:val="none"/>
              </w:rPr>
            </w:pPr>
          </w:p>
        </w:tc>
        <w:tc>
          <w:tcPr>
            <w:tcW w:w="4616" w:type="pct"/>
            <w:gridSpan w:val="2"/>
          </w:tcPr>
          <w:p w14:paraId="7DD05F02">
            <w:pPr>
              <w:jc w:val="center"/>
              <w:rPr>
                <w:rFonts w:asciiTheme="minorEastAsia" w:hAnsiTheme="minorEastAsia"/>
                <w:b/>
                <w:sz w:val="28"/>
                <w:szCs w:val="28"/>
                <w:highlight w:val="none"/>
              </w:rPr>
            </w:pPr>
            <w:r>
              <w:rPr>
                <w:rFonts w:hint="eastAsia" w:asciiTheme="minorEastAsia" w:hAnsiTheme="minorEastAsia"/>
                <w:b/>
                <w:sz w:val="28"/>
                <w:szCs w:val="28"/>
                <w:highlight w:val="none"/>
              </w:rPr>
              <w:t>车身及医疗舱</w:t>
            </w:r>
          </w:p>
        </w:tc>
      </w:tr>
      <w:tr w14:paraId="5CF4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623360DF">
            <w:pPr>
              <w:jc w:val="center"/>
              <w:rPr>
                <w:rFonts w:asciiTheme="minorEastAsia" w:hAnsiTheme="minorEastAsia"/>
                <w:sz w:val="28"/>
                <w:szCs w:val="28"/>
                <w:highlight w:val="none"/>
              </w:rPr>
            </w:pPr>
            <w:r>
              <w:rPr>
                <w:rFonts w:hint="eastAsia" w:asciiTheme="minorEastAsia" w:hAnsiTheme="minorEastAsia"/>
                <w:sz w:val="28"/>
                <w:szCs w:val="28"/>
                <w:highlight w:val="none"/>
              </w:rPr>
              <w:t>18</w:t>
            </w:r>
          </w:p>
        </w:tc>
        <w:tc>
          <w:tcPr>
            <w:tcW w:w="4616" w:type="pct"/>
            <w:gridSpan w:val="2"/>
          </w:tcPr>
          <w:p w14:paraId="694783FA">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车身外标识：救护车车身白色，四周应当标有急救标志，使用高级反光材料（按甲方要求粘贴）；</w:t>
            </w:r>
          </w:p>
        </w:tc>
      </w:tr>
      <w:tr w14:paraId="33AF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22AD6E9">
            <w:pPr>
              <w:jc w:val="center"/>
              <w:rPr>
                <w:rFonts w:asciiTheme="minorEastAsia" w:hAnsiTheme="minorEastAsia"/>
                <w:sz w:val="28"/>
                <w:szCs w:val="28"/>
                <w:highlight w:val="none"/>
              </w:rPr>
            </w:pPr>
            <w:r>
              <w:rPr>
                <w:rFonts w:hint="eastAsia" w:asciiTheme="minorEastAsia" w:hAnsiTheme="minorEastAsia"/>
                <w:sz w:val="28"/>
                <w:szCs w:val="28"/>
                <w:highlight w:val="none"/>
              </w:rPr>
              <w:t>19</w:t>
            </w:r>
          </w:p>
        </w:tc>
        <w:tc>
          <w:tcPr>
            <w:tcW w:w="4616" w:type="pct"/>
            <w:gridSpan w:val="2"/>
          </w:tcPr>
          <w:p w14:paraId="2404329D">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医疗舱右侧拉门应有推拉窗；</w:t>
            </w:r>
          </w:p>
        </w:tc>
      </w:tr>
      <w:tr w14:paraId="6437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CFDCACA">
            <w:pPr>
              <w:jc w:val="center"/>
              <w:rPr>
                <w:rFonts w:asciiTheme="minorEastAsia" w:hAnsiTheme="minorEastAsia"/>
                <w:sz w:val="28"/>
                <w:szCs w:val="28"/>
                <w:highlight w:val="none"/>
              </w:rPr>
            </w:pPr>
            <w:r>
              <w:rPr>
                <w:rFonts w:hint="eastAsia" w:asciiTheme="minorEastAsia" w:hAnsiTheme="minorEastAsia"/>
                <w:sz w:val="28"/>
                <w:szCs w:val="28"/>
                <w:highlight w:val="none"/>
              </w:rPr>
              <w:t>20</w:t>
            </w:r>
          </w:p>
        </w:tc>
        <w:tc>
          <w:tcPr>
            <w:tcW w:w="4616" w:type="pct"/>
            <w:gridSpan w:val="2"/>
          </w:tcPr>
          <w:p w14:paraId="18A4D059">
            <w:pPr>
              <w:autoSpaceDE w:val="0"/>
              <w:autoSpaceDN w:val="0"/>
              <w:ind w:right="420" w:rightChars="200"/>
              <w:jc w:val="left"/>
              <w:rPr>
                <w:rFonts w:cs="宋体" w:asciiTheme="minorEastAsia" w:hAnsiTheme="minorEastAsia"/>
                <w:kern w:val="0"/>
                <w:sz w:val="28"/>
                <w:szCs w:val="28"/>
                <w:highlight w:val="none"/>
                <w:lang w:bidi="zh-CN"/>
              </w:rPr>
            </w:pPr>
            <w:r>
              <w:rPr>
                <w:rFonts w:hint="eastAsia" w:cs="宋体" w:asciiTheme="minorEastAsia" w:hAnsiTheme="minorEastAsia"/>
                <w:kern w:val="0"/>
                <w:sz w:val="28"/>
                <w:szCs w:val="28"/>
                <w:highlight w:val="none"/>
                <w:lang w:val="zh-CN" w:bidi="zh-CN"/>
              </w:rPr>
              <w:t>医疗舱后门为对开门，车门关闭后应密闭、防水、防尘；</w:t>
            </w:r>
          </w:p>
        </w:tc>
      </w:tr>
      <w:tr w14:paraId="0A4B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4EEB4B88">
            <w:pPr>
              <w:jc w:val="center"/>
              <w:rPr>
                <w:rFonts w:asciiTheme="minorEastAsia" w:hAnsiTheme="minorEastAsia"/>
                <w:sz w:val="28"/>
                <w:szCs w:val="28"/>
                <w:highlight w:val="none"/>
              </w:rPr>
            </w:pPr>
            <w:r>
              <w:rPr>
                <w:rFonts w:hint="eastAsia" w:asciiTheme="minorEastAsia" w:hAnsiTheme="minorEastAsia"/>
                <w:sz w:val="28"/>
                <w:szCs w:val="28"/>
                <w:highlight w:val="none"/>
              </w:rPr>
              <w:t>21</w:t>
            </w:r>
          </w:p>
        </w:tc>
        <w:tc>
          <w:tcPr>
            <w:tcW w:w="4616" w:type="pct"/>
            <w:gridSpan w:val="2"/>
          </w:tcPr>
          <w:p w14:paraId="5FC9E659">
            <w:pPr>
              <w:autoSpaceDE w:val="0"/>
              <w:autoSpaceDN w:val="0"/>
              <w:ind w:right="420" w:rightChars="200"/>
              <w:jc w:val="left"/>
              <w:rPr>
                <w:rFonts w:cs="宋体" w:asciiTheme="minorEastAsia" w:hAnsiTheme="minorEastAsia"/>
                <w:kern w:val="0"/>
                <w:sz w:val="28"/>
                <w:szCs w:val="28"/>
                <w:highlight w:val="none"/>
                <w:lang w:val="zh-CN" w:bidi="zh-CN"/>
              </w:rPr>
            </w:pPr>
            <w:r>
              <w:rPr>
                <w:rFonts w:hint="eastAsia" w:cs="宋体" w:asciiTheme="minorEastAsia" w:hAnsiTheme="minorEastAsia"/>
                <w:kern w:val="0"/>
                <w:sz w:val="28"/>
                <w:szCs w:val="28"/>
                <w:highlight w:val="none"/>
                <w:lang w:val="zh-CN" w:bidi="zh-CN"/>
              </w:rPr>
              <w:t>医疗舱右侧中拉门设置拖拉玻璃窗，右侧后部透明玻璃窗贴深色太阳膜。窗户应适合向外观察，并有遮蔽措施，以利保护病人隐私；</w:t>
            </w:r>
          </w:p>
        </w:tc>
      </w:tr>
      <w:tr w14:paraId="65F9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E3E2055">
            <w:pPr>
              <w:jc w:val="center"/>
              <w:rPr>
                <w:rFonts w:asciiTheme="minorEastAsia" w:hAnsiTheme="minorEastAsia"/>
                <w:sz w:val="28"/>
                <w:szCs w:val="28"/>
                <w:highlight w:val="none"/>
              </w:rPr>
            </w:pPr>
            <w:r>
              <w:rPr>
                <w:rFonts w:hint="eastAsia" w:asciiTheme="minorEastAsia" w:hAnsiTheme="minorEastAsia"/>
                <w:sz w:val="28"/>
                <w:szCs w:val="28"/>
                <w:highlight w:val="none"/>
              </w:rPr>
              <w:t>22</w:t>
            </w:r>
          </w:p>
        </w:tc>
        <w:tc>
          <w:tcPr>
            <w:tcW w:w="4616" w:type="pct"/>
            <w:gridSpan w:val="2"/>
          </w:tcPr>
          <w:p w14:paraId="081DD10F">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驾驶室与医疗舱间的隔板必须密封安装，应设有观察窗，带两块滑窗。隔板安装位置不能影响车辆维修口、盖的打开与维修；</w:t>
            </w:r>
          </w:p>
        </w:tc>
      </w:tr>
      <w:tr w14:paraId="20CC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3F30F2E">
            <w:pPr>
              <w:jc w:val="center"/>
              <w:rPr>
                <w:rFonts w:asciiTheme="minorEastAsia" w:hAnsiTheme="minorEastAsia"/>
                <w:sz w:val="28"/>
                <w:szCs w:val="28"/>
                <w:highlight w:val="none"/>
              </w:rPr>
            </w:pPr>
            <w:r>
              <w:rPr>
                <w:rFonts w:hint="eastAsia" w:asciiTheme="minorEastAsia" w:hAnsiTheme="minorEastAsia"/>
                <w:sz w:val="28"/>
                <w:szCs w:val="28"/>
                <w:highlight w:val="none"/>
              </w:rPr>
              <w:t>23</w:t>
            </w:r>
          </w:p>
        </w:tc>
        <w:tc>
          <w:tcPr>
            <w:tcW w:w="4616" w:type="pct"/>
            <w:gridSpan w:val="2"/>
          </w:tcPr>
          <w:p w14:paraId="36E6C9C8">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前后对讲系统一套；</w:t>
            </w:r>
          </w:p>
        </w:tc>
      </w:tr>
      <w:tr w14:paraId="25C9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A0F7E3F">
            <w:pPr>
              <w:jc w:val="center"/>
              <w:rPr>
                <w:rFonts w:asciiTheme="minorEastAsia" w:hAnsiTheme="minorEastAsia"/>
                <w:sz w:val="28"/>
                <w:szCs w:val="28"/>
                <w:highlight w:val="none"/>
              </w:rPr>
            </w:pPr>
            <w:r>
              <w:rPr>
                <w:rFonts w:hint="eastAsia" w:asciiTheme="minorEastAsia" w:hAnsiTheme="minorEastAsia"/>
                <w:sz w:val="28"/>
                <w:szCs w:val="28"/>
                <w:highlight w:val="none"/>
              </w:rPr>
              <w:t>24</w:t>
            </w:r>
          </w:p>
        </w:tc>
        <w:tc>
          <w:tcPr>
            <w:tcW w:w="4616" w:type="pct"/>
            <w:gridSpan w:val="2"/>
          </w:tcPr>
          <w:p w14:paraId="045433BC">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医疗舱内材料全部采用整体一次成型高分子环保材料ABS+ASA，轻质、美观、防腐、易消杀清洗（需提供内部照片）。</w:t>
            </w:r>
          </w:p>
        </w:tc>
      </w:tr>
      <w:tr w14:paraId="06D7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B6F6C17">
            <w:pPr>
              <w:jc w:val="center"/>
              <w:rPr>
                <w:rFonts w:asciiTheme="minorEastAsia" w:hAnsiTheme="minorEastAsia"/>
                <w:sz w:val="28"/>
                <w:szCs w:val="28"/>
                <w:highlight w:val="none"/>
              </w:rPr>
            </w:pPr>
            <w:r>
              <w:rPr>
                <w:rFonts w:hint="eastAsia" w:asciiTheme="minorEastAsia" w:hAnsiTheme="minorEastAsia"/>
                <w:sz w:val="28"/>
                <w:szCs w:val="28"/>
                <w:highlight w:val="none"/>
              </w:rPr>
              <w:t>25</w:t>
            </w:r>
          </w:p>
        </w:tc>
        <w:tc>
          <w:tcPr>
            <w:tcW w:w="4616" w:type="pct"/>
            <w:gridSpan w:val="2"/>
          </w:tcPr>
          <w:p w14:paraId="056B7C60">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医疗舱左侧前部安装一组医药立柜；</w:t>
            </w:r>
          </w:p>
        </w:tc>
      </w:tr>
      <w:tr w14:paraId="6F61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3B2DA7B">
            <w:pPr>
              <w:jc w:val="center"/>
              <w:rPr>
                <w:rFonts w:asciiTheme="minorEastAsia" w:hAnsiTheme="minorEastAsia"/>
                <w:sz w:val="28"/>
                <w:szCs w:val="28"/>
                <w:highlight w:val="none"/>
              </w:rPr>
            </w:pPr>
            <w:r>
              <w:rPr>
                <w:rFonts w:hint="eastAsia" w:asciiTheme="minorEastAsia" w:hAnsiTheme="minorEastAsia"/>
                <w:sz w:val="28"/>
                <w:szCs w:val="28"/>
                <w:highlight w:val="none"/>
              </w:rPr>
              <w:t>26</w:t>
            </w:r>
          </w:p>
        </w:tc>
        <w:tc>
          <w:tcPr>
            <w:tcW w:w="4616" w:type="pct"/>
            <w:gridSpan w:val="2"/>
          </w:tcPr>
          <w:p w14:paraId="29210FC1">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医疗舱顶左侧安装吊柜，带上翻门，便于放置物品；</w:t>
            </w:r>
          </w:p>
        </w:tc>
      </w:tr>
      <w:tr w14:paraId="2D33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727A217">
            <w:pPr>
              <w:jc w:val="center"/>
              <w:rPr>
                <w:rFonts w:asciiTheme="minorEastAsia" w:hAnsiTheme="minorEastAsia"/>
                <w:sz w:val="28"/>
                <w:szCs w:val="28"/>
                <w:highlight w:val="none"/>
              </w:rPr>
            </w:pPr>
            <w:r>
              <w:rPr>
                <w:rFonts w:hint="eastAsia" w:asciiTheme="minorEastAsia" w:hAnsiTheme="minorEastAsia"/>
                <w:sz w:val="28"/>
                <w:szCs w:val="28"/>
                <w:highlight w:val="none"/>
              </w:rPr>
              <w:t>27</w:t>
            </w:r>
          </w:p>
        </w:tc>
        <w:tc>
          <w:tcPr>
            <w:tcW w:w="4616" w:type="pct"/>
            <w:gridSpan w:val="2"/>
          </w:tcPr>
          <w:p w14:paraId="77EFD74A">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医疗舱左侧安装设备挂板；</w:t>
            </w:r>
          </w:p>
        </w:tc>
      </w:tr>
      <w:tr w14:paraId="4071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0A84754">
            <w:pPr>
              <w:jc w:val="center"/>
              <w:rPr>
                <w:rFonts w:asciiTheme="minorEastAsia" w:hAnsiTheme="minorEastAsia"/>
                <w:sz w:val="28"/>
                <w:szCs w:val="28"/>
                <w:highlight w:val="none"/>
              </w:rPr>
            </w:pPr>
            <w:r>
              <w:rPr>
                <w:rFonts w:hint="eastAsia" w:asciiTheme="minorEastAsia" w:hAnsiTheme="minorEastAsia"/>
                <w:sz w:val="28"/>
                <w:szCs w:val="28"/>
                <w:highlight w:val="none"/>
              </w:rPr>
              <w:t>28</w:t>
            </w:r>
          </w:p>
        </w:tc>
        <w:tc>
          <w:tcPr>
            <w:tcW w:w="4616" w:type="pct"/>
            <w:gridSpan w:val="2"/>
          </w:tcPr>
          <w:p w14:paraId="72154A17">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医疗舱左侧安装齐窗医疗柜，含有机推拉玻璃；</w:t>
            </w:r>
          </w:p>
        </w:tc>
      </w:tr>
      <w:tr w14:paraId="02FD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F5402D8">
            <w:pPr>
              <w:jc w:val="center"/>
              <w:rPr>
                <w:rFonts w:asciiTheme="minorEastAsia" w:hAnsiTheme="minorEastAsia"/>
                <w:sz w:val="28"/>
                <w:szCs w:val="28"/>
                <w:highlight w:val="none"/>
              </w:rPr>
            </w:pPr>
            <w:r>
              <w:rPr>
                <w:rFonts w:hint="eastAsia" w:asciiTheme="minorEastAsia" w:hAnsiTheme="minorEastAsia"/>
                <w:sz w:val="28"/>
                <w:szCs w:val="28"/>
                <w:highlight w:val="none"/>
              </w:rPr>
              <w:t>29</w:t>
            </w:r>
          </w:p>
        </w:tc>
        <w:tc>
          <w:tcPr>
            <w:tcW w:w="4616" w:type="pct"/>
            <w:gridSpan w:val="2"/>
          </w:tcPr>
          <w:p w14:paraId="0A7A10F2">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医疗舱摆放医疗设备平台处在不影响设备操作情况下安装防护装置，以免设备掉落碰到患者；</w:t>
            </w:r>
          </w:p>
        </w:tc>
      </w:tr>
      <w:tr w14:paraId="3A88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503E9F1">
            <w:pPr>
              <w:jc w:val="center"/>
              <w:rPr>
                <w:rFonts w:asciiTheme="minorEastAsia" w:hAnsiTheme="minorEastAsia"/>
                <w:sz w:val="28"/>
                <w:szCs w:val="28"/>
                <w:highlight w:val="none"/>
              </w:rPr>
            </w:pPr>
            <w:r>
              <w:rPr>
                <w:rFonts w:hint="eastAsia" w:asciiTheme="minorEastAsia" w:hAnsiTheme="minorEastAsia"/>
                <w:sz w:val="28"/>
                <w:szCs w:val="28"/>
                <w:highlight w:val="none"/>
              </w:rPr>
              <w:t>30</w:t>
            </w:r>
          </w:p>
        </w:tc>
        <w:tc>
          <w:tcPr>
            <w:tcW w:w="4616" w:type="pct"/>
            <w:gridSpan w:val="2"/>
          </w:tcPr>
          <w:p w14:paraId="5DB2388E">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医疗舱左后侧安装氧气柜（包括2个10L氧气瓶），带专用设施门，方便患者吸氧使用；</w:t>
            </w:r>
          </w:p>
        </w:tc>
      </w:tr>
      <w:tr w14:paraId="066E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4D017633">
            <w:pPr>
              <w:jc w:val="center"/>
              <w:rPr>
                <w:rFonts w:asciiTheme="minorEastAsia" w:hAnsiTheme="minorEastAsia"/>
                <w:sz w:val="28"/>
                <w:szCs w:val="28"/>
                <w:highlight w:val="none"/>
              </w:rPr>
            </w:pPr>
            <w:r>
              <w:rPr>
                <w:rFonts w:hint="eastAsia" w:asciiTheme="minorEastAsia" w:hAnsiTheme="minorEastAsia"/>
                <w:sz w:val="28"/>
                <w:szCs w:val="28"/>
                <w:highlight w:val="none"/>
              </w:rPr>
              <w:t>31</w:t>
            </w:r>
          </w:p>
        </w:tc>
        <w:tc>
          <w:tcPr>
            <w:tcW w:w="4616" w:type="pct"/>
            <w:gridSpan w:val="2"/>
          </w:tcPr>
          <w:p w14:paraId="2B87CC29">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医疗舱顶部安装安全扶手杠，黄色喷塑；</w:t>
            </w:r>
          </w:p>
        </w:tc>
      </w:tr>
      <w:tr w14:paraId="3505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935AE2D">
            <w:pPr>
              <w:jc w:val="center"/>
              <w:rPr>
                <w:rFonts w:asciiTheme="minorEastAsia" w:hAnsiTheme="minorEastAsia"/>
                <w:sz w:val="28"/>
                <w:szCs w:val="28"/>
                <w:highlight w:val="none"/>
              </w:rPr>
            </w:pPr>
            <w:r>
              <w:rPr>
                <w:rFonts w:hint="eastAsia" w:asciiTheme="minorEastAsia" w:hAnsiTheme="minorEastAsia"/>
                <w:sz w:val="28"/>
                <w:szCs w:val="28"/>
                <w:highlight w:val="none"/>
              </w:rPr>
              <w:t>32</w:t>
            </w:r>
          </w:p>
        </w:tc>
        <w:tc>
          <w:tcPr>
            <w:tcW w:w="4616" w:type="pct"/>
            <w:gridSpan w:val="2"/>
          </w:tcPr>
          <w:p w14:paraId="716C7591">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医疗舱隔断后方右侧安装一个护士看护座椅（与担架车交错开），医疗舱右侧前部安装带三点安全带的单人座椅1个，后部为柜式座椅；</w:t>
            </w:r>
            <w:r>
              <w:rPr>
                <w:rFonts w:asciiTheme="minorEastAsia" w:hAnsiTheme="minorEastAsia" w:eastAsiaTheme="minorEastAsia"/>
                <w:sz w:val="28"/>
                <w:szCs w:val="28"/>
                <w:highlight w:val="none"/>
              </w:rPr>
              <w:t xml:space="preserve"> </w:t>
            </w:r>
          </w:p>
        </w:tc>
      </w:tr>
      <w:tr w14:paraId="7F1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800C82B">
            <w:pPr>
              <w:jc w:val="center"/>
              <w:rPr>
                <w:rFonts w:asciiTheme="minorEastAsia" w:hAnsiTheme="minorEastAsia"/>
                <w:sz w:val="28"/>
                <w:szCs w:val="28"/>
                <w:highlight w:val="none"/>
              </w:rPr>
            </w:pPr>
            <w:r>
              <w:rPr>
                <w:rFonts w:hint="eastAsia" w:asciiTheme="minorEastAsia" w:hAnsiTheme="minorEastAsia"/>
                <w:sz w:val="28"/>
                <w:szCs w:val="28"/>
                <w:highlight w:val="none"/>
              </w:rPr>
              <w:t>33</w:t>
            </w:r>
          </w:p>
        </w:tc>
        <w:tc>
          <w:tcPr>
            <w:tcW w:w="4616" w:type="pct"/>
            <w:gridSpan w:val="2"/>
          </w:tcPr>
          <w:p w14:paraId="1858FD9F">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医疗舱多功能换气扇，20次/分钟换气循环以上；</w:t>
            </w:r>
          </w:p>
        </w:tc>
      </w:tr>
      <w:tr w14:paraId="7ADD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7A7F178">
            <w:pPr>
              <w:jc w:val="center"/>
              <w:rPr>
                <w:rFonts w:asciiTheme="minorEastAsia" w:hAnsiTheme="minorEastAsia"/>
                <w:sz w:val="28"/>
                <w:szCs w:val="28"/>
                <w:highlight w:val="none"/>
              </w:rPr>
            </w:pPr>
            <w:r>
              <w:rPr>
                <w:rFonts w:hint="eastAsia" w:asciiTheme="minorEastAsia" w:hAnsiTheme="minorEastAsia"/>
                <w:sz w:val="28"/>
                <w:szCs w:val="28"/>
                <w:highlight w:val="none"/>
              </w:rPr>
              <w:t>34</w:t>
            </w:r>
          </w:p>
        </w:tc>
        <w:tc>
          <w:tcPr>
            <w:tcW w:w="4616" w:type="pct"/>
            <w:gridSpan w:val="2"/>
          </w:tcPr>
          <w:p w14:paraId="16C7B55C">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★医疗舱前后均需设置暖风通道出气口；医疗舱医生座位下方设置柴油暖气系统。</w:t>
            </w:r>
          </w:p>
        </w:tc>
      </w:tr>
      <w:tr w14:paraId="3A52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36CAF7B">
            <w:pPr>
              <w:jc w:val="center"/>
              <w:rPr>
                <w:rFonts w:asciiTheme="minorEastAsia" w:hAnsiTheme="minorEastAsia"/>
                <w:sz w:val="28"/>
                <w:szCs w:val="28"/>
                <w:highlight w:val="none"/>
              </w:rPr>
            </w:pPr>
            <w:r>
              <w:rPr>
                <w:rFonts w:hint="eastAsia" w:asciiTheme="minorEastAsia" w:hAnsiTheme="minorEastAsia"/>
                <w:sz w:val="28"/>
                <w:szCs w:val="28"/>
                <w:highlight w:val="none"/>
              </w:rPr>
              <w:t>35</w:t>
            </w:r>
          </w:p>
        </w:tc>
        <w:tc>
          <w:tcPr>
            <w:tcW w:w="4616" w:type="pct"/>
            <w:gridSpan w:val="2"/>
          </w:tcPr>
          <w:p w14:paraId="5CBE2C76">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设备快速安装拆卸托盘1套。（提供实物照片）；</w:t>
            </w:r>
          </w:p>
        </w:tc>
      </w:tr>
      <w:tr w14:paraId="17B8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A8DDEDA">
            <w:pPr>
              <w:jc w:val="center"/>
              <w:rPr>
                <w:rFonts w:asciiTheme="minorEastAsia" w:hAnsiTheme="minorEastAsia"/>
                <w:sz w:val="28"/>
                <w:szCs w:val="28"/>
                <w:highlight w:val="none"/>
              </w:rPr>
            </w:pPr>
          </w:p>
        </w:tc>
        <w:tc>
          <w:tcPr>
            <w:tcW w:w="4616" w:type="pct"/>
            <w:gridSpan w:val="2"/>
          </w:tcPr>
          <w:p w14:paraId="0CF0467F">
            <w:pPr>
              <w:jc w:val="center"/>
              <w:rPr>
                <w:rFonts w:asciiTheme="minorEastAsia" w:hAnsiTheme="minorEastAsia"/>
                <w:b/>
                <w:sz w:val="28"/>
                <w:szCs w:val="28"/>
                <w:highlight w:val="none"/>
              </w:rPr>
            </w:pPr>
            <w:r>
              <w:rPr>
                <w:rFonts w:hint="eastAsia" w:asciiTheme="minorEastAsia" w:hAnsiTheme="minorEastAsia"/>
                <w:b/>
                <w:sz w:val="28"/>
                <w:szCs w:val="28"/>
                <w:highlight w:val="none"/>
              </w:rPr>
              <w:t>输液系统</w:t>
            </w:r>
          </w:p>
        </w:tc>
      </w:tr>
      <w:tr w14:paraId="4FEE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B2BDC4F">
            <w:pPr>
              <w:jc w:val="center"/>
              <w:rPr>
                <w:rFonts w:asciiTheme="minorEastAsia" w:hAnsiTheme="minorEastAsia"/>
                <w:sz w:val="28"/>
                <w:szCs w:val="28"/>
                <w:highlight w:val="none"/>
              </w:rPr>
            </w:pPr>
            <w:r>
              <w:rPr>
                <w:rFonts w:hint="eastAsia" w:asciiTheme="minorEastAsia" w:hAnsiTheme="minorEastAsia"/>
                <w:sz w:val="28"/>
                <w:szCs w:val="28"/>
                <w:highlight w:val="none"/>
              </w:rPr>
              <w:t>36</w:t>
            </w:r>
          </w:p>
        </w:tc>
        <w:tc>
          <w:tcPr>
            <w:tcW w:w="4616" w:type="pct"/>
            <w:gridSpan w:val="2"/>
          </w:tcPr>
          <w:p w14:paraId="1C1E2A4B">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利用担架上方尽可能高的位置，安装输液装置，位置可以灵活选择，最少承受5kg，能够容纳2袋液体；</w:t>
            </w:r>
          </w:p>
        </w:tc>
      </w:tr>
      <w:tr w14:paraId="1E2D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4097088F">
            <w:pPr>
              <w:jc w:val="center"/>
              <w:rPr>
                <w:rFonts w:asciiTheme="minorEastAsia" w:hAnsiTheme="minorEastAsia"/>
                <w:sz w:val="28"/>
                <w:szCs w:val="28"/>
                <w:highlight w:val="none"/>
              </w:rPr>
            </w:pPr>
          </w:p>
        </w:tc>
        <w:tc>
          <w:tcPr>
            <w:tcW w:w="4616" w:type="pct"/>
            <w:gridSpan w:val="2"/>
          </w:tcPr>
          <w:p w14:paraId="2D07E951">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消毒</w:t>
            </w:r>
          </w:p>
        </w:tc>
      </w:tr>
      <w:tr w14:paraId="6C82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C9519E6">
            <w:pPr>
              <w:jc w:val="center"/>
              <w:rPr>
                <w:rFonts w:asciiTheme="minorEastAsia" w:hAnsiTheme="minorEastAsia"/>
                <w:sz w:val="28"/>
                <w:szCs w:val="28"/>
                <w:highlight w:val="none"/>
              </w:rPr>
            </w:pPr>
            <w:r>
              <w:rPr>
                <w:rFonts w:hint="eastAsia" w:asciiTheme="minorEastAsia" w:hAnsiTheme="minorEastAsia"/>
                <w:sz w:val="28"/>
                <w:szCs w:val="28"/>
                <w:highlight w:val="none"/>
              </w:rPr>
              <w:t>37</w:t>
            </w:r>
          </w:p>
        </w:tc>
        <w:tc>
          <w:tcPr>
            <w:tcW w:w="4616" w:type="pct"/>
            <w:gridSpan w:val="2"/>
          </w:tcPr>
          <w:p w14:paraId="6DE1B591">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医疗舱内应分别配置有效的固定消毒装置，如紫外线灯；安装和使用应符合《消毒技术规范》；</w:t>
            </w:r>
          </w:p>
        </w:tc>
      </w:tr>
      <w:tr w14:paraId="6033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5694F68">
            <w:pPr>
              <w:jc w:val="center"/>
              <w:rPr>
                <w:rFonts w:asciiTheme="minorEastAsia" w:hAnsiTheme="minorEastAsia"/>
                <w:sz w:val="28"/>
                <w:szCs w:val="28"/>
                <w:highlight w:val="none"/>
              </w:rPr>
            </w:pPr>
          </w:p>
        </w:tc>
        <w:tc>
          <w:tcPr>
            <w:tcW w:w="4616" w:type="pct"/>
            <w:gridSpan w:val="2"/>
          </w:tcPr>
          <w:p w14:paraId="3882E0B9">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供电系统</w:t>
            </w:r>
          </w:p>
        </w:tc>
      </w:tr>
      <w:tr w14:paraId="3092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95B8B2D">
            <w:pPr>
              <w:jc w:val="center"/>
              <w:rPr>
                <w:rFonts w:asciiTheme="minorEastAsia" w:hAnsiTheme="minorEastAsia"/>
                <w:sz w:val="28"/>
                <w:szCs w:val="28"/>
                <w:highlight w:val="none"/>
              </w:rPr>
            </w:pPr>
            <w:r>
              <w:rPr>
                <w:rFonts w:hint="eastAsia" w:asciiTheme="minorEastAsia" w:hAnsiTheme="minorEastAsia"/>
                <w:sz w:val="28"/>
                <w:szCs w:val="28"/>
                <w:highlight w:val="none"/>
              </w:rPr>
              <w:t>38</w:t>
            </w:r>
          </w:p>
        </w:tc>
        <w:tc>
          <w:tcPr>
            <w:tcW w:w="4616" w:type="pct"/>
            <w:gridSpan w:val="2"/>
          </w:tcPr>
          <w:p w14:paraId="5863DDCA">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医疗舱内应配置带智能充电系统的车辆12v-220v逆变电源。逆变电源要求功率不小于1000W，为纯正弦波电源，以供精密医疗设备使用；</w:t>
            </w:r>
          </w:p>
        </w:tc>
      </w:tr>
      <w:tr w14:paraId="7130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63D58ABE">
            <w:pPr>
              <w:jc w:val="center"/>
              <w:rPr>
                <w:rFonts w:asciiTheme="minorEastAsia" w:hAnsiTheme="minorEastAsia"/>
                <w:sz w:val="28"/>
                <w:szCs w:val="28"/>
                <w:highlight w:val="none"/>
              </w:rPr>
            </w:pPr>
            <w:r>
              <w:rPr>
                <w:rFonts w:hint="eastAsia" w:asciiTheme="minorEastAsia" w:hAnsiTheme="minorEastAsia"/>
                <w:sz w:val="28"/>
                <w:szCs w:val="28"/>
                <w:highlight w:val="none"/>
              </w:rPr>
              <w:t>39</w:t>
            </w:r>
          </w:p>
        </w:tc>
        <w:tc>
          <w:tcPr>
            <w:tcW w:w="4616" w:type="pct"/>
            <w:gridSpan w:val="2"/>
          </w:tcPr>
          <w:p w14:paraId="631541EC">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免维护蓄电池1块大于80AH；</w:t>
            </w:r>
          </w:p>
        </w:tc>
      </w:tr>
      <w:tr w14:paraId="0C42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BCFA841">
            <w:pPr>
              <w:jc w:val="center"/>
              <w:rPr>
                <w:rFonts w:asciiTheme="minorEastAsia" w:hAnsiTheme="minorEastAsia"/>
                <w:sz w:val="28"/>
                <w:szCs w:val="28"/>
                <w:highlight w:val="none"/>
              </w:rPr>
            </w:pPr>
            <w:r>
              <w:rPr>
                <w:rFonts w:hint="eastAsia" w:asciiTheme="minorEastAsia" w:hAnsiTheme="minorEastAsia"/>
                <w:sz w:val="28"/>
                <w:szCs w:val="28"/>
                <w:highlight w:val="none"/>
              </w:rPr>
              <w:t>40</w:t>
            </w:r>
          </w:p>
        </w:tc>
        <w:tc>
          <w:tcPr>
            <w:tcW w:w="4616" w:type="pct"/>
            <w:gridSpan w:val="2"/>
          </w:tcPr>
          <w:p w14:paraId="4B295488">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外接市电系统1套接电源（220V/16A），防水、带防护盖，配10米移动电缆；</w:t>
            </w:r>
          </w:p>
        </w:tc>
      </w:tr>
      <w:tr w14:paraId="0AC6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B20AEE8">
            <w:pPr>
              <w:jc w:val="center"/>
              <w:rPr>
                <w:rFonts w:asciiTheme="minorEastAsia" w:hAnsiTheme="minorEastAsia"/>
                <w:sz w:val="28"/>
                <w:szCs w:val="28"/>
                <w:highlight w:val="none"/>
              </w:rPr>
            </w:pPr>
            <w:r>
              <w:rPr>
                <w:rFonts w:hint="eastAsia" w:asciiTheme="minorEastAsia" w:hAnsiTheme="minorEastAsia"/>
                <w:sz w:val="28"/>
                <w:szCs w:val="28"/>
                <w:highlight w:val="none"/>
              </w:rPr>
              <w:t>41</w:t>
            </w:r>
          </w:p>
        </w:tc>
        <w:tc>
          <w:tcPr>
            <w:tcW w:w="4616" w:type="pct"/>
            <w:gridSpan w:val="2"/>
          </w:tcPr>
          <w:p w14:paraId="60D22793">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车内电源必须配备充足，能满足多台电子医疗设备同时工作的电力供应，同时配备与医疗设备相匹配的电源插座，12v插座不低于2个，220v插座不低于3个；</w:t>
            </w:r>
          </w:p>
        </w:tc>
      </w:tr>
      <w:tr w14:paraId="0F6A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8E45767">
            <w:pPr>
              <w:jc w:val="center"/>
              <w:rPr>
                <w:rFonts w:asciiTheme="minorEastAsia" w:hAnsiTheme="minorEastAsia"/>
                <w:sz w:val="28"/>
                <w:szCs w:val="28"/>
                <w:highlight w:val="none"/>
              </w:rPr>
            </w:pPr>
            <w:r>
              <w:rPr>
                <w:rFonts w:hint="eastAsia" w:asciiTheme="minorEastAsia" w:hAnsiTheme="minorEastAsia"/>
                <w:sz w:val="28"/>
                <w:szCs w:val="28"/>
                <w:highlight w:val="none"/>
              </w:rPr>
              <w:t>42</w:t>
            </w:r>
          </w:p>
        </w:tc>
        <w:tc>
          <w:tcPr>
            <w:tcW w:w="4616" w:type="pct"/>
            <w:gridSpan w:val="2"/>
          </w:tcPr>
          <w:p w14:paraId="0F7FF283">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医疗舱内照明系统应配置2支长条灯具的照明，以满足医务人员在医疗舱内救治病人需要；</w:t>
            </w:r>
          </w:p>
        </w:tc>
      </w:tr>
      <w:tr w14:paraId="2F52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DABAE57">
            <w:pPr>
              <w:jc w:val="center"/>
              <w:rPr>
                <w:rFonts w:asciiTheme="minorEastAsia" w:hAnsiTheme="minorEastAsia"/>
                <w:sz w:val="28"/>
                <w:szCs w:val="28"/>
                <w:highlight w:val="none"/>
              </w:rPr>
            </w:pPr>
            <w:r>
              <w:rPr>
                <w:rFonts w:hint="eastAsia" w:asciiTheme="minorEastAsia" w:hAnsiTheme="minorEastAsia"/>
                <w:sz w:val="28"/>
                <w:szCs w:val="28"/>
                <w:highlight w:val="none"/>
              </w:rPr>
              <w:t>43</w:t>
            </w:r>
          </w:p>
        </w:tc>
        <w:tc>
          <w:tcPr>
            <w:tcW w:w="4616" w:type="pct"/>
            <w:gridSpan w:val="2"/>
          </w:tcPr>
          <w:p w14:paraId="105AEB5D">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所有线路需穿管预埋，不得布明线。</w:t>
            </w:r>
          </w:p>
        </w:tc>
      </w:tr>
      <w:tr w14:paraId="5079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210F75B">
            <w:pPr>
              <w:jc w:val="center"/>
              <w:rPr>
                <w:rFonts w:asciiTheme="minorEastAsia" w:hAnsiTheme="minorEastAsia"/>
                <w:sz w:val="28"/>
                <w:szCs w:val="28"/>
                <w:highlight w:val="none"/>
              </w:rPr>
            </w:pPr>
          </w:p>
        </w:tc>
        <w:tc>
          <w:tcPr>
            <w:tcW w:w="4616" w:type="pct"/>
            <w:gridSpan w:val="2"/>
          </w:tcPr>
          <w:p w14:paraId="4496CEE9">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★警灯警报系统</w:t>
            </w:r>
          </w:p>
        </w:tc>
      </w:tr>
      <w:tr w14:paraId="6C9C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F868860">
            <w:pPr>
              <w:jc w:val="center"/>
              <w:rPr>
                <w:rFonts w:asciiTheme="minorEastAsia" w:hAnsiTheme="minorEastAsia"/>
                <w:sz w:val="28"/>
                <w:szCs w:val="28"/>
                <w:highlight w:val="none"/>
              </w:rPr>
            </w:pPr>
            <w:r>
              <w:rPr>
                <w:rFonts w:hint="eastAsia" w:asciiTheme="minorEastAsia" w:hAnsiTheme="minorEastAsia"/>
                <w:sz w:val="28"/>
                <w:szCs w:val="28"/>
                <w:highlight w:val="none"/>
              </w:rPr>
              <w:t>44</w:t>
            </w:r>
          </w:p>
        </w:tc>
        <w:tc>
          <w:tcPr>
            <w:tcW w:w="4616" w:type="pct"/>
            <w:gridSpan w:val="2"/>
          </w:tcPr>
          <w:p w14:paraId="67F7DAD6">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安装整体式异型警灯，左、右各1块独立灯罩，内含LED发光源，后部左右两侧各2组LED爆闪灯（2蓝2白）;随车配送备用1蓝1白警灯模块。</w:t>
            </w:r>
          </w:p>
        </w:tc>
      </w:tr>
      <w:tr w14:paraId="548C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7ED86A4">
            <w:pPr>
              <w:jc w:val="center"/>
              <w:rPr>
                <w:rFonts w:asciiTheme="minorEastAsia" w:hAnsiTheme="minorEastAsia"/>
                <w:sz w:val="28"/>
                <w:szCs w:val="28"/>
                <w:highlight w:val="none"/>
              </w:rPr>
            </w:pPr>
            <w:r>
              <w:rPr>
                <w:rFonts w:hint="eastAsia" w:asciiTheme="minorEastAsia" w:hAnsiTheme="minorEastAsia"/>
                <w:sz w:val="28"/>
                <w:szCs w:val="28"/>
                <w:highlight w:val="none"/>
              </w:rPr>
              <w:t>45</w:t>
            </w:r>
          </w:p>
        </w:tc>
        <w:tc>
          <w:tcPr>
            <w:tcW w:w="4616" w:type="pct"/>
            <w:gridSpan w:val="2"/>
          </w:tcPr>
          <w:p w14:paraId="6EC16619">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灯内含报警器及100w扩音器；</w:t>
            </w:r>
          </w:p>
        </w:tc>
      </w:tr>
      <w:tr w14:paraId="56B3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48AA331">
            <w:pPr>
              <w:jc w:val="center"/>
              <w:rPr>
                <w:rFonts w:asciiTheme="minorEastAsia" w:hAnsiTheme="minorEastAsia"/>
                <w:sz w:val="28"/>
                <w:szCs w:val="28"/>
                <w:highlight w:val="none"/>
              </w:rPr>
            </w:pPr>
            <w:r>
              <w:rPr>
                <w:rFonts w:hint="eastAsia" w:asciiTheme="minorEastAsia" w:hAnsiTheme="minorEastAsia"/>
                <w:sz w:val="28"/>
                <w:szCs w:val="28"/>
                <w:highlight w:val="none"/>
              </w:rPr>
              <w:t>46</w:t>
            </w:r>
          </w:p>
        </w:tc>
        <w:tc>
          <w:tcPr>
            <w:tcW w:w="4616" w:type="pct"/>
            <w:gridSpan w:val="2"/>
          </w:tcPr>
          <w:p w14:paraId="386E0EFA">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车辆进气口格栅安装不少于6组蓝色爆闪块,（要求：厚度；≤14mm,长度≥144mm，宽度≤35mm）（提供车辆使用照片）；</w:t>
            </w:r>
          </w:p>
        </w:tc>
      </w:tr>
      <w:tr w14:paraId="6583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609FD3AA">
            <w:pPr>
              <w:jc w:val="center"/>
              <w:rPr>
                <w:rFonts w:asciiTheme="minorEastAsia" w:hAnsiTheme="minorEastAsia"/>
                <w:sz w:val="28"/>
                <w:szCs w:val="28"/>
                <w:highlight w:val="none"/>
              </w:rPr>
            </w:pPr>
            <w:r>
              <w:rPr>
                <w:rFonts w:hint="eastAsia" w:asciiTheme="minorEastAsia" w:hAnsiTheme="minorEastAsia"/>
                <w:sz w:val="28"/>
                <w:szCs w:val="28"/>
                <w:highlight w:val="none"/>
              </w:rPr>
              <w:t>47</w:t>
            </w:r>
          </w:p>
        </w:tc>
        <w:tc>
          <w:tcPr>
            <w:tcW w:w="4616" w:type="pct"/>
            <w:gridSpan w:val="2"/>
          </w:tcPr>
          <w:p w14:paraId="067B9AAC">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1个警报器操作手柄装置应安装在驾驶室内，便于操作使用；</w:t>
            </w:r>
          </w:p>
        </w:tc>
      </w:tr>
      <w:tr w14:paraId="0375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5976BB0">
            <w:pPr>
              <w:jc w:val="center"/>
              <w:rPr>
                <w:rFonts w:asciiTheme="minorEastAsia" w:hAnsiTheme="minorEastAsia"/>
                <w:sz w:val="28"/>
                <w:szCs w:val="28"/>
                <w:highlight w:val="none"/>
              </w:rPr>
            </w:pPr>
            <w:r>
              <w:rPr>
                <w:rFonts w:hint="eastAsia" w:asciiTheme="minorEastAsia" w:hAnsiTheme="minorEastAsia"/>
                <w:sz w:val="28"/>
                <w:szCs w:val="28"/>
                <w:highlight w:val="none"/>
              </w:rPr>
              <w:t>48</w:t>
            </w:r>
          </w:p>
        </w:tc>
        <w:tc>
          <w:tcPr>
            <w:tcW w:w="4616" w:type="pct"/>
            <w:gridSpan w:val="2"/>
          </w:tcPr>
          <w:p w14:paraId="00279693">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车身后尾部车顶正后方上部一条异型后尾翼两端蓝色爆闪块，中间蓝色爆闪灯2组（要求：厚度；≤14mm,长度≥144mm，宽度≤35mm）（提供车辆使用照片）；</w:t>
            </w:r>
          </w:p>
        </w:tc>
      </w:tr>
      <w:tr w14:paraId="100A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4416D66">
            <w:pPr>
              <w:jc w:val="center"/>
              <w:rPr>
                <w:rFonts w:asciiTheme="minorEastAsia" w:hAnsiTheme="minorEastAsia"/>
                <w:sz w:val="28"/>
                <w:szCs w:val="28"/>
                <w:highlight w:val="none"/>
              </w:rPr>
            </w:pPr>
          </w:p>
        </w:tc>
        <w:tc>
          <w:tcPr>
            <w:tcW w:w="4616" w:type="pct"/>
            <w:gridSpan w:val="2"/>
          </w:tcPr>
          <w:p w14:paraId="123F313A">
            <w:pPr>
              <w:pStyle w:val="2"/>
              <w:ind w:left="63" w:right="420" w:rightChars="200"/>
              <w:rPr>
                <w:rFonts w:asciiTheme="minorEastAsia" w:hAnsiTheme="minorEastAsia" w:eastAsiaTheme="minorEastAsia"/>
                <w:b/>
                <w:sz w:val="28"/>
                <w:szCs w:val="28"/>
                <w:highlight w:val="none"/>
              </w:rPr>
            </w:pPr>
            <w:r>
              <w:rPr>
                <w:rFonts w:hint="eastAsia" w:cs="仿宋_GB2312" w:asciiTheme="minorEastAsia" w:hAnsiTheme="minorEastAsia" w:eastAsiaTheme="minorEastAsia"/>
                <w:b/>
                <w:sz w:val="28"/>
                <w:szCs w:val="28"/>
                <w:highlight w:val="none"/>
              </w:rPr>
              <w:t>供氧系统</w:t>
            </w:r>
          </w:p>
        </w:tc>
      </w:tr>
      <w:tr w14:paraId="5438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80AEDF0">
            <w:pPr>
              <w:jc w:val="center"/>
              <w:rPr>
                <w:rFonts w:asciiTheme="minorEastAsia" w:hAnsiTheme="minorEastAsia"/>
                <w:sz w:val="28"/>
                <w:szCs w:val="28"/>
                <w:highlight w:val="none"/>
              </w:rPr>
            </w:pPr>
            <w:r>
              <w:rPr>
                <w:rFonts w:hint="eastAsia" w:asciiTheme="minorEastAsia" w:hAnsiTheme="minorEastAsia"/>
                <w:sz w:val="28"/>
                <w:szCs w:val="28"/>
                <w:highlight w:val="none"/>
              </w:rPr>
              <w:t>49</w:t>
            </w:r>
          </w:p>
        </w:tc>
        <w:tc>
          <w:tcPr>
            <w:tcW w:w="4616" w:type="pct"/>
            <w:gridSpan w:val="2"/>
          </w:tcPr>
          <w:p w14:paraId="3AD3B72F">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医疗舱内应设有完备的中央供氧系统，医用氧气容量不小于60L，除医疗舱左后侧氧气柜内2个10L氧气瓶以外，在医疗舱中隔断墙后方安装2个20L氧气瓶。车辆配送时再额外配送2个20L备用氧气瓶。</w:t>
            </w:r>
          </w:p>
        </w:tc>
      </w:tr>
      <w:tr w14:paraId="550E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CF487FA">
            <w:pPr>
              <w:jc w:val="center"/>
              <w:rPr>
                <w:rFonts w:asciiTheme="minorEastAsia" w:hAnsiTheme="minorEastAsia"/>
                <w:sz w:val="28"/>
                <w:szCs w:val="28"/>
                <w:highlight w:val="none"/>
              </w:rPr>
            </w:pPr>
            <w:r>
              <w:rPr>
                <w:rFonts w:hint="eastAsia" w:asciiTheme="minorEastAsia" w:hAnsiTheme="minorEastAsia"/>
                <w:sz w:val="28"/>
                <w:szCs w:val="28"/>
                <w:highlight w:val="none"/>
              </w:rPr>
              <w:t>50</w:t>
            </w:r>
          </w:p>
        </w:tc>
        <w:tc>
          <w:tcPr>
            <w:tcW w:w="4616" w:type="pct"/>
            <w:gridSpan w:val="2"/>
          </w:tcPr>
          <w:p w14:paraId="39E55AA0">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车内供氧管路应隐藏在车体内，不得明管外露在医疗舱内；</w:t>
            </w:r>
          </w:p>
        </w:tc>
      </w:tr>
      <w:tr w14:paraId="0436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4B7047AE">
            <w:pPr>
              <w:jc w:val="center"/>
              <w:rPr>
                <w:rFonts w:asciiTheme="minorEastAsia" w:hAnsiTheme="minorEastAsia"/>
                <w:sz w:val="28"/>
                <w:szCs w:val="28"/>
                <w:highlight w:val="none"/>
              </w:rPr>
            </w:pPr>
            <w:r>
              <w:rPr>
                <w:rFonts w:hint="eastAsia" w:asciiTheme="minorEastAsia" w:hAnsiTheme="minorEastAsia"/>
                <w:sz w:val="28"/>
                <w:szCs w:val="28"/>
                <w:highlight w:val="none"/>
              </w:rPr>
              <w:t>51</w:t>
            </w:r>
          </w:p>
        </w:tc>
        <w:tc>
          <w:tcPr>
            <w:tcW w:w="4616" w:type="pct"/>
            <w:gridSpan w:val="2"/>
          </w:tcPr>
          <w:p w14:paraId="1F93CFB6">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氧气减压器应使用膜片式减压结构，可承载进气压力不小于5Mpa；刻度式氧气流量计及氧气加湿器应安装在医疗舱侧壁，氧气流量0-15升/分可调；仪器应符合国际标准；</w:t>
            </w:r>
          </w:p>
        </w:tc>
      </w:tr>
      <w:tr w14:paraId="56AD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AADCA1F">
            <w:pPr>
              <w:jc w:val="center"/>
              <w:rPr>
                <w:rFonts w:asciiTheme="minorEastAsia" w:hAnsiTheme="minorEastAsia"/>
                <w:sz w:val="28"/>
                <w:szCs w:val="28"/>
                <w:highlight w:val="none"/>
              </w:rPr>
            </w:pPr>
          </w:p>
        </w:tc>
        <w:tc>
          <w:tcPr>
            <w:tcW w:w="4616" w:type="pct"/>
            <w:gridSpan w:val="2"/>
          </w:tcPr>
          <w:p w14:paraId="4CDE7C14">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★控制系统</w:t>
            </w:r>
          </w:p>
        </w:tc>
      </w:tr>
      <w:tr w14:paraId="118E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FDBB13B">
            <w:pPr>
              <w:jc w:val="center"/>
              <w:rPr>
                <w:rFonts w:asciiTheme="minorEastAsia" w:hAnsiTheme="minorEastAsia"/>
                <w:sz w:val="28"/>
                <w:szCs w:val="28"/>
                <w:highlight w:val="none"/>
              </w:rPr>
            </w:pPr>
            <w:r>
              <w:rPr>
                <w:rFonts w:hint="eastAsia" w:asciiTheme="minorEastAsia" w:hAnsiTheme="minorEastAsia"/>
                <w:sz w:val="28"/>
                <w:szCs w:val="28"/>
                <w:highlight w:val="none"/>
              </w:rPr>
              <w:t>52</w:t>
            </w:r>
          </w:p>
        </w:tc>
        <w:tc>
          <w:tcPr>
            <w:tcW w:w="4616" w:type="pct"/>
            <w:gridSpan w:val="2"/>
          </w:tcPr>
          <w:p w14:paraId="54F08AA3">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医疗舱内所有电源及设备开关的控制应使用集中控制装置，便于医护人员对医疗舱内电源及设备的操作和使用；</w:t>
            </w:r>
          </w:p>
          <w:p w14:paraId="6B618D09">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智能电子中央集控，前后智能电子集中控制屏2个；</w:t>
            </w:r>
          </w:p>
        </w:tc>
      </w:tr>
      <w:tr w14:paraId="6E04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531ACA9">
            <w:pPr>
              <w:jc w:val="center"/>
              <w:rPr>
                <w:rFonts w:asciiTheme="minorEastAsia" w:hAnsiTheme="minorEastAsia"/>
                <w:sz w:val="28"/>
                <w:szCs w:val="28"/>
                <w:highlight w:val="none"/>
              </w:rPr>
            </w:pPr>
          </w:p>
        </w:tc>
        <w:tc>
          <w:tcPr>
            <w:tcW w:w="4616" w:type="pct"/>
            <w:gridSpan w:val="2"/>
          </w:tcPr>
          <w:p w14:paraId="260EFE60">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专用地板</w:t>
            </w:r>
          </w:p>
        </w:tc>
      </w:tr>
      <w:tr w14:paraId="207C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6E2C3E53">
            <w:pPr>
              <w:jc w:val="center"/>
              <w:rPr>
                <w:rFonts w:asciiTheme="minorEastAsia" w:hAnsiTheme="minorEastAsia"/>
                <w:sz w:val="28"/>
                <w:szCs w:val="28"/>
                <w:highlight w:val="none"/>
              </w:rPr>
            </w:pPr>
            <w:r>
              <w:rPr>
                <w:rFonts w:hint="eastAsia" w:asciiTheme="minorEastAsia" w:hAnsiTheme="minorEastAsia"/>
                <w:sz w:val="28"/>
                <w:szCs w:val="28"/>
                <w:highlight w:val="none"/>
              </w:rPr>
              <w:t>53</w:t>
            </w:r>
          </w:p>
        </w:tc>
        <w:tc>
          <w:tcPr>
            <w:tcW w:w="4616" w:type="pct"/>
            <w:gridSpan w:val="2"/>
          </w:tcPr>
          <w:p w14:paraId="6611940A">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医疗舱内应使用高强度、耐磨、防滑、防腐蚀、易冲洗消毒的医疗专用地板。医疗舱地板材料应环保无毒，无重金属（铅、镉、铬、汞）残留，防水、耐磨、耐冲击、耐酸碱、耐化学品（消毒水等）；</w:t>
            </w:r>
          </w:p>
        </w:tc>
      </w:tr>
      <w:tr w14:paraId="6C6B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F3EF464">
            <w:pPr>
              <w:jc w:val="center"/>
              <w:rPr>
                <w:rFonts w:asciiTheme="minorEastAsia" w:hAnsiTheme="minorEastAsia"/>
                <w:sz w:val="28"/>
                <w:szCs w:val="28"/>
                <w:highlight w:val="none"/>
              </w:rPr>
            </w:pPr>
          </w:p>
        </w:tc>
        <w:tc>
          <w:tcPr>
            <w:tcW w:w="4616" w:type="pct"/>
            <w:gridSpan w:val="2"/>
          </w:tcPr>
          <w:p w14:paraId="774E4EB6">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车载设备</w:t>
            </w:r>
          </w:p>
        </w:tc>
      </w:tr>
      <w:tr w14:paraId="3E29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69BB23EF">
            <w:pPr>
              <w:jc w:val="center"/>
              <w:rPr>
                <w:rFonts w:asciiTheme="minorEastAsia" w:hAnsiTheme="minorEastAsia"/>
                <w:sz w:val="28"/>
                <w:szCs w:val="28"/>
                <w:highlight w:val="none"/>
              </w:rPr>
            </w:pPr>
            <w:r>
              <w:rPr>
                <w:rFonts w:hint="eastAsia" w:asciiTheme="minorEastAsia" w:hAnsiTheme="minorEastAsia"/>
                <w:sz w:val="28"/>
                <w:szCs w:val="28"/>
                <w:highlight w:val="none"/>
              </w:rPr>
              <w:t>54</w:t>
            </w:r>
          </w:p>
        </w:tc>
        <w:tc>
          <w:tcPr>
            <w:tcW w:w="4616" w:type="pct"/>
            <w:gridSpan w:val="2"/>
          </w:tcPr>
          <w:p w14:paraId="67D4600E">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自动上车担架两套（电梯担架）、铲式担架一副。</w:t>
            </w:r>
          </w:p>
          <w:p w14:paraId="490FA0E6">
            <w:pPr>
              <w:rPr>
                <w:rFonts w:eastAsiaTheme="minorEastAsia"/>
                <w:highlight w:val="none"/>
              </w:rPr>
            </w:pPr>
            <w:bookmarkStart w:id="44" w:name="OLE_LINK1"/>
            <w:bookmarkStart w:id="45" w:name="OLE_LINK2"/>
            <w:r>
              <w:rPr>
                <w:rFonts w:hint="eastAsia" w:asciiTheme="minorEastAsia" w:hAnsiTheme="minorEastAsia" w:eastAsiaTheme="minorEastAsia"/>
                <w:sz w:val="28"/>
                <w:szCs w:val="28"/>
                <w:highlight w:val="none"/>
              </w:rPr>
              <w:t>★</w:t>
            </w:r>
            <w:bookmarkEnd w:id="44"/>
            <w:bookmarkEnd w:id="45"/>
            <w:r>
              <w:rPr>
                <w:rFonts w:hint="eastAsia" w:asciiTheme="minorEastAsia" w:hAnsiTheme="minorEastAsia" w:eastAsiaTheme="minorEastAsia"/>
                <w:sz w:val="28"/>
                <w:szCs w:val="28"/>
                <w:highlight w:val="none"/>
              </w:rPr>
              <w:t>1</w:t>
            </w:r>
            <w:r>
              <w:rPr>
                <w:rFonts w:hint="eastAsia" w:asciiTheme="minorEastAsia" w:hAnsiTheme="minorEastAsia"/>
                <w:sz w:val="28"/>
                <w:szCs w:val="28"/>
                <w:highlight w:val="none"/>
              </w:rPr>
              <w:t>、一套电梯担架直接安装在车内，一套随车配送以便备用。</w:t>
            </w:r>
          </w:p>
          <w:p w14:paraId="76F267F5">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2、上救护车时,X结构起落抬起非常轻便。</w:t>
            </w:r>
          </w:p>
          <w:p w14:paraId="429B6B39">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3、下救护车时,当起落架下降时,安全U形钩会勾住救护车直到操作人员去打开。</w:t>
            </w:r>
          </w:p>
          <w:p w14:paraId="06426911">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4、头部可折叠、担架高度可调节：≥9档调节。</w:t>
            </w:r>
          </w:p>
          <w:p w14:paraId="591CCC40">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5、靠背角度由气弹簧调节,范围0-75°。</w:t>
            </w:r>
          </w:p>
          <w:p w14:paraId="4CBDB969">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6、可翻转护栏在转移过程中保护病人或两人可把担架抬起并推上救护车。</w:t>
            </w:r>
          </w:p>
          <w:p w14:paraId="247B7839">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7、当担架在救护车上时,可用固定装置锁住。</w:t>
            </w:r>
          </w:p>
          <w:p w14:paraId="304E0DE8">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8、担架由高强度铝合金材料构成。</w:t>
            </w:r>
          </w:p>
          <w:p w14:paraId="2E3DA25D">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9、宽面橡胶轮≥φ150mm。</w:t>
            </w:r>
          </w:p>
          <w:p w14:paraId="3EA72C48">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10、防水无缝PVC床垫≥8cm厚度海绵。</w:t>
            </w:r>
          </w:p>
          <w:p w14:paraId="6767AE61">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11、固定装置≥3根安全带(用于胸部,臀部和膝部及肩部绑带。</w:t>
            </w:r>
          </w:p>
          <w:p w14:paraId="11868B0B">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12、最高位：≥200*56*100cm。</w:t>
            </w:r>
          </w:p>
          <w:p w14:paraId="78AC728F">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13、最低位：≤200*56*38cm。</w:t>
            </w:r>
          </w:p>
          <w:p w14:paraId="5D6E644B">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14、背部最大倾角：≥75°。</w:t>
            </w:r>
          </w:p>
          <w:p w14:paraId="315933AC">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15、膝部最大倾角：≥35°。</w:t>
            </w:r>
          </w:p>
          <w:p w14:paraId="2B7B6240">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16、净重：≤43kg。</w:t>
            </w:r>
          </w:p>
          <w:p w14:paraId="269D9A3C">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17、承重：≥250kg。</w:t>
            </w:r>
          </w:p>
          <w:p w14:paraId="04A83DA3">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18、包装尺寸：≥205*65*50cm。</w:t>
            </w:r>
          </w:p>
          <w:p w14:paraId="307D2DE7">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19、投标人提供《担架厂家针对此项目的授权书和售后服务承诺书》扫描件；</w:t>
            </w:r>
          </w:p>
        </w:tc>
      </w:tr>
      <w:tr w14:paraId="043C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5F4CC7E">
            <w:pPr>
              <w:jc w:val="center"/>
              <w:rPr>
                <w:rFonts w:asciiTheme="minorEastAsia" w:hAnsiTheme="minorEastAsia"/>
                <w:sz w:val="28"/>
                <w:szCs w:val="28"/>
                <w:highlight w:val="none"/>
              </w:rPr>
            </w:pPr>
            <w:r>
              <w:rPr>
                <w:rFonts w:hint="eastAsia" w:asciiTheme="minorEastAsia" w:hAnsiTheme="minorEastAsia"/>
                <w:sz w:val="28"/>
                <w:szCs w:val="28"/>
                <w:highlight w:val="none"/>
              </w:rPr>
              <w:t>55</w:t>
            </w:r>
          </w:p>
        </w:tc>
        <w:tc>
          <w:tcPr>
            <w:tcW w:w="4616" w:type="pct"/>
            <w:gridSpan w:val="2"/>
          </w:tcPr>
          <w:p w14:paraId="019818E0">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担架安全带报警器。</w:t>
            </w:r>
          </w:p>
          <w:p w14:paraId="20C4C7E1">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★1、当患者躺上担架6秒钟内未系好安全带，报警装置会发出中文语音报警，安全带报警器待机电流：≤30μA，报警器内置锂电池，有完善的充电电路标准的USB充电端口，可以利用外部电源对锂电池充电。</w:t>
            </w:r>
          </w:p>
          <w:p w14:paraId="41DF1AAD">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2、投标人提供《担架安全带自动收缩及报警装置的专利证书》扫描件件及授权书；</w:t>
            </w:r>
          </w:p>
        </w:tc>
      </w:tr>
      <w:tr w14:paraId="6616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72789E8">
            <w:pPr>
              <w:jc w:val="center"/>
              <w:rPr>
                <w:rFonts w:asciiTheme="minorEastAsia" w:hAnsiTheme="minorEastAsia"/>
                <w:sz w:val="28"/>
                <w:szCs w:val="28"/>
                <w:highlight w:val="none"/>
              </w:rPr>
            </w:pPr>
            <w:r>
              <w:rPr>
                <w:rFonts w:hint="eastAsia" w:asciiTheme="minorEastAsia" w:hAnsiTheme="minorEastAsia"/>
                <w:sz w:val="28"/>
                <w:szCs w:val="28"/>
                <w:highlight w:val="none"/>
              </w:rPr>
              <w:t>56</w:t>
            </w:r>
          </w:p>
        </w:tc>
        <w:tc>
          <w:tcPr>
            <w:tcW w:w="4616" w:type="pct"/>
            <w:gridSpan w:val="2"/>
          </w:tcPr>
          <w:p w14:paraId="1EDBDAA9">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应装有担架平台，用以固定上车担架，并方便取用；</w:t>
            </w:r>
          </w:p>
        </w:tc>
      </w:tr>
      <w:tr w14:paraId="2AB3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2B9E268">
            <w:pPr>
              <w:jc w:val="center"/>
              <w:rPr>
                <w:rFonts w:asciiTheme="minorEastAsia" w:hAnsiTheme="minorEastAsia"/>
                <w:sz w:val="28"/>
                <w:szCs w:val="28"/>
                <w:highlight w:val="none"/>
              </w:rPr>
            </w:pPr>
            <w:r>
              <w:rPr>
                <w:rFonts w:hint="eastAsia" w:asciiTheme="minorEastAsia" w:hAnsiTheme="minorEastAsia"/>
                <w:sz w:val="28"/>
                <w:szCs w:val="28"/>
                <w:highlight w:val="none"/>
              </w:rPr>
              <w:t>57</w:t>
            </w:r>
          </w:p>
        </w:tc>
        <w:tc>
          <w:tcPr>
            <w:tcW w:w="4616" w:type="pct"/>
            <w:gridSpan w:val="2"/>
          </w:tcPr>
          <w:p w14:paraId="4E76BDE5">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医疗舱配备灭火器及固定支架；副驾驶配备灭火器及固定支架。</w:t>
            </w:r>
          </w:p>
        </w:tc>
      </w:tr>
      <w:tr w14:paraId="259A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BD7990F">
            <w:pPr>
              <w:jc w:val="center"/>
              <w:rPr>
                <w:rFonts w:asciiTheme="minorEastAsia" w:hAnsiTheme="minorEastAsia"/>
                <w:sz w:val="28"/>
                <w:szCs w:val="28"/>
                <w:highlight w:val="none"/>
              </w:rPr>
            </w:pPr>
          </w:p>
        </w:tc>
        <w:tc>
          <w:tcPr>
            <w:tcW w:w="4616" w:type="pct"/>
            <w:gridSpan w:val="2"/>
          </w:tcPr>
          <w:p w14:paraId="2C54295B">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等离子消毒机</w:t>
            </w:r>
          </w:p>
        </w:tc>
      </w:tr>
      <w:tr w14:paraId="03A5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13F78BC">
            <w:pPr>
              <w:jc w:val="center"/>
              <w:rPr>
                <w:rFonts w:asciiTheme="minorEastAsia" w:hAnsiTheme="minorEastAsia"/>
                <w:sz w:val="28"/>
                <w:szCs w:val="28"/>
                <w:highlight w:val="none"/>
              </w:rPr>
            </w:pPr>
            <w:r>
              <w:rPr>
                <w:rFonts w:hint="eastAsia" w:asciiTheme="minorEastAsia" w:hAnsiTheme="minorEastAsia"/>
                <w:sz w:val="28"/>
                <w:szCs w:val="28"/>
                <w:highlight w:val="none"/>
              </w:rPr>
              <w:t>58</w:t>
            </w:r>
          </w:p>
        </w:tc>
        <w:tc>
          <w:tcPr>
            <w:tcW w:w="4616" w:type="pct"/>
            <w:gridSpan w:val="2"/>
          </w:tcPr>
          <w:p w14:paraId="7E118339">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1、产品尺寸：≤330*210*95mm；输入电压：220V 额定功率：≤30W；</w:t>
            </w:r>
          </w:p>
          <w:p w14:paraId="04E32712">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★2、出风口可调节风向；正负离子非对称技术，产生负离子多于正离子；多余的负离子可起到吸附空气中尘埃和甲醛等有害物质。</w:t>
            </w:r>
          </w:p>
          <w:p w14:paraId="5F500698">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负离子发生量：≥10000万/CM3   (负离子产生量多于正离子)；</w:t>
            </w:r>
          </w:p>
          <w:p w14:paraId="77020DA8">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正离子发生量：≥8000万/CM3；白色葡萄球灭杀率：≥99.9%；</w:t>
            </w:r>
          </w:p>
          <w:p w14:paraId="72B0006C">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消毒面积：≥20m2；风量：≥35CFM；噪音：≤50分贝；</w:t>
            </w:r>
          </w:p>
          <w:p w14:paraId="10E6339B">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3、30分钟定时消毒，自动关闭；专用快速固定支架，可快速固定在车上</w:t>
            </w:r>
          </w:p>
          <w:p w14:paraId="5F4ACAEB">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4、提供生产厂家六年质保承诺书扫描件</w:t>
            </w:r>
          </w:p>
        </w:tc>
      </w:tr>
      <w:tr w14:paraId="0156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2596B49">
            <w:pPr>
              <w:jc w:val="center"/>
              <w:rPr>
                <w:rFonts w:asciiTheme="minorEastAsia" w:hAnsiTheme="minorEastAsia"/>
                <w:sz w:val="28"/>
                <w:szCs w:val="28"/>
                <w:highlight w:val="none"/>
              </w:rPr>
            </w:pPr>
          </w:p>
        </w:tc>
        <w:tc>
          <w:tcPr>
            <w:tcW w:w="4616" w:type="pct"/>
            <w:gridSpan w:val="2"/>
          </w:tcPr>
          <w:p w14:paraId="75612AB5">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随车附件</w:t>
            </w:r>
          </w:p>
        </w:tc>
      </w:tr>
      <w:tr w14:paraId="420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83" w:type="pct"/>
            <w:vAlign w:val="center"/>
          </w:tcPr>
          <w:p w14:paraId="2F13DE0E">
            <w:pPr>
              <w:jc w:val="center"/>
              <w:rPr>
                <w:rFonts w:asciiTheme="minorEastAsia" w:hAnsiTheme="minorEastAsia" w:eastAsiaTheme="minorEastAsia"/>
                <w:sz w:val="28"/>
                <w:szCs w:val="28"/>
                <w:highlight w:val="none"/>
              </w:rPr>
            </w:pPr>
            <w:r>
              <w:rPr>
                <w:rFonts w:hint="eastAsia" w:asciiTheme="minorEastAsia" w:hAnsiTheme="minorEastAsia"/>
                <w:sz w:val="28"/>
                <w:szCs w:val="28"/>
                <w:highlight w:val="none"/>
              </w:rPr>
              <w:t>59</w:t>
            </w:r>
          </w:p>
        </w:tc>
        <w:tc>
          <w:tcPr>
            <w:tcW w:w="4616" w:type="pct"/>
            <w:gridSpan w:val="2"/>
          </w:tcPr>
          <w:p w14:paraId="3627AB98">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随车附带中文的车辆使用、维修、零件目录资料、随车工具、清单；</w:t>
            </w:r>
          </w:p>
        </w:tc>
      </w:tr>
      <w:tr w14:paraId="4D8F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3525998">
            <w:pPr>
              <w:jc w:val="center"/>
              <w:rPr>
                <w:rFonts w:asciiTheme="minorEastAsia" w:hAnsiTheme="minorEastAsia"/>
                <w:sz w:val="28"/>
                <w:szCs w:val="28"/>
                <w:highlight w:val="none"/>
              </w:rPr>
            </w:pPr>
          </w:p>
        </w:tc>
        <w:tc>
          <w:tcPr>
            <w:tcW w:w="4616" w:type="pct"/>
            <w:gridSpan w:val="2"/>
          </w:tcPr>
          <w:p w14:paraId="4E906BD1">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技术文件</w:t>
            </w:r>
          </w:p>
        </w:tc>
      </w:tr>
      <w:tr w14:paraId="4E5F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47BAD019">
            <w:pPr>
              <w:jc w:val="center"/>
              <w:rPr>
                <w:rFonts w:asciiTheme="minorEastAsia" w:hAnsiTheme="minorEastAsia" w:eastAsiaTheme="minorEastAsia"/>
                <w:sz w:val="28"/>
                <w:szCs w:val="28"/>
                <w:highlight w:val="none"/>
              </w:rPr>
            </w:pPr>
            <w:r>
              <w:rPr>
                <w:rFonts w:hint="eastAsia" w:asciiTheme="minorEastAsia" w:hAnsiTheme="minorEastAsia"/>
                <w:sz w:val="28"/>
                <w:szCs w:val="28"/>
                <w:highlight w:val="none"/>
              </w:rPr>
              <w:t>60</w:t>
            </w:r>
          </w:p>
        </w:tc>
        <w:tc>
          <w:tcPr>
            <w:tcW w:w="4616" w:type="pct"/>
            <w:gridSpan w:val="2"/>
          </w:tcPr>
          <w:p w14:paraId="0E13DA2B">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提供急救车医疗舱总布置图、设计草图、车内医疗设备配置图等技术资料和图片；</w:t>
            </w:r>
          </w:p>
        </w:tc>
      </w:tr>
      <w:tr w14:paraId="6666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E312ACA">
            <w:pPr>
              <w:jc w:val="center"/>
              <w:rPr>
                <w:rFonts w:asciiTheme="minorEastAsia" w:hAnsiTheme="minorEastAsia"/>
                <w:sz w:val="28"/>
                <w:szCs w:val="28"/>
                <w:highlight w:val="none"/>
              </w:rPr>
            </w:pPr>
          </w:p>
        </w:tc>
        <w:tc>
          <w:tcPr>
            <w:tcW w:w="4616" w:type="pct"/>
            <w:gridSpan w:val="2"/>
          </w:tcPr>
          <w:p w14:paraId="2BCF02F7">
            <w:pPr>
              <w:pStyle w:val="2"/>
              <w:ind w:left="63" w:right="420" w:right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售后服务</w:t>
            </w:r>
          </w:p>
        </w:tc>
      </w:tr>
      <w:tr w14:paraId="1980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31F66A2">
            <w:pPr>
              <w:jc w:val="center"/>
              <w:rPr>
                <w:rFonts w:asciiTheme="minorEastAsia" w:hAnsiTheme="minorEastAsia" w:eastAsiaTheme="minorEastAsia"/>
                <w:sz w:val="28"/>
                <w:szCs w:val="28"/>
                <w:highlight w:val="none"/>
              </w:rPr>
            </w:pPr>
            <w:r>
              <w:rPr>
                <w:rFonts w:hint="eastAsia" w:asciiTheme="minorEastAsia" w:hAnsiTheme="minorEastAsia"/>
                <w:sz w:val="28"/>
                <w:szCs w:val="28"/>
                <w:highlight w:val="none"/>
              </w:rPr>
              <w:t>61</w:t>
            </w:r>
          </w:p>
        </w:tc>
        <w:tc>
          <w:tcPr>
            <w:tcW w:w="4616" w:type="pct"/>
            <w:gridSpan w:val="2"/>
          </w:tcPr>
          <w:p w14:paraId="1138CDA4">
            <w:pPr>
              <w:pStyle w:val="2"/>
              <w:ind w:left="63" w:right="420" w:right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底盘车辆质量保证期应不低于3年或6万公里以上行驶里程，改装部分质量保证期1年，电梯担架质量保证期1年，氧气瓶质量保证期3年。</w:t>
            </w:r>
          </w:p>
        </w:tc>
      </w:tr>
      <w:tr w14:paraId="54ED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B2C3C21">
            <w:pPr>
              <w:jc w:val="center"/>
              <w:rPr>
                <w:rFonts w:asciiTheme="minorEastAsia" w:hAnsiTheme="minorEastAsia" w:eastAsiaTheme="minorEastAsia"/>
                <w:sz w:val="28"/>
                <w:szCs w:val="28"/>
                <w:highlight w:val="none"/>
              </w:rPr>
            </w:pPr>
            <w:r>
              <w:rPr>
                <w:rFonts w:hint="eastAsia" w:asciiTheme="minorEastAsia" w:hAnsiTheme="minorEastAsia"/>
                <w:sz w:val="28"/>
                <w:szCs w:val="28"/>
                <w:highlight w:val="none"/>
              </w:rPr>
              <w:t>62</w:t>
            </w:r>
          </w:p>
        </w:tc>
        <w:tc>
          <w:tcPr>
            <w:tcW w:w="4616" w:type="pct"/>
            <w:gridSpan w:val="2"/>
          </w:tcPr>
          <w:p w14:paraId="2879CF78">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车辆交付使用后，在质量保证期内如有零、部件损坏，卖方应免费更换。质保期内非甲方人为因素出现的质量问题，乙方须在接到甲方通知后立即响应，并要求不超过12小时内派人进行免费维修、免费更换有缺陷的零部件、直至免费更换新设备。因设备本身问题在48小时之内仍不能排除的故障，乙方应提供与原设备相同或不低于原设备档次的备用设备。故障排除后乙方应出具书面故障诊断报告备案；</w:t>
            </w:r>
          </w:p>
        </w:tc>
      </w:tr>
      <w:tr w14:paraId="5589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CAC6DE1">
            <w:pPr>
              <w:jc w:val="center"/>
              <w:rPr>
                <w:rFonts w:asciiTheme="minorEastAsia" w:hAnsiTheme="minorEastAsia" w:eastAsiaTheme="minorEastAsia"/>
                <w:sz w:val="28"/>
                <w:szCs w:val="28"/>
                <w:highlight w:val="none"/>
              </w:rPr>
            </w:pPr>
            <w:r>
              <w:rPr>
                <w:rFonts w:hint="eastAsia" w:asciiTheme="minorEastAsia" w:hAnsiTheme="minorEastAsia"/>
                <w:sz w:val="28"/>
                <w:szCs w:val="28"/>
                <w:highlight w:val="none"/>
              </w:rPr>
              <w:t>63</w:t>
            </w:r>
          </w:p>
        </w:tc>
        <w:tc>
          <w:tcPr>
            <w:tcW w:w="4616" w:type="pct"/>
            <w:gridSpan w:val="2"/>
          </w:tcPr>
          <w:p w14:paraId="1FF13A94">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卖方设有技术服务机构及有经验的技术人员，有备件库，能够提供技术支持和培训等；</w:t>
            </w:r>
          </w:p>
        </w:tc>
      </w:tr>
      <w:tr w14:paraId="6F1D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0286B2F4">
            <w:pPr>
              <w:jc w:val="center"/>
              <w:rPr>
                <w:rFonts w:asciiTheme="minorEastAsia" w:hAnsiTheme="minorEastAsia" w:eastAsiaTheme="minorEastAsia"/>
                <w:sz w:val="28"/>
                <w:szCs w:val="28"/>
                <w:highlight w:val="none"/>
              </w:rPr>
            </w:pPr>
            <w:r>
              <w:rPr>
                <w:rFonts w:hint="eastAsia" w:asciiTheme="minorEastAsia" w:hAnsiTheme="minorEastAsia"/>
                <w:sz w:val="28"/>
                <w:szCs w:val="28"/>
                <w:highlight w:val="none"/>
              </w:rPr>
              <w:t>64</w:t>
            </w:r>
          </w:p>
        </w:tc>
        <w:tc>
          <w:tcPr>
            <w:tcW w:w="4616" w:type="pct"/>
            <w:gridSpan w:val="2"/>
          </w:tcPr>
          <w:p w14:paraId="3E75DFB0">
            <w:pPr>
              <w:pStyle w:val="2"/>
              <w:ind w:left="63" w:right="63"/>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投标人应提供有关其产品专业的售后服务（维修站）的信息，包括售后服务机构名称、建立时间、工程师的数量、联系人和联系方式；</w:t>
            </w:r>
          </w:p>
        </w:tc>
      </w:tr>
    </w:tbl>
    <w:p w14:paraId="6C22F0C5">
      <w:pPr>
        <w:adjustRightInd w:val="0"/>
        <w:snapToGrid w:val="0"/>
        <w:spacing w:line="360" w:lineRule="auto"/>
        <w:rPr>
          <w:rFonts w:cs="宋体"/>
          <w:b/>
          <w:bCs/>
          <w:color w:val="000000" w:themeColor="text1"/>
          <w:sz w:val="32"/>
          <w:szCs w:val="32"/>
          <w:highlight w:val="none"/>
        </w:rPr>
      </w:pPr>
    </w:p>
    <w:p w14:paraId="5815612C">
      <w:pPr>
        <w:adjustRightInd w:val="0"/>
        <w:snapToGrid w:val="0"/>
        <w:spacing w:line="360" w:lineRule="auto"/>
        <w:rPr>
          <w:rFonts w:ascii="宋体" w:hAnsi="宋体" w:cs="宋体" w:eastAsiaTheme="minorEastAsia"/>
          <w:color w:val="000000" w:themeColor="text1"/>
          <w:sz w:val="24"/>
          <w:highlight w:val="none"/>
        </w:rPr>
      </w:pPr>
      <w:r>
        <w:rPr>
          <w:rFonts w:hint="eastAsia" w:asciiTheme="minorEastAsia" w:hAnsiTheme="minorEastAsia" w:eastAsiaTheme="minorEastAsia"/>
          <w:sz w:val="28"/>
          <w:szCs w:val="28"/>
          <w:highlight w:val="none"/>
        </w:rPr>
        <w:t>注：“★”项技术参数不得出现负偏离，否则按无效标处理。</w:t>
      </w:r>
    </w:p>
    <w:p w14:paraId="00F3F770">
      <w:pPr>
        <w:rPr>
          <w:rFonts w:ascii="宋体" w:hAnsi="宋体"/>
          <w:b/>
          <w:color w:val="000000" w:themeColor="text1"/>
          <w:sz w:val="32"/>
          <w:szCs w:val="32"/>
          <w:highlight w:val="none"/>
        </w:rPr>
      </w:pPr>
      <w:r>
        <w:rPr>
          <w:rFonts w:hint="eastAsia" w:ascii="宋体" w:hAnsi="宋体"/>
          <w:b/>
          <w:color w:val="000000" w:themeColor="text1"/>
          <w:sz w:val="32"/>
          <w:szCs w:val="32"/>
          <w:highlight w:val="none"/>
        </w:rPr>
        <w:br w:type="page"/>
      </w:r>
    </w:p>
    <w:p w14:paraId="16DCCA56">
      <w:pPr>
        <w:pStyle w:val="3"/>
        <w:numPr>
          <w:ilvl w:val="0"/>
          <w:numId w:val="0"/>
        </w:numPr>
        <w:jc w:val="both"/>
        <w:rPr>
          <w:color w:val="000000" w:themeColor="text1"/>
          <w:highlight w:val="none"/>
        </w:rPr>
      </w:pPr>
      <w:bookmarkStart w:id="46" w:name="_Toc589"/>
    </w:p>
    <w:p w14:paraId="2EA2F586">
      <w:pPr>
        <w:pStyle w:val="3"/>
        <w:numPr>
          <w:ilvl w:val="0"/>
          <w:numId w:val="0"/>
        </w:numPr>
        <w:jc w:val="both"/>
        <w:rPr>
          <w:color w:val="000000" w:themeColor="text1"/>
          <w:highlight w:val="none"/>
        </w:rPr>
      </w:pPr>
    </w:p>
    <w:p w14:paraId="727351DF">
      <w:pPr>
        <w:pStyle w:val="3"/>
        <w:numPr>
          <w:ilvl w:val="0"/>
          <w:numId w:val="0"/>
        </w:numPr>
        <w:jc w:val="both"/>
        <w:rPr>
          <w:color w:val="000000" w:themeColor="text1"/>
          <w:highlight w:val="none"/>
        </w:rPr>
      </w:pPr>
    </w:p>
    <w:p w14:paraId="5BDB5C4E">
      <w:pPr>
        <w:pStyle w:val="3"/>
        <w:numPr>
          <w:ilvl w:val="0"/>
          <w:numId w:val="0"/>
        </w:numPr>
        <w:jc w:val="both"/>
        <w:rPr>
          <w:color w:val="000000" w:themeColor="text1"/>
          <w:highlight w:val="none"/>
        </w:rPr>
      </w:pPr>
    </w:p>
    <w:p w14:paraId="5E7F2BAE">
      <w:pPr>
        <w:pStyle w:val="3"/>
        <w:numPr>
          <w:ilvl w:val="0"/>
          <w:numId w:val="0"/>
        </w:numPr>
        <w:jc w:val="both"/>
        <w:rPr>
          <w:color w:val="000000" w:themeColor="text1"/>
          <w:highlight w:val="none"/>
        </w:rPr>
      </w:pPr>
    </w:p>
    <w:p w14:paraId="36B9BF1D">
      <w:pPr>
        <w:pStyle w:val="3"/>
        <w:numPr>
          <w:ilvl w:val="0"/>
          <w:numId w:val="0"/>
        </w:numPr>
        <w:rPr>
          <w:color w:val="000000" w:themeColor="text1"/>
          <w:highlight w:val="none"/>
        </w:rPr>
      </w:pPr>
      <w:r>
        <w:rPr>
          <w:rFonts w:hint="eastAsia"/>
          <w:color w:val="000000" w:themeColor="text1"/>
          <w:highlight w:val="none"/>
        </w:rPr>
        <w:t>第五章响应文件格式</w:t>
      </w:r>
      <w:bookmarkEnd w:id="46"/>
    </w:p>
    <w:p w14:paraId="6D667E23">
      <w:pPr>
        <w:jc w:val="center"/>
        <w:rPr>
          <w:rFonts w:ascii="黑体" w:eastAsia="黑体"/>
          <w:color w:val="000000" w:themeColor="text1"/>
          <w:sz w:val="32"/>
          <w:szCs w:val="32"/>
          <w:highlight w:val="none"/>
        </w:rPr>
      </w:pPr>
      <w:r>
        <w:rPr>
          <w:rFonts w:ascii="宋体" w:hAnsi="宋体"/>
          <w:color w:val="000000" w:themeColor="text1"/>
          <w:sz w:val="32"/>
          <w:szCs w:val="32"/>
          <w:highlight w:val="none"/>
        </w:rPr>
        <w:br w:type="page"/>
      </w:r>
    </w:p>
    <w:p w14:paraId="29AF1777">
      <w:pPr>
        <w:jc w:val="center"/>
        <w:rPr>
          <w:rFonts w:ascii="黑体" w:eastAsia="黑体"/>
          <w:color w:val="000000" w:themeColor="text1"/>
          <w:sz w:val="32"/>
          <w:szCs w:val="32"/>
          <w:highlight w:val="none"/>
        </w:rPr>
      </w:pPr>
    </w:p>
    <w:p w14:paraId="097CE779">
      <w:pPr>
        <w:jc w:val="center"/>
        <w:rPr>
          <w:rFonts w:ascii="黑体" w:eastAsia="黑体"/>
          <w:color w:val="000000" w:themeColor="text1"/>
          <w:sz w:val="32"/>
          <w:szCs w:val="32"/>
          <w:highlight w:val="none"/>
        </w:rPr>
      </w:pPr>
    </w:p>
    <w:p w14:paraId="02F19B8B">
      <w:pPr>
        <w:jc w:val="center"/>
        <w:rPr>
          <w:rFonts w:ascii="黑体" w:eastAsia="黑体"/>
          <w:color w:val="000000" w:themeColor="text1"/>
          <w:sz w:val="32"/>
          <w:szCs w:val="32"/>
          <w:highlight w:val="none"/>
        </w:rPr>
      </w:pPr>
    </w:p>
    <w:p w14:paraId="396802A0">
      <w:pPr>
        <w:jc w:val="center"/>
        <w:rPr>
          <w:rFonts w:ascii="黑体" w:eastAsia="黑体"/>
          <w:color w:val="000000" w:themeColor="text1"/>
          <w:sz w:val="28"/>
          <w:szCs w:val="28"/>
          <w:highlight w:val="none"/>
        </w:rPr>
      </w:pPr>
      <w:r>
        <w:rPr>
          <w:rFonts w:hint="eastAsia" w:ascii="宋体" w:hAnsi="宋体"/>
          <w:color w:val="000000" w:themeColor="text1"/>
          <w:sz w:val="28"/>
          <w:szCs w:val="28"/>
          <w:highlight w:val="none"/>
          <w:u w:val="single"/>
        </w:rPr>
        <w:t xml:space="preserve">                                 （项目名称） </w:t>
      </w:r>
    </w:p>
    <w:p w14:paraId="4876AAAF">
      <w:pPr>
        <w:spacing w:before="240" w:beforeLines="100"/>
        <w:jc w:val="center"/>
        <w:rPr>
          <w:rFonts w:ascii="黑体" w:eastAsia="黑体"/>
          <w:color w:val="000000" w:themeColor="text1"/>
          <w:sz w:val="44"/>
          <w:szCs w:val="44"/>
          <w:highlight w:val="none"/>
        </w:rPr>
      </w:pPr>
    </w:p>
    <w:p w14:paraId="5A1F53D5">
      <w:pPr>
        <w:wordWrap w:val="0"/>
        <w:spacing w:before="240" w:beforeLines="100"/>
        <w:jc w:val="right"/>
        <w:rPr>
          <w:rFonts w:ascii="黑体" w:eastAsia="黑体"/>
          <w:color w:val="000000" w:themeColor="text1"/>
          <w:sz w:val="44"/>
          <w:szCs w:val="44"/>
          <w:highlight w:val="none"/>
        </w:rPr>
      </w:pPr>
      <w:r>
        <w:rPr>
          <w:rFonts w:hint="eastAsia" w:ascii="宋体" w:hAnsi="宋体"/>
          <w:color w:val="000000" w:themeColor="text1"/>
          <w:sz w:val="28"/>
          <w:szCs w:val="28"/>
          <w:highlight w:val="none"/>
        </w:rPr>
        <w:t xml:space="preserve">正（副）本   </w:t>
      </w:r>
    </w:p>
    <w:p w14:paraId="080D5DF2">
      <w:pPr>
        <w:spacing w:before="240" w:beforeLines="100"/>
        <w:jc w:val="center"/>
        <w:rPr>
          <w:rFonts w:ascii="黑体" w:eastAsia="黑体"/>
          <w:color w:val="000000" w:themeColor="text1"/>
          <w:sz w:val="44"/>
          <w:szCs w:val="44"/>
          <w:highlight w:val="none"/>
        </w:rPr>
      </w:pPr>
    </w:p>
    <w:p w14:paraId="01C9E2DC">
      <w:pPr>
        <w:spacing w:before="240" w:beforeLines="100"/>
        <w:jc w:val="center"/>
        <w:rPr>
          <w:rFonts w:ascii="黑体" w:eastAsia="黑体"/>
          <w:color w:val="000000" w:themeColor="text1"/>
          <w:sz w:val="44"/>
          <w:szCs w:val="44"/>
          <w:highlight w:val="none"/>
        </w:rPr>
      </w:pPr>
      <w:r>
        <w:rPr>
          <w:rFonts w:hint="eastAsia" w:ascii="黑体" w:eastAsia="黑体"/>
          <w:color w:val="000000" w:themeColor="text1"/>
          <w:sz w:val="44"/>
          <w:szCs w:val="44"/>
          <w:highlight w:val="none"/>
        </w:rPr>
        <w:t>响  应  文  件</w:t>
      </w:r>
    </w:p>
    <w:p w14:paraId="46131A9A">
      <w:pPr>
        <w:jc w:val="center"/>
        <w:rPr>
          <w:rFonts w:ascii="黑体" w:eastAsia="黑体"/>
          <w:color w:val="000000" w:themeColor="text1"/>
          <w:sz w:val="32"/>
          <w:szCs w:val="32"/>
          <w:highlight w:val="none"/>
        </w:rPr>
      </w:pPr>
    </w:p>
    <w:p w14:paraId="7B442600">
      <w:pPr>
        <w:jc w:val="center"/>
        <w:rPr>
          <w:rFonts w:ascii="黑体" w:eastAsia="黑体"/>
          <w:color w:val="000000" w:themeColor="text1"/>
          <w:sz w:val="32"/>
          <w:szCs w:val="32"/>
          <w:highlight w:val="none"/>
        </w:rPr>
      </w:pPr>
    </w:p>
    <w:p w14:paraId="0755BDB4">
      <w:pPr>
        <w:jc w:val="center"/>
        <w:rPr>
          <w:rFonts w:ascii="黑体" w:eastAsia="黑体"/>
          <w:color w:val="000000" w:themeColor="text1"/>
          <w:sz w:val="32"/>
          <w:szCs w:val="32"/>
          <w:highlight w:val="none"/>
        </w:rPr>
      </w:pPr>
      <w:r>
        <w:rPr>
          <w:rFonts w:hint="eastAsia" w:ascii="黑体" w:eastAsia="黑体"/>
          <w:color w:val="000000" w:themeColor="text1"/>
          <w:sz w:val="32"/>
          <w:szCs w:val="32"/>
          <w:highlight w:val="none"/>
        </w:rPr>
        <w:t>项目编号：</w:t>
      </w:r>
    </w:p>
    <w:p w14:paraId="2C9B8869">
      <w:pPr>
        <w:jc w:val="center"/>
        <w:rPr>
          <w:rFonts w:ascii="黑体" w:eastAsia="黑体"/>
          <w:color w:val="000000" w:themeColor="text1"/>
          <w:sz w:val="32"/>
          <w:szCs w:val="32"/>
          <w:highlight w:val="none"/>
        </w:rPr>
      </w:pPr>
    </w:p>
    <w:p w14:paraId="02E04B8E">
      <w:pPr>
        <w:jc w:val="center"/>
        <w:rPr>
          <w:rFonts w:ascii="黑体" w:eastAsia="黑体"/>
          <w:color w:val="000000" w:themeColor="text1"/>
          <w:sz w:val="32"/>
          <w:szCs w:val="32"/>
          <w:highlight w:val="none"/>
        </w:rPr>
      </w:pPr>
    </w:p>
    <w:p w14:paraId="6080E7FF">
      <w:pPr>
        <w:jc w:val="center"/>
        <w:rPr>
          <w:rFonts w:ascii="黑体" w:eastAsia="黑体"/>
          <w:color w:val="000000" w:themeColor="text1"/>
          <w:sz w:val="32"/>
          <w:szCs w:val="32"/>
          <w:highlight w:val="none"/>
        </w:rPr>
      </w:pPr>
    </w:p>
    <w:p w14:paraId="4E410425">
      <w:pPr>
        <w:jc w:val="center"/>
        <w:rPr>
          <w:rFonts w:ascii="黑体" w:eastAsia="黑体"/>
          <w:color w:val="000000" w:themeColor="text1"/>
          <w:sz w:val="32"/>
          <w:szCs w:val="32"/>
          <w:highlight w:val="none"/>
        </w:rPr>
      </w:pPr>
    </w:p>
    <w:p w14:paraId="4EFE77AA">
      <w:pPr>
        <w:jc w:val="center"/>
        <w:rPr>
          <w:rFonts w:ascii="黑体" w:eastAsia="黑体"/>
          <w:color w:val="000000" w:themeColor="text1"/>
          <w:sz w:val="32"/>
          <w:szCs w:val="32"/>
          <w:highlight w:val="none"/>
        </w:rPr>
      </w:pPr>
    </w:p>
    <w:p w14:paraId="4305EB04">
      <w:pPr>
        <w:jc w:val="center"/>
        <w:rPr>
          <w:rFonts w:ascii="黑体" w:eastAsia="黑体"/>
          <w:color w:val="000000" w:themeColor="text1"/>
          <w:sz w:val="32"/>
          <w:szCs w:val="32"/>
          <w:highlight w:val="none"/>
        </w:rPr>
      </w:pPr>
    </w:p>
    <w:p w14:paraId="0BFF3F6A">
      <w:pPr>
        <w:jc w:val="center"/>
        <w:rPr>
          <w:rFonts w:ascii="黑体" w:eastAsia="黑体"/>
          <w:color w:val="000000" w:themeColor="text1"/>
          <w:sz w:val="32"/>
          <w:szCs w:val="32"/>
          <w:highlight w:val="none"/>
        </w:rPr>
      </w:pPr>
    </w:p>
    <w:p w14:paraId="699BDC62">
      <w:pPr>
        <w:jc w:val="center"/>
        <w:rPr>
          <w:rFonts w:ascii="黑体" w:eastAsia="黑体"/>
          <w:color w:val="000000" w:themeColor="text1"/>
          <w:sz w:val="32"/>
          <w:szCs w:val="32"/>
          <w:highlight w:val="none"/>
        </w:rPr>
      </w:pPr>
    </w:p>
    <w:p w14:paraId="4F43F6DC">
      <w:pPr>
        <w:jc w:val="center"/>
        <w:rPr>
          <w:rFonts w:ascii="黑体" w:eastAsia="黑体"/>
          <w:color w:val="000000" w:themeColor="text1"/>
          <w:sz w:val="32"/>
          <w:szCs w:val="32"/>
          <w:highlight w:val="none"/>
        </w:rPr>
      </w:pPr>
    </w:p>
    <w:p w14:paraId="0980EE5C">
      <w:pPr>
        <w:jc w:val="center"/>
        <w:rPr>
          <w:rFonts w:ascii="黑体" w:eastAsia="黑体"/>
          <w:color w:val="000000" w:themeColor="text1"/>
          <w:sz w:val="32"/>
          <w:szCs w:val="32"/>
          <w:highlight w:val="none"/>
        </w:rPr>
      </w:pPr>
    </w:p>
    <w:p w14:paraId="4DAD71B2">
      <w:pPr>
        <w:jc w:val="center"/>
        <w:rPr>
          <w:rFonts w:ascii="黑体" w:eastAsia="黑体"/>
          <w:color w:val="000000" w:themeColor="text1"/>
          <w:sz w:val="32"/>
          <w:szCs w:val="32"/>
          <w:highlight w:val="none"/>
        </w:rPr>
      </w:pPr>
    </w:p>
    <w:p w14:paraId="7C50BBBA">
      <w:pPr>
        <w:spacing w:line="480" w:lineRule="auto"/>
        <w:ind w:firstLine="2100" w:firstLineChars="750"/>
        <w:rPr>
          <w:rFonts w:ascii="黑体" w:eastAsia="黑体"/>
          <w:color w:val="000000" w:themeColor="text1"/>
          <w:sz w:val="28"/>
          <w:szCs w:val="28"/>
          <w:highlight w:val="none"/>
        </w:rPr>
      </w:pPr>
      <w:r>
        <w:rPr>
          <w:rFonts w:hint="eastAsia" w:ascii="黑体" w:eastAsia="黑体"/>
          <w:color w:val="000000" w:themeColor="text1"/>
          <w:sz w:val="28"/>
          <w:szCs w:val="28"/>
          <w:highlight w:val="none"/>
        </w:rPr>
        <w:t>供应商：（盖单位章）</w:t>
      </w:r>
    </w:p>
    <w:p w14:paraId="10501649">
      <w:pPr>
        <w:spacing w:line="480" w:lineRule="auto"/>
        <w:jc w:val="center"/>
        <w:rPr>
          <w:rFonts w:ascii="黑体" w:eastAsia="黑体"/>
          <w:color w:val="000000" w:themeColor="text1"/>
          <w:sz w:val="28"/>
          <w:szCs w:val="28"/>
          <w:highlight w:val="none"/>
        </w:rPr>
      </w:pPr>
      <w:r>
        <w:rPr>
          <w:rFonts w:hint="eastAsia" w:ascii="黑体" w:eastAsia="黑体"/>
          <w:color w:val="000000" w:themeColor="text1"/>
          <w:sz w:val="28"/>
          <w:szCs w:val="28"/>
          <w:highlight w:val="none"/>
        </w:rPr>
        <w:t xml:space="preserve">  法定代表人或其委托代理人：（签字）</w:t>
      </w:r>
    </w:p>
    <w:p w14:paraId="472CFE34">
      <w:pPr>
        <w:jc w:val="center"/>
        <w:rPr>
          <w:rFonts w:ascii="黑体" w:eastAsia="黑体"/>
          <w:color w:val="000000" w:themeColor="text1"/>
          <w:sz w:val="28"/>
          <w:szCs w:val="28"/>
          <w:highlight w:val="none"/>
        </w:rPr>
      </w:pPr>
    </w:p>
    <w:p w14:paraId="2798CDC9">
      <w:pPr>
        <w:jc w:val="center"/>
        <w:rPr>
          <w:rFonts w:ascii="黑体" w:eastAsia="黑体"/>
          <w:color w:val="000000" w:themeColor="text1"/>
          <w:sz w:val="28"/>
          <w:szCs w:val="28"/>
          <w:highlight w:val="none"/>
        </w:rPr>
      </w:pPr>
    </w:p>
    <w:p w14:paraId="1D191842">
      <w:pPr>
        <w:jc w:val="center"/>
        <w:rPr>
          <w:rFonts w:ascii="黑体" w:eastAsia="黑体"/>
          <w:color w:val="000000" w:themeColor="text1"/>
          <w:sz w:val="28"/>
          <w:szCs w:val="28"/>
          <w:highlight w:val="none"/>
        </w:rPr>
      </w:pPr>
      <w:r>
        <w:rPr>
          <w:rFonts w:hint="eastAsia" w:ascii="黑体" w:eastAsia="黑体"/>
          <w:color w:val="000000" w:themeColor="text1"/>
          <w:sz w:val="28"/>
          <w:szCs w:val="28"/>
          <w:highlight w:val="none"/>
        </w:rPr>
        <w:t>年  月  日</w:t>
      </w:r>
    </w:p>
    <w:p w14:paraId="3D6E31FD">
      <w:pPr>
        <w:jc w:val="center"/>
        <w:rPr>
          <w:rFonts w:ascii="宋体" w:hAnsi="宋体"/>
          <w:color w:val="000000" w:themeColor="text1"/>
          <w:sz w:val="28"/>
          <w:szCs w:val="28"/>
          <w:highlight w:val="none"/>
        </w:rPr>
      </w:pPr>
      <w:r>
        <w:rPr>
          <w:rFonts w:ascii="黑体" w:eastAsia="黑体"/>
          <w:color w:val="000000" w:themeColor="text1"/>
          <w:sz w:val="28"/>
          <w:szCs w:val="28"/>
          <w:highlight w:val="none"/>
        </w:rPr>
        <w:br w:type="page"/>
      </w:r>
      <w:r>
        <w:rPr>
          <w:rFonts w:hint="eastAsia" w:ascii="宋体" w:hAnsi="宋体"/>
          <w:color w:val="000000" w:themeColor="text1"/>
          <w:sz w:val="28"/>
          <w:szCs w:val="28"/>
          <w:highlight w:val="none"/>
        </w:rPr>
        <w:t>目    录</w:t>
      </w:r>
    </w:p>
    <w:p w14:paraId="0AE4CB39">
      <w:pPr>
        <w:tabs>
          <w:tab w:val="left" w:pos="420"/>
        </w:tabs>
        <w:spacing w:line="600" w:lineRule="exact"/>
        <w:ind w:left="420" w:leftChars="200"/>
        <w:rPr>
          <w:rFonts w:ascii="宋体" w:hAnsi="宋体"/>
          <w:color w:val="000000" w:themeColor="text1"/>
          <w:szCs w:val="21"/>
          <w:highlight w:val="none"/>
        </w:rPr>
      </w:pPr>
      <w:r>
        <w:rPr>
          <w:rFonts w:ascii="宋体" w:hAnsi="宋体"/>
          <w:color w:val="000000" w:themeColor="text1"/>
          <w:szCs w:val="21"/>
          <w:highlight w:val="none"/>
        </w:rPr>
        <w:t>一、</w:t>
      </w:r>
      <w:r>
        <w:rPr>
          <w:rFonts w:hint="eastAsia" w:ascii="宋体" w:hAnsi="宋体"/>
          <w:color w:val="000000" w:themeColor="text1"/>
          <w:szCs w:val="21"/>
          <w:highlight w:val="none"/>
        </w:rPr>
        <w:t>磋商函</w:t>
      </w:r>
    </w:p>
    <w:p w14:paraId="5DCAF675">
      <w:pPr>
        <w:tabs>
          <w:tab w:val="left" w:pos="420"/>
        </w:tabs>
        <w:spacing w:line="600" w:lineRule="exact"/>
        <w:ind w:left="420" w:leftChars="200"/>
        <w:rPr>
          <w:rFonts w:ascii="宋体" w:hAnsi="宋体"/>
          <w:color w:val="000000" w:themeColor="text1"/>
          <w:szCs w:val="21"/>
          <w:highlight w:val="none"/>
        </w:rPr>
      </w:pPr>
      <w:r>
        <w:rPr>
          <w:rFonts w:ascii="宋体" w:hAnsi="宋体"/>
          <w:color w:val="000000" w:themeColor="text1"/>
          <w:szCs w:val="21"/>
          <w:highlight w:val="none"/>
        </w:rPr>
        <w:t>二、</w:t>
      </w:r>
      <w:r>
        <w:rPr>
          <w:rFonts w:hint="eastAsia" w:ascii="宋体" w:hAnsi="宋体"/>
          <w:color w:val="000000" w:themeColor="text1"/>
          <w:szCs w:val="21"/>
          <w:highlight w:val="none"/>
        </w:rPr>
        <w:t>法定代表人资格证明</w:t>
      </w:r>
    </w:p>
    <w:p w14:paraId="4DA6F00F">
      <w:pPr>
        <w:tabs>
          <w:tab w:val="left" w:pos="420"/>
        </w:tabs>
        <w:spacing w:line="600" w:lineRule="exact"/>
        <w:ind w:left="420" w:leftChars="200"/>
        <w:rPr>
          <w:rFonts w:ascii="宋体" w:hAnsi="宋体"/>
          <w:color w:val="000000" w:themeColor="text1"/>
          <w:szCs w:val="21"/>
          <w:highlight w:val="none"/>
        </w:rPr>
      </w:pPr>
      <w:r>
        <w:rPr>
          <w:rFonts w:ascii="宋体" w:hAnsi="宋体"/>
          <w:color w:val="000000" w:themeColor="text1"/>
          <w:szCs w:val="21"/>
          <w:highlight w:val="none"/>
        </w:rPr>
        <w:t>三、授权委托书</w:t>
      </w:r>
    </w:p>
    <w:p w14:paraId="5F46541F">
      <w:pPr>
        <w:tabs>
          <w:tab w:val="left" w:pos="420"/>
        </w:tabs>
        <w:spacing w:line="600" w:lineRule="exact"/>
        <w:ind w:left="420" w:leftChars="200"/>
        <w:rPr>
          <w:rFonts w:ascii="宋体" w:hAnsi="宋体"/>
          <w:color w:val="000000" w:themeColor="text1"/>
          <w:szCs w:val="21"/>
          <w:highlight w:val="none"/>
        </w:rPr>
      </w:pPr>
      <w:r>
        <w:rPr>
          <w:rFonts w:ascii="宋体" w:hAnsi="宋体"/>
          <w:color w:val="000000" w:themeColor="text1"/>
          <w:szCs w:val="21"/>
          <w:highlight w:val="none"/>
        </w:rPr>
        <w:t>四、</w:t>
      </w:r>
      <w:r>
        <w:rPr>
          <w:rFonts w:hint="eastAsia" w:ascii="宋体" w:hAnsi="宋体"/>
          <w:color w:val="000000" w:themeColor="text1"/>
          <w:szCs w:val="21"/>
          <w:highlight w:val="none"/>
        </w:rPr>
        <w:t>报价</w:t>
      </w:r>
      <w:r>
        <w:rPr>
          <w:rFonts w:ascii="宋体" w:hAnsi="宋体"/>
          <w:color w:val="000000" w:themeColor="text1"/>
          <w:szCs w:val="21"/>
          <w:highlight w:val="none"/>
        </w:rPr>
        <w:t>一览表</w:t>
      </w:r>
    </w:p>
    <w:p w14:paraId="59F1E4C7">
      <w:pPr>
        <w:tabs>
          <w:tab w:val="left" w:pos="420"/>
        </w:tabs>
        <w:spacing w:line="600" w:lineRule="exact"/>
        <w:ind w:left="420" w:leftChars="200"/>
        <w:rPr>
          <w:rFonts w:ascii="宋体" w:hAnsi="宋体"/>
          <w:color w:val="000000" w:themeColor="text1"/>
          <w:szCs w:val="21"/>
          <w:highlight w:val="none"/>
        </w:rPr>
      </w:pPr>
      <w:r>
        <w:rPr>
          <w:rFonts w:ascii="宋体" w:hAnsi="宋体"/>
          <w:color w:val="000000" w:themeColor="text1"/>
          <w:szCs w:val="21"/>
          <w:highlight w:val="none"/>
        </w:rPr>
        <w:t>五、报价</w:t>
      </w:r>
      <w:r>
        <w:rPr>
          <w:rFonts w:hint="eastAsia" w:ascii="宋体" w:hAnsi="宋体"/>
          <w:color w:val="000000" w:themeColor="text1"/>
          <w:szCs w:val="21"/>
          <w:highlight w:val="none"/>
        </w:rPr>
        <w:t>明细</w:t>
      </w:r>
    </w:p>
    <w:p w14:paraId="5E793667">
      <w:pPr>
        <w:tabs>
          <w:tab w:val="left" w:pos="420"/>
        </w:tabs>
        <w:spacing w:line="600" w:lineRule="exact"/>
        <w:ind w:left="420" w:leftChars="200"/>
        <w:rPr>
          <w:rFonts w:ascii="宋体" w:hAnsi="宋体"/>
          <w:color w:val="000000" w:themeColor="text1"/>
          <w:szCs w:val="21"/>
          <w:highlight w:val="none"/>
        </w:rPr>
      </w:pPr>
      <w:r>
        <w:rPr>
          <w:rFonts w:ascii="宋体" w:hAnsi="宋体"/>
          <w:color w:val="000000" w:themeColor="text1"/>
          <w:szCs w:val="21"/>
          <w:highlight w:val="none"/>
        </w:rPr>
        <w:t>六、</w:t>
      </w:r>
      <w:r>
        <w:rPr>
          <w:rFonts w:hint="eastAsia" w:ascii="宋体" w:hAnsi="宋体"/>
          <w:color w:val="000000" w:themeColor="text1"/>
          <w:szCs w:val="21"/>
          <w:highlight w:val="none"/>
        </w:rPr>
        <w:t>磋商</w:t>
      </w:r>
      <w:r>
        <w:rPr>
          <w:rFonts w:ascii="宋体" w:hAnsi="宋体"/>
          <w:color w:val="000000" w:themeColor="text1"/>
          <w:szCs w:val="21"/>
          <w:highlight w:val="none"/>
        </w:rPr>
        <w:t>保证金</w:t>
      </w:r>
    </w:p>
    <w:p w14:paraId="0171CD73">
      <w:pPr>
        <w:tabs>
          <w:tab w:val="left" w:pos="420"/>
        </w:tabs>
        <w:spacing w:line="600" w:lineRule="exact"/>
        <w:ind w:left="420" w:leftChars="200"/>
        <w:rPr>
          <w:rFonts w:ascii="宋体" w:hAnsi="宋体"/>
          <w:color w:val="000000" w:themeColor="text1"/>
          <w:szCs w:val="21"/>
          <w:highlight w:val="none"/>
        </w:rPr>
      </w:pPr>
      <w:r>
        <w:rPr>
          <w:rFonts w:ascii="宋体" w:hAnsi="宋体"/>
          <w:color w:val="000000" w:themeColor="text1"/>
          <w:szCs w:val="21"/>
          <w:highlight w:val="none"/>
        </w:rPr>
        <w:t>七、资格审查资料</w:t>
      </w:r>
    </w:p>
    <w:p w14:paraId="6323FFDE">
      <w:pPr>
        <w:tabs>
          <w:tab w:val="left" w:pos="420"/>
        </w:tabs>
        <w:spacing w:line="600" w:lineRule="exact"/>
        <w:ind w:left="420" w:leftChars="200"/>
        <w:rPr>
          <w:rFonts w:ascii="宋体" w:hAnsi="宋体"/>
          <w:color w:val="000000" w:themeColor="text1"/>
          <w:szCs w:val="21"/>
          <w:highlight w:val="none"/>
        </w:rPr>
      </w:pPr>
      <w:r>
        <w:rPr>
          <w:rFonts w:hint="eastAsia" w:ascii="宋体" w:hAnsi="宋体"/>
          <w:color w:val="000000" w:themeColor="text1"/>
          <w:szCs w:val="21"/>
          <w:highlight w:val="none"/>
        </w:rPr>
        <w:t>八、技术部分</w:t>
      </w:r>
    </w:p>
    <w:p w14:paraId="2676B1AB">
      <w:pPr>
        <w:tabs>
          <w:tab w:val="left" w:pos="420"/>
        </w:tabs>
        <w:spacing w:line="600" w:lineRule="exact"/>
        <w:ind w:left="420" w:leftChars="200"/>
        <w:rPr>
          <w:rFonts w:ascii="宋体" w:hAnsi="宋体"/>
          <w:color w:val="000000" w:themeColor="text1"/>
          <w:szCs w:val="21"/>
          <w:highlight w:val="none"/>
        </w:rPr>
      </w:pPr>
      <w:r>
        <w:rPr>
          <w:rFonts w:hint="eastAsia" w:ascii="宋体" w:hAnsi="宋体"/>
          <w:color w:val="000000" w:themeColor="text1"/>
          <w:szCs w:val="21"/>
          <w:highlight w:val="none"/>
        </w:rPr>
        <w:t>九</w:t>
      </w:r>
      <w:r>
        <w:rPr>
          <w:rFonts w:ascii="宋体" w:hAnsi="宋体"/>
          <w:color w:val="000000" w:themeColor="text1"/>
          <w:szCs w:val="21"/>
          <w:highlight w:val="none"/>
        </w:rPr>
        <w:t>、其他资料</w:t>
      </w:r>
    </w:p>
    <w:p w14:paraId="276B0EEF">
      <w:pPr>
        <w:tabs>
          <w:tab w:val="left" w:pos="420"/>
        </w:tabs>
        <w:spacing w:line="600" w:lineRule="exact"/>
        <w:ind w:left="420" w:leftChars="200"/>
        <w:rPr>
          <w:rFonts w:ascii="宋体" w:hAnsi="宋体"/>
          <w:color w:val="000000" w:themeColor="text1"/>
          <w:szCs w:val="21"/>
          <w:highlight w:val="none"/>
        </w:rPr>
      </w:pPr>
    </w:p>
    <w:p w14:paraId="6933498C">
      <w:pPr>
        <w:spacing w:line="480" w:lineRule="auto"/>
        <w:jc w:val="center"/>
        <w:rPr>
          <w:b/>
          <w:color w:val="000000" w:themeColor="text1"/>
          <w:sz w:val="32"/>
          <w:szCs w:val="32"/>
          <w:highlight w:val="none"/>
        </w:rPr>
      </w:pPr>
      <w:r>
        <w:rPr>
          <w:rFonts w:ascii="宋体" w:hAnsi="宋体"/>
          <w:color w:val="000000" w:themeColor="text1"/>
          <w:szCs w:val="21"/>
          <w:highlight w:val="none"/>
        </w:rPr>
        <w:br w:type="page"/>
      </w:r>
      <w:r>
        <w:rPr>
          <w:rFonts w:hint="eastAsia" w:ascii="宋体" w:hAnsi="宋体"/>
          <w:b/>
          <w:color w:val="000000" w:themeColor="text1"/>
          <w:sz w:val="32"/>
          <w:szCs w:val="32"/>
          <w:highlight w:val="none"/>
        </w:rPr>
        <w:t>一、</w:t>
      </w:r>
      <w:r>
        <w:rPr>
          <w:rFonts w:hint="eastAsia"/>
          <w:b/>
          <w:color w:val="000000" w:themeColor="text1"/>
          <w:sz w:val="32"/>
          <w:szCs w:val="32"/>
          <w:highlight w:val="none"/>
        </w:rPr>
        <w:t>磋商函</w:t>
      </w:r>
    </w:p>
    <w:p w14:paraId="72BF326A">
      <w:pPr>
        <w:jc w:val="center"/>
        <w:rPr>
          <w:color w:val="000000" w:themeColor="text1"/>
          <w:sz w:val="32"/>
          <w:szCs w:val="32"/>
          <w:highlight w:val="none"/>
        </w:rPr>
      </w:pPr>
      <w:r>
        <w:rPr>
          <w:color w:val="000000" w:themeColor="text1"/>
          <w:sz w:val="32"/>
          <w:szCs w:val="32"/>
          <w:highlight w:val="none"/>
        </w:rPr>
        <w:t>（一）</w:t>
      </w:r>
      <w:r>
        <w:rPr>
          <w:rFonts w:hint="eastAsia"/>
          <w:color w:val="000000" w:themeColor="text1"/>
          <w:sz w:val="32"/>
          <w:szCs w:val="32"/>
          <w:highlight w:val="none"/>
        </w:rPr>
        <w:t>磋商函</w:t>
      </w:r>
    </w:p>
    <w:p w14:paraId="363ECE88">
      <w:pPr>
        <w:spacing w:line="360" w:lineRule="auto"/>
        <w:rPr>
          <w:color w:val="000000" w:themeColor="text1"/>
          <w:highlight w:val="none"/>
        </w:rPr>
      </w:pPr>
    </w:p>
    <w:p w14:paraId="5E226DB8">
      <w:pPr>
        <w:spacing w:line="360" w:lineRule="auto"/>
        <w:rPr>
          <w:color w:val="000000" w:themeColor="text1"/>
          <w:szCs w:val="21"/>
          <w:highlight w:val="none"/>
        </w:rPr>
      </w:pPr>
      <w:r>
        <w:rPr>
          <w:color w:val="000000" w:themeColor="text1"/>
          <w:szCs w:val="21"/>
          <w:highlight w:val="none"/>
        </w:rPr>
        <w:t>致：（</w:t>
      </w:r>
      <w:r>
        <w:rPr>
          <w:rFonts w:hint="eastAsia"/>
          <w:color w:val="000000" w:themeColor="text1"/>
          <w:szCs w:val="21"/>
          <w:highlight w:val="none"/>
        </w:rPr>
        <w:t>采购</w:t>
      </w:r>
      <w:r>
        <w:rPr>
          <w:color w:val="000000" w:themeColor="text1"/>
          <w:szCs w:val="21"/>
          <w:highlight w:val="none"/>
        </w:rPr>
        <w:t>人名称）</w:t>
      </w:r>
    </w:p>
    <w:p w14:paraId="4CE47EE5">
      <w:pPr>
        <w:spacing w:line="360" w:lineRule="auto"/>
        <w:ind w:firstLine="420" w:firstLineChars="200"/>
        <w:rPr>
          <w:color w:val="000000" w:themeColor="text1"/>
          <w:szCs w:val="21"/>
          <w:highlight w:val="none"/>
        </w:rPr>
      </w:pPr>
      <w:r>
        <w:rPr>
          <w:color w:val="000000" w:themeColor="text1"/>
          <w:szCs w:val="21"/>
          <w:highlight w:val="none"/>
        </w:rPr>
        <w:t>经研究贵单位（项目名称）的</w:t>
      </w:r>
      <w:r>
        <w:rPr>
          <w:rFonts w:hint="eastAsia"/>
          <w:color w:val="000000" w:themeColor="text1"/>
          <w:szCs w:val="21"/>
          <w:highlight w:val="none"/>
        </w:rPr>
        <w:t>磋商文件</w:t>
      </w:r>
      <w:r>
        <w:rPr>
          <w:color w:val="000000" w:themeColor="text1"/>
          <w:szCs w:val="21"/>
          <w:highlight w:val="none"/>
        </w:rPr>
        <w:t>后，</w:t>
      </w:r>
      <w:r>
        <w:rPr>
          <w:rFonts w:hint="eastAsia"/>
          <w:color w:val="000000" w:themeColor="text1"/>
          <w:szCs w:val="21"/>
          <w:highlight w:val="none"/>
        </w:rPr>
        <w:t>供货期</w:t>
      </w:r>
      <w:r>
        <w:rPr>
          <w:color w:val="000000" w:themeColor="text1"/>
          <w:szCs w:val="21"/>
          <w:highlight w:val="none"/>
        </w:rPr>
        <w:t>：，</w:t>
      </w:r>
      <w:r>
        <w:rPr>
          <w:rFonts w:hint="eastAsia"/>
          <w:color w:val="000000" w:themeColor="text1"/>
          <w:szCs w:val="21"/>
          <w:highlight w:val="none"/>
        </w:rPr>
        <w:t>磋商</w:t>
      </w:r>
      <w:r>
        <w:rPr>
          <w:color w:val="000000" w:themeColor="text1"/>
          <w:szCs w:val="21"/>
          <w:highlight w:val="none"/>
        </w:rPr>
        <w:t>报价，完成</w:t>
      </w:r>
      <w:r>
        <w:rPr>
          <w:rFonts w:hint="eastAsia"/>
          <w:color w:val="000000" w:themeColor="text1"/>
          <w:szCs w:val="21"/>
          <w:highlight w:val="none"/>
        </w:rPr>
        <w:t>磋商文件</w:t>
      </w:r>
      <w:r>
        <w:rPr>
          <w:color w:val="000000" w:themeColor="text1"/>
          <w:szCs w:val="21"/>
          <w:highlight w:val="none"/>
        </w:rPr>
        <w:t>中所规定的全部任务，不再要求</w:t>
      </w:r>
      <w:r>
        <w:rPr>
          <w:rFonts w:hint="eastAsia"/>
          <w:color w:val="000000" w:themeColor="text1"/>
          <w:szCs w:val="21"/>
          <w:highlight w:val="none"/>
        </w:rPr>
        <w:t>采购人</w:t>
      </w:r>
      <w:r>
        <w:rPr>
          <w:color w:val="000000" w:themeColor="text1"/>
          <w:szCs w:val="21"/>
          <w:highlight w:val="none"/>
        </w:rPr>
        <w:t>支付其他任何费用。</w:t>
      </w:r>
    </w:p>
    <w:p w14:paraId="1A954F29">
      <w:pPr>
        <w:spacing w:line="360" w:lineRule="auto"/>
        <w:ind w:firstLine="420" w:firstLineChars="200"/>
        <w:rPr>
          <w:color w:val="000000" w:themeColor="text1"/>
          <w:szCs w:val="21"/>
          <w:highlight w:val="none"/>
        </w:rPr>
      </w:pPr>
      <w:r>
        <w:rPr>
          <w:color w:val="000000" w:themeColor="text1"/>
          <w:szCs w:val="21"/>
          <w:highlight w:val="none"/>
        </w:rPr>
        <w:t>一旦我方</w:t>
      </w:r>
      <w:r>
        <w:rPr>
          <w:rFonts w:hint="eastAsia"/>
          <w:color w:val="000000" w:themeColor="text1"/>
          <w:szCs w:val="21"/>
          <w:highlight w:val="none"/>
        </w:rPr>
        <w:t>成交</w:t>
      </w:r>
      <w:r>
        <w:rPr>
          <w:color w:val="000000" w:themeColor="text1"/>
          <w:szCs w:val="21"/>
          <w:highlight w:val="none"/>
        </w:rPr>
        <w:t xml:space="preserve">，我方承诺： </w:t>
      </w:r>
    </w:p>
    <w:p w14:paraId="36EC67D2">
      <w:pPr>
        <w:autoSpaceDE w:val="0"/>
        <w:autoSpaceDN w:val="0"/>
        <w:snapToGrid w:val="0"/>
        <w:spacing w:line="360" w:lineRule="auto"/>
        <w:ind w:firstLine="420" w:firstLineChars="200"/>
        <w:jc w:val="left"/>
        <w:rPr>
          <w:color w:val="000000" w:themeColor="text1"/>
          <w:szCs w:val="21"/>
          <w:highlight w:val="none"/>
        </w:rPr>
      </w:pPr>
      <w:r>
        <w:rPr>
          <w:color w:val="000000" w:themeColor="text1"/>
          <w:szCs w:val="21"/>
          <w:highlight w:val="none"/>
        </w:rPr>
        <w:t>（1）在收到</w:t>
      </w:r>
      <w:r>
        <w:rPr>
          <w:rFonts w:hint="eastAsia"/>
          <w:color w:val="000000" w:themeColor="text1"/>
          <w:szCs w:val="21"/>
          <w:highlight w:val="none"/>
        </w:rPr>
        <w:t>成交</w:t>
      </w:r>
      <w:r>
        <w:rPr>
          <w:color w:val="000000" w:themeColor="text1"/>
          <w:szCs w:val="21"/>
          <w:highlight w:val="none"/>
        </w:rPr>
        <w:t>通知书后，在</w:t>
      </w:r>
      <w:r>
        <w:rPr>
          <w:rFonts w:hint="eastAsia"/>
          <w:color w:val="000000" w:themeColor="text1"/>
          <w:szCs w:val="21"/>
          <w:highlight w:val="none"/>
        </w:rPr>
        <w:t>成交通知书</w:t>
      </w:r>
      <w:r>
        <w:rPr>
          <w:color w:val="000000" w:themeColor="text1"/>
          <w:szCs w:val="21"/>
          <w:highlight w:val="none"/>
        </w:rPr>
        <w:t>规定的期限内与你方签订合同，否则承担法律责任；</w:t>
      </w:r>
    </w:p>
    <w:p w14:paraId="101320CD">
      <w:pPr>
        <w:autoSpaceDE w:val="0"/>
        <w:autoSpaceDN w:val="0"/>
        <w:snapToGrid w:val="0"/>
        <w:spacing w:line="360" w:lineRule="auto"/>
        <w:ind w:firstLine="420" w:firstLineChars="200"/>
        <w:jc w:val="left"/>
        <w:rPr>
          <w:color w:val="000000" w:themeColor="text1"/>
          <w:szCs w:val="21"/>
          <w:highlight w:val="none"/>
        </w:rPr>
      </w:pPr>
      <w:r>
        <w:rPr>
          <w:color w:val="000000" w:themeColor="text1"/>
          <w:szCs w:val="21"/>
          <w:highlight w:val="none"/>
        </w:rPr>
        <w:t xml:space="preserve">（2）在签订合同时不向你方提出附加条件； </w:t>
      </w:r>
    </w:p>
    <w:p w14:paraId="0FB8BBFF">
      <w:pPr>
        <w:autoSpaceDE w:val="0"/>
        <w:autoSpaceDN w:val="0"/>
        <w:snapToGrid w:val="0"/>
        <w:spacing w:line="360" w:lineRule="auto"/>
        <w:ind w:firstLine="420" w:firstLineChars="200"/>
        <w:jc w:val="left"/>
        <w:rPr>
          <w:color w:val="000000" w:themeColor="text1"/>
          <w:szCs w:val="21"/>
          <w:highlight w:val="none"/>
        </w:rPr>
      </w:pPr>
      <w:r>
        <w:rPr>
          <w:color w:val="000000" w:themeColor="text1"/>
          <w:szCs w:val="21"/>
          <w:highlight w:val="none"/>
        </w:rPr>
        <w:t>（3）按照</w:t>
      </w:r>
      <w:r>
        <w:rPr>
          <w:rFonts w:hint="eastAsia"/>
          <w:color w:val="000000" w:themeColor="text1"/>
          <w:szCs w:val="21"/>
          <w:highlight w:val="none"/>
        </w:rPr>
        <w:t>磋商文件</w:t>
      </w:r>
      <w:r>
        <w:rPr>
          <w:color w:val="000000" w:themeColor="text1"/>
          <w:szCs w:val="21"/>
          <w:highlight w:val="none"/>
        </w:rPr>
        <w:t xml:space="preserve">要求提交履约保证金； </w:t>
      </w:r>
    </w:p>
    <w:p w14:paraId="0CEB831D">
      <w:pPr>
        <w:autoSpaceDE w:val="0"/>
        <w:autoSpaceDN w:val="0"/>
        <w:snapToGrid w:val="0"/>
        <w:spacing w:line="360" w:lineRule="auto"/>
        <w:ind w:firstLine="420" w:firstLineChars="200"/>
        <w:jc w:val="left"/>
        <w:rPr>
          <w:color w:val="000000" w:themeColor="text1"/>
          <w:szCs w:val="21"/>
          <w:highlight w:val="none"/>
        </w:rPr>
      </w:pPr>
      <w:r>
        <w:rPr>
          <w:color w:val="000000" w:themeColor="text1"/>
          <w:szCs w:val="21"/>
          <w:highlight w:val="none"/>
        </w:rPr>
        <w:t>（4）在合同约定的期限内完成合同规定的全部义务</w:t>
      </w:r>
      <w:r>
        <w:rPr>
          <w:rFonts w:hint="eastAsia"/>
          <w:color w:val="000000" w:themeColor="text1"/>
          <w:szCs w:val="21"/>
          <w:highlight w:val="none"/>
        </w:rPr>
        <w:t>；</w:t>
      </w:r>
    </w:p>
    <w:p w14:paraId="6E061DCA">
      <w:pPr>
        <w:autoSpaceDE w:val="0"/>
        <w:autoSpaceDN w:val="0"/>
        <w:snapToGrid w:val="0"/>
        <w:spacing w:line="360" w:lineRule="auto"/>
        <w:ind w:firstLine="420" w:firstLineChars="200"/>
        <w:jc w:val="left"/>
        <w:rPr>
          <w:color w:val="000000" w:themeColor="text1"/>
          <w:szCs w:val="21"/>
          <w:highlight w:val="none"/>
        </w:rPr>
      </w:pPr>
      <w:r>
        <w:rPr>
          <w:color w:val="000000" w:themeColor="text1"/>
          <w:szCs w:val="21"/>
          <w:highlight w:val="none"/>
        </w:rPr>
        <w:t>（5）无条件响应</w:t>
      </w:r>
      <w:r>
        <w:rPr>
          <w:rFonts w:hint="eastAsia"/>
          <w:color w:val="000000" w:themeColor="text1"/>
          <w:szCs w:val="21"/>
          <w:highlight w:val="none"/>
        </w:rPr>
        <w:t>采购</w:t>
      </w:r>
      <w:r>
        <w:rPr>
          <w:color w:val="000000" w:themeColor="text1"/>
          <w:szCs w:val="21"/>
          <w:highlight w:val="none"/>
        </w:rPr>
        <w:t>人须知前附表中所有要求</w:t>
      </w:r>
      <w:r>
        <w:rPr>
          <w:rFonts w:hint="eastAsia"/>
          <w:color w:val="000000" w:themeColor="text1"/>
          <w:szCs w:val="21"/>
          <w:highlight w:val="none"/>
        </w:rPr>
        <w:t>；</w:t>
      </w:r>
    </w:p>
    <w:p w14:paraId="630C4F0A">
      <w:pPr>
        <w:spacing w:line="360" w:lineRule="auto"/>
        <w:ind w:firstLine="420" w:firstLineChars="200"/>
        <w:rPr>
          <w:color w:val="000000" w:themeColor="text1"/>
          <w:szCs w:val="21"/>
          <w:highlight w:val="none"/>
        </w:rPr>
      </w:pPr>
      <w:r>
        <w:rPr>
          <w:color w:val="000000" w:themeColor="text1"/>
          <w:szCs w:val="21"/>
          <w:highlight w:val="none"/>
        </w:rPr>
        <w:t>我方同意本</w:t>
      </w:r>
      <w:r>
        <w:rPr>
          <w:rFonts w:hint="eastAsia"/>
          <w:color w:val="000000" w:themeColor="text1"/>
          <w:szCs w:val="21"/>
          <w:highlight w:val="none"/>
        </w:rPr>
        <w:t>响应文件</w:t>
      </w:r>
      <w:r>
        <w:rPr>
          <w:color w:val="000000" w:themeColor="text1"/>
          <w:szCs w:val="21"/>
          <w:highlight w:val="none"/>
        </w:rPr>
        <w:t>在</w:t>
      </w:r>
      <w:r>
        <w:rPr>
          <w:rFonts w:hint="eastAsia"/>
          <w:color w:val="000000" w:themeColor="text1"/>
          <w:szCs w:val="21"/>
          <w:highlight w:val="none"/>
        </w:rPr>
        <w:t>供应商</w:t>
      </w:r>
      <w:r>
        <w:rPr>
          <w:color w:val="000000" w:themeColor="text1"/>
          <w:szCs w:val="21"/>
          <w:highlight w:val="none"/>
        </w:rPr>
        <w:t>须知中规定的</w:t>
      </w:r>
      <w:r>
        <w:rPr>
          <w:rFonts w:hint="eastAsia"/>
          <w:color w:val="000000" w:themeColor="text1"/>
          <w:szCs w:val="21"/>
          <w:highlight w:val="none"/>
        </w:rPr>
        <w:t>磋商有效期内</w:t>
      </w:r>
      <w:r>
        <w:rPr>
          <w:color w:val="000000" w:themeColor="text1"/>
          <w:szCs w:val="21"/>
          <w:highlight w:val="none"/>
        </w:rPr>
        <w:t>对我方有约束力，且随时可能按此</w:t>
      </w:r>
      <w:r>
        <w:rPr>
          <w:rFonts w:hint="eastAsia"/>
          <w:color w:val="000000" w:themeColor="text1"/>
          <w:szCs w:val="21"/>
          <w:highlight w:val="none"/>
        </w:rPr>
        <w:t>响应文件成交</w:t>
      </w:r>
      <w:r>
        <w:rPr>
          <w:color w:val="000000" w:themeColor="text1"/>
          <w:szCs w:val="21"/>
          <w:highlight w:val="none"/>
        </w:rPr>
        <w:t>。</w:t>
      </w:r>
    </w:p>
    <w:p w14:paraId="23BDE856">
      <w:pPr>
        <w:spacing w:line="360" w:lineRule="auto"/>
        <w:ind w:firstLine="420" w:firstLineChars="200"/>
        <w:rPr>
          <w:color w:val="000000" w:themeColor="text1"/>
          <w:szCs w:val="21"/>
          <w:highlight w:val="none"/>
        </w:rPr>
      </w:pPr>
      <w:r>
        <w:rPr>
          <w:color w:val="000000" w:themeColor="text1"/>
          <w:szCs w:val="21"/>
          <w:highlight w:val="none"/>
        </w:rPr>
        <w:t>在签署合同时，贵单位的</w:t>
      </w:r>
      <w:r>
        <w:rPr>
          <w:rFonts w:hint="eastAsia"/>
          <w:color w:val="000000" w:themeColor="text1"/>
          <w:szCs w:val="21"/>
          <w:highlight w:val="none"/>
        </w:rPr>
        <w:t>成交通知书</w:t>
      </w:r>
      <w:r>
        <w:rPr>
          <w:color w:val="000000" w:themeColor="text1"/>
          <w:szCs w:val="21"/>
          <w:highlight w:val="none"/>
        </w:rPr>
        <w:t>和本</w:t>
      </w:r>
      <w:r>
        <w:rPr>
          <w:rFonts w:hint="eastAsia"/>
          <w:color w:val="000000" w:themeColor="text1"/>
          <w:szCs w:val="21"/>
          <w:highlight w:val="none"/>
        </w:rPr>
        <w:t>响应文件</w:t>
      </w:r>
      <w:r>
        <w:rPr>
          <w:color w:val="000000" w:themeColor="text1"/>
          <w:szCs w:val="21"/>
          <w:highlight w:val="none"/>
        </w:rPr>
        <w:t>将构成约束我们双方的契约。</w:t>
      </w:r>
    </w:p>
    <w:p w14:paraId="10E8FA66">
      <w:pPr>
        <w:spacing w:line="360" w:lineRule="auto"/>
        <w:ind w:firstLine="420" w:firstLineChars="200"/>
        <w:rPr>
          <w:color w:val="000000" w:themeColor="text1"/>
          <w:szCs w:val="21"/>
          <w:highlight w:val="none"/>
        </w:rPr>
      </w:pPr>
      <w:r>
        <w:rPr>
          <w:color w:val="000000" w:themeColor="text1"/>
          <w:szCs w:val="21"/>
          <w:highlight w:val="none"/>
        </w:rPr>
        <w:t>我方理解你们将不受你们所受到的任何标价或其它任何</w:t>
      </w:r>
      <w:r>
        <w:rPr>
          <w:rFonts w:hint="eastAsia"/>
          <w:color w:val="000000" w:themeColor="text1"/>
          <w:szCs w:val="21"/>
          <w:highlight w:val="none"/>
        </w:rPr>
        <w:t>响应文件</w:t>
      </w:r>
      <w:r>
        <w:rPr>
          <w:color w:val="000000" w:themeColor="text1"/>
          <w:szCs w:val="21"/>
          <w:highlight w:val="none"/>
        </w:rPr>
        <w:t>的约束。</w:t>
      </w:r>
    </w:p>
    <w:p w14:paraId="2DABEDA3">
      <w:pPr>
        <w:spacing w:line="360" w:lineRule="auto"/>
        <w:ind w:firstLine="420" w:firstLineChars="200"/>
        <w:rPr>
          <w:color w:val="000000" w:themeColor="text1"/>
          <w:szCs w:val="21"/>
          <w:highlight w:val="none"/>
        </w:rPr>
      </w:pPr>
      <w:r>
        <w:rPr>
          <w:color w:val="000000" w:themeColor="text1"/>
          <w:szCs w:val="21"/>
          <w:highlight w:val="none"/>
        </w:rPr>
        <w:t>我方承诺完全按照</w:t>
      </w:r>
      <w:r>
        <w:rPr>
          <w:rFonts w:hint="eastAsia"/>
          <w:color w:val="000000" w:themeColor="text1"/>
          <w:szCs w:val="21"/>
          <w:highlight w:val="none"/>
        </w:rPr>
        <w:t>磋商文件</w:t>
      </w:r>
      <w:r>
        <w:rPr>
          <w:color w:val="000000" w:themeColor="text1"/>
          <w:szCs w:val="21"/>
          <w:highlight w:val="none"/>
        </w:rPr>
        <w:t>规定的时间提交完成的</w:t>
      </w:r>
      <w:r>
        <w:rPr>
          <w:rFonts w:hint="eastAsia"/>
          <w:color w:val="000000" w:themeColor="text1"/>
          <w:szCs w:val="21"/>
          <w:highlight w:val="none"/>
        </w:rPr>
        <w:t>响应文件</w:t>
      </w:r>
      <w:r>
        <w:rPr>
          <w:color w:val="000000" w:themeColor="text1"/>
          <w:szCs w:val="21"/>
          <w:highlight w:val="none"/>
        </w:rPr>
        <w:t>。</w:t>
      </w:r>
    </w:p>
    <w:p w14:paraId="0F91AE0A">
      <w:pPr>
        <w:spacing w:line="480" w:lineRule="auto"/>
        <w:ind w:firstLine="2520" w:firstLineChars="1200"/>
        <w:rPr>
          <w:color w:val="000000" w:themeColor="text1"/>
          <w:szCs w:val="21"/>
          <w:highlight w:val="none"/>
        </w:rPr>
      </w:pPr>
    </w:p>
    <w:p w14:paraId="2AC92235">
      <w:pPr>
        <w:spacing w:line="480" w:lineRule="auto"/>
        <w:ind w:firstLine="2520" w:firstLineChars="1200"/>
        <w:rPr>
          <w:color w:val="000000" w:themeColor="text1"/>
          <w:szCs w:val="21"/>
          <w:highlight w:val="none"/>
        </w:rPr>
      </w:pPr>
    </w:p>
    <w:p w14:paraId="4EEB04D3">
      <w:pPr>
        <w:spacing w:line="480" w:lineRule="auto"/>
        <w:ind w:firstLine="2520" w:firstLineChars="1200"/>
        <w:rPr>
          <w:color w:val="000000" w:themeColor="text1"/>
          <w:szCs w:val="21"/>
          <w:highlight w:val="none"/>
        </w:rPr>
      </w:pPr>
    </w:p>
    <w:p w14:paraId="13B1BC40">
      <w:pPr>
        <w:spacing w:line="480" w:lineRule="auto"/>
        <w:ind w:firstLine="2520" w:firstLineChars="1200"/>
        <w:rPr>
          <w:color w:val="000000" w:themeColor="text1"/>
          <w:szCs w:val="21"/>
          <w:highlight w:val="none"/>
        </w:rPr>
      </w:pPr>
    </w:p>
    <w:p w14:paraId="395D1969">
      <w:pPr>
        <w:spacing w:line="480" w:lineRule="auto"/>
        <w:ind w:firstLine="2520" w:firstLineChars="1200"/>
        <w:rPr>
          <w:color w:val="000000" w:themeColor="text1"/>
          <w:szCs w:val="21"/>
          <w:highlight w:val="none"/>
        </w:rPr>
      </w:pPr>
      <w:r>
        <w:rPr>
          <w:rFonts w:hint="eastAsia"/>
          <w:color w:val="000000" w:themeColor="text1"/>
          <w:szCs w:val="21"/>
          <w:highlight w:val="none"/>
        </w:rPr>
        <w:t>供应商</w:t>
      </w:r>
      <w:r>
        <w:rPr>
          <w:color w:val="000000" w:themeColor="text1"/>
          <w:szCs w:val="21"/>
          <w:highlight w:val="none"/>
        </w:rPr>
        <w:t>：（公章）</w:t>
      </w:r>
    </w:p>
    <w:p w14:paraId="49851281">
      <w:pPr>
        <w:spacing w:line="480" w:lineRule="auto"/>
        <w:ind w:firstLine="2520" w:firstLineChars="1200"/>
        <w:jc w:val="left"/>
        <w:rPr>
          <w:color w:val="000000" w:themeColor="text1"/>
          <w:szCs w:val="21"/>
          <w:highlight w:val="none"/>
        </w:rPr>
      </w:pPr>
      <w:r>
        <w:rPr>
          <w:color w:val="000000" w:themeColor="text1"/>
          <w:szCs w:val="21"/>
          <w:highlight w:val="none"/>
        </w:rPr>
        <w:t>法定代表人</w:t>
      </w:r>
      <w:r>
        <w:rPr>
          <w:rFonts w:hint="eastAsia"/>
          <w:color w:val="000000" w:themeColor="text1"/>
          <w:szCs w:val="21"/>
          <w:highlight w:val="none"/>
        </w:rPr>
        <w:t>或</w:t>
      </w:r>
      <w:r>
        <w:rPr>
          <w:color w:val="000000" w:themeColor="text1"/>
          <w:szCs w:val="21"/>
          <w:highlight w:val="none"/>
        </w:rPr>
        <w:t>委托代理人：（签字</w:t>
      </w:r>
      <w:r>
        <w:rPr>
          <w:rFonts w:hint="eastAsia"/>
          <w:color w:val="000000" w:themeColor="text1"/>
          <w:szCs w:val="21"/>
          <w:highlight w:val="none"/>
        </w:rPr>
        <w:t>或</w:t>
      </w:r>
      <w:r>
        <w:rPr>
          <w:color w:val="000000" w:themeColor="text1"/>
          <w:szCs w:val="21"/>
          <w:highlight w:val="none"/>
        </w:rPr>
        <w:t>盖章）</w:t>
      </w:r>
    </w:p>
    <w:p w14:paraId="4B71C5CD">
      <w:pPr>
        <w:spacing w:line="440" w:lineRule="exact"/>
        <w:ind w:firstLine="2530" w:firstLineChars="1205"/>
        <w:rPr>
          <w:color w:val="000000" w:themeColor="text1"/>
          <w:highlight w:val="none"/>
        </w:rPr>
      </w:pPr>
      <w:r>
        <w:rPr>
          <w:color w:val="000000" w:themeColor="text1"/>
          <w:szCs w:val="21"/>
          <w:highlight w:val="none"/>
        </w:rPr>
        <w:t>日    期：    年    月    日</w:t>
      </w:r>
    </w:p>
    <w:p w14:paraId="3A1AC1AC">
      <w:pPr>
        <w:wordWrap w:val="0"/>
        <w:spacing w:line="600" w:lineRule="auto"/>
        <w:ind w:firstLine="420" w:firstLineChars="200"/>
        <w:jc w:val="right"/>
        <w:rPr>
          <w:color w:val="000000" w:themeColor="text1"/>
          <w:szCs w:val="21"/>
          <w:highlight w:val="none"/>
        </w:rPr>
      </w:pPr>
    </w:p>
    <w:p w14:paraId="17F8EB95">
      <w:pPr>
        <w:wordWrap w:val="0"/>
        <w:spacing w:line="600" w:lineRule="auto"/>
        <w:ind w:firstLine="420" w:firstLineChars="200"/>
        <w:jc w:val="right"/>
        <w:rPr>
          <w:color w:val="000000" w:themeColor="text1"/>
          <w:szCs w:val="21"/>
          <w:highlight w:val="none"/>
        </w:rPr>
      </w:pPr>
    </w:p>
    <w:p w14:paraId="600B639C">
      <w:pPr>
        <w:pStyle w:val="2"/>
        <w:ind w:left="63" w:right="63"/>
        <w:rPr>
          <w:color w:val="000000" w:themeColor="text1"/>
          <w:highlight w:val="none"/>
        </w:rPr>
      </w:pPr>
    </w:p>
    <w:p w14:paraId="10B8E1F1">
      <w:pPr>
        <w:wordWrap w:val="0"/>
        <w:spacing w:line="600" w:lineRule="auto"/>
        <w:ind w:firstLine="420" w:firstLineChars="200"/>
        <w:jc w:val="right"/>
        <w:rPr>
          <w:color w:val="000000" w:themeColor="text1"/>
          <w:szCs w:val="21"/>
          <w:highlight w:val="none"/>
        </w:rPr>
      </w:pPr>
    </w:p>
    <w:p w14:paraId="1CF5DDE6">
      <w:pPr>
        <w:snapToGrid w:val="0"/>
        <w:jc w:val="center"/>
        <w:rPr>
          <w:color w:val="000000" w:themeColor="text1"/>
          <w:sz w:val="32"/>
          <w:szCs w:val="32"/>
          <w:highlight w:val="none"/>
        </w:rPr>
      </w:pPr>
    </w:p>
    <w:p w14:paraId="4F3300F3">
      <w:pPr>
        <w:snapToGrid w:val="0"/>
        <w:jc w:val="center"/>
        <w:rPr>
          <w:b/>
          <w:color w:val="000000" w:themeColor="text1"/>
          <w:sz w:val="32"/>
          <w:szCs w:val="32"/>
          <w:highlight w:val="none"/>
        </w:rPr>
      </w:pPr>
    </w:p>
    <w:p w14:paraId="16B4E2EA">
      <w:pPr>
        <w:snapToGrid w:val="0"/>
        <w:jc w:val="center"/>
        <w:rPr>
          <w:b/>
          <w:color w:val="000000" w:themeColor="text1"/>
          <w:sz w:val="32"/>
          <w:szCs w:val="32"/>
          <w:highlight w:val="none"/>
        </w:rPr>
      </w:pPr>
      <w:r>
        <w:rPr>
          <w:b/>
          <w:color w:val="000000" w:themeColor="text1"/>
          <w:sz w:val="32"/>
          <w:szCs w:val="32"/>
          <w:highlight w:val="none"/>
        </w:rPr>
        <w:br w:type="page"/>
      </w:r>
      <w:bookmarkStart w:id="47" w:name="_Toc65587250"/>
      <w:r>
        <w:rPr>
          <w:b/>
          <w:color w:val="000000" w:themeColor="text1"/>
          <w:sz w:val="32"/>
          <w:szCs w:val="32"/>
          <w:highlight w:val="none"/>
        </w:rPr>
        <w:t>二、法定代表人</w:t>
      </w:r>
      <w:r>
        <w:rPr>
          <w:rFonts w:hint="eastAsia"/>
          <w:b/>
          <w:color w:val="000000" w:themeColor="text1"/>
          <w:sz w:val="32"/>
          <w:szCs w:val="32"/>
          <w:highlight w:val="none"/>
        </w:rPr>
        <w:t>资格</w:t>
      </w:r>
      <w:r>
        <w:rPr>
          <w:b/>
          <w:color w:val="000000" w:themeColor="text1"/>
          <w:sz w:val="32"/>
          <w:szCs w:val="32"/>
          <w:highlight w:val="none"/>
        </w:rPr>
        <w:t>证</w:t>
      </w:r>
      <w:r>
        <w:rPr>
          <w:rFonts w:hint="eastAsia"/>
          <w:b/>
          <w:color w:val="000000" w:themeColor="text1"/>
          <w:sz w:val="32"/>
          <w:szCs w:val="32"/>
          <w:highlight w:val="none"/>
        </w:rPr>
        <w:t>明</w:t>
      </w:r>
    </w:p>
    <w:p w14:paraId="2DE16A29">
      <w:pPr>
        <w:spacing w:line="276" w:lineRule="auto"/>
        <w:rPr>
          <w:color w:val="000000" w:themeColor="text1"/>
          <w:szCs w:val="21"/>
          <w:highlight w:val="none"/>
        </w:rPr>
      </w:pPr>
    </w:p>
    <w:p w14:paraId="18CE2DF1">
      <w:pPr>
        <w:spacing w:line="276" w:lineRule="auto"/>
        <w:rPr>
          <w:color w:val="000000" w:themeColor="text1"/>
          <w:szCs w:val="21"/>
          <w:highlight w:val="none"/>
        </w:rPr>
      </w:pPr>
    </w:p>
    <w:p w14:paraId="1716C838">
      <w:pPr>
        <w:spacing w:line="276" w:lineRule="auto"/>
        <w:ind w:firstLine="420" w:firstLineChars="200"/>
        <w:rPr>
          <w:color w:val="000000" w:themeColor="text1"/>
          <w:szCs w:val="21"/>
          <w:highlight w:val="none"/>
          <w:u w:val="single"/>
        </w:rPr>
      </w:pPr>
      <w:r>
        <w:rPr>
          <w:rFonts w:hint="eastAsia"/>
          <w:color w:val="000000" w:themeColor="text1"/>
          <w:szCs w:val="21"/>
          <w:highlight w:val="none"/>
        </w:rPr>
        <w:t>供应商</w:t>
      </w:r>
      <w:r>
        <w:rPr>
          <w:color w:val="000000" w:themeColor="text1"/>
          <w:szCs w:val="21"/>
          <w:highlight w:val="none"/>
        </w:rPr>
        <w:t>单位名称：</w:t>
      </w:r>
    </w:p>
    <w:p w14:paraId="20F8CEAD">
      <w:pPr>
        <w:spacing w:line="276" w:lineRule="auto"/>
        <w:rPr>
          <w:color w:val="000000" w:themeColor="text1"/>
          <w:szCs w:val="21"/>
          <w:highlight w:val="none"/>
        </w:rPr>
      </w:pPr>
    </w:p>
    <w:p w14:paraId="046997BD">
      <w:pPr>
        <w:spacing w:line="276" w:lineRule="auto"/>
        <w:ind w:firstLine="420" w:firstLineChars="200"/>
        <w:rPr>
          <w:color w:val="000000" w:themeColor="text1"/>
          <w:szCs w:val="21"/>
          <w:highlight w:val="none"/>
          <w:u w:val="single"/>
        </w:rPr>
      </w:pPr>
      <w:r>
        <w:rPr>
          <w:color w:val="000000" w:themeColor="text1"/>
          <w:szCs w:val="21"/>
          <w:highlight w:val="none"/>
        </w:rPr>
        <w:t>单位性质：</w:t>
      </w:r>
    </w:p>
    <w:p w14:paraId="0DC550FF">
      <w:pPr>
        <w:spacing w:line="276" w:lineRule="auto"/>
        <w:rPr>
          <w:color w:val="000000" w:themeColor="text1"/>
          <w:szCs w:val="21"/>
          <w:highlight w:val="none"/>
        </w:rPr>
      </w:pPr>
    </w:p>
    <w:p w14:paraId="63A7A1AF">
      <w:pPr>
        <w:spacing w:line="276" w:lineRule="auto"/>
        <w:ind w:firstLine="420" w:firstLineChars="200"/>
        <w:rPr>
          <w:color w:val="000000" w:themeColor="text1"/>
          <w:szCs w:val="21"/>
          <w:highlight w:val="none"/>
          <w:u w:val="single"/>
        </w:rPr>
      </w:pPr>
      <w:r>
        <w:rPr>
          <w:color w:val="000000" w:themeColor="text1"/>
          <w:szCs w:val="21"/>
          <w:highlight w:val="none"/>
        </w:rPr>
        <w:t>地    址：</w:t>
      </w:r>
    </w:p>
    <w:p w14:paraId="471C7506">
      <w:pPr>
        <w:spacing w:line="276" w:lineRule="auto"/>
        <w:rPr>
          <w:color w:val="000000" w:themeColor="text1"/>
          <w:szCs w:val="21"/>
          <w:highlight w:val="none"/>
        </w:rPr>
      </w:pPr>
    </w:p>
    <w:p w14:paraId="7B7DD265">
      <w:pPr>
        <w:spacing w:line="276" w:lineRule="auto"/>
        <w:ind w:firstLine="420" w:firstLineChars="200"/>
        <w:rPr>
          <w:color w:val="000000" w:themeColor="text1"/>
          <w:szCs w:val="21"/>
          <w:highlight w:val="none"/>
        </w:rPr>
      </w:pPr>
      <w:r>
        <w:rPr>
          <w:color w:val="000000" w:themeColor="text1"/>
          <w:szCs w:val="21"/>
          <w:highlight w:val="none"/>
        </w:rPr>
        <w:t>成立时间：年月日</w:t>
      </w:r>
    </w:p>
    <w:p w14:paraId="5BBF4A9F">
      <w:pPr>
        <w:spacing w:line="276" w:lineRule="auto"/>
        <w:rPr>
          <w:color w:val="000000" w:themeColor="text1"/>
          <w:szCs w:val="21"/>
          <w:highlight w:val="none"/>
        </w:rPr>
      </w:pPr>
    </w:p>
    <w:p w14:paraId="61C57EB4">
      <w:pPr>
        <w:spacing w:line="276" w:lineRule="auto"/>
        <w:ind w:firstLine="420" w:firstLineChars="200"/>
        <w:rPr>
          <w:color w:val="000000" w:themeColor="text1"/>
          <w:szCs w:val="21"/>
          <w:highlight w:val="none"/>
          <w:u w:val="single"/>
        </w:rPr>
      </w:pPr>
      <w:r>
        <w:rPr>
          <w:color w:val="000000" w:themeColor="text1"/>
          <w:szCs w:val="21"/>
          <w:highlight w:val="none"/>
        </w:rPr>
        <w:t>经营期限：</w:t>
      </w:r>
    </w:p>
    <w:p w14:paraId="19DB9751">
      <w:pPr>
        <w:spacing w:line="276" w:lineRule="auto"/>
        <w:rPr>
          <w:color w:val="000000" w:themeColor="text1"/>
          <w:szCs w:val="21"/>
          <w:highlight w:val="none"/>
        </w:rPr>
      </w:pPr>
    </w:p>
    <w:p w14:paraId="3C274C2F">
      <w:pPr>
        <w:spacing w:line="276" w:lineRule="auto"/>
        <w:ind w:firstLine="420" w:firstLineChars="200"/>
        <w:rPr>
          <w:color w:val="000000" w:themeColor="text1"/>
          <w:szCs w:val="21"/>
          <w:highlight w:val="none"/>
        </w:rPr>
      </w:pPr>
      <w:r>
        <w:rPr>
          <w:color w:val="000000" w:themeColor="text1"/>
          <w:szCs w:val="21"/>
          <w:highlight w:val="none"/>
        </w:rPr>
        <w:t>姓    名： 性别： 年龄：职务：</w:t>
      </w:r>
    </w:p>
    <w:p w14:paraId="46A8D31C">
      <w:pPr>
        <w:spacing w:line="276" w:lineRule="auto"/>
        <w:rPr>
          <w:color w:val="000000" w:themeColor="text1"/>
          <w:szCs w:val="21"/>
          <w:highlight w:val="none"/>
        </w:rPr>
      </w:pPr>
    </w:p>
    <w:p w14:paraId="23F00F37">
      <w:pPr>
        <w:spacing w:line="276" w:lineRule="auto"/>
        <w:ind w:firstLine="420" w:firstLineChars="200"/>
        <w:rPr>
          <w:color w:val="000000" w:themeColor="text1"/>
          <w:szCs w:val="21"/>
          <w:highlight w:val="none"/>
        </w:rPr>
      </w:pPr>
      <w:r>
        <w:rPr>
          <w:color w:val="000000" w:themeColor="text1"/>
          <w:szCs w:val="21"/>
          <w:highlight w:val="none"/>
        </w:rPr>
        <w:t>系</w:t>
      </w:r>
      <w:r>
        <w:rPr>
          <w:color w:val="000000" w:themeColor="text1"/>
          <w:szCs w:val="21"/>
          <w:highlight w:val="none"/>
          <w:u w:val="single"/>
        </w:rPr>
        <w:t xml:space="preserve">        （</w:t>
      </w:r>
      <w:r>
        <w:rPr>
          <w:rFonts w:hint="eastAsia"/>
          <w:color w:val="000000" w:themeColor="text1"/>
          <w:szCs w:val="21"/>
          <w:highlight w:val="none"/>
          <w:u w:val="single"/>
        </w:rPr>
        <w:t>供应商</w:t>
      </w:r>
      <w:r>
        <w:rPr>
          <w:color w:val="000000" w:themeColor="text1"/>
          <w:szCs w:val="21"/>
          <w:highlight w:val="none"/>
          <w:u w:val="single"/>
        </w:rPr>
        <w:t xml:space="preserve">单位名称）        </w:t>
      </w:r>
      <w:r>
        <w:rPr>
          <w:color w:val="000000" w:themeColor="text1"/>
          <w:szCs w:val="21"/>
          <w:highlight w:val="none"/>
        </w:rPr>
        <w:t>的法定代表人。</w:t>
      </w:r>
    </w:p>
    <w:p w14:paraId="4D79694C">
      <w:pPr>
        <w:spacing w:line="276" w:lineRule="auto"/>
        <w:rPr>
          <w:color w:val="000000" w:themeColor="text1"/>
          <w:szCs w:val="21"/>
          <w:highlight w:val="none"/>
        </w:rPr>
      </w:pPr>
    </w:p>
    <w:p w14:paraId="4F54A126">
      <w:pPr>
        <w:spacing w:line="276" w:lineRule="auto"/>
        <w:rPr>
          <w:color w:val="000000" w:themeColor="text1"/>
          <w:szCs w:val="21"/>
          <w:highlight w:val="none"/>
        </w:rPr>
      </w:pPr>
    </w:p>
    <w:p w14:paraId="73C0B420">
      <w:pPr>
        <w:spacing w:line="276" w:lineRule="auto"/>
        <w:ind w:firstLine="840" w:firstLineChars="400"/>
        <w:rPr>
          <w:color w:val="000000" w:themeColor="text1"/>
          <w:szCs w:val="21"/>
          <w:highlight w:val="none"/>
        </w:rPr>
      </w:pPr>
      <w:r>
        <w:rPr>
          <w:color w:val="000000" w:themeColor="text1"/>
          <w:szCs w:val="21"/>
          <w:highlight w:val="none"/>
        </w:rPr>
        <w:t>特此证明。</w:t>
      </w:r>
    </w:p>
    <w:tbl>
      <w:tblPr>
        <w:tblStyle w:val="38"/>
        <w:tblW w:w="8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63A54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jc w:val="center"/>
        </w:trPr>
        <w:tc>
          <w:tcPr>
            <w:tcW w:w="8820" w:type="dxa"/>
            <w:noWrap/>
          </w:tcPr>
          <w:p w14:paraId="40D446E5">
            <w:pPr>
              <w:spacing w:line="360" w:lineRule="auto"/>
              <w:rPr>
                <w:color w:val="000000" w:themeColor="text1"/>
                <w:szCs w:val="21"/>
                <w:highlight w:val="none"/>
              </w:rPr>
            </w:pPr>
            <w:r>
              <w:rPr>
                <w:color w:val="000000" w:themeColor="text1"/>
                <w:szCs w:val="21"/>
                <w:highlight w:val="none"/>
              </w:rPr>
              <w:t>附：法定代表人身份证复印件</w:t>
            </w:r>
          </w:p>
        </w:tc>
      </w:tr>
    </w:tbl>
    <w:p w14:paraId="7FCFB115">
      <w:pPr>
        <w:spacing w:line="360" w:lineRule="auto"/>
        <w:rPr>
          <w:color w:val="000000" w:themeColor="text1"/>
          <w:szCs w:val="21"/>
          <w:highlight w:val="none"/>
        </w:rPr>
      </w:pPr>
    </w:p>
    <w:p w14:paraId="54F63285">
      <w:pPr>
        <w:spacing w:line="600" w:lineRule="auto"/>
        <w:ind w:firstLine="4830" w:firstLineChars="2300"/>
        <w:jc w:val="right"/>
        <w:rPr>
          <w:color w:val="000000" w:themeColor="text1"/>
          <w:szCs w:val="21"/>
          <w:highlight w:val="none"/>
        </w:rPr>
      </w:pPr>
      <w:r>
        <w:rPr>
          <w:rFonts w:hint="eastAsia"/>
          <w:color w:val="000000" w:themeColor="text1"/>
          <w:szCs w:val="21"/>
          <w:highlight w:val="none"/>
        </w:rPr>
        <w:t>供应商</w:t>
      </w:r>
      <w:r>
        <w:rPr>
          <w:color w:val="000000" w:themeColor="text1"/>
          <w:szCs w:val="21"/>
          <w:highlight w:val="none"/>
        </w:rPr>
        <w:t>：（公章）</w:t>
      </w:r>
    </w:p>
    <w:p w14:paraId="7F021A2F">
      <w:pPr>
        <w:spacing w:line="600" w:lineRule="auto"/>
        <w:ind w:firstLine="4830" w:firstLineChars="2300"/>
        <w:jc w:val="right"/>
        <w:rPr>
          <w:color w:val="000000" w:themeColor="text1"/>
          <w:szCs w:val="21"/>
          <w:highlight w:val="none"/>
        </w:rPr>
      </w:pPr>
      <w:r>
        <w:rPr>
          <w:color w:val="000000" w:themeColor="text1"/>
          <w:szCs w:val="21"/>
          <w:highlight w:val="none"/>
        </w:rPr>
        <w:t>法定代表人：（盖章）</w:t>
      </w:r>
    </w:p>
    <w:p w14:paraId="405F3DDB">
      <w:pPr>
        <w:wordWrap w:val="0"/>
        <w:spacing w:line="600" w:lineRule="auto"/>
        <w:jc w:val="right"/>
        <w:rPr>
          <w:color w:val="000000" w:themeColor="text1"/>
          <w:szCs w:val="21"/>
          <w:highlight w:val="none"/>
        </w:rPr>
      </w:pPr>
      <w:r>
        <w:rPr>
          <w:color w:val="000000" w:themeColor="text1"/>
          <w:szCs w:val="21"/>
          <w:highlight w:val="none"/>
        </w:rPr>
        <w:t xml:space="preserve">日   期：    年    月    日     </w:t>
      </w:r>
    </w:p>
    <w:p w14:paraId="0A76A0EE">
      <w:pPr>
        <w:jc w:val="center"/>
        <w:rPr>
          <w:b/>
          <w:color w:val="000000" w:themeColor="text1"/>
          <w:sz w:val="32"/>
          <w:szCs w:val="32"/>
          <w:highlight w:val="none"/>
        </w:rPr>
      </w:pPr>
      <w:r>
        <w:rPr>
          <w:color w:val="000000" w:themeColor="text1"/>
          <w:szCs w:val="21"/>
          <w:highlight w:val="none"/>
        </w:rPr>
        <w:br w:type="page"/>
      </w:r>
      <w:bookmarkStart w:id="48" w:name="_Toc449685252"/>
      <w:bookmarkStart w:id="49" w:name="_Toc511207283"/>
      <w:bookmarkStart w:id="50" w:name="_Toc402425837"/>
      <w:r>
        <w:rPr>
          <w:b/>
          <w:color w:val="000000" w:themeColor="text1"/>
          <w:sz w:val="32"/>
          <w:szCs w:val="32"/>
          <w:highlight w:val="none"/>
        </w:rPr>
        <w:t>三、授权委托书</w:t>
      </w:r>
      <w:bookmarkEnd w:id="48"/>
      <w:bookmarkEnd w:id="49"/>
      <w:bookmarkEnd w:id="50"/>
    </w:p>
    <w:p w14:paraId="313DFA12">
      <w:pPr>
        <w:spacing w:line="360" w:lineRule="auto"/>
        <w:rPr>
          <w:color w:val="000000" w:themeColor="text1"/>
          <w:sz w:val="16"/>
          <w:szCs w:val="21"/>
          <w:highlight w:val="none"/>
        </w:rPr>
      </w:pPr>
    </w:p>
    <w:p w14:paraId="489628C0">
      <w:pPr>
        <w:spacing w:line="480" w:lineRule="auto"/>
        <w:ind w:firstLine="420" w:firstLineChars="200"/>
        <w:rPr>
          <w:color w:val="000000" w:themeColor="text1"/>
          <w:szCs w:val="21"/>
          <w:highlight w:val="none"/>
        </w:rPr>
      </w:pPr>
      <w:r>
        <w:rPr>
          <w:color w:val="000000" w:themeColor="text1"/>
          <w:szCs w:val="21"/>
          <w:highlight w:val="none"/>
        </w:rPr>
        <w:t>本授权委托书声明：</w:t>
      </w:r>
    </w:p>
    <w:p w14:paraId="531FAA23">
      <w:pPr>
        <w:spacing w:line="480" w:lineRule="auto"/>
        <w:ind w:firstLine="420" w:firstLineChars="200"/>
        <w:rPr>
          <w:color w:val="000000" w:themeColor="text1"/>
          <w:szCs w:val="21"/>
          <w:highlight w:val="none"/>
        </w:rPr>
      </w:pPr>
      <w:r>
        <w:rPr>
          <w:color w:val="000000" w:themeColor="text1"/>
          <w:szCs w:val="21"/>
          <w:highlight w:val="none"/>
        </w:rPr>
        <w:t>我（姓名）系（</w:t>
      </w:r>
      <w:r>
        <w:rPr>
          <w:rFonts w:hint="eastAsia"/>
          <w:color w:val="000000" w:themeColor="text1"/>
          <w:szCs w:val="21"/>
          <w:highlight w:val="none"/>
        </w:rPr>
        <w:t>供应商</w:t>
      </w:r>
      <w:r>
        <w:rPr>
          <w:color w:val="000000" w:themeColor="text1"/>
          <w:szCs w:val="21"/>
          <w:highlight w:val="none"/>
        </w:rPr>
        <w:t>名称）的法定代表人，现授权委托（姓名）为我公司代表，以（</w:t>
      </w:r>
      <w:r>
        <w:rPr>
          <w:rFonts w:hint="eastAsia"/>
          <w:color w:val="000000" w:themeColor="text1"/>
          <w:szCs w:val="21"/>
          <w:highlight w:val="none"/>
        </w:rPr>
        <w:t>供应商</w:t>
      </w:r>
      <w:r>
        <w:rPr>
          <w:color w:val="000000" w:themeColor="text1"/>
          <w:szCs w:val="21"/>
          <w:highlight w:val="none"/>
        </w:rPr>
        <w:t>名称）的名义参加（项目名称）投标活动。</w:t>
      </w:r>
    </w:p>
    <w:p w14:paraId="6B2089CF">
      <w:pPr>
        <w:spacing w:line="480" w:lineRule="auto"/>
        <w:ind w:firstLine="420" w:firstLineChars="200"/>
        <w:rPr>
          <w:color w:val="000000" w:themeColor="text1"/>
          <w:szCs w:val="21"/>
          <w:highlight w:val="none"/>
        </w:rPr>
      </w:pPr>
      <w:r>
        <w:rPr>
          <w:color w:val="000000" w:themeColor="text1"/>
          <w:szCs w:val="21"/>
          <w:highlight w:val="none"/>
        </w:rPr>
        <w:t>委托代理人在</w:t>
      </w:r>
      <w:r>
        <w:rPr>
          <w:rFonts w:hint="eastAsia"/>
          <w:color w:val="000000" w:themeColor="text1"/>
          <w:szCs w:val="21"/>
          <w:highlight w:val="none"/>
        </w:rPr>
        <w:t>磋商、评审</w:t>
      </w:r>
      <w:r>
        <w:rPr>
          <w:color w:val="000000" w:themeColor="text1"/>
          <w:szCs w:val="21"/>
          <w:highlight w:val="none"/>
        </w:rPr>
        <w:t>、合同谈判过程中签署的一切文件和处理与之有关的一切事务，我均予以承认。</w:t>
      </w:r>
    </w:p>
    <w:p w14:paraId="079942B2">
      <w:pPr>
        <w:spacing w:line="480" w:lineRule="auto"/>
        <w:ind w:firstLine="420" w:firstLineChars="200"/>
        <w:rPr>
          <w:color w:val="000000" w:themeColor="text1"/>
          <w:szCs w:val="21"/>
          <w:highlight w:val="none"/>
        </w:rPr>
      </w:pPr>
      <w:r>
        <w:rPr>
          <w:color w:val="000000" w:themeColor="text1"/>
          <w:szCs w:val="21"/>
          <w:highlight w:val="none"/>
        </w:rPr>
        <w:t>委托代理人无转委托权。</w:t>
      </w:r>
    </w:p>
    <w:p w14:paraId="6CA6771C">
      <w:pPr>
        <w:spacing w:line="480" w:lineRule="auto"/>
        <w:ind w:firstLine="420" w:firstLineChars="200"/>
        <w:rPr>
          <w:color w:val="000000" w:themeColor="text1"/>
          <w:szCs w:val="21"/>
          <w:highlight w:val="none"/>
        </w:rPr>
      </w:pPr>
      <w:r>
        <w:rPr>
          <w:color w:val="000000" w:themeColor="text1"/>
          <w:szCs w:val="21"/>
          <w:highlight w:val="none"/>
        </w:rPr>
        <w:t>特此委托。</w:t>
      </w:r>
    </w:p>
    <w:tbl>
      <w:tblPr>
        <w:tblStyle w:val="38"/>
        <w:tblW w:w="8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0"/>
      </w:tblGrid>
      <w:tr w14:paraId="1F4B2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4" w:hRule="atLeast"/>
        </w:trPr>
        <w:tc>
          <w:tcPr>
            <w:tcW w:w="8640" w:type="dxa"/>
            <w:noWrap/>
          </w:tcPr>
          <w:p w14:paraId="25CC71A8">
            <w:pPr>
              <w:spacing w:line="360" w:lineRule="auto"/>
              <w:rPr>
                <w:color w:val="000000" w:themeColor="text1"/>
                <w:szCs w:val="21"/>
                <w:highlight w:val="none"/>
              </w:rPr>
            </w:pPr>
            <w:r>
              <w:rPr>
                <w:color w:val="000000" w:themeColor="text1"/>
                <w:szCs w:val="21"/>
                <w:highlight w:val="none"/>
              </w:rPr>
              <w:t>附：委托代理人身份证复印件</w:t>
            </w:r>
          </w:p>
        </w:tc>
      </w:tr>
    </w:tbl>
    <w:p w14:paraId="2E13632A">
      <w:pPr>
        <w:spacing w:line="360" w:lineRule="auto"/>
        <w:ind w:firstLine="420" w:firstLineChars="200"/>
        <w:jc w:val="right"/>
        <w:rPr>
          <w:color w:val="000000" w:themeColor="text1"/>
          <w:szCs w:val="21"/>
          <w:highlight w:val="none"/>
        </w:rPr>
      </w:pPr>
    </w:p>
    <w:p w14:paraId="3CA79775">
      <w:pPr>
        <w:wordWrap w:val="0"/>
        <w:spacing w:line="480" w:lineRule="auto"/>
        <w:ind w:firstLine="420" w:firstLineChars="200"/>
        <w:jc w:val="center"/>
        <w:rPr>
          <w:rFonts w:hint="eastAsia"/>
          <w:color w:val="000000" w:themeColor="text1"/>
          <w:szCs w:val="21"/>
          <w:highlight w:val="none"/>
          <w:lang w:val="en-US" w:eastAsia="zh-CN"/>
        </w:rPr>
      </w:pPr>
      <w:r>
        <w:rPr>
          <w:rFonts w:hint="eastAsia"/>
          <w:color w:val="000000" w:themeColor="text1"/>
          <w:szCs w:val="21"/>
          <w:highlight w:val="none"/>
          <w:lang w:val="en-US" w:eastAsia="zh-CN"/>
        </w:rPr>
        <w:t xml:space="preserve">        </w:t>
      </w:r>
    </w:p>
    <w:p w14:paraId="690D56E0">
      <w:pPr>
        <w:wordWrap w:val="0"/>
        <w:spacing w:line="480" w:lineRule="auto"/>
        <w:ind w:firstLine="420" w:firstLineChars="200"/>
        <w:jc w:val="center"/>
        <w:rPr>
          <w:rFonts w:hint="eastAsia"/>
          <w:color w:val="000000" w:themeColor="text1"/>
          <w:szCs w:val="21"/>
          <w:highlight w:val="none"/>
          <w:lang w:val="en-US" w:eastAsia="zh-CN"/>
        </w:rPr>
      </w:pPr>
    </w:p>
    <w:p w14:paraId="3B8A7446">
      <w:pPr>
        <w:wordWrap w:val="0"/>
        <w:spacing w:line="480" w:lineRule="auto"/>
        <w:ind w:firstLine="420" w:firstLineChars="200"/>
        <w:jc w:val="center"/>
        <w:rPr>
          <w:rFonts w:hint="eastAsia"/>
          <w:color w:val="000000" w:themeColor="text1"/>
          <w:szCs w:val="21"/>
          <w:highlight w:val="none"/>
          <w:lang w:val="en-US" w:eastAsia="zh-CN"/>
        </w:rPr>
      </w:pPr>
    </w:p>
    <w:p w14:paraId="4FD45C11">
      <w:pPr>
        <w:wordWrap w:val="0"/>
        <w:spacing w:line="480" w:lineRule="auto"/>
        <w:ind w:firstLine="420" w:firstLineChars="200"/>
        <w:jc w:val="center"/>
        <w:rPr>
          <w:rFonts w:hint="eastAsia"/>
          <w:color w:val="000000" w:themeColor="text1"/>
          <w:szCs w:val="21"/>
          <w:highlight w:val="none"/>
          <w:lang w:val="en-US" w:eastAsia="zh-CN"/>
        </w:rPr>
      </w:pPr>
    </w:p>
    <w:p w14:paraId="5D8023C4">
      <w:pPr>
        <w:wordWrap w:val="0"/>
        <w:spacing w:line="480" w:lineRule="auto"/>
        <w:ind w:firstLine="420" w:firstLineChars="200"/>
        <w:jc w:val="center"/>
        <w:rPr>
          <w:color w:val="000000" w:themeColor="text1"/>
          <w:szCs w:val="21"/>
          <w:highlight w:val="none"/>
        </w:rPr>
      </w:pPr>
      <w:r>
        <w:rPr>
          <w:rFonts w:hint="eastAsia"/>
          <w:color w:val="000000" w:themeColor="text1"/>
          <w:szCs w:val="21"/>
          <w:highlight w:val="none"/>
          <w:lang w:val="en-US" w:eastAsia="zh-CN"/>
        </w:rPr>
        <w:t xml:space="preserve">      </w:t>
      </w:r>
      <w:r>
        <w:rPr>
          <w:rFonts w:hint="eastAsia"/>
          <w:color w:val="000000" w:themeColor="text1"/>
          <w:szCs w:val="21"/>
          <w:highlight w:val="none"/>
        </w:rPr>
        <w:t>供应商</w:t>
      </w:r>
      <w:r>
        <w:rPr>
          <w:color w:val="000000" w:themeColor="text1"/>
          <w:szCs w:val="21"/>
          <w:highlight w:val="none"/>
        </w:rPr>
        <w:t>：（公章）</w:t>
      </w:r>
    </w:p>
    <w:p w14:paraId="55DE5F58">
      <w:pPr>
        <w:spacing w:line="480" w:lineRule="auto"/>
        <w:ind w:firstLine="420" w:firstLineChars="200"/>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法定代表人：（盖章</w:t>
      </w:r>
      <w:r>
        <w:rPr>
          <w:rFonts w:hint="eastAsia"/>
          <w:color w:val="000000" w:themeColor="text1"/>
          <w:szCs w:val="21"/>
          <w:highlight w:val="none"/>
        </w:rPr>
        <w:t>或签字</w:t>
      </w:r>
      <w:r>
        <w:rPr>
          <w:color w:val="000000" w:themeColor="text1"/>
          <w:szCs w:val="21"/>
          <w:highlight w:val="none"/>
        </w:rPr>
        <w:t>）</w:t>
      </w:r>
    </w:p>
    <w:p w14:paraId="0655219E">
      <w:pPr>
        <w:wordWrap w:val="0"/>
        <w:spacing w:line="480" w:lineRule="auto"/>
        <w:ind w:firstLine="420" w:firstLineChars="200"/>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委托代理人：（签字）</w:t>
      </w:r>
    </w:p>
    <w:p w14:paraId="300139AF">
      <w:pPr>
        <w:wordWrap w:val="0"/>
        <w:spacing w:line="480" w:lineRule="auto"/>
        <w:ind w:firstLine="420" w:firstLineChars="200"/>
        <w:jc w:val="center"/>
        <w:rPr>
          <w:color w:val="000000" w:themeColor="text1"/>
          <w:szCs w:val="21"/>
          <w:highlight w:val="none"/>
        </w:rPr>
      </w:pPr>
      <w:r>
        <w:rPr>
          <w:rFonts w:hint="eastAsia"/>
          <w:color w:val="000000" w:themeColor="text1"/>
          <w:szCs w:val="21"/>
          <w:highlight w:val="none"/>
          <w:lang w:val="en-US" w:eastAsia="zh-CN"/>
        </w:rPr>
        <w:t xml:space="preserve">      </w:t>
      </w:r>
      <w:r>
        <w:rPr>
          <w:color w:val="000000" w:themeColor="text1"/>
          <w:szCs w:val="21"/>
          <w:highlight w:val="none"/>
        </w:rPr>
        <w:t xml:space="preserve">日    期：    年    月    日     </w:t>
      </w:r>
      <w:bookmarkStart w:id="51" w:name="_Toc511207284"/>
      <w:bookmarkStart w:id="52" w:name="_Toc449685253"/>
      <w:bookmarkStart w:id="53" w:name="_Toc402425838"/>
    </w:p>
    <w:p w14:paraId="70666E34">
      <w:pPr>
        <w:ind w:firstLine="420" w:firstLineChars="200"/>
        <w:jc w:val="center"/>
        <w:rPr>
          <w:b/>
          <w:color w:val="000000" w:themeColor="text1"/>
          <w:sz w:val="32"/>
          <w:szCs w:val="32"/>
          <w:highlight w:val="none"/>
        </w:rPr>
      </w:pPr>
      <w:r>
        <w:rPr>
          <w:color w:val="000000" w:themeColor="text1"/>
          <w:szCs w:val="21"/>
          <w:highlight w:val="none"/>
        </w:rPr>
        <w:br w:type="page"/>
      </w:r>
      <w:r>
        <w:rPr>
          <w:b/>
          <w:color w:val="000000" w:themeColor="text1"/>
          <w:sz w:val="32"/>
          <w:szCs w:val="32"/>
          <w:highlight w:val="none"/>
        </w:rPr>
        <w:t>四、</w:t>
      </w:r>
      <w:r>
        <w:rPr>
          <w:rFonts w:hint="eastAsia"/>
          <w:b/>
          <w:color w:val="000000" w:themeColor="text1"/>
          <w:sz w:val="32"/>
          <w:szCs w:val="32"/>
          <w:highlight w:val="none"/>
        </w:rPr>
        <w:t>报价</w:t>
      </w:r>
      <w:r>
        <w:rPr>
          <w:b/>
          <w:color w:val="000000" w:themeColor="text1"/>
          <w:sz w:val="32"/>
          <w:szCs w:val="32"/>
          <w:highlight w:val="none"/>
        </w:rPr>
        <w:t>一览表</w:t>
      </w:r>
      <w:bookmarkEnd w:id="51"/>
      <w:bookmarkEnd w:id="52"/>
      <w:bookmarkEnd w:id="53"/>
      <w:r>
        <w:rPr>
          <w:rFonts w:hint="eastAsia"/>
          <w:b/>
          <w:color w:val="000000" w:themeColor="text1"/>
          <w:sz w:val="32"/>
          <w:szCs w:val="32"/>
          <w:highlight w:val="none"/>
        </w:rPr>
        <w:t>（首次）</w:t>
      </w:r>
    </w:p>
    <w:p w14:paraId="3868DA7C">
      <w:pPr>
        <w:spacing w:line="480" w:lineRule="auto"/>
        <w:ind w:firstLine="643" w:firstLineChars="200"/>
        <w:jc w:val="center"/>
        <w:rPr>
          <w:b/>
          <w:color w:val="000000" w:themeColor="text1"/>
          <w:sz w:val="32"/>
          <w:szCs w:val="32"/>
          <w:highlight w:val="none"/>
        </w:rPr>
      </w:pPr>
    </w:p>
    <w:p w14:paraId="3385D972">
      <w:pPr>
        <w:autoSpaceDE w:val="0"/>
        <w:autoSpaceDN w:val="0"/>
        <w:spacing w:line="480" w:lineRule="auto"/>
        <w:ind w:firstLine="210" w:firstLineChars="100"/>
        <w:rPr>
          <w:bCs/>
          <w:color w:val="000000" w:themeColor="text1"/>
          <w:szCs w:val="21"/>
          <w:highlight w:val="none"/>
          <w:lang w:val="zh-CN"/>
        </w:rPr>
      </w:pPr>
      <w:r>
        <w:rPr>
          <w:bCs/>
          <w:color w:val="000000" w:themeColor="text1"/>
          <w:szCs w:val="21"/>
          <w:highlight w:val="none"/>
          <w:lang w:val="zh-CN"/>
        </w:rPr>
        <w:t>项目名称：</w:t>
      </w:r>
    </w:p>
    <w:p w14:paraId="0FC143DF">
      <w:pPr>
        <w:autoSpaceDE w:val="0"/>
        <w:autoSpaceDN w:val="0"/>
        <w:spacing w:line="480" w:lineRule="auto"/>
        <w:ind w:firstLine="210" w:firstLineChars="100"/>
        <w:rPr>
          <w:bCs/>
          <w:color w:val="000000" w:themeColor="text1"/>
          <w:szCs w:val="21"/>
          <w:highlight w:val="none"/>
          <w:lang w:val="zh-CN"/>
        </w:rPr>
      </w:pPr>
      <w:r>
        <w:rPr>
          <w:rFonts w:hint="eastAsia"/>
          <w:bCs/>
          <w:color w:val="000000" w:themeColor="text1"/>
          <w:szCs w:val="21"/>
          <w:highlight w:val="none"/>
        </w:rPr>
        <w:t>项目</w:t>
      </w:r>
      <w:r>
        <w:rPr>
          <w:bCs/>
          <w:color w:val="000000" w:themeColor="text1"/>
          <w:szCs w:val="21"/>
          <w:highlight w:val="none"/>
          <w:lang w:val="zh-CN"/>
        </w:rPr>
        <w:t>编号：</w:t>
      </w:r>
    </w:p>
    <w:p w14:paraId="596D7830">
      <w:pPr>
        <w:spacing w:line="480" w:lineRule="auto"/>
        <w:ind w:firstLine="210" w:firstLineChars="100"/>
        <w:rPr>
          <w:bCs/>
          <w:color w:val="000000" w:themeColor="text1"/>
          <w:szCs w:val="21"/>
          <w:highlight w:val="none"/>
          <w:lang w:val="zh-CN"/>
        </w:rPr>
      </w:pPr>
      <w:r>
        <w:rPr>
          <w:bCs/>
          <w:color w:val="000000" w:themeColor="text1"/>
          <w:szCs w:val="21"/>
          <w:highlight w:val="none"/>
          <w:lang w:val="zh-CN"/>
        </w:rPr>
        <w:t>开</w:t>
      </w:r>
      <w:r>
        <w:rPr>
          <w:rFonts w:hint="eastAsia"/>
          <w:bCs/>
          <w:color w:val="000000" w:themeColor="text1"/>
          <w:szCs w:val="21"/>
          <w:highlight w:val="none"/>
        </w:rPr>
        <w:t>启</w:t>
      </w:r>
      <w:r>
        <w:rPr>
          <w:bCs/>
          <w:color w:val="000000" w:themeColor="text1"/>
          <w:szCs w:val="21"/>
          <w:highlight w:val="none"/>
          <w:lang w:val="zh-CN"/>
        </w:rPr>
        <w:t xml:space="preserve">时间：    年    月    日 </w:t>
      </w:r>
    </w:p>
    <w:tbl>
      <w:tblPr>
        <w:tblStyle w:val="38"/>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4"/>
        <w:gridCol w:w="3265"/>
      </w:tblGrid>
      <w:tr w14:paraId="2E24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174" w:type="dxa"/>
            <w:noWrap/>
            <w:vAlign w:val="center"/>
          </w:tcPr>
          <w:p w14:paraId="280985FB">
            <w:pPr>
              <w:autoSpaceDE w:val="0"/>
              <w:autoSpaceDN w:val="0"/>
              <w:spacing w:line="400" w:lineRule="exact"/>
              <w:jc w:val="center"/>
              <w:rPr>
                <w:bCs/>
                <w:color w:val="000000" w:themeColor="text1"/>
                <w:szCs w:val="21"/>
                <w:highlight w:val="none"/>
                <w:lang w:val="zh-CN"/>
              </w:rPr>
            </w:pPr>
            <w:r>
              <w:rPr>
                <w:rFonts w:hint="eastAsia"/>
                <w:bCs/>
                <w:color w:val="000000" w:themeColor="text1"/>
                <w:szCs w:val="21"/>
                <w:highlight w:val="none"/>
              </w:rPr>
              <w:t>供应商</w:t>
            </w:r>
            <w:r>
              <w:rPr>
                <w:bCs/>
                <w:color w:val="000000" w:themeColor="text1"/>
                <w:szCs w:val="21"/>
                <w:highlight w:val="none"/>
                <w:lang w:val="zh-CN"/>
              </w:rPr>
              <w:t>名称</w:t>
            </w:r>
          </w:p>
        </w:tc>
        <w:tc>
          <w:tcPr>
            <w:tcW w:w="3265" w:type="dxa"/>
            <w:noWrap/>
            <w:vAlign w:val="center"/>
          </w:tcPr>
          <w:p w14:paraId="040A5EF2">
            <w:pPr>
              <w:autoSpaceDE w:val="0"/>
              <w:autoSpaceDN w:val="0"/>
              <w:spacing w:line="400" w:lineRule="exact"/>
              <w:jc w:val="center"/>
              <w:rPr>
                <w:bCs/>
                <w:color w:val="000000" w:themeColor="text1"/>
                <w:szCs w:val="21"/>
                <w:highlight w:val="none"/>
                <w:lang w:val="zh-CN"/>
              </w:rPr>
            </w:pPr>
            <w:r>
              <w:rPr>
                <w:rFonts w:hint="eastAsia"/>
                <w:bCs/>
                <w:color w:val="000000" w:themeColor="text1"/>
                <w:szCs w:val="21"/>
                <w:highlight w:val="none"/>
                <w:lang w:val="zh-CN"/>
              </w:rPr>
              <w:t>总</w:t>
            </w:r>
            <w:r>
              <w:rPr>
                <w:bCs/>
                <w:color w:val="000000" w:themeColor="text1"/>
                <w:szCs w:val="21"/>
                <w:highlight w:val="none"/>
                <w:lang w:val="zh-CN"/>
              </w:rPr>
              <w:t>报价</w:t>
            </w:r>
          </w:p>
          <w:p w14:paraId="7DED939D">
            <w:pPr>
              <w:autoSpaceDE w:val="0"/>
              <w:autoSpaceDN w:val="0"/>
              <w:spacing w:line="400" w:lineRule="exact"/>
              <w:jc w:val="center"/>
              <w:rPr>
                <w:bCs/>
                <w:color w:val="000000" w:themeColor="text1"/>
                <w:szCs w:val="21"/>
                <w:highlight w:val="none"/>
                <w:lang w:val="zh-CN"/>
              </w:rPr>
            </w:pPr>
            <w:r>
              <w:rPr>
                <w:bCs/>
                <w:color w:val="000000" w:themeColor="text1"/>
                <w:szCs w:val="21"/>
                <w:highlight w:val="none"/>
                <w:lang w:val="zh-CN"/>
              </w:rPr>
              <w:t>（</w:t>
            </w:r>
            <w:r>
              <w:rPr>
                <w:rFonts w:hint="eastAsia"/>
                <w:bCs/>
                <w:color w:val="000000" w:themeColor="text1"/>
                <w:szCs w:val="21"/>
                <w:highlight w:val="none"/>
              </w:rPr>
              <w:t>万元</w:t>
            </w:r>
            <w:r>
              <w:rPr>
                <w:bCs/>
                <w:color w:val="000000" w:themeColor="text1"/>
                <w:szCs w:val="21"/>
                <w:highlight w:val="none"/>
                <w:lang w:val="zh-CN"/>
              </w:rPr>
              <w:t>）</w:t>
            </w:r>
          </w:p>
        </w:tc>
      </w:tr>
      <w:tr w14:paraId="3AE6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atLeast"/>
          <w:jc w:val="center"/>
        </w:trPr>
        <w:tc>
          <w:tcPr>
            <w:tcW w:w="5174" w:type="dxa"/>
            <w:noWrap/>
            <w:vAlign w:val="center"/>
          </w:tcPr>
          <w:p w14:paraId="27360581">
            <w:pPr>
              <w:autoSpaceDE w:val="0"/>
              <w:autoSpaceDN w:val="0"/>
              <w:spacing w:line="400" w:lineRule="exact"/>
              <w:jc w:val="center"/>
              <w:rPr>
                <w:bCs/>
                <w:color w:val="000000" w:themeColor="text1"/>
                <w:szCs w:val="21"/>
                <w:highlight w:val="none"/>
                <w:lang w:val="zh-CN"/>
              </w:rPr>
            </w:pPr>
          </w:p>
        </w:tc>
        <w:tc>
          <w:tcPr>
            <w:tcW w:w="3265" w:type="dxa"/>
            <w:noWrap/>
            <w:vAlign w:val="center"/>
          </w:tcPr>
          <w:p w14:paraId="7CC01DCD">
            <w:pPr>
              <w:autoSpaceDE w:val="0"/>
              <w:autoSpaceDN w:val="0"/>
              <w:spacing w:line="400" w:lineRule="exact"/>
              <w:jc w:val="center"/>
              <w:rPr>
                <w:bCs/>
                <w:color w:val="000000" w:themeColor="text1"/>
                <w:szCs w:val="21"/>
                <w:highlight w:val="none"/>
              </w:rPr>
            </w:pPr>
          </w:p>
        </w:tc>
      </w:tr>
    </w:tbl>
    <w:p w14:paraId="4F9851B2">
      <w:pPr>
        <w:autoSpaceDE w:val="0"/>
        <w:autoSpaceDN w:val="0"/>
        <w:spacing w:line="480" w:lineRule="auto"/>
        <w:rPr>
          <w:bCs/>
          <w:color w:val="000000" w:themeColor="text1"/>
          <w:szCs w:val="21"/>
          <w:highlight w:val="none"/>
          <w:lang w:val="zh-CN"/>
        </w:rPr>
      </w:pPr>
      <w:r>
        <w:rPr>
          <w:bCs/>
          <w:color w:val="000000" w:themeColor="text1"/>
          <w:szCs w:val="21"/>
          <w:highlight w:val="none"/>
          <w:lang w:val="zh-CN"/>
        </w:rPr>
        <w:t>注：</w:t>
      </w:r>
    </w:p>
    <w:p w14:paraId="41491FF8">
      <w:pPr>
        <w:autoSpaceDE w:val="0"/>
        <w:autoSpaceDN w:val="0"/>
        <w:adjustRightInd w:val="0"/>
        <w:spacing w:line="480" w:lineRule="auto"/>
        <w:ind w:firstLine="420" w:firstLineChars="200"/>
        <w:textAlignment w:val="baseline"/>
        <w:rPr>
          <w:rFonts w:ascii="宋体" w:hAnsi="宋体" w:cs="宋体"/>
          <w:snapToGrid w:val="0"/>
          <w:color w:val="000000" w:themeColor="text1"/>
          <w:kern w:val="0"/>
          <w:szCs w:val="32"/>
          <w:highlight w:val="none"/>
          <w:lang w:val="zh-CN"/>
        </w:rPr>
      </w:pPr>
      <w:r>
        <w:rPr>
          <w:rFonts w:hint="eastAsia" w:ascii="宋体" w:hAnsi="宋体" w:cs="宋体"/>
          <w:snapToGrid w:val="0"/>
          <w:color w:val="000000" w:themeColor="text1"/>
          <w:kern w:val="0"/>
          <w:szCs w:val="32"/>
          <w:highlight w:val="none"/>
        </w:rPr>
        <w:t>1、</w:t>
      </w:r>
      <w:r>
        <w:rPr>
          <w:rFonts w:ascii="宋体" w:hAnsi="宋体" w:cs="宋体"/>
          <w:snapToGrid w:val="0"/>
          <w:color w:val="000000" w:themeColor="text1"/>
          <w:kern w:val="0"/>
          <w:szCs w:val="32"/>
          <w:highlight w:val="none"/>
          <w:lang w:val="zh-CN"/>
        </w:rPr>
        <w:t>本表的一切内容均具有法律效力，不得更改</w:t>
      </w:r>
      <w:r>
        <w:rPr>
          <w:rFonts w:hint="eastAsia" w:ascii="宋体" w:hAnsi="宋体" w:cs="宋体"/>
          <w:snapToGrid w:val="0"/>
          <w:color w:val="000000" w:themeColor="text1"/>
          <w:kern w:val="0"/>
          <w:szCs w:val="32"/>
          <w:highlight w:val="none"/>
          <w:lang w:val="zh-CN"/>
        </w:rPr>
        <w:t>。</w:t>
      </w:r>
      <w:r>
        <w:rPr>
          <w:rFonts w:hint="eastAsia" w:ascii="宋体" w:hAnsi="宋体" w:cs="宋体"/>
          <w:snapToGrid w:val="0"/>
          <w:color w:val="000000" w:themeColor="text1"/>
          <w:kern w:val="0"/>
          <w:szCs w:val="32"/>
          <w:highlight w:val="none"/>
        </w:rPr>
        <w:t>当报价一览表与响应标文件不一致时，以报价一览表为准</w:t>
      </w:r>
      <w:r>
        <w:rPr>
          <w:rFonts w:ascii="宋体" w:hAnsi="宋体" w:cs="宋体"/>
          <w:snapToGrid w:val="0"/>
          <w:color w:val="000000" w:themeColor="text1"/>
          <w:kern w:val="0"/>
          <w:szCs w:val="32"/>
          <w:highlight w:val="none"/>
          <w:lang w:val="zh-CN"/>
        </w:rPr>
        <w:t>。</w:t>
      </w:r>
    </w:p>
    <w:p w14:paraId="5DE4FCC0">
      <w:pPr>
        <w:autoSpaceDE w:val="0"/>
        <w:autoSpaceDN w:val="0"/>
        <w:adjustRightInd w:val="0"/>
        <w:spacing w:line="480" w:lineRule="auto"/>
        <w:ind w:firstLine="420" w:firstLineChars="200"/>
        <w:textAlignment w:val="baseline"/>
        <w:rPr>
          <w:rFonts w:ascii="宋体" w:hAnsi="宋体" w:cs="宋体"/>
          <w:snapToGrid w:val="0"/>
          <w:color w:val="000000" w:themeColor="text1"/>
          <w:kern w:val="0"/>
          <w:szCs w:val="32"/>
          <w:highlight w:val="none"/>
        </w:rPr>
      </w:pPr>
      <w:r>
        <w:rPr>
          <w:rFonts w:hint="eastAsia" w:ascii="宋体" w:hAnsi="宋体" w:cs="宋体"/>
          <w:snapToGrid w:val="0"/>
          <w:color w:val="000000" w:themeColor="text1"/>
          <w:kern w:val="0"/>
          <w:szCs w:val="32"/>
          <w:highlight w:val="none"/>
        </w:rPr>
        <w:t>2、报价为采购范围所列全部项目的含税报价总和。</w:t>
      </w:r>
    </w:p>
    <w:p w14:paraId="2E0B4FF3">
      <w:pPr>
        <w:spacing w:line="480" w:lineRule="auto"/>
        <w:ind w:firstLine="2520" w:firstLineChars="1200"/>
        <w:rPr>
          <w:color w:val="000000" w:themeColor="text1"/>
          <w:szCs w:val="21"/>
          <w:highlight w:val="none"/>
        </w:rPr>
      </w:pPr>
    </w:p>
    <w:p w14:paraId="37AB4ED3">
      <w:pPr>
        <w:spacing w:line="480" w:lineRule="auto"/>
        <w:ind w:firstLine="2520" w:firstLineChars="1200"/>
        <w:rPr>
          <w:color w:val="000000" w:themeColor="text1"/>
          <w:szCs w:val="21"/>
          <w:highlight w:val="none"/>
        </w:rPr>
      </w:pPr>
    </w:p>
    <w:p w14:paraId="5935F895">
      <w:pPr>
        <w:spacing w:line="480" w:lineRule="auto"/>
        <w:ind w:firstLine="2520" w:firstLineChars="1200"/>
        <w:rPr>
          <w:color w:val="000000" w:themeColor="text1"/>
          <w:szCs w:val="21"/>
          <w:highlight w:val="none"/>
        </w:rPr>
      </w:pPr>
      <w:r>
        <w:rPr>
          <w:rFonts w:hint="eastAsia"/>
          <w:color w:val="000000" w:themeColor="text1"/>
          <w:szCs w:val="21"/>
          <w:highlight w:val="none"/>
        </w:rPr>
        <w:t>供应商</w:t>
      </w:r>
      <w:r>
        <w:rPr>
          <w:color w:val="000000" w:themeColor="text1"/>
          <w:szCs w:val="21"/>
          <w:highlight w:val="none"/>
        </w:rPr>
        <w:t>：（公章）</w:t>
      </w:r>
    </w:p>
    <w:p w14:paraId="08F2D26C">
      <w:pPr>
        <w:spacing w:line="480" w:lineRule="auto"/>
        <w:ind w:firstLine="2520" w:firstLineChars="1200"/>
        <w:jc w:val="left"/>
        <w:rPr>
          <w:color w:val="000000" w:themeColor="text1"/>
          <w:szCs w:val="21"/>
          <w:highlight w:val="none"/>
        </w:rPr>
      </w:pPr>
      <w:r>
        <w:rPr>
          <w:color w:val="000000" w:themeColor="text1"/>
          <w:szCs w:val="21"/>
          <w:highlight w:val="none"/>
        </w:rPr>
        <w:t>法定代表人</w:t>
      </w:r>
      <w:r>
        <w:rPr>
          <w:rFonts w:hint="eastAsia"/>
          <w:color w:val="000000" w:themeColor="text1"/>
          <w:szCs w:val="21"/>
          <w:highlight w:val="none"/>
        </w:rPr>
        <w:t>或</w:t>
      </w:r>
      <w:r>
        <w:rPr>
          <w:color w:val="000000" w:themeColor="text1"/>
          <w:szCs w:val="21"/>
          <w:highlight w:val="none"/>
        </w:rPr>
        <w:t>委托代理人：（签字</w:t>
      </w:r>
      <w:r>
        <w:rPr>
          <w:rFonts w:hint="eastAsia"/>
          <w:color w:val="000000" w:themeColor="text1"/>
          <w:szCs w:val="21"/>
          <w:highlight w:val="none"/>
        </w:rPr>
        <w:t>或</w:t>
      </w:r>
      <w:r>
        <w:rPr>
          <w:color w:val="000000" w:themeColor="text1"/>
          <w:szCs w:val="21"/>
          <w:highlight w:val="none"/>
        </w:rPr>
        <w:t>盖章）</w:t>
      </w:r>
    </w:p>
    <w:p w14:paraId="6C86219E">
      <w:pPr>
        <w:spacing w:line="440" w:lineRule="exact"/>
        <w:ind w:firstLine="2530" w:firstLineChars="1205"/>
        <w:rPr>
          <w:color w:val="000000" w:themeColor="text1"/>
          <w:highlight w:val="none"/>
        </w:rPr>
      </w:pPr>
      <w:r>
        <w:rPr>
          <w:color w:val="000000" w:themeColor="text1"/>
          <w:szCs w:val="21"/>
          <w:highlight w:val="none"/>
        </w:rPr>
        <w:t>日    期：    年    月    日</w:t>
      </w:r>
    </w:p>
    <w:p w14:paraId="091AC071">
      <w:pPr>
        <w:spacing w:line="300" w:lineRule="auto"/>
        <w:ind w:firstLine="420" w:firstLineChars="200"/>
        <w:rPr>
          <w:color w:val="000000" w:themeColor="text1"/>
          <w:highlight w:val="none"/>
        </w:rPr>
      </w:pPr>
    </w:p>
    <w:p w14:paraId="0188C8F3">
      <w:pPr>
        <w:autoSpaceDE w:val="0"/>
        <w:autoSpaceDN w:val="0"/>
        <w:jc w:val="center"/>
        <w:rPr>
          <w:b/>
          <w:color w:val="000000" w:themeColor="text1"/>
          <w:sz w:val="32"/>
          <w:szCs w:val="32"/>
          <w:highlight w:val="none"/>
        </w:rPr>
      </w:pPr>
      <w:bookmarkStart w:id="54" w:name="_Toc402425839"/>
      <w:r>
        <w:rPr>
          <w:b/>
          <w:color w:val="000000" w:themeColor="text1"/>
          <w:highlight w:val="none"/>
        </w:rPr>
        <w:br w:type="page"/>
      </w:r>
      <w:bookmarkEnd w:id="47"/>
      <w:bookmarkEnd w:id="54"/>
      <w:r>
        <w:rPr>
          <w:b/>
          <w:color w:val="000000" w:themeColor="text1"/>
          <w:sz w:val="32"/>
          <w:szCs w:val="32"/>
          <w:highlight w:val="none"/>
        </w:rPr>
        <w:t>五、报价</w:t>
      </w:r>
      <w:r>
        <w:rPr>
          <w:rFonts w:hint="eastAsia"/>
          <w:b/>
          <w:color w:val="000000" w:themeColor="text1"/>
          <w:sz w:val="32"/>
          <w:szCs w:val="32"/>
          <w:highlight w:val="none"/>
        </w:rPr>
        <w:t>明细</w:t>
      </w:r>
    </w:p>
    <w:p w14:paraId="2563F178">
      <w:pPr>
        <w:autoSpaceDE w:val="0"/>
        <w:autoSpaceDN w:val="0"/>
        <w:snapToGrid w:val="0"/>
        <w:rPr>
          <w:color w:val="000000" w:themeColor="text1"/>
          <w:spacing w:val="11"/>
          <w:szCs w:val="21"/>
          <w:highlight w:val="none"/>
        </w:rPr>
      </w:pPr>
    </w:p>
    <w:p w14:paraId="02F9296D">
      <w:pPr>
        <w:autoSpaceDE w:val="0"/>
        <w:autoSpaceDN w:val="0"/>
        <w:snapToGrid w:val="0"/>
        <w:rPr>
          <w:color w:val="000000" w:themeColor="text1"/>
          <w:spacing w:val="11"/>
          <w:szCs w:val="21"/>
          <w:highlight w:val="none"/>
        </w:rPr>
      </w:pPr>
    </w:p>
    <w:tbl>
      <w:tblPr>
        <w:tblStyle w:val="39"/>
        <w:tblW w:w="0" w:type="auto"/>
        <w:tblInd w:w="-30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24"/>
        <w:gridCol w:w="932"/>
        <w:gridCol w:w="1257"/>
        <w:gridCol w:w="762"/>
        <w:gridCol w:w="1014"/>
        <w:gridCol w:w="1165"/>
        <w:gridCol w:w="1092"/>
        <w:gridCol w:w="1093"/>
        <w:gridCol w:w="725"/>
        <w:gridCol w:w="725"/>
      </w:tblGrid>
      <w:tr w14:paraId="7054EF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0" w:hRule="atLeast"/>
        </w:trPr>
        <w:tc>
          <w:tcPr>
            <w:tcW w:w="824" w:type="dxa"/>
            <w:vAlign w:val="center"/>
          </w:tcPr>
          <w:p w14:paraId="040B604E">
            <w:pPr>
              <w:jc w:val="center"/>
              <w:rPr>
                <w:rFonts w:ascii="仿宋_GB2312" w:eastAsia="仿宋_GB2312"/>
                <w:szCs w:val="32"/>
                <w:highlight w:val="none"/>
              </w:rPr>
            </w:pPr>
            <w:r>
              <w:rPr>
                <w:rFonts w:hint="eastAsia" w:ascii="仿宋_GB2312" w:eastAsia="仿宋_GB2312"/>
                <w:szCs w:val="32"/>
                <w:highlight w:val="none"/>
              </w:rPr>
              <w:t>标段/包组</w:t>
            </w:r>
          </w:p>
        </w:tc>
        <w:tc>
          <w:tcPr>
            <w:tcW w:w="932" w:type="dxa"/>
            <w:vAlign w:val="center"/>
          </w:tcPr>
          <w:p w14:paraId="21089BF4">
            <w:pPr>
              <w:jc w:val="center"/>
              <w:rPr>
                <w:rFonts w:ascii="仿宋_GB2312" w:eastAsia="仿宋_GB2312"/>
                <w:szCs w:val="32"/>
                <w:highlight w:val="none"/>
              </w:rPr>
            </w:pPr>
            <w:r>
              <w:rPr>
                <w:rFonts w:hint="eastAsia" w:ascii="仿宋_GB2312" w:eastAsia="仿宋_GB2312"/>
                <w:szCs w:val="32"/>
                <w:highlight w:val="none"/>
              </w:rPr>
              <w:t>采购产品项目</w:t>
            </w:r>
          </w:p>
          <w:p w14:paraId="3C52AB6C">
            <w:pPr>
              <w:jc w:val="center"/>
              <w:rPr>
                <w:rFonts w:ascii="仿宋_GB2312" w:eastAsia="仿宋_GB2312"/>
                <w:szCs w:val="32"/>
                <w:highlight w:val="none"/>
              </w:rPr>
            </w:pPr>
            <w:r>
              <w:rPr>
                <w:rFonts w:hint="eastAsia" w:ascii="仿宋_GB2312" w:eastAsia="仿宋_GB2312"/>
                <w:szCs w:val="32"/>
                <w:highlight w:val="none"/>
              </w:rPr>
              <w:t>名称</w:t>
            </w:r>
          </w:p>
        </w:tc>
        <w:tc>
          <w:tcPr>
            <w:tcW w:w="1257" w:type="dxa"/>
            <w:vAlign w:val="center"/>
          </w:tcPr>
          <w:p w14:paraId="3E9579ED">
            <w:pPr>
              <w:jc w:val="center"/>
              <w:rPr>
                <w:rFonts w:ascii="仿宋_GB2312" w:eastAsia="仿宋_GB2312"/>
                <w:szCs w:val="32"/>
                <w:highlight w:val="none"/>
              </w:rPr>
            </w:pPr>
            <w:r>
              <w:rPr>
                <w:rFonts w:hint="eastAsia" w:ascii="仿宋_GB2312" w:eastAsia="仿宋_GB2312"/>
                <w:szCs w:val="32"/>
                <w:highlight w:val="none"/>
              </w:rPr>
              <w:t>响应设备名称</w:t>
            </w:r>
          </w:p>
          <w:p w14:paraId="6DD5E3DC">
            <w:pPr>
              <w:jc w:val="center"/>
              <w:rPr>
                <w:rFonts w:ascii="仿宋_GB2312" w:eastAsia="仿宋_GB2312"/>
                <w:szCs w:val="32"/>
                <w:highlight w:val="none"/>
              </w:rPr>
            </w:pPr>
            <w:r>
              <w:rPr>
                <w:rFonts w:hint="eastAsia" w:ascii="仿宋_GB2312" w:eastAsia="仿宋_GB2312"/>
                <w:szCs w:val="32"/>
                <w:highlight w:val="none"/>
              </w:rPr>
              <w:t>（注册证名称）</w:t>
            </w:r>
          </w:p>
        </w:tc>
        <w:tc>
          <w:tcPr>
            <w:tcW w:w="762" w:type="dxa"/>
            <w:vAlign w:val="center"/>
          </w:tcPr>
          <w:p w14:paraId="135C8BEE">
            <w:pPr>
              <w:jc w:val="center"/>
              <w:rPr>
                <w:rFonts w:ascii="仿宋_GB2312" w:eastAsia="仿宋_GB2312"/>
                <w:szCs w:val="32"/>
                <w:highlight w:val="none"/>
              </w:rPr>
            </w:pPr>
            <w:r>
              <w:rPr>
                <w:rFonts w:hint="eastAsia" w:ascii="仿宋_GB2312" w:eastAsia="仿宋_GB2312"/>
                <w:szCs w:val="32"/>
                <w:highlight w:val="none"/>
              </w:rPr>
              <w:t>品牌</w:t>
            </w:r>
          </w:p>
        </w:tc>
        <w:tc>
          <w:tcPr>
            <w:tcW w:w="1014" w:type="dxa"/>
            <w:vAlign w:val="center"/>
          </w:tcPr>
          <w:p w14:paraId="0DB96198">
            <w:pPr>
              <w:jc w:val="center"/>
              <w:rPr>
                <w:rFonts w:ascii="仿宋_GB2312" w:eastAsia="仿宋_GB2312"/>
                <w:szCs w:val="32"/>
                <w:highlight w:val="none"/>
              </w:rPr>
            </w:pPr>
            <w:r>
              <w:rPr>
                <w:rFonts w:hint="eastAsia" w:ascii="仿宋_GB2312" w:eastAsia="仿宋_GB2312"/>
                <w:szCs w:val="32"/>
                <w:highlight w:val="none"/>
              </w:rPr>
              <w:t>响应产品规格</w:t>
            </w:r>
          </w:p>
        </w:tc>
        <w:tc>
          <w:tcPr>
            <w:tcW w:w="1165" w:type="dxa"/>
            <w:vAlign w:val="center"/>
          </w:tcPr>
          <w:p w14:paraId="61FF35F3">
            <w:pPr>
              <w:jc w:val="center"/>
              <w:rPr>
                <w:rFonts w:ascii="仿宋_GB2312" w:eastAsia="仿宋_GB2312"/>
                <w:szCs w:val="32"/>
                <w:highlight w:val="none"/>
              </w:rPr>
            </w:pPr>
            <w:r>
              <w:rPr>
                <w:rFonts w:hint="eastAsia" w:ascii="仿宋_GB2312" w:eastAsia="仿宋_GB2312"/>
                <w:szCs w:val="32"/>
                <w:highlight w:val="none"/>
              </w:rPr>
              <w:t>单价（元）</w:t>
            </w:r>
          </w:p>
        </w:tc>
        <w:tc>
          <w:tcPr>
            <w:tcW w:w="1092" w:type="dxa"/>
            <w:vAlign w:val="center"/>
          </w:tcPr>
          <w:p w14:paraId="463A4F78">
            <w:pPr>
              <w:jc w:val="center"/>
              <w:rPr>
                <w:rFonts w:ascii="仿宋_GB2312" w:eastAsia="仿宋_GB2312"/>
                <w:szCs w:val="32"/>
                <w:highlight w:val="none"/>
              </w:rPr>
            </w:pPr>
            <w:r>
              <w:rPr>
                <w:rFonts w:hint="eastAsia" w:ascii="仿宋_GB2312" w:eastAsia="仿宋_GB2312"/>
                <w:szCs w:val="32"/>
                <w:highlight w:val="none"/>
              </w:rPr>
              <w:t>数量</w:t>
            </w:r>
          </w:p>
        </w:tc>
        <w:tc>
          <w:tcPr>
            <w:tcW w:w="1093" w:type="dxa"/>
            <w:vAlign w:val="center"/>
          </w:tcPr>
          <w:p w14:paraId="332AA2AB">
            <w:pPr>
              <w:jc w:val="center"/>
              <w:rPr>
                <w:rFonts w:ascii="仿宋_GB2312" w:eastAsia="仿宋_GB2312"/>
                <w:szCs w:val="32"/>
                <w:highlight w:val="none"/>
              </w:rPr>
            </w:pPr>
            <w:r>
              <w:rPr>
                <w:rFonts w:hint="eastAsia" w:ascii="仿宋_GB2312" w:eastAsia="仿宋_GB2312"/>
                <w:szCs w:val="32"/>
                <w:highlight w:val="none"/>
              </w:rPr>
              <w:t>总价（元）</w:t>
            </w:r>
          </w:p>
        </w:tc>
        <w:tc>
          <w:tcPr>
            <w:tcW w:w="725" w:type="dxa"/>
            <w:vAlign w:val="center"/>
          </w:tcPr>
          <w:p w14:paraId="301C9256">
            <w:pPr>
              <w:jc w:val="center"/>
              <w:rPr>
                <w:rFonts w:ascii="仿宋_GB2312" w:eastAsia="仿宋_GB2312"/>
                <w:szCs w:val="32"/>
                <w:highlight w:val="none"/>
              </w:rPr>
            </w:pPr>
            <w:r>
              <w:rPr>
                <w:rFonts w:hint="eastAsia" w:ascii="仿宋_GB2312" w:eastAsia="仿宋_GB2312"/>
                <w:szCs w:val="32"/>
                <w:highlight w:val="none"/>
              </w:rPr>
              <w:t>生产厂家</w:t>
            </w:r>
          </w:p>
        </w:tc>
        <w:tc>
          <w:tcPr>
            <w:tcW w:w="725" w:type="dxa"/>
            <w:vAlign w:val="center"/>
          </w:tcPr>
          <w:p w14:paraId="5646591A">
            <w:pPr>
              <w:jc w:val="center"/>
              <w:rPr>
                <w:rFonts w:ascii="仿宋_GB2312" w:eastAsia="仿宋_GB2312"/>
                <w:szCs w:val="32"/>
                <w:highlight w:val="none"/>
              </w:rPr>
            </w:pPr>
            <w:r>
              <w:rPr>
                <w:rFonts w:hint="eastAsia" w:ascii="仿宋_GB2312" w:eastAsia="仿宋_GB2312"/>
                <w:szCs w:val="32"/>
                <w:highlight w:val="none"/>
              </w:rPr>
              <w:t>备注</w:t>
            </w:r>
          </w:p>
        </w:tc>
      </w:tr>
      <w:tr w14:paraId="655C8A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7" w:hRule="atLeast"/>
        </w:trPr>
        <w:tc>
          <w:tcPr>
            <w:tcW w:w="824" w:type="dxa"/>
            <w:vAlign w:val="center"/>
          </w:tcPr>
          <w:p w14:paraId="4DFEDE5B">
            <w:pPr>
              <w:jc w:val="center"/>
              <w:rPr>
                <w:rFonts w:ascii="仿宋_GB2312" w:eastAsia="仿宋_GB2312"/>
                <w:szCs w:val="32"/>
                <w:highlight w:val="none"/>
              </w:rPr>
            </w:pPr>
          </w:p>
        </w:tc>
        <w:tc>
          <w:tcPr>
            <w:tcW w:w="932" w:type="dxa"/>
            <w:vAlign w:val="center"/>
          </w:tcPr>
          <w:p w14:paraId="42341439">
            <w:pPr>
              <w:jc w:val="center"/>
              <w:rPr>
                <w:rFonts w:ascii="仿宋_GB2312" w:eastAsia="仿宋_GB2312"/>
                <w:szCs w:val="32"/>
                <w:highlight w:val="none"/>
              </w:rPr>
            </w:pPr>
          </w:p>
        </w:tc>
        <w:tc>
          <w:tcPr>
            <w:tcW w:w="1257" w:type="dxa"/>
            <w:vAlign w:val="center"/>
          </w:tcPr>
          <w:p w14:paraId="46D7499B">
            <w:pPr>
              <w:jc w:val="center"/>
              <w:rPr>
                <w:rFonts w:ascii="仿宋_GB2312" w:eastAsia="仿宋_GB2312"/>
                <w:szCs w:val="32"/>
                <w:highlight w:val="none"/>
              </w:rPr>
            </w:pPr>
          </w:p>
        </w:tc>
        <w:tc>
          <w:tcPr>
            <w:tcW w:w="762" w:type="dxa"/>
            <w:vAlign w:val="center"/>
          </w:tcPr>
          <w:p w14:paraId="71361EBB">
            <w:pPr>
              <w:jc w:val="center"/>
              <w:rPr>
                <w:rFonts w:ascii="仿宋_GB2312" w:eastAsia="仿宋_GB2312"/>
                <w:szCs w:val="32"/>
                <w:highlight w:val="none"/>
              </w:rPr>
            </w:pPr>
          </w:p>
        </w:tc>
        <w:tc>
          <w:tcPr>
            <w:tcW w:w="1014" w:type="dxa"/>
            <w:vAlign w:val="center"/>
          </w:tcPr>
          <w:p w14:paraId="4FB95158">
            <w:pPr>
              <w:jc w:val="center"/>
              <w:rPr>
                <w:rFonts w:ascii="仿宋_GB2312" w:eastAsia="仿宋_GB2312"/>
                <w:szCs w:val="32"/>
                <w:highlight w:val="none"/>
              </w:rPr>
            </w:pPr>
          </w:p>
        </w:tc>
        <w:tc>
          <w:tcPr>
            <w:tcW w:w="1165" w:type="dxa"/>
            <w:vAlign w:val="center"/>
          </w:tcPr>
          <w:p w14:paraId="2F0D06CD">
            <w:pPr>
              <w:jc w:val="center"/>
              <w:rPr>
                <w:rFonts w:ascii="仿宋_GB2312" w:eastAsia="仿宋_GB2312"/>
                <w:szCs w:val="32"/>
                <w:highlight w:val="none"/>
              </w:rPr>
            </w:pPr>
          </w:p>
        </w:tc>
        <w:tc>
          <w:tcPr>
            <w:tcW w:w="1092" w:type="dxa"/>
            <w:vAlign w:val="center"/>
          </w:tcPr>
          <w:p w14:paraId="559E92CD">
            <w:pPr>
              <w:jc w:val="center"/>
              <w:rPr>
                <w:rFonts w:ascii="仿宋_GB2312" w:eastAsia="仿宋_GB2312"/>
                <w:szCs w:val="32"/>
                <w:highlight w:val="none"/>
              </w:rPr>
            </w:pPr>
          </w:p>
        </w:tc>
        <w:tc>
          <w:tcPr>
            <w:tcW w:w="1093" w:type="dxa"/>
            <w:vAlign w:val="center"/>
          </w:tcPr>
          <w:p w14:paraId="224356DB">
            <w:pPr>
              <w:jc w:val="center"/>
              <w:rPr>
                <w:rFonts w:ascii="仿宋_GB2312" w:eastAsia="仿宋_GB2312"/>
                <w:szCs w:val="32"/>
                <w:highlight w:val="none"/>
              </w:rPr>
            </w:pPr>
          </w:p>
        </w:tc>
        <w:tc>
          <w:tcPr>
            <w:tcW w:w="725" w:type="dxa"/>
            <w:vAlign w:val="center"/>
          </w:tcPr>
          <w:p w14:paraId="499A30BF">
            <w:pPr>
              <w:jc w:val="center"/>
              <w:rPr>
                <w:rFonts w:ascii="仿宋_GB2312" w:eastAsia="仿宋_GB2312"/>
                <w:szCs w:val="32"/>
                <w:highlight w:val="none"/>
              </w:rPr>
            </w:pPr>
          </w:p>
        </w:tc>
        <w:tc>
          <w:tcPr>
            <w:tcW w:w="725" w:type="dxa"/>
            <w:vAlign w:val="center"/>
          </w:tcPr>
          <w:p w14:paraId="685996B9">
            <w:pPr>
              <w:jc w:val="center"/>
              <w:rPr>
                <w:rFonts w:ascii="仿宋_GB2312" w:eastAsia="仿宋_GB2312"/>
                <w:szCs w:val="32"/>
                <w:highlight w:val="none"/>
              </w:rPr>
            </w:pPr>
          </w:p>
        </w:tc>
      </w:tr>
      <w:tr w14:paraId="278F1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7" w:hRule="atLeast"/>
        </w:trPr>
        <w:tc>
          <w:tcPr>
            <w:tcW w:w="824" w:type="dxa"/>
            <w:vAlign w:val="center"/>
          </w:tcPr>
          <w:p w14:paraId="5F231068">
            <w:pPr>
              <w:jc w:val="center"/>
              <w:rPr>
                <w:rFonts w:ascii="仿宋_GB2312" w:eastAsia="仿宋_GB2312"/>
                <w:szCs w:val="32"/>
                <w:highlight w:val="none"/>
              </w:rPr>
            </w:pPr>
          </w:p>
        </w:tc>
        <w:tc>
          <w:tcPr>
            <w:tcW w:w="932" w:type="dxa"/>
            <w:vAlign w:val="center"/>
          </w:tcPr>
          <w:p w14:paraId="48A35EF6">
            <w:pPr>
              <w:jc w:val="center"/>
              <w:rPr>
                <w:rFonts w:ascii="仿宋_GB2312" w:eastAsia="仿宋_GB2312"/>
                <w:szCs w:val="32"/>
                <w:highlight w:val="none"/>
              </w:rPr>
            </w:pPr>
          </w:p>
        </w:tc>
        <w:tc>
          <w:tcPr>
            <w:tcW w:w="1257" w:type="dxa"/>
            <w:vAlign w:val="center"/>
          </w:tcPr>
          <w:p w14:paraId="5E99B279">
            <w:pPr>
              <w:jc w:val="center"/>
              <w:rPr>
                <w:rFonts w:ascii="仿宋_GB2312" w:eastAsia="仿宋_GB2312"/>
                <w:szCs w:val="32"/>
                <w:highlight w:val="none"/>
              </w:rPr>
            </w:pPr>
          </w:p>
        </w:tc>
        <w:tc>
          <w:tcPr>
            <w:tcW w:w="762" w:type="dxa"/>
            <w:vAlign w:val="center"/>
          </w:tcPr>
          <w:p w14:paraId="43640C7D">
            <w:pPr>
              <w:jc w:val="center"/>
              <w:rPr>
                <w:rFonts w:ascii="仿宋_GB2312" w:eastAsia="仿宋_GB2312"/>
                <w:szCs w:val="32"/>
                <w:highlight w:val="none"/>
              </w:rPr>
            </w:pPr>
          </w:p>
        </w:tc>
        <w:tc>
          <w:tcPr>
            <w:tcW w:w="1014" w:type="dxa"/>
            <w:vAlign w:val="center"/>
          </w:tcPr>
          <w:p w14:paraId="1A525BB7">
            <w:pPr>
              <w:jc w:val="center"/>
              <w:rPr>
                <w:rFonts w:ascii="仿宋_GB2312" w:eastAsia="仿宋_GB2312"/>
                <w:szCs w:val="32"/>
                <w:highlight w:val="none"/>
              </w:rPr>
            </w:pPr>
          </w:p>
        </w:tc>
        <w:tc>
          <w:tcPr>
            <w:tcW w:w="1165" w:type="dxa"/>
            <w:vAlign w:val="center"/>
          </w:tcPr>
          <w:p w14:paraId="74DEF27B">
            <w:pPr>
              <w:jc w:val="center"/>
              <w:rPr>
                <w:rFonts w:ascii="仿宋_GB2312" w:eastAsia="仿宋_GB2312"/>
                <w:szCs w:val="32"/>
                <w:highlight w:val="none"/>
              </w:rPr>
            </w:pPr>
          </w:p>
        </w:tc>
        <w:tc>
          <w:tcPr>
            <w:tcW w:w="1092" w:type="dxa"/>
            <w:vAlign w:val="center"/>
          </w:tcPr>
          <w:p w14:paraId="52B9B22D">
            <w:pPr>
              <w:jc w:val="center"/>
              <w:rPr>
                <w:rFonts w:ascii="仿宋_GB2312" w:eastAsia="仿宋_GB2312"/>
                <w:szCs w:val="32"/>
                <w:highlight w:val="none"/>
              </w:rPr>
            </w:pPr>
          </w:p>
        </w:tc>
        <w:tc>
          <w:tcPr>
            <w:tcW w:w="1093" w:type="dxa"/>
            <w:vAlign w:val="center"/>
          </w:tcPr>
          <w:p w14:paraId="2BFCB573">
            <w:pPr>
              <w:jc w:val="center"/>
              <w:rPr>
                <w:rFonts w:ascii="仿宋_GB2312" w:eastAsia="仿宋_GB2312"/>
                <w:szCs w:val="32"/>
                <w:highlight w:val="none"/>
              </w:rPr>
            </w:pPr>
          </w:p>
        </w:tc>
        <w:tc>
          <w:tcPr>
            <w:tcW w:w="725" w:type="dxa"/>
            <w:vAlign w:val="center"/>
          </w:tcPr>
          <w:p w14:paraId="4DBBC042">
            <w:pPr>
              <w:jc w:val="center"/>
              <w:rPr>
                <w:rFonts w:ascii="仿宋_GB2312" w:eastAsia="仿宋_GB2312"/>
                <w:szCs w:val="32"/>
                <w:highlight w:val="none"/>
              </w:rPr>
            </w:pPr>
          </w:p>
        </w:tc>
        <w:tc>
          <w:tcPr>
            <w:tcW w:w="725" w:type="dxa"/>
            <w:vAlign w:val="center"/>
          </w:tcPr>
          <w:p w14:paraId="55007123">
            <w:pPr>
              <w:jc w:val="center"/>
              <w:rPr>
                <w:rFonts w:ascii="仿宋_GB2312" w:eastAsia="仿宋_GB2312"/>
                <w:szCs w:val="32"/>
                <w:highlight w:val="none"/>
              </w:rPr>
            </w:pPr>
          </w:p>
        </w:tc>
      </w:tr>
      <w:tr w14:paraId="40112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8" w:hRule="atLeast"/>
        </w:trPr>
        <w:tc>
          <w:tcPr>
            <w:tcW w:w="824" w:type="dxa"/>
            <w:vAlign w:val="center"/>
          </w:tcPr>
          <w:p w14:paraId="274568C6">
            <w:pPr>
              <w:jc w:val="center"/>
              <w:rPr>
                <w:rFonts w:ascii="仿宋_GB2312" w:eastAsia="仿宋_GB2312"/>
                <w:szCs w:val="32"/>
                <w:highlight w:val="none"/>
              </w:rPr>
            </w:pPr>
          </w:p>
        </w:tc>
        <w:tc>
          <w:tcPr>
            <w:tcW w:w="932" w:type="dxa"/>
            <w:vAlign w:val="center"/>
          </w:tcPr>
          <w:p w14:paraId="57626430">
            <w:pPr>
              <w:jc w:val="center"/>
              <w:rPr>
                <w:rFonts w:ascii="仿宋_GB2312" w:eastAsia="仿宋_GB2312"/>
                <w:szCs w:val="32"/>
                <w:highlight w:val="none"/>
              </w:rPr>
            </w:pPr>
          </w:p>
        </w:tc>
        <w:tc>
          <w:tcPr>
            <w:tcW w:w="1257" w:type="dxa"/>
            <w:vAlign w:val="center"/>
          </w:tcPr>
          <w:p w14:paraId="6DBB7136">
            <w:pPr>
              <w:jc w:val="center"/>
              <w:rPr>
                <w:rFonts w:ascii="仿宋_GB2312" w:eastAsia="仿宋_GB2312"/>
                <w:szCs w:val="32"/>
                <w:highlight w:val="none"/>
              </w:rPr>
            </w:pPr>
          </w:p>
        </w:tc>
        <w:tc>
          <w:tcPr>
            <w:tcW w:w="762" w:type="dxa"/>
            <w:vAlign w:val="center"/>
          </w:tcPr>
          <w:p w14:paraId="4CBE88AF">
            <w:pPr>
              <w:jc w:val="center"/>
              <w:rPr>
                <w:rFonts w:ascii="仿宋_GB2312" w:eastAsia="仿宋_GB2312"/>
                <w:szCs w:val="32"/>
                <w:highlight w:val="none"/>
              </w:rPr>
            </w:pPr>
          </w:p>
        </w:tc>
        <w:tc>
          <w:tcPr>
            <w:tcW w:w="1014" w:type="dxa"/>
            <w:vAlign w:val="center"/>
          </w:tcPr>
          <w:p w14:paraId="5DC4BC56">
            <w:pPr>
              <w:jc w:val="center"/>
              <w:rPr>
                <w:rFonts w:ascii="仿宋_GB2312" w:eastAsia="仿宋_GB2312"/>
                <w:szCs w:val="32"/>
                <w:highlight w:val="none"/>
              </w:rPr>
            </w:pPr>
          </w:p>
        </w:tc>
        <w:tc>
          <w:tcPr>
            <w:tcW w:w="1165" w:type="dxa"/>
            <w:vAlign w:val="center"/>
          </w:tcPr>
          <w:p w14:paraId="1D1A67FA">
            <w:pPr>
              <w:jc w:val="center"/>
              <w:rPr>
                <w:rFonts w:ascii="仿宋_GB2312" w:eastAsia="仿宋_GB2312"/>
                <w:szCs w:val="32"/>
                <w:highlight w:val="none"/>
              </w:rPr>
            </w:pPr>
          </w:p>
        </w:tc>
        <w:tc>
          <w:tcPr>
            <w:tcW w:w="1092" w:type="dxa"/>
            <w:vAlign w:val="center"/>
          </w:tcPr>
          <w:p w14:paraId="3763BC1D">
            <w:pPr>
              <w:jc w:val="center"/>
              <w:rPr>
                <w:rFonts w:ascii="仿宋_GB2312" w:eastAsia="仿宋_GB2312"/>
                <w:szCs w:val="32"/>
                <w:highlight w:val="none"/>
              </w:rPr>
            </w:pPr>
          </w:p>
        </w:tc>
        <w:tc>
          <w:tcPr>
            <w:tcW w:w="1093" w:type="dxa"/>
            <w:vAlign w:val="center"/>
          </w:tcPr>
          <w:p w14:paraId="19B99400">
            <w:pPr>
              <w:jc w:val="center"/>
              <w:rPr>
                <w:rFonts w:ascii="仿宋_GB2312" w:eastAsia="仿宋_GB2312"/>
                <w:szCs w:val="32"/>
                <w:highlight w:val="none"/>
              </w:rPr>
            </w:pPr>
          </w:p>
        </w:tc>
        <w:tc>
          <w:tcPr>
            <w:tcW w:w="725" w:type="dxa"/>
            <w:vAlign w:val="center"/>
          </w:tcPr>
          <w:p w14:paraId="0C94838B">
            <w:pPr>
              <w:jc w:val="center"/>
              <w:rPr>
                <w:rFonts w:ascii="仿宋_GB2312" w:eastAsia="仿宋_GB2312"/>
                <w:szCs w:val="32"/>
                <w:highlight w:val="none"/>
              </w:rPr>
            </w:pPr>
          </w:p>
        </w:tc>
        <w:tc>
          <w:tcPr>
            <w:tcW w:w="725" w:type="dxa"/>
            <w:vAlign w:val="center"/>
          </w:tcPr>
          <w:p w14:paraId="04BAA82B">
            <w:pPr>
              <w:jc w:val="center"/>
              <w:rPr>
                <w:rFonts w:ascii="仿宋_GB2312" w:eastAsia="仿宋_GB2312"/>
                <w:szCs w:val="32"/>
                <w:highlight w:val="none"/>
              </w:rPr>
            </w:pPr>
          </w:p>
        </w:tc>
      </w:tr>
    </w:tbl>
    <w:p w14:paraId="51F548D5">
      <w:pPr>
        <w:autoSpaceDE w:val="0"/>
        <w:autoSpaceDN w:val="0"/>
        <w:snapToGrid w:val="0"/>
        <w:rPr>
          <w:color w:val="000000" w:themeColor="text1"/>
          <w:spacing w:val="11"/>
          <w:szCs w:val="21"/>
          <w:highlight w:val="none"/>
        </w:rPr>
      </w:pPr>
    </w:p>
    <w:p w14:paraId="0EEC98EF">
      <w:pPr>
        <w:autoSpaceDE w:val="0"/>
        <w:autoSpaceDN w:val="0"/>
        <w:snapToGrid w:val="0"/>
        <w:rPr>
          <w:color w:val="000000" w:themeColor="text1"/>
          <w:spacing w:val="11"/>
          <w:szCs w:val="21"/>
          <w:highlight w:val="none"/>
        </w:rPr>
      </w:pPr>
    </w:p>
    <w:p w14:paraId="6510A2B2">
      <w:pPr>
        <w:autoSpaceDE w:val="0"/>
        <w:autoSpaceDN w:val="0"/>
        <w:snapToGrid w:val="0"/>
        <w:rPr>
          <w:color w:val="000000" w:themeColor="text1"/>
          <w:spacing w:val="11"/>
          <w:szCs w:val="21"/>
          <w:highlight w:val="none"/>
        </w:rPr>
      </w:pPr>
    </w:p>
    <w:p w14:paraId="4A587EFD">
      <w:pPr>
        <w:autoSpaceDE w:val="0"/>
        <w:autoSpaceDN w:val="0"/>
        <w:snapToGrid w:val="0"/>
        <w:rPr>
          <w:color w:val="000000" w:themeColor="text1"/>
          <w:spacing w:val="11"/>
          <w:szCs w:val="21"/>
          <w:highlight w:val="none"/>
        </w:rPr>
      </w:pPr>
    </w:p>
    <w:p w14:paraId="65EF2F10">
      <w:pPr>
        <w:autoSpaceDE w:val="0"/>
        <w:autoSpaceDN w:val="0"/>
        <w:snapToGrid w:val="0"/>
        <w:rPr>
          <w:color w:val="000000" w:themeColor="text1"/>
          <w:spacing w:val="11"/>
          <w:szCs w:val="21"/>
          <w:highlight w:val="none"/>
        </w:rPr>
      </w:pPr>
    </w:p>
    <w:p w14:paraId="648991BB">
      <w:pPr>
        <w:autoSpaceDE w:val="0"/>
        <w:autoSpaceDN w:val="0"/>
        <w:snapToGrid w:val="0"/>
        <w:rPr>
          <w:color w:val="000000" w:themeColor="text1"/>
          <w:spacing w:val="11"/>
          <w:szCs w:val="21"/>
          <w:highlight w:val="none"/>
        </w:rPr>
      </w:pPr>
    </w:p>
    <w:p w14:paraId="112A388B">
      <w:pPr>
        <w:autoSpaceDE w:val="0"/>
        <w:autoSpaceDN w:val="0"/>
        <w:snapToGrid w:val="0"/>
        <w:rPr>
          <w:color w:val="000000" w:themeColor="text1"/>
          <w:spacing w:val="11"/>
          <w:szCs w:val="21"/>
          <w:highlight w:val="none"/>
        </w:rPr>
      </w:pPr>
    </w:p>
    <w:p w14:paraId="2077C363">
      <w:pPr>
        <w:autoSpaceDE w:val="0"/>
        <w:autoSpaceDN w:val="0"/>
        <w:snapToGrid w:val="0"/>
        <w:rPr>
          <w:color w:val="000000" w:themeColor="text1"/>
          <w:spacing w:val="11"/>
          <w:szCs w:val="21"/>
          <w:highlight w:val="none"/>
        </w:rPr>
      </w:pPr>
    </w:p>
    <w:p w14:paraId="394B0197">
      <w:pPr>
        <w:autoSpaceDE w:val="0"/>
        <w:autoSpaceDN w:val="0"/>
        <w:snapToGrid w:val="0"/>
        <w:rPr>
          <w:color w:val="000000" w:themeColor="text1"/>
          <w:spacing w:val="11"/>
          <w:szCs w:val="21"/>
          <w:highlight w:val="none"/>
        </w:rPr>
      </w:pPr>
    </w:p>
    <w:p w14:paraId="6B8D19E3">
      <w:pPr>
        <w:autoSpaceDE w:val="0"/>
        <w:autoSpaceDN w:val="0"/>
        <w:snapToGrid w:val="0"/>
        <w:rPr>
          <w:color w:val="000000" w:themeColor="text1"/>
          <w:spacing w:val="11"/>
          <w:szCs w:val="21"/>
          <w:highlight w:val="none"/>
        </w:rPr>
      </w:pPr>
    </w:p>
    <w:p w14:paraId="2F5FA351">
      <w:pPr>
        <w:autoSpaceDE w:val="0"/>
        <w:autoSpaceDN w:val="0"/>
        <w:snapToGrid w:val="0"/>
        <w:rPr>
          <w:color w:val="000000" w:themeColor="text1"/>
          <w:spacing w:val="11"/>
          <w:szCs w:val="21"/>
          <w:highlight w:val="none"/>
        </w:rPr>
      </w:pPr>
    </w:p>
    <w:p w14:paraId="589C3195">
      <w:pPr>
        <w:autoSpaceDE w:val="0"/>
        <w:autoSpaceDN w:val="0"/>
        <w:snapToGrid w:val="0"/>
        <w:rPr>
          <w:color w:val="000000" w:themeColor="text1"/>
          <w:spacing w:val="11"/>
          <w:szCs w:val="21"/>
          <w:highlight w:val="none"/>
        </w:rPr>
      </w:pPr>
    </w:p>
    <w:p w14:paraId="6DFF2899">
      <w:pPr>
        <w:autoSpaceDE w:val="0"/>
        <w:autoSpaceDN w:val="0"/>
        <w:snapToGrid w:val="0"/>
        <w:rPr>
          <w:color w:val="000000" w:themeColor="text1"/>
          <w:spacing w:val="11"/>
          <w:szCs w:val="21"/>
          <w:highlight w:val="none"/>
        </w:rPr>
      </w:pPr>
    </w:p>
    <w:p w14:paraId="5D71C773">
      <w:pPr>
        <w:spacing w:line="480" w:lineRule="auto"/>
        <w:ind w:firstLine="420" w:firstLineChars="200"/>
        <w:jc w:val="right"/>
        <w:rPr>
          <w:color w:val="000000" w:themeColor="text1"/>
          <w:szCs w:val="21"/>
          <w:highlight w:val="none"/>
        </w:rPr>
      </w:pPr>
    </w:p>
    <w:p w14:paraId="2D2A397D">
      <w:pPr>
        <w:spacing w:line="480" w:lineRule="auto"/>
        <w:ind w:firstLine="2520" w:firstLineChars="1200"/>
        <w:rPr>
          <w:color w:val="000000" w:themeColor="text1"/>
          <w:szCs w:val="21"/>
          <w:highlight w:val="none"/>
        </w:rPr>
      </w:pPr>
      <w:r>
        <w:rPr>
          <w:rFonts w:hint="eastAsia"/>
          <w:color w:val="000000" w:themeColor="text1"/>
          <w:szCs w:val="21"/>
          <w:highlight w:val="none"/>
        </w:rPr>
        <w:t>供应商</w:t>
      </w:r>
      <w:r>
        <w:rPr>
          <w:color w:val="000000" w:themeColor="text1"/>
          <w:szCs w:val="21"/>
          <w:highlight w:val="none"/>
        </w:rPr>
        <w:t>：（公章）</w:t>
      </w:r>
    </w:p>
    <w:p w14:paraId="16BA8C5C">
      <w:pPr>
        <w:spacing w:line="480" w:lineRule="auto"/>
        <w:ind w:firstLine="2520" w:firstLineChars="1200"/>
        <w:jc w:val="left"/>
        <w:rPr>
          <w:color w:val="000000" w:themeColor="text1"/>
          <w:szCs w:val="21"/>
          <w:highlight w:val="none"/>
        </w:rPr>
      </w:pPr>
      <w:r>
        <w:rPr>
          <w:color w:val="000000" w:themeColor="text1"/>
          <w:szCs w:val="21"/>
          <w:highlight w:val="none"/>
        </w:rPr>
        <w:t>法定代表人</w:t>
      </w:r>
      <w:r>
        <w:rPr>
          <w:rFonts w:hint="eastAsia"/>
          <w:color w:val="000000" w:themeColor="text1"/>
          <w:szCs w:val="21"/>
          <w:highlight w:val="none"/>
        </w:rPr>
        <w:t>或</w:t>
      </w:r>
      <w:r>
        <w:rPr>
          <w:color w:val="000000" w:themeColor="text1"/>
          <w:szCs w:val="21"/>
          <w:highlight w:val="none"/>
        </w:rPr>
        <w:t>委托代理人：（签字</w:t>
      </w:r>
      <w:r>
        <w:rPr>
          <w:rFonts w:hint="eastAsia"/>
          <w:color w:val="000000" w:themeColor="text1"/>
          <w:szCs w:val="21"/>
          <w:highlight w:val="none"/>
        </w:rPr>
        <w:t>或</w:t>
      </w:r>
      <w:r>
        <w:rPr>
          <w:color w:val="000000" w:themeColor="text1"/>
          <w:szCs w:val="21"/>
          <w:highlight w:val="none"/>
        </w:rPr>
        <w:t>盖章）</w:t>
      </w:r>
    </w:p>
    <w:p w14:paraId="122D7CBD">
      <w:pPr>
        <w:spacing w:line="440" w:lineRule="exact"/>
        <w:ind w:firstLine="2530" w:firstLineChars="1205"/>
        <w:rPr>
          <w:color w:val="000000" w:themeColor="text1"/>
          <w:highlight w:val="none"/>
        </w:rPr>
      </w:pPr>
      <w:r>
        <w:rPr>
          <w:color w:val="000000" w:themeColor="text1"/>
          <w:szCs w:val="21"/>
          <w:highlight w:val="none"/>
        </w:rPr>
        <w:t>日    期：    年    月    日</w:t>
      </w:r>
    </w:p>
    <w:p w14:paraId="2352E487">
      <w:pPr>
        <w:spacing w:line="440" w:lineRule="exact"/>
        <w:ind w:firstLine="1028"/>
        <w:jc w:val="right"/>
        <w:rPr>
          <w:color w:val="000000" w:themeColor="text1"/>
          <w:highlight w:val="none"/>
          <w:u w:val="single"/>
        </w:rPr>
      </w:pPr>
    </w:p>
    <w:p w14:paraId="419743DF">
      <w:pPr>
        <w:spacing w:line="440" w:lineRule="exact"/>
        <w:ind w:firstLine="1028"/>
        <w:rPr>
          <w:color w:val="000000" w:themeColor="text1"/>
          <w:highlight w:val="none"/>
        </w:rPr>
      </w:pPr>
    </w:p>
    <w:p w14:paraId="5506D2BB">
      <w:pPr>
        <w:pStyle w:val="2"/>
        <w:ind w:left="63" w:right="63"/>
        <w:rPr>
          <w:color w:val="000000" w:themeColor="text1"/>
          <w:highlight w:val="none"/>
        </w:rPr>
      </w:pPr>
    </w:p>
    <w:p w14:paraId="0EEEC680">
      <w:pPr>
        <w:rPr>
          <w:color w:val="000000" w:themeColor="text1"/>
          <w:highlight w:val="none"/>
        </w:rPr>
      </w:pPr>
    </w:p>
    <w:p w14:paraId="74B5DA7E">
      <w:pPr>
        <w:pStyle w:val="2"/>
        <w:ind w:left="63" w:right="63"/>
        <w:rPr>
          <w:color w:val="000000" w:themeColor="text1"/>
          <w:highlight w:val="none"/>
        </w:rPr>
      </w:pPr>
    </w:p>
    <w:p w14:paraId="6FDEFF1E">
      <w:pPr>
        <w:rPr>
          <w:color w:val="000000" w:themeColor="text1"/>
          <w:highlight w:val="none"/>
        </w:rPr>
      </w:pPr>
    </w:p>
    <w:p w14:paraId="44564F74">
      <w:pPr>
        <w:pStyle w:val="2"/>
        <w:ind w:left="63" w:right="63"/>
        <w:rPr>
          <w:color w:val="000000" w:themeColor="text1"/>
          <w:highlight w:val="none"/>
        </w:rPr>
      </w:pPr>
    </w:p>
    <w:p w14:paraId="2F7A58AA">
      <w:pPr>
        <w:rPr>
          <w:color w:val="000000" w:themeColor="text1"/>
          <w:highlight w:val="none"/>
        </w:rPr>
      </w:pPr>
    </w:p>
    <w:p w14:paraId="2F559707">
      <w:pPr>
        <w:pStyle w:val="2"/>
        <w:ind w:left="63" w:right="63"/>
        <w:rPr>
          <w:color w:val="000000" w:themeColor="text1"/>
          <w:highlight w:val="none"/>
        </w:rPr>
      </w:pPr>
    </w:p>
    <w:p w14:paraId="6731FC34">
      <w:pPr>
        <w:pStyle w:val="2"/>
        <w:ind w:left="0" w:leftChars="0" w:right="63"/>
        <w:jc w:val="both"/>
        <w:rPr>
          <w:color w:val="000000" w:themeColor="text1"/>
          <w:highlight w:val="none"/>
        </w:rPr>
      </w:pPr>
    </w:p>
    <w:p w14:paraId="4AEE9FE3">
      <w:pPr>
        <w:rPr>
          <w:color w:val="000000" w:themeColor="text1"/>
          <w:highlight w:val="none"/>
        </w:rPr>
      </w:pPr>
    </w:p>
    <w:p w14:paraId="1B466592">
      <w:pPr>
        <w:pStyle w:val="2"/>
        <w:ind w:left="63" w:right="63"/>
        <w:rPr>
          <w:color w:val="000000" w:themeColor="text1"/>
          <w:highlight w:val="none"/>
        </w:rPr>
      </w:pPr>
    </w:p>
    <w:p w14:paraId="27FF3D32">
      <w:pPr>
        <w:rPr>
          <w:b/>
          <w:color w:val="000000" w:themeColor="text1"/>
          <w:sz w:val="32"/>
          <w:szCs w:val="32"/>
          <w:highlight w:val="none"/>
        </w:rPr>
      </w:pPr>
      <w:bookmarkStart w:id="55" w:name="_Toc361508760"/>
      <w:bookmarkStart w:id="56" w:name="_Toc65587252"/>
      <w:r>
        <w:rPr>
          <w:b/>
          <w:color w:val="000000" w:themeColor="text1"/>
          <w:sz w:val="32"/>
          <w:szCs w:val="32"/>
          <w:highlight w:val="none"/>
        </w:rPr>
        <w:br w:type="page"/>
      </w:r>
    </w:p>
    <w:p w14:paraId="1078015D">
      <w:pPr>
        <w:autoSpaceDE w:val="0"/>
        <w:autoSpaceDN w:val="0"/>
        <w:jc w:val="center"/>
        <w:rPr>
          <w:b/>
          <w:color w:val="000000" w:themeColor="text1"/>
          <w:sz w:val="32"/>
          <w:szCs w:val="32"/>
          <w:highlight w:val="none"/>
        </w:rPr>
      </w:pPr>
      <w:r>
        <w:rPr>
          <w:b/>
          <w:color w:val="000000" w:themeColor="text1"/>
          <w:sz w:val="32"/>
          <w:szCs w:val="32"/>
          <w:highlight w:val="none"/>
        </w:rPr>
        <w:t>六、</w:t>
      </w:r>
      <w:r>
        <w:rPr>
          <w:rFonts w:hint="eastAsia"/>
          <w:b/>
          <w:color w:val="000000" w:themeColor="text1"/>
          <w:sz w:val="32"/>
          <w:szCs w:val="32"/>
          <w:highlight w:val="none"/>
        </w:rPr>
        <w:t>磋商</w:t>
      </w:r>
      <w:r>
        <w:rPr>
          <w:b/>
          <w:color w:val="000000" w:themeColor="text1"/>
          <w:sz w:val="32"/>
          <w:szCs w:val="32"/>
          <w:highlight w:val="none"/>
        </w:rPr>
        <w:t>保证金</w:t>
      </w:r>
    </w:p>
    <w:p w14:paraId="7D874FA4">
      <w:pPr>
        <w:autoSpaceDE w:val="0"/>
        <w:autoSpaceDN w:val="0"/>
        <w:spacing w:line="360" w:lineRule="auto"/>
        <w:jc w:val="left"/>
        <w:rPr>
          <w:color w:val="000000" w:themeColor="text1"/>
          <w:szCs w:val="18"/>
          <w:highlight w:val="none"/>
          <w:u w:val="single"/>
          <w:lang w:val="zh-CN"/>
        </w:rPr>
      </w:pPr>
    </w:p>
    <w:bookmarkEnd w:id="55"/>
    <w:bookmarkEnd w:id="56"/>
    <w:p w14:paraId="0EA0D303">
      <w:pPr>
        <w:ind w:right="108"/>
        <w:jc w:val="center"/>
        <w:rPr>
          <w:bCs/>
          <w:sz w:val="28"/>
          <w:szCs w:val="28"/>
          <w:highlight w:val="none"/>
        </w:rPr>
      </w:pPr>
      <w:r>
        <w:rPr>
          <w:bCs/>
          <w:sz w:val="28"/>
          <w:szCs w:val="28"/>
          <w:highlight w:val="none"/>
        </w:rPr>
        <w:t>【后附投标保证金汇款凭据及基本账户开户许可证复印件】(基本账户开户许可证取消后新开立基本账户的</w:t>
      </w:r>
      <w:r>
        <w:rPr>
          <w:rFonts w:hint="eastAsia"/>
          <w:bCs/>
          <w:sz w:val="28"/>
          <w:szCs w:val="28"/>
          <w:highlight w:val="none"/>
        </w:rPr>
        <w:t>响应</w:t>
      </w:r>
      <w:r>
        <w:rPr>
          <w:bCs/>
          <w:sz w:val="28"/>
          <w:szCs w:val="28"/>
          <w:highlight w:val="none"/>
        </w:rPr>
        <w:t>人，可以按照相关文件规定提供银行打印并加盖印章的《基本存款账户信息》。)</w:t>
      </w:r>
    </w:p>
    <w:p w14:paraId="67E9E8EC">
      <w:pPr>
        <w:rPr>
          <w:b/>
          <w:bCs/>
          <w:color w:val="000000" w:themeColor="text1"/>
          <w:sz w:val="32"/>
          <w:szCs w:val="32"/>
          <w:highlight w:val="none"/>
        </w:rPr>
      </w:pPr>
      <w:r>
        <w:rPr>
          <w:rFonts w:hint="eastAsia"/>
          <w:b/>
          <w:bCs/>
          <w:color w:val="000000" w:themeColor="text1"/>
          <w:sz w:val="32"/>
          <w:szCs w:val="32"/>
          <w:highlight w:val="none"/>
        </w:rPr>
        <w:br w:type="page"/>
      </w:r>
    </w:p>
    <w:p w14:paraId="16B16928">
      <w:pPr>
        <w:ind w:right="108"/>
        <w:jc w:val="center"/>
        <w:rPr>
          <w:b/>
          <w:bCs/>
          <w:color w:val="000000" w:themeColor="text1"/>
          <w:sz w:val="32"/>
          <w:szCs w:val="32"/>
          <w:highlight w:val="none"/>
        </w:rPr>
      </w:pPr>
      <w:bookmarkStart w:id="57" w:name="_Toc179632827"/>
      <w:bookmarkStart w:id="58" w:name="_Toc493241658"/>
      <w:bookmarkStart w:id="59" w:name="_Toc152045807"/>
      <w:bookmarkStart w:id="60" w:name="_Toc247085890"/>
      <w:bookmarkStart w:id="61" w:name="_Toc246996372"/>
      <w:bookmarkStart w:id="62" w:name="_Toc246997115"/>
      <w:bookmarkStart w:id="63" w:name="_Toc397416082"/>
      <w:bookmarkStart w:id="64" w:name="_Toc404237750"/>
      <w:bookmarkStart w:id="65" w:name="_Toc404237840"/>
      <w:bookmarkStart w:id="66" w:name="_Toc144974875"/>
      <w:bookmarkStart w:id="67" w:name="_Toc152042596"/>
      <w:r>
        <w:rPr>
          <w:rFonts w:hint="eastAsia"/>
          <w:b/>
          <w:bCs/>
          <w:color w:val="000000" w:themeColor="text1"/>
          <w:sz w:val="32"/>
          <w:szCs w:val="32"/>
          <w:highlight w:val="none"/>
        </w:rPr>
        <w:t>七、</w:t>
      </w:r>
      <w:r>
        <w:rPr>
          <w:b/>
          <w:bCs/>
          <w:color w:val="000000" w:themeColor="text1"/>
          <w:sz w:val="32"/>
          <w:szCs w:val="32"/>
          <w:highlight w:val="none"/>
        </w:rPr>
        <w:t>资格审查资料</w:t>
      </w:r>
      <w:bookmarkEnd w:id="57"/>
      <w:bookmarkEnd w:id="58"/>
      <w:bookmarkEnd w:id="59"/>
      <w:bookmarkEnd w:id="60"/>
      <w:bookmarkEnd w:id="61"/>
      <w:bookmarkEnd w:id="62"/>
      <w:bookmarkEnd w:id="63"/>
      <w:bookmarkEnd w:id="64"/>
      <w:bookmarkEnd w:id="65"/>
      <w:bookmarkEnd w:id="66"/>
      <w:bookmarkEnd w:id="67"/>
    </w:p>
    <w:p w14:paraId="695AA0BC">
      <w:pPr>
        <w:rPr>
          <w:rFonts w:ascii="宋体" w:hAnsi="宋体" w:cs="宋体"/>
          <w:color w:val="000000" w:themeColor="text1"/>
          <w:highlight w:val="none"/>
        </w:rPr>
      </w:pPr>
      <w:bookmarkStart w:id="68" w:name="_Toc201719206"/>
      <w:bookmarkStart w:id="69" w:name="_Toc266605566"/>
    </w:p>
    <w:p w14:paraId="4254DB11">
      <w:pPr>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营业执照</w:t>
      </w:r>
    </w:p>
    <w:p w14:paraId="0DAB74EA">
      <w:pPr>
        <w:adjustRightInd w:val="0"/>
        <w:snapToGrid w:val="0"/>
        <w:spacing w:line="300" w:lineRule="auto"/>
        <w:jc w:val="center"/>
        <w:rPr>
          <w:rFonts w:ascii="宋体" w:hAnsi="宋体" w:cs="宋体"/>
          <w:bCs/>
          <w:color w:val="000000" w:themeColor="text1"/>
          <w:sz w:val="20"/>
          <w:highlight w:val="none"/>
        </w:rPr>
      </w:pPr>
      <w:r>
        <w:rPr>
          <w:rFonts w:hint="eastAsia" w:ascii="宋体" w:hAnsi="宋体" w:cs="宋体"/>
          <w:bCs/>
          <w:color w:val="000000" w:themeColor="text1"/>
          <w:sz w:val="20"/>
          <w:highlight w:val="none"/>
        </w:rPr>
        <w:t>（副本复印件加盖本单位公章）</w:t>
      </w:r>
    </w:p>
    <w:p w14:paraId="083911F9">
      <w:pPr>
        <w:adjustRightInd w:val="0"/>
        <w:snapToGrid w:val="0"/>
        <w:spacing w:line="300" w:lineRule="auto"/>
        <w:jc w:val="center"/>
        <w:rPr>
          <w:rFonts w:ascii="宋体" w:hAnsi="宋体" w:cs="宋体"/>
          <w:bCs/>
          <w:color w:val="000000" w:themeColor="text1"/>
          <w:sz w:val="20"/>
          <w:highlight w:val="none"/>
        </w:rPr>
      </w:pPr>
    </w:p>
    <w:p w14:paraId="1CBADF81">
      <w:pPr>
        <w:adjustRightInd w:val="0"/>
        <w:snapToGrid w:val="0"/>
        <w:spacing w:line="300" w:lineRule="auto"/>
        <w:rPr>
          <w:rFonts w:ascii="宋体" w:hAnsi="宋体" w:cs="宋体"/>
          <w:bCs/>
          <w:color w:val="000000" w:themeColor="text1"/>
          <w:sz w:val="20"/>
          <w:highlight w:val="none"/>
        </w:rPr>
      </w:pPr>
    </w:p>
    <w:p w14:paraId="59A5916B">
      <w:pPr>
        <w:adjustRightInd w:val="0"/>
        <w:snapToGrid w:val="0"/>
        <w:spacing w:line="300" w:lineRule="auto"/>
        <w:jc w:val="center"/>
        <w:rPr>
          <w:rFonts w:ascii="宋体" w:hAnsi="宋体" w:cs="宋体"/>
          <w:bCs/>
          <w:color w:val="000000" w:themeColor="text1"/>
          <w:sz w:val="20"/>
          <w:highlight w:val="none"/>
        </w:rPr>
      </w:pPr>
    </w:p>
    <w:p w14:paraId="7206DD5A">
      <w:pPr>
        <w:adjustRightInd w:val="0"/>
        <w:snapToGrid w:val="0"/>
        <w:spacing w:line="300" w:lineRule="auto"/>
        <w:jc w:val="center"/>
        <w:rPr>
          <w:rFonts w:ascii="宋体" w:hAnsi="宋体" w:cs="宋体"/>
          <w:bCs/>
          <w:color w:val="000000" w:themeColor="text1"/>
          <w:sz w:val="20"/>
          <w:highlight w:val="none"/>
        </w:rPr>
      </w:pPr>
    </w:p>
    <w:p w14:paraId="5906A740">
      <w:pPr>
        <w:adjustRightInd w:val="0"/>
        <w:snapToGrid w:val="0"/>
        <w:spacing w:line="300" w:lineRule="auto"/>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开户许可证或开户证明材料</w:t>
      </w:r>
    </w:p>
    <w:p w14:paraId="55022B27">
      <w:pPr>
        <w:adjustRightInd w:val="0"/>
        <w:snapToGrid w:val="0"/>
        <w:spacing w:line="300" w:lineRule="auto"/>
        <w:jc w:val="center"/>
        <w:rPr>
          <w:rFonts w:ascii="宋体" w:hAnsi="宋体" w:cs="宋体"/>
          <w:bCs/>
          <w:color w:val="000000" w:themeColor="text1"/>
          <w:sz w:val="20"/>
          <w:highlight w:val="none"/>
        </w:rPr>
      </w:pPr>
      <w:r>
        <w:rPr>
          <w:rFonts w:hint="eastAsia" w:ascii="宋体" w:hAnsi="宋体" w:cs="宋体"/>
          <w:bCs/>
          <w:color w:val="000000" w:themeColor="text1"/>
          <w:sz w:val="20"/>
          <w:highlight w:val="none"/>
        </w:rPr>
        <w:t>（复印件加盖本单位公章）</w:t>
      </w:r>
    </w:p>
    <w:p w14:paraId="7C2526B8">
      <w:pPr>
        <w:adjustRightInd w:val="0"/>
        <w:snapToGrid w:val="0"/>
        <w:spacing w:line="300" w:lineRule="auto"/>
        <w:jc w:val="center"/>
        <w:rPr>
          <w:rFonts w:ascii="宋体" w:hAnsi="宋体" w:cs="宋体"/>
          <w:bCs/>
          <w:color w:val="000000" w:themeColor="text1"/>
          <w:sz w:val="20"/>
          <w:highlight w:val="none"/>
        </w:rPr>
      </w:pPr>
    </w:p>
    <w:p w14:paraId="6B6DF0A3">
      <w:pPr>
        <w:adjustRightInd w:val="0"/>
        <w:snapToGrid w:val="0"/>
        <w:spacing w:line="300" w:lineRule="auto"/>
        <w:jc w:val="center"/>
        <w:rPr>
          <w:rFonts w:ascii="宋体" w:hAnsi="宋体" w:cs="宋体"/>
          <w:bCs/>
          <w:color w:val="000000" w:themeColor="text1"/>
          <w:sz w:val="20"/>
          <w:highlight w:val="none"/>
        </w:rPr>
      </w:pPr>
    </w:p>
    <w:p w14:paraId="0CFB09FA">
      <w:pPr>
        <w:adjustRightInd w:val="0"/>
        <w:snapToGrid w:val="0"/>
        <w:spacing w:line="300" w:lineRule="auto"/>
        <w:jc w:val="center"/>
        <w:rPr>
          <w:rFonts w:ascii="宋体" w:hAnsi="宋体" w:cs="宋体"/>
          <w:bCs/>
          <w:color w:val="000000" w:themeColor="text1"/>
          <w:sz w:val="20"/>
          <w:highlight w:val="none"/>
        </w:rPr>
      </w:pPr>
    </w:p>
    <w:p w14:paraId="275C6EBF">
      <w:pPr>
        <w:adjustRightInd w:val="0"/>
        <w:snapToGrid w:val="0"/>
        <w:spacing w:line="300" w:lineRule="auto"/>
        <w:jc w:val="center"/>
        <w:rPr>
          <w:rFonts w:ascii="宋体" w:hAnsi="宋体" w:cs="宋体"/>
          <w:b/>
          <w:color w:val="000000" w:themeColor="text1"/>
          <w:sz w:val="28"/>
          <w:szCs w:val="28"/>
          <w:highlight w:val="none"/>
        </w:rPr>
      </w:pPr>
      <w:r>
        <w:rPr>
          <w:rFonts w:hint="eastAsia" w:ascii="宋体" w:hAnsi="宋体" w:cs="宋体"/>
          <w:b/>
          <w:color w:val="000000" w:themeColor="text1"/>
          <w:sz w:val="28"/>
          <w:szCs w:val="28"/>
          <w:highlight w:val="none"/>
        </w:rPr>
        <w:t>资格证明</w:t>
      </w:r>
    </w:p>
    <w:p w14:paraId="78F89B7D">
      <w:pPr>
        <w:adjustRightInd w:val="0"/>
        <w:snapToGrid w:val="0"/>
        <w:spacing w:line="300" w:lineRule="auto"/>
        <w:jc w:val="center"/>
        <w:rPr>
          <w:rFonts w:ascii="宋体" w:hAnsi="宋体" w:cs="宋体"/>
          <w:bCs/>
          <w:color w:val="000000" w:themeColor="text1"/>
          <w:sz w:val="20"/>
          <w:highlight w:val="none"/>
        </w:rPr>
      </w:pPr>
      <w:r>
        <w:rPr>
          <w:rFonts w:hint="eastAsia" w:ascii="宋体" w:hAnsi="宋体" w:cs="宋体"/>
          <w:bCs/>
          <w:color w:val="000000" w:themeColor="text1"/>
          <w:sz w:val="20"/>
          <w:highlight w:val="none"/>
        </w:rPr>
        <w:t>（复印件加盖本单位公章）</w:t>
      </w:r>
    </w:p>
    <w:p w14:paraId="71501A51">
      <w:pPr>
        <w:adjustRightInd w:val="0"/>
        <w:snapToGrid w:val="0"/>
        <w:spacing w:line="300" w:lineRule="auto"/>
        <w:jc w:val="center"/>
        <w:rPr>
          <w:rFonts w:ascii="宋体" w:hAnsi="宋体" w:cs="宋体"/>
          <w:bCs/>
          <w:color w:val="000000" w:themeColor="text1"/>
          <w:sz w:val="20"/>
          <w:highlight w:val="none"/>
        </w:rPr>
      </w:pPr>
    </w:p>
    <w:p w14:paraId="2F31D7D1">
      <w:pPr>
        <w:adjustRightInd w:val="0"/>
        <w:snapToGrid w:val="0"/>
        <w:spacing w:line="300" w:lineRule="auto"/>
        <w:jc w:val="center"/>
        <w:rPr>
          <w:rFonts w:ascii="宋体" w:hAnsi="宋体" w:cs="宋体"/>
          <w:bCs/>
          <w:color w:val="000000" w:themeColor="text1"/>
          <w:sz w:val="20"/>
          <w:highlight w:val="none"/>
        </w:rPr>
      </w:pPr>
    </w:p>
    <w:p w14:paraId="601D3060">
      <w:pPr>
        <w:adjustRightInd w:val="0"/>
        <w:snapToGrid w:val="0"/>
        <w:spacing w:line="300" w:lineRule="auto"/>
        <w:jc w:val="center"/>
        <w:rPr>
          <w:rFonts w:ascii="宋体" w:hAnsi="宋体" w:cs="宋体"/>
          <w:b/>
          <w:color w:val="000000" w:themeColor="text1"/>
          <w:sz w:val="28"/>
          <w:szCs w:val="28"/>
          <w:highlight w:val="none"/>
        </w:rPr>
      </w:pPr>
    </w:p>
    <w:p w14:paraId="6E4BA549">
      <w:pPr>
        <w:adjustRightInd w:val="0"/>
        <w:snapToGrid w:val="0"/>
        <w:spacing w:line="300" w:lineRule="auto"/>
        <w:jc w:val="center"/>
        <w:rPr>
          <w:rFonts w:ascii="宋体" w:hAnsi="宋体" w:cs="宋体"/>
          <w:bCs/>
          <w:color w:val="000000" w:themeColor="text1"/>
          <w:sz w:val="20"/>
          <w:highlight w:val="none"/>
        </w:rPr>
      </w:pPr>
    </w:p>
    <w:p w14:paraId="2DCFC861">
      <w:pPr>
        <w:adjustRightInd w:val="0"/>
        <w:snapToGrid w:val="0"/>
        <w:spacing w:line="300" w:lineRule="auto"/>
        <w:jc w:val="center"/>
        <w:rPr>
          <w:rFonts w:ascii="宋体" w:hAnsi="宋体" w:cs="宋体"/>
          <w:bCs/>
          <w:color w:val="000000" w:themeColor="text1"/>
          <w:sz w:val="20"/>
          <w:highlight w:val="none"/>
        </w:rPr>
      </w:pPr>
    </w:p>
    <w:p w14:paraId="51B3D672">
      <w:pPr>
        <w:adjustRightInd w:val="0"/>
        <w:snapToGrid w:val="0"/>
        <w:spacing w:line="300" w:lineRule="auto"/>
        <w:jc w:val="center"/>
        <w:rPr>
          <w:rFonts w:ascii="宋体" w:hAnsi="宋体" w:cs="宋体"/>
          <w:bCs/>
          <w:color w:val="000000" w:themeColor="text1"/>
          <w:sz w:val="20"/>
          <w:highlight w:val="none"/>
        </w:rPr>
      </w:pPr>
    </w:p>
    <w:p w14:paraId="4D27EF8F">
      <w:pPr>
        <w:adjustRightInd w:val="0"/>
        <w:snapToGrid w:val="0"/>
        <w:spacing w:line="300" w:lineRule="auto"/>
        <w:jc w:val="center"/>
        <w:rPr>
          <w:rFonts w:ascii="宋体" w:hAnsi="宋体" w:cs="宋体"/>
          <w:bCs/>
          <w:color w:val="000000" w:themeColor="text1"/>
          <w:sz w:val="20"/>
          <w:highlight w:val="none"/>
        </w:rPr>
      </w:pPr>
    </w:p>
    <w:p w14:paraId="1C858F79">
      <w:pPr>
        <w:adjustRightInd w:val="0"/>
        <w:snapToGrid w:val="0"/>
        <w:spacing w:line="300" w:lineRule="auto"/>
        <w:jc w:val="center"/>
        <w:rPr>
          <w:rFonts w:ascii="宋体" w:hAnsi="宋体" w:cs="宋体"/>
          <w:bCs/>
          <w:color w:val="000000" w:themeColor="text1"/>
          <w:sz w:val="20"/>
          <w:highlight w:val="none"/>
        </w:rPr>
      </w:pPr>
    </w:p>
    <w:p w14:paraId="271D1D6E">
      <w:pPr>
        <w:adjustRightInd w:val="0"/>
        <w:snapToGrid w:val="0"/>
        <w:spacing w:line="300" w:lineRule="auto"/>
        <w:jc w:val="center"/>
        <w:rPr>
          <w:rFonts w:ascii="宋体" w:hAnsi="宋体" w:cs="宋体"/>
          <w:bCs/>
          <w:color w:val="000000" w:themeColor="text1"/>
          <w:sz w:val="20"/>
          <w:highlight w:val="none"/>
        </w:rPr>
      </w:pPr>
    </w:p>
    <w:p w14:paraId="74D09597">
      <w:pPr>
        <w:adjustRightInd w:val="0"/>
        <w:snapToGrid w:val="0"/>
        <w:spacing w:line="300" w:lineRule="auto"/>
        <w:jc w:val="center"/>
        <w:rPr>
          <w:rFonts w:ascii="宋体" w:hAnsi="宋体" w:cs="宋体"/>
          <w:bCs/>
          <w:color w:val="000000" w:themeColor="text1"/>
          <w:sz w:val="20"/>
          <w:highlight w:val="none"/>
        </w:rPr>
      </w:pPr>
    </w:p>
    <w:p w14:paraId="5BFBEF7A">
      <w:pPr>
        <w:adjustRightInd w:val="0"/>
        <w:snapToGrid w:val="0"/>
        <w:spacing w:line="300" w:lineRule="auto"/>
        <w:jc w:val="center"/>
        <w:rPr>
          <w:rFonts w:ascii="宋体" w:hAnsi="宋体" w:cs="宋体"/>
          <w:bCs/>
          <w:color w:val="000000" w:themeColor="text1"/>
          <w:sz w:val="20"/>
          <w:highlight w:val="none"/>
        </w:rPr>
      </w:pPr>
    </w:p>
    <w:p w14:paraId="63147E6A">
      <w:pPr>
        <w:adjustRightInd w:val="0"/>
        <w:snapToGrid w:val="0"/>
        <w:spacing w:line="300" w:lineRule="auto"/>
        <w:jc w:val="center"/>
        <w:rPr>
          <w:rFonts w:ascii="宋体" w:hAnsi="宋体" w:cs="宋体"/>
          <w:bCs/>
          <w:color w:val="000000" w:themeColor="text1"/>
          <w:sz w:val="20"/>
          <w:highlight w:val="none"/>
        </w:rPr>
        <w:sectPr>
          <w:footerReference r:id="rId11" w:type="default"/>
          <w:pgSz w:w="11906" w:h="16838"/>
          <w:pgMar w:top="1134" w:right="1418" w:bottom="1134" w:left="1418" w:header="851" w:footer="851" w:gutter="0"/>
          <w:cols w:space="720" w:num="1"/>
          <w:docGrid w:linePitch="312" w:charSpace="0"/>
        </w:sectPr>
      </w:pPr>
    </w:p>
    <w:p w14:paraId="3D885FCE">
      <w:pPr>
        <w:pStyle w:val="5"/>
        <w:spacing w:line="363" w:lineRule="exact"/>
        <w:ind w:left="217" w:right="175"/>
        <w:jc w:val="center"/>
        <w:rPr>
          <w:rFonts w:ascii="宋体" w:hAnsi="宋体" w:cs="宋体"/>
          <w:color w:val="000000" w:themeColor="text1"/>
          <w:highlight w:val="none"/>
        </w:rPr>
      </w:pPr>
      <w:r>
        <w:rPr>
          <w:rFonts w:hint="eastAsia" w:ascii="宋体" w:hAnsi="宋体" w:cs="宋体"/>
          <w:color w:val="000000" w:themeColor="text1"/>
          <w:highlight w:val="none"/>
        </w:rPr>
        <w:t>资格条件承诺函</w:t>
      </w:r>
    </w:p>
    <w:p w14:paraId="4F65B67C">
      <w:pPr>
        <w:pStyle w:val="5"/>
        <w:adjustRightInd w:val="0"/>
        <w:snapToGrid w:val="0"/>
        <w:spacing w:before="0" w:after="0" w:line="360" w:lineRule="auto"/>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致：</w:t>
      </w:r>
      <w:r>
        <w:rPr>
          <w:rFonts w:hint="eastAsia" w:ascii="宋体" w:hAnsi="宋体" w:cs="宋体"/>
          <w:b w:val="0"/>
          <w:bCs w:val="0"/>
          <w:color w:val="000000" w:themeColor="text1"/>
          <w:sz w:val="21"/>
          <w:szCs w:val="21"/>
          <w:highlight w:val="none"/>
          <w:u w:val="single"/>
        </w:rPr>
        <w:t>（采购人、采购代理机构）</w:t>
      </w:r>
      <w:r>
        <w:rPr>
          <w:rFonts w:hint="eastAsia" w:ascii="宋体" w:hAnsi="宋体" w:cs="宋体"/>
          <w:b w:val="0"/>
          <w:bCs w:val="0"/>
          <w:color w:val="000000" w:themeColor="text1"/>
          <w:sz w:val="21"/>
          <w:szCs w:val="21"/>
          <w:highlight w:val="none"/>
        </w:rPr>
        <w:t>：</w:t>
      </w:r>
    </w:p>
    <w:p w14:paraId="5AA7C4A5">
      <w:pPr>
        <w:pStyle w:val="5"/>
        <w:adjustRightInd w:val="0"/>
        <w:snapToGrid w:val="0"/>
        <w:spacing w:before="0" w:after="0" w:line="360" w:lineRule="auto"/>
        <w:ind w:firstLine="420" w:firstLineChars="200"/>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我单位（公司）参与</w:t>
      </w:r>
      <w:r>
        <w:rPr>
          <w:rFonts w:hint="eastAsia" w:ascii="宋体" w:hAnsi="宋体" w:cs="宋体"/>
          <w:b w:val="0"/>
          <w:bCs w:val="0"/>
          <w:color w:val="000000" w:themeColor="text1"/>
          <w:sz w:val="21"/>
          <w:szCs w:val="21"/>
          <w:highlight w:val="none"/>
          <w:u w:val="single"/>
        </w:rPr>
        <w:t>（项目名称 项目编号）</w:t>
      </w:r>
      <w:r>
        <w:rPr>
          <w:rFonts w:hint="eastAsia" w:ascii="宋体" w:hAnsi="宋体" w:cs="宋体"/>
          <w:b w:val="0"/>
          <w:bCs w:val="0"/>
          <w:color w:val="000000" w:themeColor="text1"/>
          <w:sz w:val="21"/>
          <w:szCs w:val="21"/>
          <w:highlight w:val="none"/>
        </w:rPr>
        <w:t>采购项目的政府采购活动，现承诺如下：</w:t>
      </w:r>
    </w:p>
    <w:p w14:paraId="2701ADB5">
      <w:pPr>
        <w:pStyle w:val="5"/>
        <w:adjustRightInd w:val="0"/>
        <w:snapToGrid w:val="0"/>
        <w:spacing w:before="0" w:after="0" w:line="360" w:lineRule="auto"/>
        <w:ind w:firstLine="367" w:firstLineChars="175"/>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1.具有良好的商业信誉和健全的财务会计制度；</w:t>
      </w:r>
    </w:p>
    <w:p w14:paraId="135A7630">
      <w:pPr>
        <w:pStyle w:val="5"/>
        <w:adjustRightInd w:val="0"/>
        <w:snapToGrid w:val="0"/>
        <w:spacing w:before="0" w:after="0" w:line="360" w:lineRule="auto"/>
        <w:ind w:firstLine="367" w:firstLineChars="175"/>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2.具有依法缴纳税收的良好记录；</w:t>
      </w:r>
    </w:p>
    <w:p w14:paraId="7A6D7D4B">
      <w:pPr>
        <w:pStyle w:val="5"/>
        <w:adjustRightInd w:val="0"/>
        <w:snapToGrid w:val="0"/>
        <w:spacing w:before="0" w:after="0" w:line="360" w:lineRule="auto"/>
        <w:ind w:firstLine="367" w:firstLineChars="175"/>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3.具有依法缴纳社会保障金的良好记录。</w:t>
      </w:r>
    </w:p>
    <w:p w14:paraId="666313E1">
      <w:pPr>
        <w:pStyle w:val="5"/>
        <w:adjustRightInd w:val="0"/>
        <w:snapToGrid w:val="0"/>
        <w:spacing w:before="0" w:after="0" w:line="360" w:lineRule="auto"/>
        <w:ind w:firstLine="420" w:firstLineChars="200"/>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我方在采购项目评审(评标)环节结束后，随时接受采购人、采购代理机构的检查验证，配合提供相关证明材料，证明符合《中华人民共和国政府采购法》规定的供应商基本资格条件。</w:t>
      </w:r>
    </w:p>
    <w:p w14:paraId="0D393CEE">
      <w:pPr>
        <w:pStyle w:val="5"/>
        <w:adjustRightInd w:val="0"/>
        <w:snapToGrid w:val="0"/>
        <w:spacing w:before="0" w:after="0" w:line="360" w:lineRule="auto"/>
        <w:ind w:firstLine="420" w:firstLineChars="200"/>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我单位（公司）对上述承诺的真实性负责。如有虚假，将依法承担相应责任。</w:t>
      </w:r>
    </w:p>
    <w:p w14:paraId="5F56A924">
      <w:pPr>
        <w:pStyle w:val="5"/>
        <w:adjustRightInd w:val="0"/>
        <w:snapToGrid w:val="0"/>
        <w:spacing w:before="0" w:after="0" w:line="360" w:lineRule="auto"/>
        <w:ind w:firstLine="420" w:firstLineChars="200"/>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特此承诺。</w:t>
      </w:r>
    </w:p>
    <w:p w14:paraId="705B2653">
      <w:pPr>
        <w:pStyle w:val="5"/>
        <w:spacing w:line="363" w:lineRule="exact"/>
        <w:ind w:firstLine="4777" w:firstLineChars="2275"/>
        <w:jc w:val="left"/>
        <w:rPr>
          <w:rFonts w:ascii="宋体" w:hAnsi="宋体" w:cs="宋体"/>
          <w:b w:val="0"/>
          <w:bCs w:val="0"/>
          <w:color w:val="000000" w:themeColor="text1"/>
          <w:sz w:val="21"/>
          <w:szCs w:val="21"/>
          <w:highlight w:val="none"/>
        </w:rPr>
      </w:pPr>
    </w:p>
    <w:p w14:paraId="49B1F73F">
      <w:pPr>
        <w:pStyle w:val="5"/>
        <w:spacing w:line="363" w:lineRule="exact"/>
        <w:ind w:firstLine="4777" w:firstLineChars="2275"/>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盖章：</w:t>
      </w:r>
    </w:p>
    <w:p w14:paraId="1F06F329">
      <w:pPr>
        <w:pStyle w:val="5"/>
        <w:spacing w:line="363" w:lineRule="exact"/>
        <w:ind w:firstLine="4777" w:firstLineChars="2275"/>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签字：</w:t>
      </w:r>
    </w:p>
    <w:p w14:paraId="1A532753">
      <w:pPr>
        <w:pStyle w:val="5"/>
        <w:spacing w:line="363" w:lineRule="exact"/>
        <w:ind w:firstLine="4777" w:firstLineChars="2275"/>
        <w:jc w:val="left"/>
        <w:rPr>
          <w:rFonts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日期：</w:t>
      </w:r>
    </w:p>
    <w:p w14:paraId="2E71C8DD">
      <w:pPr>
        <w:pStyle w:val="35"/>
        <w:outlineLvl w:val="9"/>
        <w:rPr>
          <w:color w:val="000000" w:themeColor="text1"/>
          <w:sz w:val="21"/>
          <w:szCs w:val="21"/>
          <w:highlight w:val="none"/>
        </w:rPr>
        <w:sectPr>
          <w:pgSz w:w="11906" w:h="16838"/>
          <w:pgMar w:top="1134" w:right="1418" w:bottom="1134" w:left="1418" w:header="851" w:footer="851" w:gutter="0"/>
          <w:cols w:space="720" w:num="1"/>
          <w:docGrid w:linePitch="312" w:charSpace="0"/>
        </w:sectPr>
      </w:pPr>
    </w:p>
    <w:bookmarkEnd w:id="68"/>
    <w:bookmarkEnd w:id="69"/>
    <w:p w14:paraId="25914562">
      <w:pPr>
        <w:adjustRightInd w:val="0"/>
        <w:snapToGrid w:val="0"/>
        <w:spacing w:line="300" w:lineRule="auto"/>
        <w:jc w:val="center"/>
        <w:rPr>
          <w:rFonts w:ascii="宋体" w:hAnsi="宋体" w:cs="宋体"/>
          <w:b/>
          <w:color w:val="000000" w:themeColor="text1"/>
          <w:sz w:val="28"/>
          <w:szCs w:val="28"/>
          <w:highlight w:val="none"/>
        </w:rPr>
      </w:pPr>
      <w:bookmarkStart w:id="70" w:name="_Toc247527850"/>
      <w:bookmarkStart w:id="71" w:name="_Toc404237845"/>
      <w:bookmarkStart w:id="72" w:name="_Toc265953296"/>
      <w:bookmarkStart w:id="73" w:name="_Toc397416087"/>
      <w:bookmarkStart w:id="74" w:name="_Toc152042599"/>
      <w:bookmarkStart w:id="75" w:name="_Toc152045810"/>
      <w:bookmarkStart w:id="76" w:name="_Toc404237755"/>
      <w:bookmarkStart w:id="77" w:name="_Toc144974878"/>
      <w:bookmarkStart w:id="78" w:name="_Toc247514302"/>
      <w:r>
        <w:rPr>
          <w:rFonts w:ascii="宋体" w:hAnsi="宋体" w:cs="宋体"/>
          <w:b/>
          <w:color w:val="000000" w:themeColor="text1"/>
          <w:sz w:val="28"/>
          <w:szCs w:val="28"/>
          <w:highlight w:val="none"/>
        </w:rPr>
        <w:t>近年完成的类似项目情况表</w:t>
      </w:r>
      <w:bookmarkEnd w:id="70"/>
      <w:bookmarkEnd w:id="71"/>
      <w:bookmarkEnd w:id="72"/>
      <w:bookmarkEnd w:id="73"/>
      <w:bookmarkEnd w:id="74"/>
      <w:bookmarkEnd w:id="75"/>
      <w:bookmarkEnd w:id="76"/>
      <w:bookmarkEnd w:id="77"/>
      <w:bookmarkEnd w:id="78"/>
    </w:p>
    <w:p w14:paraId="1D79AAAC">
      <w:pPr>
        <w:pStyle w:val="13"/>
        <w:ind w:firstLine="640"/>
        <w:jc w:val="center"/>
        <w:rPr>
          <w:color w:val="000000" w:themeColor="text1"/>
          <w:sz w:val="32"/>
          <w:szCs w:val="32"/>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959"/>
      </w:tblGrid>
      <w:tr w14:paraId="1BD6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15A0AE68">
            <w:pPr>
              <w:topLinePunct/>
              <w:jc w:val="center"/>
              <w:rPr>
                <w:color w:val="000000" w:themeColor="text1"/>
                <w:szCs w:val="21"/>
                <w:highlight w:val="none"/>
              </w:rPr>
            </w:pPr>
            <w:r>
              <w:rPr>
                <w:color w:val="000000" w:themeColor="text1"/>
                <w:szCs w:val="21"/>
                <w:highlight w:val="none"/>
              </w:rPr>
              <w:t>项目名称</w:t>
            </w:r>
          </w:p>
        </w:tc>
        <w:tc>
          <w:tcPr>
            <w:tcW w:w="6959" w:type="dxa"/>
            <w:tcBorders>
              <w:top w:val="single" w:color="auto" w:sz="4" w:space="0"/>
              <w:left w:val="single" w:color="auto" w:sz="4" w:space="0"/>
              <w:bottom w:val="single" w:color="auto" w:sz="4" w:space="0"/>
              <w:right w:val="single" w:color="auto" w:sz="4" w:space="0"/>
            </w:tcBorders>
            <w:noWrap/>
            <w:vAlign w:val="center"/>
          </w:tcPr>
          <w:p w14:paraId="24CC5090">
            <w:pPr>
              <w:topLinePunct/>
              <w:jc w:val="center"/>
              <w:rPr>
                <w:color w:val="000000" w:themeColor="text1"/>
                <w:szCs w:val="21"/>
                <w:highlight w:val="none"/>
              </w:rPr>
            </w:pPr>
          </w:p>
        </w:tc>
      </w:tr>
      <w:tr w14:paraId="11AC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175C63F5">
            <w:pPr>
              <w:topLinePunct/>
              <w:jc w:val="center"/>
              <w:rPr>
                <w:color w:val="000000" w:themeColor="text1"/>
                <w:szCs w:val="21"/>
                <w:highlight w:val="none"/>
              </w:rPr>
            </w:pPr>
            <w:r>
              <w:rPr>
                <w:color w:val="000000" w:themeColor="text1"/>
                <w:szCs w:val="21"/>
                <w:highlight w:val="none"/>
              </w:rPr>
              <w:t>项目所在地</w:t>
            </w:r>
          </w:p>
        </w:tc>
        <w:tc>
          <w:tcPr>
            <w:tcW w:w="6959" w:type="dxa"/>
            <w:tcBorders>
              <w:top w:val="single" w:color="auto" w:sz="4" w:space="0"/>
              <w:left w:val="single" w:color="auto" w:sz="4" w:space="0"/>
              <w:bottom w:val="single" w:color="auto" w:sz="4" w:space="0"/>
              <w:right w:val="single" w:color="auto" w:sz="4" w:space="0"/>
            </w:tcBorders>
            <w:noWrap/>
            <w:vAlign w:val="center"/>
          </w:tcPr>
          <w:p w14:paraId="4C419634">
            <w:pPr>
              <w:topLinePunct/>
              <w:jc w:val="center"/>
              <w:rPr>
                <w:color w:val="000000" w:themeColor="text1"/>
                <w:szCs w:val="21"/>
                <w:highlight w:val="none"/>
              </w:rPr>
            </w:pPr>
          </w:p>
        </w:tc>
      </w:tr>
      <w:tr w14:paraId="39C5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0B6CF3FB">
            <w:pPr>
              <w:topLinePunct/>
              <w:jc w:val="center"/>
              <w:rPr>
                <w:color w:val="000000" w:themeColor="text1"/>
                <w:szCs w:val="21"/>
                <w:highlight w:val="none"/>
              </w:rPr>
            </w:pPr>
            <w:r>
              <w:rPr>
                <w:color w:val="000000" w:themeColor="text1"/>
                <w:szCs w:val="21"/>
                <w:highlight w:val="none"/>
              </w:rPr>
              <w:t>发包人名称</w:t>
            </w:r>
          </w:p>
        </w:tc>
        <w:tc>
          <w:tcPr>
            <w:tcW w:w="6959" w:type="dxa"/>
            <w:tcBorders>
              <w:top w:val="single" w:color="auto" w:sz="4" w:space="0"/>
              <w:left w:val="single" w:color="auto" w:sz="4" w:space="0"/>
              <w:bottom w:val="single" w:color="auto" w:sz="4" w:space="0"/>
              <w:right w:val="single" w:color="auto" w:sz="4" w:space="0"/>
            </w:tcBorders>
            <w:noWrap/>
            <w:vAlign w:val="center"/>
          </w:tcPr>
          <w:p w14:paraId="09897979">
            <w:pPr>
              <w:topLinePunct/>
              <w:jc w:val="center"/>
              <w:rPr>
                <w:color w:val="000000" w:themeColor="text1"/>
                <w:szCs w:val="21"/>
                <w:highlight w:val="none"/>
              </w:rPr>
            </w:pPr>
          </w:p>
        </w:tc>
      </w:tr>
      <w:tr w14:paraId="44A4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6A512DB4">
            <w:pPr>
              <w:topLinePunct/>
              <w:jc w:val="center"/>
              <w:rPr>
                <w:color w:val="000000" w:themeColor="text1"/>
                <w:szCs w:val="21"/>
                <w:highlight w:val="none"/>
              </w:rPr>
            </w:pPr>
            <w:r>
              <w:rPr>
                <w:color w:val="000000" w:themeColor="text1"/>
                <w:szCs w:val="21"/>
                <w:highlight w:val="none"/>
              </w:rPr>
              <w:t>发包人地址</w:t>
            </w:r>
          </w:p>
        </w:tc>
        <w:tc>
          <w:tcPr>
            <w:tcW w:w="6959" w:type="dxa"/>
            <w:tcBorders>
              <w:top w:val="single" w:color="auto" w:sz="4" w:space="0"/>
              <w:left w:val="single" w:color="auto" w:sz="4" w:space="0"/>
              <w:bottom w:val="single" w:color="auto" w:sz="4" w:space="0"/>
              <w:right w:val="single" w:color="auto" w:sz="4" w:space="0"/>
            </w:tcBorders>
            <w:noWrap/>
            <w:vAlign w:val="center"/>
          </w:tcPr>
          <w:p w14:paraId="6F190C20">
            <w:pPr>
              <w:topLinePunct/>
              <w:jc w:val="center"/>
              <w:rPr>
                <w:color w:val="000000" w:themeColor="text1"/>
                <w:szCs w:val="21"/>
                <w:highlight w:val="none"/>
              </w:rPr>
            </w:pPr>
          </w:p>
        </w:tc>
      </w:tr>
      <w:tr w14:paraId="1AA6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7E1C4CFC">
            <w:pPr>
              <w:topLinePunct/>
              <w:jc w:val="center"/>
              <w:rPr>
                <w:color w:val="000000" w:themeColor="text1"/>
                <w:szCs w:val="21"/>
                <w:highlight w:val="none"/>
              </w:rPr>
            </w:pPr>
            <w:r>
              <w:rPr>
                <w:color w:val="000000" w:themeColor="text1"/>
                <w:szCs w:val="21"/>
                <w:highlight w:val="none"/>
              </w:rPr>
              <w:t>发包人电话</w:t>
            </w:r>
          </w:p>
        </w:tc>
        <w:tc>
          <w:tcPr>
            <w:tcW w:w="6959" w:type="dxa"/>
            <w:tcBorders>
              <w:top w:val="single" w:color="auto" w:sz="4" w:space="0"/>
              <w:left w:val="single" w:color="auto" w:sz="4" w:space="0"/>
              <w:bottom w:val="single" w:color="auto" w:sz="4" w:space="0"/>
              <w:right w:val="single" w:color="auto" w:sz="4" w:space="0"/>
            </w:tcBorders>
            <w:noWrap/>
            <w:vAlign w:val="center"/>
          </w:tcPr>
          <w:p w14:paraId="286C9B56">
            <w:pPr>
              <w:topLinePunct/>
              <w:jc w:val="center"/>
              <w:rPr>
                <w:color w:val="000000" w:themeColor="text1"/>
                <w:szCs w:val="21"/>
                <w:highlight w:val="none"/>
              </w:rPr>
            </w:pPr>
          </w:p>
        </w:tc>
      </w:tr>
      <w:tr w14:paraId="4301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3D1D2D93">
            <w:pPr>
              <w:topLinePunct/>
              <w:jc w:val="center"/>
              <w:rPr>
                <w:color w:val="000000" w:themeColor="text1"/>
                <w:szCs w:val="21"/>
                <w:highlight w:val="none"/>
              </w:rPr>
            </w:pPr>
            <w:r>
              <w:rPr>
                <w:color w:val="000000" w:themeColor="text1"/>
                <w:szCs w:val="21"/>
                <w:highlight w:val="none"/>
              </w:rPr>
              <w:t>合同价格</w:t>
            </w:r>
          </w:p>
        </w:tc>
        <w:tc>
          <w:tcPr>
            <w:tcW w:w="6959" w:type="dxa"/>
            <w:tcBorders>
              <w:top w:val="single" w:color="auto" w:sz="4" w:space="0"/>
              <w:left w:val="single" w:color="auto" w:sz="4" w:space="0"/>
              <w:bottom w:val="single" w:color="auto" w:sz="4" w:space="0"/>
              <w:right w:val="single" w:color="auto" w:sz="4" w:space="0"/>
            </w:tcBorders>
            <w:noWrap/>
            <w:vAlign w:val="center"/>
          </w:tcPr>
          <w:p w14:paraId="1CA2A141">
            <w:pPr>
              <w:topLinePunct/>
              <w:jc w:val="center"/>
              <w:rPr>
                <w:color w:val="000000" w:themeColor="text1"/>
                <w:szCs w:val="21"/>
                <w:highlight w:val="none"/>
              </w:rPr>
            </w:pPr>
          </w:p>
        </w:tc>
      </w:tr>
      <w:tr w14:paraId="1921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37E4E9A6">
            <w:pPr>
              <w:topLinePunct/>
              <w:jc w:val="center"/>
              <w:rPr>
                <w:color w:val="000000" w:themeColor="text1"/>
                <w:szCs w:val="21"/>
                <w:highlight w:val="none"/>
              </w:rPr>
            </w:pPr>
            <w:r>
              <w:rPr>
                <w:rFonts w:hint="eastAsia"/>
                <w:color w:val="000000" w:themeColor="text1"/>
                <w:szCs w:val="21"/>
                <w:highlight w:val="none"/>
              </w:rPr>
              <w:t>供货期限</w:t>
            </w:r>
          </w:p>
        </w:tc>
        <w:tc>
          <w:tcPr>
            <w:tcW w:w="6959" w:type="dxa"/>
            <w:tcBorders>
              <w:top w:val="single" w:color="auto" w:sz="4" w:space="0"/>
              <w:left w:val="single" w:color="auto" w:sz="4" w:space="0"/>
              <w:bottom w:val="single" w:color="auto" w:sz="4" w:space="0"/>
              <w:right w:val="single" w:color="auto" w:sz="4" w:space="0"/>
            </w:tcBorders>
            <w:noWrap/>
            <w:vAlign w:val="center"/>
          </w:tcPr>
          <w:p w14:paraId="669415AB">
            <w:pPr>
              <w:topLinePunct/>
              <w:jc w:val="center"/>
              <w:rPr>
                <w:color w:val="000000" w:themeColor="text1"/>
                <w:szCs w:val="21"/>
                <w:highlight w:val="none"/>
              </w:rPr>
            </w:pPr>
          </w:p>
        </w:tc>
      </w:tr>
      <w:tr w14:paraId="4508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299B237C">
            <w:pPr>
              <w:topLinePunct/>
              <w:jc w:val="center"/>
              <w:rPr>
                <w:color w:val="000000" w:themeColor="text1"/>
                <w:szCs w:val="21"/>
                <w:highlight w:val="none"/>
              </w:rPr>
            </w:pPr>
            <w:r>
              <w:rPr>
                <w:color w:val="000000" w:themeColor="text1"/>
                <w:szCs w:val="21"/>
                <w:highlight w:val="none"/>
              </w:rPr>
              <w:t>服务内容</w:t>
            </w:r>
          </w:p>
        </w:tc>
        <w:tc>
          <w:tcPr>
            <w:tcW w:w="6959" w:type="dxa"/>
            <w:tcBorders>
              <w:top w:val="single" w:color="auto" w:sz="4" w:space="0"/>
              <w:left w:val="single" w:color="auto" w:sz="4" w:space="0"/>
              <w:bottom w:val="single" w:color="auto" w:sz="4" w:space="0"/>
              <w:right w:val="single" w:color="auto" w:sz="4" w:space="0"/>
            </w:tcBorders>
            <w:noWrap/>
            <w:vAlign w:val="center"/>
          </w:tcPr>
          <w:p w14:paraId="33933C6D">
            <w:pPr>
              <w:topLinePunct/>
              <w:jc w:val="center"/>
              <w:rPr>
                <w:color w:val="000000" w:themeColor="text1"/>
                <w:szCs w:val="21"/>
                <w:highlight w:val="none"/>
              </w:rPr>
            </w:pPr>
          </w:p>
        </w:tc>
      </w:tr>
      <w:tr w14:paraId="2019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0D1584A1">
            <w:pPr>
              <w:topLinePunct/>
              <w:jc w:val="center"/>
              <w:rPr>
                <w:color w:val="000000" w:themeColor="text1"/>
                <w:szCs w:val="21"/>
                <w:highlight w:val="none"/>
              </w:rPr>
            </w:pPr>
            <w:r>
              <w:rPr>
                <w:color w:val="000000" w:themeColor="text1"/>
                <w:szCs w:val="21"/>
                <w:highlight w:val="none"/>
              </w:rPr>
              <w:t>项目负责人</w:t>
            </w:r>
          </w:p>
        </w:tc>
        <w:tc>
          <w:tcPr>
            <w:tcW w:w="6959" w:type="dxa"/>
            <w:tcBorders>
              <w:top w:val="single" w:color="auto" w:sz="4" w:space="0"/>
              <w:left w:val="single" w:color="auto" w:sz="4" w:space="0"/>
              <w:bottom w:val="single" w:color="auto" w:sz="4" w:space="0"/>
              <w:right w:val="single" w:color="auto" w:sz="4" w:space="0"/>
            </w:tcBorders>
            <w:noWrap/>
            <w:vAlign w:val="center"/>
          </w:tcPr>
          <w:p w14:paraId="44432B73">
            <w:pPr>
              <w:topLinePunct/>
              <w:jc w:val="center"/>
              <w:rPr>
                <w:color w:val="000000" w:themeColor="text1"/>
                <w:szCs w:val="21"/>
                <w:highlight w:val="none"/>
              </w:rPr>
            </w:pPr>
          </w:p>
        </w:tc>
      </w:tr>
      <w:tr w14:paraId="4B85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22BE54DE">
            <w:pPr>
              <w:topLinePunct/>
              <w:jc w:val="center"/>
              <w:rPr>
                <w:color w:val="000000" w:themeColor="text1"/>
                <w:szCs w:val="21"/>
                <w:highlight w:val="none"/>
              </w:rPr>
            </w:pPr>
            <w:r>
              <w:rPr>
                <w:color w:val="000000" w:themeColor="text1"/>
                <w:szCs w:val="21"/>
                <w:highlight w:val="none"/>
              </w:rPr>
              <w:t>项目描述</w:t>
            </w:r>
          </w:p>
        </w:tc>
        <w:tc>
          <w:tcPr>
            <w:tcW w:w="6959" w:type="dxa"/>
            <w:tcBorders>
              <w:top w:val="single" w:color="auto" w:sz="4" w:space="0"/>
              <w:left w:val="single" w:color="auto" w:sz="4" w:space="0"/>
              <w:bottom w:val="single" w:color="auto" w:sz="4" w:space="0"/>
              <w:right w:val="single" w:color="auto" w:sz="4" w:space="0"/>
            </w:tcBorders>
            <w:noWrap/>
            <w:vAlign w:val="center"/>
          </w:tcPr>
          <w:p w14:paraId="22FA3500">
            <w:pPr>
              <w:topLinePunct/>
              <w:jc w:val="center"/>
              <w:rPr>
                <w:color w:val="000000" w:themeColor="text1"/>
                <w:szCs w:val="21"/>
                <w:highlight w:val="none"/>
              </w:rPr>
            </w:pPr>
          </w:p>
        </w:tc>
      </w:tr>
      <w:tr w14:paraId="386A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2525" w:type="dxa"/>
            <w:tcBorders>
              <w:top w:val="single" w:color="auto" w:sz="4" w:space="0"/>
              <w:left w:val="single" w:color="auto" w:sz="4" w:space="0"/>
              <w:bottom w:val="single" w:color="auto" w:sz="4" w:space="0"/>
              <w:right w:val="single" w:color="auto" w:sz="4" w:space="0"/>
            </w:tcBorders>
            <w:noWrap/>
            <w:vAlign w:val="center"/>
          </w:tcPr>
          <w:p w14:paraId="43B2F882">
            <w:pPr>
              <w:topLinePunct/>
              <w:jc w:val="center"/>
              <w:rPr>
                <w:color w:val="000000" w:themeColor="text1"/>
                <w:szCs w:val="21"/>
                <w:highlight w:val="none"/>
              </w:rPr>
            </w:pPr>
            <w:r>
              <w:rPr>
                <w:color w:val="000000" w:themeColor="text1"/>
                <w:szCs w:val="21"/>
                <w:highlight w:val="none"/>
              </w:rPr>
              <w:t>备注</w:t>
            </w:r>
          </w:p>
        </w:tc>
        <w:tc>
          <w:tcPr>
            <w:tcW w:w="6959" w:type="dxa"/>
            <w:tcBorders>
              <w:top w:val="single" w:color="auto" w:sz="4" w:space="0"/>
              <w:left w:val="single" w:color="auto" w:sz="4" w:space="0"/>
              <w:bottom w:val="single" w:color="auto" w:sz="4" w:space="0"/>
              <w:right w:val="single" w:color="auto" w:sz="4" w:space="0"/>
            </w:tcBorders>
            <w:noWrap/>
            <w:vAlign w:val="center"/>
          </w:tcPr>
          <w:p w14:paraId="1F005995">
            <w:pPr>
              <w:topLinePunct/>
              <w:jc w:val="center"/>
              <w:rPr>
                <w:color w:val="000000" w:themeColor="text1"/>
                <w:szCs w:val="21"/>
                <w:highlight w:val="none"/>
              </w:rPr>
            </w:pPr>
          </w:p>
        </w:tc>
      </w:tr>
    </w:tbl>
    <w:p w14:paraId="79608CCB">
      <w:pPr>
        <w:pStyle w:val="47"/>
        <w:spacing w:line="360" w:lineRule="auto"/>
        <w:ind w:right="-313" w:rightChars="-149" w:firstLine="420" w:firstLineChars="200"/>
        <w:jc w:val="both"/>
        <w:rPr>
          <w:rFonts w:ascii="Times New Roman"/>
          <w:color w:val="000000" w:themeColor="text1"/>
          <w:sz w:val="23"/>
          <w:szCs w:val="23"/>
          <w:highlight w:val="none"/>
        </w:rPr>
      </w:pPr>
      <w:r>
        <w:rPr>
          <w:rFonts w:ascii="Times New Roman"/>
          <w:color w:val="000000" w:themeColor="text1"/>
          <w:sz w:val="21"/>
          <w:szCs w:val="21"/>
          <w:highlight w:val="none"/>
        </w:rPr>
        <w:t>注：</w:t>
      </w:r>
      <w:r>
        <w:rPr>
          <w:rFonts w:hint="eastAsia" w:ascii="Times New Roman"/>
          <w:color w:val="000000" w:themeColor="text1"/>
          <w:sz w:val="21"/>
          <w:szCs w:val="21"/>
          <w:highlight w:val="none"/>
        </w:rPr>
        <w:t>供应商如有</w:t>
      </w:r>
      <w:r>
        <w:rPr>
          <w:rFonts w:ascii="Times New Roman"/>
          <w:color w:val="000000" w:themeColor="text1"/>
          <w:sz w:val="21"/>
          <w:szCs w:val="21"/>
          <w:highlight w:val="none"/>
        </w:rPr>
        <w:t>类似业绩，提供中标</w:t>
      </w:r>
      <w:r>
        <w:rPr>
          <w:rFonts w:hint="eastAsia" w:ascii="Times New Roman"/>
          <w:color w:val="000000" w:themeColor="text1"/>
          <w:sz w:val="21"/>
          <w:szCs w:val="21"/>
          <w:highlight w:val="none"/>
        </w:rPr>
        <w:t>/成交</w:t>
      </w:r>
      <w:r>
        <w:rPr>
          <w:rFonts w:ascii="Times New Roman"/>
          <w:color w:val="000000" w:themeColor="text1"/>
          <w:sz w:val="21"/>
          <w:szCs w:val="21"/>
          <w:highlight w:val="none"/>
        </w:rPr>
        <w:t>通知书或合同协议书</w:t>
      </w:r>
      <w:r>
        <w:rPr>
          <w:rFonts w:hint="eastAsia" w:ascii="Times New Roman"/>
          <w:color w:val="000000" w:themeColor="text1"/>
          <w:sz w:val="21"/>
          <w:szCs w:val="21"/>
          <w:highlight w:val="none"/>
        </w:rPr>
        <w:t>复印件</w:t>
      </w:r>
      <w:r>
        <w:rPr>
          <w:rFonts w:ascii="Times New Roman"/>
          <w:color w:val="000000" w:themeColor="text1"/>
          <w:sz w:val="21"/>
          <w:szCs w:val="21"/>
          <w:highlight w:val="none"/>
        </w:rPr>
        <w:t>，所有复印件必须要清晰、字迹清楚，否则不得分。</w:t>
      </w:r>
    </w:p>
    <w:p w14:paraId="27F249C0">
      <w:pPr>
        <w:pStyle w:val="4"/>
        <w:spacing w:line="240" w:lineRule="auto"/>
        <w:jc w:val="center"/>
        <w:rPr>
          <w:rFonts w:ascii="宋体" w:hAnsi="宋体"/>
          <w:b w:val="0"/>
          <w:color w:val="000000" w:themeColor="text1"/>
          <w:highlight w:val="none"/>
        </w:rPr>
      </w:pPr>
      <w:r>
        <w:rPr>
          <w:rFonts w:ascii="Times New Roman" w:hAnsi="Times New Roman"/>
          <w:color w:val="000000" w:themeColor="text1"/>
          <w:highlight w:val="none"/>
        </w:rPr>
        <w:br w:type="page"/>
      </w:r>
      <w:r>
        <w:rPr>
          <w:rFonts w:hint="eastAsia" w:ascii="宋体" w:hAnsi="宋体"/>
          <w:color w:val="000000" w:themeColor="text1"/>
          <w:highlight w:val="none"/>
        </w:rPr>
        <w:t>商务条款偏离表(格式)</w:t>
      </w:r>
    </w:p>
    <w:p w14:paraId="4641A271">
      <w:pPr>
        <w:ind w:hanging="119"/>
        <w:rPr>
          <w:rFonts w:ascii="宋体" w:hAnsi="宋体"/>
          <w:color w:val="000000" w:themeColor="text1"/>
          <w:sz w:val="24"/>
          <w:highlight w:val="none"/>
        </w:rPr>
      </w:pPr>
    </w:p>
    <w:p w14:paraId="5D64BB20">
      <w:pPr>
        <w:spacing w:after="240"/>
        <w:ind w:hanging="119"/>
        <w:rPr>
          <w:rFonts w:ascii="宋体" w:hAnsi="宋体"/>
          <w:color w:val="000000" w:themeColor="text1"/>
          <w:sz w:val="24"/>
          <w:highlight w:val="none"/>
        </w:rPr>
      </w:pPr>
      <w:r>
        <w:rPr>
          <w:rFonts w:hint="eastAsia" w:ascii="宋体" w:hAnsi="宋体"/>
          <w:color w:val="000000" w:themeColor="text1"/>
          <w:sz w:val="24"/>
          <w:highlight w:val="none"/>
        </w:rPr>
        <w:t>供应商名称：</w:t>
      </w:r>
    </w:p>
    <w:p w14:paraId="6548CB61">
      <w:pPr>
        <w:spacing w:after="240"/>
        <w:ind w:hanging="119"/>
        <w:rPr>
          <w:rFonts w:ascii="宋体" w:hAnsi="宋体"/>
          <w:color w:val="000000" w:themeColor="text1"/>
          <w:sz w:val="24"/>
          <w:highlight w:val="none"/>
          <w:u w:val="single"/>
        </w:rPr>
      </w:pPr>
      <w:r>
        <w:rPr>
          <w:rFonts w:hint="eastAsia" w:ascii="宋体" w:hAnsi="宋体"/>
          <w:color w:val="000000" w:themeColor="text1"/>
          <w:sz w:val="24"/>
          <w:highlight w:val="none"/>
        </w:rPr>
        <w:t>项目编号：</w:t>
      </w:r>
    </w:p>
    <w:tbl>
      <w:tblPr>
        <w:tblStyle w:val="38"/>
        <w:tblW w:w="99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299"/>
        <w:gridCol w:w="2079"/>
        <w:gridCol w:w="2491"/>
        <w:gridCol w:w="2107"/>
      </w:tblGrid>
      <w:tr w14:paraId="14EC71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61" w:type="dxa"/>
            <w:noWrap/>
          </w:tcPr>
          <w:p w14:paraId="082B510C">
            <w:pPr>
              <w:spacing w:before="240" w:after="240"/>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2299" w:type="dxa"/>
            <w:noWrap/>
          </w:tcPr>
          <w:p w14:paraId="7BF842C3">
            <w:pPr>
              <w:spacing w:before="240" w:after="240"/>
              <w:jc w:val="center"/>
              <w:rPr>
                <w:rFonts w:ascii="宋体" w:hAnsi="宋体"/>
                <w:color w:val="000000" w:themeColor="text1"/>
                <w:sz w:val="24"/>
                <w:highlight w:val="none"/>
              </w:rPr>
            </w:pPr>
            <w:r>
              <w:rPr>
                <w:rFonts w:hint="eastAsia" w:ascii="宋体" w:hAnsi="宋体"/>
                <w:color w:val="000000" w:themeColor="text1"/>
                <w:sz w:val="24"/>
                <w:highlight w:val="none"/>
              </w:rPr>
              <w:t>磋商文件条目号</w:t>
            </w:r>
          </w:p>
        </w:tc>
        <w:tc>
          <w:tcPr>
            <w:tcW w:w="2079" w:type="dxa"/>
            <w:noWrap/>
          </w:tcPr>
          <w:p w14:paraId="462ADE01">
            <w:pPr>
              <w:spacing w:before="240" w:after="240"/>
              <w:jc w:val="center"/>
              <w:rPr>
                <w:rFonts w:ascii="宋体" w:hAnsi="宋体"/>
                <w:color w:val="000000" w:themeColor="text1"/>
                <w:sz w:val="24"/>
                <w:highlight w:val="none"/>
              </w:rPr>
            </w:pPr>
            <w:r>
              <w:rPr>
                <w:rFonts w:hint="eastAsia" w:ascii="宋体" w:hAnsi="宋体"/>
                <w:color w:val="000000" w:themeColor="text1"/>
                <w:sz w:val="24"/>
                <w:highlight w:val="none"/>
              </w:rPr>
              <w:t>磋商文件的商务条款</w:t>
            </w:r>
          </w:p>
        </w:tc>
        <w:tc>
          <w:tcPr>
            <w:tcW w:w="2491" w:type="dxa"/>
            <w:noWrap/>
          </w:tcPr>
          <w:p w14:paraId="1DC60A4D">
            <w:pPr>
              <w:spacing w:before="240" w:after="240"/>
              <w:jc w:val="center"/>
              <w:rPr>
                <w:rFonts w:ascii="宋体" w:hAnsi="宋体"/>
                <w:color w:val="000000" w:themeColor="text1"/>
                <w:sz w:val="24"/>
                <w:highlight w:val="none"/>
              </w:rPr>
            </w:pPr>
            <w:r>
              <w:rPr>
                <w:rFonts w:hint="eastAsia" w:ascii="宋体" w:hAnsi="宋体"/>
                <w:color w:val="000000" w:themeColor="text1"/>
                <w:sz w:val="24"/>
                <w:highlight w:val="none"/>
              </w:rPr>
              <w:t>响应文件的商务条款</w:t>
            </w:r>
          </w:p>
        </w:tc>
        <w:tc>
          <w:tcPr>
            <w:tcW w:w="2107" w:type="dxa"/>
            <w:noWrap/>
          </w:tcPr>
          <w:p w14:paraId="13F1A4A9">
            <w:pPr>
              <w:spacing w:before="240" w:after="240"/>
              <w:jc w:val="center"/>
              <w:rPr>
                <w:rFonts w:ascii="宋体" w:hAnsi="宋体"/>
                <w:color w:val="000000" w:themeColor="text1"/>
                <w:sz w:val="24"/>
                <w:highlight w:val="none"/>
              </w:rPr>
            </w:pPr>
            <w:r>
              <w:rPr>
                <w:rFonts w:hint="eastAsia" w:ascii="宋体" w:hAnsi="宋体"/>
                <w:color w:val="000000" w:themeColor="text1"/>
                <w:sz w:val="24"/>
                <w:highlight w:val="none"/>
              </w:rPr>
              <w:t>是否偏离</w:t>
            </w:r>
          </w:p>
        </w:tc>
      </w:tr>
      <w:tr w14:paraId="07289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1" w:type="dxa"/>
            <w:noWrap/>
          </w:tcPr>
          <w:p w14:paraId="22DF4382">
            <w:pPr>
              <w:spacing w:before="240" w:after="240"/>
              <w:rPr>
                <w:rFonts w:ascii="宋体" w:hAnsi="宋体"/>
                <w:color w:val="000000" w:themeColor="text1"/>
                <w:sz w:val="24"/>
                <w:highlight w:val="none"/>
              </w:rPr>
            </w:pPr>
          </w:p>
        </w:tc>
        <w:tc>
          <w:tcPr>
            <w:tcW w:w="2299" w:type="dxa"/>
            <w:noWrap/>
          </w:tcPr>
          <w:p w14:paraId="7B398810">
            <w:pPr>
              <w:spacing w:before="240" w:after="240"/>
              <w:rPr>
                <w:rFonts w:ascii="宋体" w:hAnsi="宋体"/>
                <w:color w:val="000000" w:themeColor="text1"/>
                <w:sz w:val="24"/>
                <w:highlight w:val="none"/>
              </w:rPr>
            </w:pPr>
          </w:p>
        </w:tc>
        <w:tc>
          <w:tcPr>
            <w:tcW w:w="2079" w:type="dxa"/>
            <w:noWrap/>
          </w:tcPr>
          <w:p w14:paraId="20B64EFB">
            <w:pPr>
              <w:spacing w:before="240" w:after="240"/>
              <w:rPr>
                <w:rFonts w:ascii="宋体" w:hAnsi="宋体"/>
                <w:color w:val="000000" w:themeColor="text1"/>
                <w:sz w:val="24"/>
                <w:highlight w:val="none"/>
              </w:rPr>
            </w:pPr>
          </w:p>
        </w:tc>
        <w:tc>
          <w:tcPr>
            <w:tcW w:w="2491" w:type="dxa"/>
            <w:noWrap/>
          </w:tcPr>
          <w:p w14:paraId="03CAE072">
            <w:pPr>
              <w:spacing w:before="240" w:after="240"/>
              <w:rPr>
                <w:rFonts w:ascii="宋体" w:hAnsi="宋体"/>
                <w:color w:val="000000" w:themeColor="text1"/>
                <w:sz w:val="24"/>
                <w:highlight w:val="none"/>
              </w:rPr>
            </w:pPr>
          </w:p>
        </w:tc>
        <w:tc>
          <w:tcPr>
            <w:tcW w:w="2107" w:type="dxa"/>
            <w:noWrap/>
          </w:tcPr>
          <w:p w14:paraId="5E320DCC">
            <w:pPr>
              <w:spacing w:before="240" w:after="240"/>
              <w:rPr>
                <w:rFonts w:ascii="宋体" w:hAnsi="宋体"/>
                <w:color w:val="000000" w:themeColor="text1"/>
                <w:sz w:val="24"/>
                <w:highlight w:val="none"/>
              </w:rPr>
            </w:pPr>
          </w:p>
        </w:tc>
      </w:tr>
      <w:tr w14:paraId="0AEEE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1" w:type="dxa"/>
            <w:noWrap/>
          </w:tcPr>
          <w:p w14:paraId="2B664D07">
            <w:pPr>
              <w:spacing w:before="240" w:after="240"/>
              <w:rPr>
                <w:rFonts w:ascii="宋体" w:hAnsi="宋体"/>
                <w:color w:val="000000" w:themeColor="text1"/>
                <w:sz w:val="24"/>
                <w:highlight w:val="none"/>
              </w:rPr>
            </w:pPr>
          </w:p>
        </w:tc>
        <w:tc>
          <w:tcPr>
            <w:tcW w:w="2299" w:type="dxa"/>
            <w:noWrap/>
          </w:tcPr>
          <w:p w14:paraId="46448A0A">
            <w:pPr>
              <w:spacing w:before="240" w:after="240"/>
              <w:rPr>
                <w:rFonts w:ascii="宋体" w:hAnsi="宋体"/>
                <w:color w:val="000000" w:themeColor="text1"/>
                <w:sz w:val="24"/>
                <w:highlight w:val="none"/>
              </w:rPr>
            </w:pPr>
          </w:p>
        </w:tc>
        <w:tc>
          <w:tcPr>
            <w:tcW w:w="2079" w:type="dxa"/>
            <w:noWrap/>
          </w:tcPr>
          <w:p w14:paraId="31700D7E">
            <w:pPr>
              <w:spacing w:before="240" w:after="240"/>
              <w:rPr>
                <w:rFonts w:ascii="宋体" w:hAnsi="宋体"/>
                <w:color w:val="000000" w:themeColor="text1"/>
                <w:sz w:val="24"/>
                <w:highlight w:val="none"/>
              </w:rPr>
            </w:pPr>
          </w:p>
        </w:tc>
        <w:tc>
          <w:tcPr>
            <w:tcW w:w="2491" w:type="dxa"/>
            <w:noWrap/>
          </w:tcPr>
          <w:p w14:paraId="78F8A635">
            <w:pPr>
              <w:spacing w:before="240" w:after="240"/>
              <w:rPr>
                <w:rFonts w:ascii="宋体" w:hAnsi="宋体"/>
                <w:color w:val="000000" w:themeColor="text1"/>
                <w:sz w:val="24"/>
                <w:highlight w:val="none"/>
              </w:rPr>
            </w:pPr>
          </w:p>
        </w:tc>
        <w:tc>
          <w:tcPr>
            <w:tcW w:w="2107" w:type="dxa"/>
            <w:noWrap/>
          </w:tcPr>
          <w:p w14:paraId="2E37D6AA">
            <w:pPr>
              <w:spacing w:before="240" w:after="240"/>
              <w:rPr>
                <w:rFonts w:ascii="宋体" w:hAnsi="宋体"/>
                <w:color w:val="000000" w:themeColor="text1"/>
                <w:sz w:val="24"/>
                <w:highlight w:val="none"/>
              </w:rPr>
            </w:pPr>
          </w:p>
        </w:tc>
      </w:tr>
      <w:tr w14:paraId="1E116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1" w:type="dxa"/>
            <w:noWrap/>
          </w:tcPr>
          <w:p w14:paraId="09ACB4C9">
            <w:pPr>
              <w:spacing w:before="240" w:after="240"/>
              <w:rPr>
                <w:rFonts w:ascii="宋体" w:hAnsi="宋体"/>
                <w:color w:val="000000" w:themeColor="text1"/>
                <w:sz w:val="24"/>
                <w:highlight w:val="none"/>
              </w:rPr>
            </w:pPr>
          </w:p>
        </w:tc>
        <w:tc>
          <w:tcPr>
            <w:tcW w:w="2299" w:type="dxa"/>
            <w:noWrap/>
          </w:tcPr>
          <w:p w14:paraId="56C9F4E6">
            <w:pPr>
              <w:spacing w:before="240" w:after="240"/>
              <w:rPr>
                <w:rFonts w:ascii="宋体" w:hAnsi="宋体"/>
                <w:color w:val="000000" w:themeColor="text1"/>
                <w:sz w:val="24"/>
                <w:highlight w:val="none"/>
              </w:rPr>
            </w:pPr>
          </w:p>
        </w:tc>
        <w:tc>
          <w:tcPr>
            <w:tcW w:w="2079" w:type="dxa"/>
            <w:noWrap/>
          </w:tcPr>
          <w:p w14:paraId="7940DAED">
            <w:pPr>
              <w:spacing w:before="240" w:after="240"/>
              <w:rPr>
                <w:rFonts w:ascii="宋体" w:hAnsi="宋体"/>
                <w:color w:val="000000" w:themeColor="text1"/>
                <w:sz w:val="24"/>
                <w:highlight w:val="none"/>
              </w:rPr>
            </w:pPr>
          </w:p>
        </w:tc>
        <w:tc>
          <w:tcPr>
            <w:tcW w:w="2491" w:type="dxa"/>
            <w:noWrap/>
          </w:tcPr>
          <w:p w14:paraId="227BC8E1">
            <w:pPr>
              <w:spacing w:before="240" w:after="240"/>
              <w:rPr>
                <w:rFonts w:ascii="宋体" w:hAnsi="宋体"/>
                <w:color w:val="000000" w:themeColor="text1"/>
                <w:sz w:val="24"/>
                <w:highlight w:val="none"/>
              </w:rPr>
            </w:pPr>
          </w:p>
        </w:tc>
        <w:tc>
          <w:tcPr>
            <w:tcW w:w="2107" w:type="dxa"/>
            <w:noWrap/>
          </w:tcPr>
          <w:p w14:paraId="2CAE58C9">
            <w:pPr>
              <w:spacing w:before="240" w:after="240"/>
              <w:rPr>
                <w:rFonts w:ascii="宋体" w:hAnsi="宋体"/>
                <w:color w:val="000000" w:themeColor="text1"/>
                <w:sz w:val="24"/>
                <w:highlight w:val="none"/>
              </w:rPr>
            </w:pPr>
          </w:p>
        </w:tc>
      </w:tr>
      <w:tr w14:paraId="01D2B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1" w:type="dxa"/>
            <w:noWrap/>
          </w:tcPr>
          <w:p w14:paraId="5831D155">
            <w:pPr>
              <w:spacing w:before="240" w:after="240"/>
              <w:rPr>
                <w:rFonts w:ascii="宋体" w:hAnsi="宋体"/>
                <w:color w:val="000000" w:themeColor="text1"/>
                <w:sz w:val="24"/>
                <w:highlight w:val="none"/>
              </w:rPr>
            </w:pPr>
          </w:p>
        </w:tc>
        <w:tc>
          <w:tcPr>
            <w:tcW w:w="2299" w:type="dxa"/>
            <w:noWrap/>
          </w:tcPr>
          <w:p w14:paraId="7924C05C">
            <w:pPr>
              <w:spacing w:before="240" w:after="240"/>
              <w:rPr>
                <w:rFonts w:ascii="宋体" w:hAnsi="宋体"/>
                <w:color w:val="000000" w:themeColor="text1"/>
                <w:sz w:val="24"/>
                <w:highlight w:val="none"/>
              </w:rPr>
            </w:pPr>
          </w:p>
        </w:tc>
        <w:tc>
          <w:tcPr>
            <w:tcW w:w="2079" w:type="dxa"/>
            <w:noWrap/>
          </w:tcPr>
          <w:p w14:paraId="64B0DFFC">
            <w:pPr>
              <w:spacing w:before="240" w:after="240"/>
              <w:rPr>
                <w:rFonts w:ascii="宋体" w:hAnsi="宋体"/>
                <w:color w:val="000000" w:themeColor="text1"/>
                <w:sz w:val="24"/>
                <w:highlight w:val="none"/>
              </w:rPr>
            </w:pPr>
          </w:p>
        </w:tc>
        <w:tc>
          <w:tcPr>
            <w:tcW w:w="2491" w:type="dxa"/>
            <w:noWrap/>
          </w:tcPr>
          <w:p w14:paraId="62E556ED">
            <w:pPr>
              <w:spacing w:before="240" w:after="240"/>
              <w:rPr>
                <w:rFonts w:ascii="宋体" w:hAnsi="宋体"/>
                <w:color w:val="000000" w:themeColor="text1"/>
                <w:sz w:val="24"/>
                <w:highlight w:val="none"/>
              </w:rPr>
            </w:pPr>
          </w:p>
        </w:tc>
        <w:tc>
          <w:tcPr>
            <w:tcW w:w="2107" w:type="dxa"/>
            <w:noWrap/>
          </w:tcPr>
          <w:p w14:paraId="1D686CDF">
            <w:pPr>
              <w:spacing w:before="240" w:after="240"/>
              <w:rPr>
                <w:rFonts w:ascii="宋体" w:hAnsi="宋体"/>
                <w:color w:val="000000" w:themeColor="text1"/>
                <w:sz w:val="24"/>
                <w:highlight w:val="none"/>
              </w:rPr>
            </w:pPr>
          </w:p>
        </w:tc>
      </w:tr>
      <w:tr w14:paraId="261A5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1" w:type="dxa"/>
            <w:noWrap/>
          </w:tcPr>
          <w:p w14:paraId="28FBCFB3">
            <w:pPr>
              <w:spacing w:before="240" w:after="240"/>
              <w:rPr>
                <w:rFonts w:ascii="宋体" w:hAnsi="宋体"/>
                <w:color w:val="000000" w:themeColor="text1"/>
                <w:sz w:val="24"/>
                <w:highlight w:val="none"/>
              </w:rPr>
            </w:pPr>
          </w:p>
        </w:tc>
        <w:tc>
          <w:tcPr>
            <w:tcW w:w="2299" w:type="dxa"/>
            <w:noWrap/>
          </w:tcPr>
          <w:p w14:paraId="4C6312CB">
            <w:pPr>
              <w:spacing w:before="240" w:after="240"/>
              <w:rPr>
                <w:rFonts w:ascii="宋体" w:hAnsi="宋体"/>
                <w:color w:val="000000" w:themeColor="text1"/>
                <w:sz w:val="24"/>
                <w:highlight w:val="none"/>
              </w:rPr>
            </w:pPr>
          </w:p>
        </w:tc>
        <w:tc>
          <w:tcPr>
            <w:tcW w:w="2079" w:type="dxa"/>
            <w:noWrap/>
          </w:tcPr>
          <w:p w14:paraId="3D9D7405">
            <w:pPr>
              <w:spacing w:before="240" w:after="240"/>
              <w:rPr>
                <w:rFonts w:ascii="宋体" w:hAnsi="宋体"/>
                <w:color w:val="000000" w:themeColor="text1"/>
                <w:sz w:val="24"/>
                <w:highlight w:val="none"/>
              </w:rPr>
            </w:pPr>
          </w:p>
        </w:tc>
        <w:tc>
          <w:tcPr>
            <w:tcW w:w="2491" w:type="dxa"/>
            <w:noWrap/>
          </w:tcPr>
          <w:p w14:paraId="7AAEDDF3">
            <w:pPr>
              <w:spacing w:before="240" w:after="240"/>
              <w:rPr>
                <w:rFonts w:ascii="宋体" w:hAnsi="宋体"/>
                <w:color w:val="000000" w:themeColor="text1"/>
                <w:sz w:val="24"/>
                <w:highlight w:val="none"/>
              </w:rPr>
            </w:pPr>
          </w:p>
        </w:tc>
        <w:tc>
          <w:tcPr>
            <w:tcW w:w="2107" w:type="dxa"/>
            <w:noWrap/>
          </w:tcPr>
          <w:p w14:paraId="29CED206">
            <w:pPr>
              <w:spacing w:before="240" w:after="240"/>
              <w:rPr>
                <w:rFonts w:ascii="宋体" w:hAnsi="宋体"/>
                <w:color w:val="000000" w:themeColor="text1"/>
                <w:sz w:val="24"/>
                <w:highlight w:val="none"/>
              </w:rPr>
            </w:pPr>
          </w:p>
        </w:tc>
      </w:tr>
      <w:tr w14:paraId="55CD8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1" w:type="dxa"/>
            <w:noWrap/>
          </w:tcPr>
          <w:p w14:paraId="697C5950">
            <w:pPr>
              <w:spacing w:before="240" w:after="240"/>
              <w:rPr>
                <w:rFonts w:ascii="宋体" w:hAnsi="宋体"/>
                <w:color w:val="000000" w:themeColor="text1"/>
                <w:sz w:val="24"/>
                <w:highlight w:val="none"/>
              </w:rPr>
            </w:pPr>
          </w:p>
        </w:tc>
        <w:tc>
          <w:tcPr>
            <w:tcW w:w="2299" w:type="dxa"/>
            <w:noWrap/>
          </w:tcPr>
          <w:p w14:paraId="78641841">
            <w:pPr>
              <w:spacing w:before="240" w:after="240"/>
              <w:rPr>
                <w:rFonts w:ascii="宋体" w:hAnsi="宋体"/>
                <w:color w:val="000000" w:themeColor="text1"/>
                <w:sz w:val="24"/>
                <w:highlight w:val="none"/>
              </w:rPr>
            </w:pPr>
          </w:p>
        </w:tc>
        <w:tc>
          <w:tcPr>
            <w:tcW w:w="2079" w:type="dxa"/>
            <w:noWrap/>
          </w:tcPr>
          <w:p w14:paraId="08B1B30C">
            <w:pPr>
              <w:spacing w:before="240" w:after="240"/>
              <w:rPr>
                <w:rFonts w:ascii="宋体" w:hAnsi="宋体"/>
                <w:color w:val="000000" w:themeColor="text1"/>
                <w:sz w:val="24"/>
                <w:highlight w:val="none"/>
              </w:rPr>
            </w:pPr>
          </w:p>
        </w:tc>
        <w:tc>
          <w:tcPr>
            <w:tcW w:w="2491" w:type="dxa"/>
            <w:noWrap/>
          </w:tcPr>
          <w:p w14:paraId="23FF17F2">
            <w:pPr>
              <w:spacing w:before="240" w:after="240"/>
              <w:rPr>
                <w:rFonts w:ascii="宋体" w:hAnsi="宋体"/>
                <w:color w:val="000000" w:themeColor="text1"/>
                <w:sz w:val="24"/>
                <w:highlight w:val="none"/>
              </w:rPr>
            </w:pPr>
          </w:p>
        </w:tc>
        <w:tc>
          <w:tcPr>
            <w:tcW w:w="2107" w:type="dxa"/>
            <w:noWrap/>
          </w:tcPr>
          <w:p w14:paraId="22D9F479">
            <w:pPr>
              <w:spacing w:before="240" w:after="240"/>
              <w:rPr>
                <w:rFonts w:ascii="宋体" w:hAnsi="宋体"/>
                <w:color w:val="000000" w:themeColor="text1"/>
                <w:sz w:val="24"/>
                <w:highlight w:val="none"/>
              </w:rPr>
            </w:pPr>
          </w:p>
        </w:tc>
      </w:tr>
      <w:tr w14:paraId="6D133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61" w:type="dxa"/>
            <w:noWrap/>
          </w:tcPr>
          <w:p w14:paraId="4B5B6E1A">
            <w:pPr>
              <w:spacing w:before="240" w:after="240"/>
              <w:rPr>
                <w:rFonts w:ascii="宋体" w:hAnsi="宋体"/>
                <w:color w:val="000000" w:themeColor="text1"/>
                <w:sz w:val="24"/>
                <w:highlight w:val="none"/>
              </w:rPr>
            </w:pPr>
          </w:p>
        </w:tc>
        <w:tc>
          <w:tcPr>
            <w:tcW w:w="2299" w:type="dxa"/>
            <w:noWrap/>
          </w:tcPr>
          <w:p w14:paraId="229DE6A8">
            <w:pPr>
              <w:spacing w:before="240" w:after="240"/>
              <w:rPr>
                <w:rFonts w:ascii="宋体" w:hAnsi="宋体"/>
                <w:color w:val="000000" w:themeColor="text1"/>
                <w:sz w:val="24"/>
                <w:highlight w:val="none"/>
              </w:rPr>
            </w:pPr>
          </w:p>
        </w:tc>
        <w:tc>
          <w:tcPr>
            <w:tcW w:w="2079" w:type="dxa"/>
            <w:noWrap/>
          </w:tcPr>
          <w:p w14:paraId="17B1E266">
            <w:pPr>
              <w:spacing w:before="240" w:after="240"/>
              <w:rPr>
                <w:rFonts w:ascii="宋体" w:hAnsi="宋体"/>
                <w:color w:val="000000" w:themeColor="text1"/>
                <w:sz w:val="24"/>
                <w:highlight w:val="none"/>
              </w:rPr>
            </w:pPr>
          </w:p>
        </w:tc>
        <w:tc>
          <w:tcPr>
            <w:tcW w:w="2491" w:type="dxa"/>
            <w:noWrap/>
          </w:tcPr>
          <w:p w14:paraId="3FF673E9">
            <w:pPr>
              <w:spacing w:before="240" w:after="240"/>
              <w:rPr>
                <w:rFonts w:ascii="宋体" w:hAnsi="宋体"/>
                <w:color w:val="000000" w:themeColor="text1"/>
                <w:sz w:val="24"/>
                <w:highlight w:val="none"/>
              </w:rPr>
            </w:pPr>
          </w:p>
        </w:tc>
        <w:tc>
          <w:tcPr>
            <w:tcW w:w="2107" w:type="dxa"/>
            <w:noWrap/>
          </w:tcPr>
          <w:p w14:paraId="7C0AA5D9">
            <w:pPr>
              <w:spacing w:before="240" w:after="240"/>
              <w:rPr>
                <w:rFonts w:ascii="宋体" w:hAnsi="宋体"/>
                <w:color w:val="000000" w:themeColor="text1"/>
                <w:sz w:val="24"/>
                <w:highlight w:val="none"/>
              </w:rPr>
            </w:pPr>
          </w:p>
        </w:tc>
      </w:tr>
      <w:tr w14:paraId="685E2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1" w:type="dxa"/>
            <w:noWrap/>
          </w:tcPr>
          <w:p w14:paraId="45FCEFDA">
            <w:pPr>
              <w:spacing w:before="240" w:after="240"/>
              <w:rPr>
                <w:rFonts w:ascii="宋体" w:hAnsi="宋体"/>
                <w:color w:val="000000" w:themeColor="text1"/>
                <w:sz w:val="24"/>
                <w:highlight w:val="none"/>
              </w:rPr>
            </w:pPr>
          </w:p>
        </w:tc>
        <w:tc>
          <w:tcPr>
            <w:tcW w:w="2299" w:type="dxa"/>
            <w:noWrap/>
          </w:tcPr>
          <w:p w14:paraId="5867E1F6">
            <w:pPr>
              <w:spacing w:before="240" w:after="240"/>
              <w:rPr>
                <w:rFonts w:ascii="宋体" w:hAnsi="宋体"/>
                <w:color w:val="000000" w:themeColor="text1"/>
                <w:sz w:val="24"/>
                <w:highlight w:val="none"/>
              </w:rPr>
            </w:pPr>
          </w:p>
        </w:tc>
        <w:tc>
          <w:tcPr>
            <w:tcW w:w="2079" w:type="dxa"/>
            <w:noWrap/>
          </w:tcPr>
          <w:p w14:paraId="2006D05D">
            <w:pPr>
              <w:spacing w:before="240" w:after="240"/>
              <w:rPr>
                <w:rFonts w:ascii="宋体" w:hAnsi="宋体"/>
                <w:color w:val="000000" w:themeColor="text1"/>
                <w:sz w:val="24"/>
                <w:highlight w:val="none"/>
              </w:rPr>
            </w:pPr>
          </w:p>
        </w:tc>
        <w:tc>
          <w:tcPr>
            <w:tcW w:w="2491" w:type="dxa"/>
            <w:noWrap/>
          </w:tcPr>
          <w:p w14:paraId="12179AE0">
            <w:pPr>
              <w:spacing w:before="240" w:after="240"/>
              <w:rPr>
                <w:rFonts w:ascii="宋体" w:hAnsi="宋体"/>
                <w:color w:val="000000" w:themeColor="text1"/>
                <w:sz w:val="24"/>
                <w:highlight w:val="none"/>
              </w:rPr>
            </w:pPr>
          </w:p>
        </w:tc>
        <w:tc>
          <w:tcPr>
            <w:tcW w:w="2107" w:type="dxa"/>
            <w:noWrap/>
          </w:tcPr>
          <w:p w14:paraId="6443DCEC">
            <w:pPr>
              <w:spacing w:before="240" w:after="240"/>
              <w:rPr>
                <w:rFonts w:ascii="宋体" w:hAnsi="宋体"/>
                <w:color w:val="000000" w:themeColor="text1"/>
                <w:sz w:val="24"/>
                <w:highlight w:val="none"/>
              </w:rPr>
            </w:pPr>
          </w:p>
        </w:tc>
      </w:tr>
    </w:tbl>
    <w:p w14:paraId="50669C30">
      <w:pPr>
        <w:rPr>
          <w:rFonts w:ascii="宋体" w:hAnsi="宋体"/>
          <w:color w:val="000000" w:themeColor="text1"/>
          <w:sz w:val="24"/>
          <w:highlight w:val="none"/>
        </w:rPr>
      </w:pPr>
      <w:r>
        <w:rPr>
          <w:rFonts w:hint="eastAsia" w:ascii="宋体" w:hAnsi="宋体"/>
          <w:color w:val="000000" w:themeColor="text1"/>
          <w:sz w:val="24"/>
          <w:highlight w:val="none"/>
        </w:rPr>
        <w:t>注：供应商所提供的文件与磋商文件中的要求如有任何偏差，都应在“偏离表”中列出。若未在“偏离表”中列出，即使在响应文件其他地方写明与磋商文件要求有所不同，采购人也认同符合磋商文件最佳值的要求。供应商成交后如据此提出疑义，不履行签订合同等下一步工作，采购人有权没收其磋商保证金。</w:t>
      </w:r>
    </w:p>
    <w:p w14:paraId="22DE7157">
      <w:pPr>
        <w:autoSpaceDE w:val="0"/>
        <w:autoSpaceDN w:val="0"/>
        <w:adjustRightInd w:val="0"/>
        <w:rPr>
          <w:rFonts w:ascii="宋体" w:hAnsi="宋体"/>
          <w:color w:val="000000" w:themeColor="text1"/>
          <w:sz w:val="24"/>
          <w:highlight w:val="none"/>
        </w:rPr>
      </w:pPr>
    </w:p>
    <w:p w14:paraId="2ABA01B6">
      <w:pPr>
        <w:rPr>
          <w:rFonts w:ascii="宋体" w:hAnsi="宋体"/>
          <w:color w:val="000000" w:themeColor="text1"/>
          <w:sz w:val="24"/>
          <w:highlight w:val="none"/>
        </w:rPr>
      </w:pPr>
      <w:r>
        <w:rPr>
          <w:rFonts w:hint="eastAsia" w:ascii="宋体" w:hAnsi="宋体"/>
          <w:color w:val="000000" w:themeColor="text1"/>
          <w:sz w:val="24"/>
          <w:highlight w:val="none"/>
        </w:rPr>
        <w:t>供应商：                    （公章）</w:t>
      </w:r>
    </w:p>
    <w:p w14:paraId="4DED6DDC">
      <w:pPr>
        <w:rPr>
          <w:rFonts w:ascii="宋体" w:hAnsi="宋体"/>
          <w:color w:val="000000" w:themeColor="text1"/>
          <w:sz w:val="24"/>
          <w:highlight w:val="none"/>
        </w:rPr>
      </w:pPr>
      <w:r>
        <w:rPr>
          <w:rFonts w:hint="eastAsia" w:ascii="宋体" w:hAnsi="宋体"/>
          <w:color w:val="000000" w:themeColor="text1"/>
          <w:sz w:val="24"/>
          <w:highlight w:val="none"/>
        </w:rPr>
        <w:t>法定代表人或委托代理人：                （签字或盖章）</w:t>
      </w:r>
    </w:p>
    <w:p w14:paraId="2A52C099">
      <w:pPr>
        <w:rPr>
          <w:rFonts w:ascii="宋体" w:hAnsi="宋体"/>
          <w:color w:val="000000" w:themeColor="text1"/>
          <w:sz w:val="24"/>
          <w:highlight w:val="none"/>
        </w:rPr>
      </w:pPr>
      <w:r>
        <w:rPr>
          <w:rFonts w:hint="eastAsia" w:ascii="宋体" w:hAnsi="宋体"/>
          <w:color w:val="000000" w:themeColor="text1"/>
          <w:sz w:val="24"/>
          <w:highlight w:val="none"/>
        </w:rPr>
        <w:t>日    期：    年    月    日</w:t>
      </w:r>
    </w:p>
    <w:p w14:paraId="6981A926">
      <w:pPr>
        <w:rPr>
          <w:rFonts w:ascii="宋体" w:hAnsi="宋体"/>
          <w:color w:val="000000" w:themeColor="text1"/>
          <w:sz w:val="24"/>
          <w:highlight w:val="none"/>
        </w:rPr>
      </w:pPr>
    </w:p>
    <w:p w14:paraId="5CF4EC6D">
      <w:pPr>
        <w:pStyle w:val="37"/>
        <w:ind w:firstLine="0" w:firstLineChars="0"/>
        <w:rPr>
          <w:color w:val="000000" w:themeColor="text1"/>
          <w:highlight w:val="none"/>
        </w:rPr>
      </w:pPr>
    </w:p>
    <w:p w14:paraId="043E935D">
      <w:pPr>
        <w:rPr>
          <w:rFonts w:ascii="宋体" w:hAnsi="宋体"/>
          <w:color w:val="000000" w:themeColor="text1"/>
          <w:highlight w:val="none"/>
        </w:rPr>
      </w:pPr>
      <w:r>
        <w:rPr>
          <w:rFonts w:hint="eastAsia" w:ascii="宋体" w:hAnsi="宋体"/>
          <w:color w:val="000000" w:themeColor="text1"/>
          <w:highlight w:val="none"/>
        </w:rPr>
        <w:br w:type="page"/>
      </w:r>
    </w:p>
    <w:p w14:paraId="6F39B92A">
      <w:pPr>
        <w:pStyle w:val="4"/>
        <w:widowControl/>
        <w:spacing w:before="400" w:after="120" w:line="360" w:lineRule="auto"/>
        <w:jc w:val="center"/>
        <w:rPr>
          <w:rFonts w:ascii="宋体" w:hAnsi="宋体"/>
          <w:color w:val="000000" w:themeColor="text1"/>
          <w:highlight w:val="none"/>
        </w:rPr>
      </w:pPr>
      <w:r>
        <w:rPr>
          <w:rFonts w:hint="eastAsia" w:ascii="宋体" w:hAnsi="宋体"/>
          <w:color w:val="000000" w:themeColor="text1"/>
          <w:highlight w:val="none"/>
        </w:rPr>
        <w:t>技术偏离表(格式)</w:t>
      </w:r>
    </w:p>
    <w:p w14:paraId="64692CC2">
      <w:pPr>
        <w:spacing w:line="360" w:lineRule="auto"/>
        <w:rPr>
          <w:rFonts w:ascii="宋体" w:hAnsi="宋体"/>
          <w:b/>
          <w:color w:val="000000" w:themeColor="text1"/>
          <w:sz w:val="28"/>
          <w:highlight w:val="none"/>
        </w:rPr>
      </w:pPr>
      <w:r>
        <w:rPr>
          <w:rFonts w:hint="eastAsia" w:ascii="宋体" w:hAnsi="宋体"/>
          <w:color w:val="000000" w:themeColor="text1"/>
          <w:sz w:val="24"/>
          <w:highlight w:val="none"/>
        </w:rPr>
        <w:t>供应商名称：            项目编号：</w:t>
      </w:r>
    </w:p>
    <w:tbl>
      <w:tblPr>
        <w:tblStyle w:val="38"/>
        <w:tblW w:w="9738"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371"/>
        <w:gridCol w:w="1984"/>
        <w:gridCol w:w="1720"/>
        <w:gridCol w:w="2101"/>
        <w:gridCol w:w="1723"/>
      </w:tblGrid>
      <w:tr w14:paraId="177D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9" w:type="dxa"/>
            <w:vMerge w:val="restart"/>
            <w:noWrap/>
          </w:tcPr>
          <w:p w14:paraId="2DE04B63">
            <w:pPr>
              <w:spacing w:before="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序号</w:t>
            </w:r>
          </w:p>
        </w:tc>
        <w:tc>
          <w:tcPr>
            <w:tcW w:w="3355" w:type="dxa"/>
            <w:gridSpan w:val="2"/>
            <w:noWrap/>
          </w:tcPr>
          <w:p w14:paraId="2A3FDC32">
            <w:pPr>
              <w:spacing w:before="120" w:after="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磋商文件要求</w:t>
            </w:r>
          </w:p>
        </w:tc>
        <w:tc>
          <w:tcPr>
            <w:tcW w:w="3821" w:type="dxa"/>
            <w:gridSpan w:val="2"/>
            <w:noWrap/>
          </w:tcPr>
          <w:p w14:paraId="64CAAE17">
            <w:pPr>
              <w:spacing w:before="120" w:after="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响应文件内容达到</w:t>
            </w:r>
          </w:p>
        </w:tc>
        <w:tc>
          <w:tcPr>
            <w:tcW w:w="1723" w:type="dxa"/>
            <w:vMerge w:val="restart"/>
            <w:noWrap/>
            <w:vAlign w:val="center"/>
          </w:tcPr>
          <w:p w14:paraId="4ED9CB52">
            <w:pPr>
              <w:spacing w:before="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是否偏离</w:t>
            </w:r>
          </w:p>
        </w:tc>
      </w:tr>
      <w:tr w14:paraId="6DD2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9" w:type="dxa"/>
            <w:vMerge w:val="continue"/>
            <w:noWrap/>
          </w:tcPr>
          <w:p w14:paraId="705A5AF5">
            <w:pPr>
              <w:spacing w:line="360" w:lineRule="auto"/>
              <w:jc w:val="center"/>
              <w:rPr>
                <w:rFonts w:ascii="宋体" w:hAnsi="宋体"/>
                <w:color w:val="000000" w:themeColor="text1"/>
                <w:sz w:val="24"/>
                <w:highlight w:val="none"/>
              </w:rPr>
            </w:pPr>
          </w:p>
        </w:tc>
        <w:tc>
          <w:tcPr>
            <w:tcW w:w="1371" w:type="dxa"/>
            <w:noWrap/>
          </w:tcPr>
          <w:p w14:paraId="2D6ECB3C">
            <w:pPr>
              <w:spacing w:before="120" w:after="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1984" w:type="dxa"/>
            <w:noWrap/>
          </w:tcPr>
          <w:p w14:paraId="2B58822F">
            <w:pPr>
              <w:spacing w:before="120" w:after="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指标</w:t>
            </w:r>
          </w:p>
        </w:tc>
        <w:tc>
          <w:tcPr>
            <w:tcW w:w="1720" w:type="dxa"/>
            <w:noWrap/>
          </w:tcPr>
          <w:p w14:paraId="5A395F33">
            <w:pPr>
              <w:spacing w:before="120" w:after="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名称</w:t>
            </w:r>
          </w:p>
        </w:tc>
        <w:tc>
          <w:tcPr>
            <w:tcW w:w="2101" w:type="dxa"/>
            <w:noWrap/>
          </w:tcPr>
          <w:p w14:paraId="4B574D32">
            <w:pPr>
              <w:spacing w:before="120" w:after="120" w:line="360" w:lineRule="auto"/>
              <w:jc w:val="center"/>
              <w:rPr>
                <w:rFonts w:ascii="宋体" w:hAnsi="宋体"/>
                <w:color w:val="000000" w:themeColor="text1"/>
                <w:sz w:val="24"/>
                <w:highlight w:val="none"/>
              </w:rPr>
            </w:pPr>
            <w:r>
              <w:rPr>
                <w:rFonts w:hint="eastAsia" w:ascii="宋体" w:hAnsi="宋体"/>
                <w:color w:val="000000" w:themeColor="text1"/>
                <w:sz w:val="24"/>
                <w:highlight w:val="none"/>
              </w:rPr>
              <w:t>指标</w:t>
            </w:r>
          </w:p>
        </w:tc>
        <w:tc>
          <w:tcPr>
            <w:tcW w:w="1723" w:type="dxa"/>
            <w:vMerge w:val="continue"/>
            <w:noWrap/>
          </w:tcPr>
          <w:p w14:paraId="0B5C4FDC">
            <w:pPr>
              <w:spacing w:line="360" w:lineRule="auto"/>
              <w:jc w:val="center"/>
              <w:rPr>
                <w:rFonts w:ascii="宋体" w:hAnsi="宋体"/>
                <w:color w:val="000000" w:themeColor="text1"/>
                <w:sz w:val="24"/>
                <w:highlight w:val="none"/>
              </w:rPr>
            </w:pPr>
          </w:p>
        </w:tc>
      </w:tr>
      <w:tr w14:paraId="2052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ign w:val="center"/>
          </w:tcPr>
          <w:p w14:paraId="7F9A8FB0">
            <w:pPr>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1371" w:type="dxa"/>
            <w:noWrap/>
            <w:vAlign w:val="center"/>
          </w:tcPr>
          <w:p w14:paraId="13EE76CB">
            <w:pPr>
              <w:jc w:val="center"/>
              <w:rPr>
                <w:rFonts w:ascii="宋体" w:hAnsi="宋体" w:cs="宋体"/>
                <w:color w:val="000000" w:themeColor="text1"/>
                <w:highlight w:val="none"/>
              </w:rPr>
            </w:pPr>
          </w:p>
        </w:tc>
        <w:tc>
          <w:tcPr>
            <w:tcW w:w="1984" w:type="dxa"/>
            <w:noWrap/>
          </w:tcPr>
          <w:p w14:paraId="7B94B982">
            <w:pPr>
              <w:spacing w:before="120" w:after="120" w:line="360" w:lineRule="auto"/>
              <w:jc w:val="center"/>
              <w:rPr>
                <w:rFonts w:ascii="宋体" w:hAnsi="宋体"/>
                <w:color w:val="000000" w:themeColor="text1"/>
                <w:sz w:val="32"/>
                <w:highlight w:val="none"/>
              </w:rPr>
            </w:pPr>
          </w:p>
        </w:tc>
        <w:tc>
          <w:tcPr>
            <w:tcW w:w="1720" w:type="dxa"/>
            <w:noWrap/>
          </w:tcPr>
          <w:p w14:paraId="36BA72B6">
            <w:pPr>
              <w:spacing w:before="120" w:after="120" w:line="360" w:lineRule="auto"/>
              <w:jc w:val="center"/>
              <w:rPr>
                <w:rFonts w:ascii="宋体" w:hAnsi="宋体"/>
                <w:color w:val="000000" w:themeColor="text1"/>
                <w:sz w:val="32"/>
                <w:highlight w:val="none"/>
              </w:rPr>
            </w:pPr>
          </w:p>
        </w:tc>
        <w:tc>
          <w:tcPr>
            <w:tcW w:w="2101" w:type="dxa"/>
            <w:noWrap/>
          </w:tcPr>
          <w:p w14:paraId="3B52BA78">
            <w:pPr>
              <w:spacing w:before="120" w:after="120" w:line="360" w:lineRule="auto"/>
              <w:jc w:val="center"/>
              <w:rPr>
                <w:rFonts w:ascii="宋体" w:hAnsi="宋体"/>
                <w:color w:val="000000" w:themeColor="text1"/>
                <w:sz w:val="32"/>
                <w:highlight w:val="none"/>
              </w:rPr>
            </w:pPr>
          </w:p>
        </w:tc>
        <w:tc>
          <w:tcPr>
            <w:tcW w:w="1723" w:type="dxa"/>
            <w:noWrap/>
          </w:tcPr>
          <w:p w14:paraId="26FA41EF">
            <w:pPr>
              <w:spacing w:before="120" w:after="120" w:line="360" w:lineRule="auto"/>
              <w:jc w:val="center"/>
              <w:rPr>
                <w:rFonts w:ascii="宋体" w:hAnsi="宋体"/>
                <w:color w:val="000000" w:themeColor="text1"/>
                <w:sz w:val="32"/>
                <w:highlight w:val="none"/>
              </w:rPr>
            </w:pPr>
          </w:p>
        </w:tc>
      </w:tr>
      <w:tr w14:paraId="4138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ign w:val="center"/>
          </w:tcPr>
          <w:p w14:paraId="11FBFB8C">
            <w:pPr>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1371" w:type="dxa"/>
            <w:noWrap/>
            <w:vAlign w:val="center"/>
          </w:tcPr>
          <w:p w14:paraId="2A622024">
            <w:pPr>
              <w:jc w:val="center"/>
              <w:rPr>
                <w:rFonts w:ascii="宋体" w:hAnsi="宋体" w:cs="宋体"/>
                <w:color w:val="000000" w:themeColor="text1"/>
                <w:highlight w:val="none"/>
              </w:rPr>
            </w:pPr>
          </w:p>
        </w:tc>
        <w:tc>
          <w:tcPr>
            <w:tcW w:w="1984" w:type="dxa"/>
            <w:noWrap/>
          </w:tcPr>
          <w:p w14:paraId="6ED799D1">
            <w:pPr>
              <w:spacing w:before="120" w:after="120" w:line="360" w:lineRule="auto"/>
              <w:jc w:val="center"/>
              <w:rPr>
                <w:rFonts w:ascii="宋体" w:hAnsi="宋体"/>
                <w:color w:val="000000" w:themeColor="text1"/>
                <w:sz w:val="32"/>
                <w:highlight w:val="none"/>
              </w:rPr>
            </w:pPr>
          </w:p>
        </w:tc>
        <w:tc>
          <w:tcPr>
            <w:tcW w:w="1720" w:type="dxa"/>
            <w:noWrap/>
          </w:tcPr>
          <w:p w14:paraId="2402868C">
            <w:pPr>
              <w:spacing w:before="120" w:after="120" w:line="360" w:lineRule="auto"/>
              <w:jc w:val="center"/>
              <w:rPr>
                <w:rFonts w:ascii="宋体" w:hAnsi="宋体"/>
                <w:color w:val="000000" w:themeColor="text1"/>
                <w:sz w:val="32"/>
                <w:highlight w:val="none"/>
              </w:rPr>
            </w:pPr>
          </w:p>
        </w:tc>
        <w:tc>
          <w:tcPr>
            <w:tcW w:w="2101" w:type="dxa"/>
            <w:noWrap/>
          </w:tcPr>
          <w:p w14:paraId="4C1AF817">
            <w:pPr>
              <w:spacing w:before="120" w:after="120" w:line="360" w:lineRule="auto"/>
              <w:jc w:val="center"/>
              <w:rPr>
                <w:rFonts w:ascii="宋体" w:hAnsi="宋体"/>
                <w:color w:val="000000" w:themeColor="text1"/>
                <w:sz w:val="32"/>
                <w:highlight w:val="none"/>
              </w:rPr>
            </w:pPr>
          </w:p>
        </w:tc>
        <w:tc>
          <w:tcPr>
            <w:tcW w:w="1723" w:type="dxa"/>
            <w:noWrap/>
          </w:tcPr>
          <w:p w14:paraId="4ACC4E2C">
            <w:pPr>
              <w:spacing w:before="120" w:after="120" w:line="360" w:lineRule="auto"/>
              <w:jc w:val="center"/>
              <w:rPr>
                <w:rFonts w:ascii="宋体" w:hAnsi="宋体"/>
                <w:color w:val="000000" w:themeColor="text1"/>
                <w:sz w:val="32"/>
                <w:highlight w:val="none"/>
              </w:rPr>
            </w:pPr>
          </w:p>
        </w:tc>
      </w:tr>
      <w:tr w14:paraId="1E9A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ign w:val="center"/>
          </w:tcPr>
          <w:p w14:paraId="5F7AE449">
            <w:pPr>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1371" w:type="dxa"/>
            <w:noWrap/>
            <w:vAlign w:val="center"/>
          </w:tcPr>
          <w:p w14:paraId="47285D1F">
            <w:pPr>
              <w:jc w:val="center"/>
              <w:rPr>
                <w:rFonts w:ascii="宋体" w:hAnsi="宋体" w:cs="宋体"/>
                <w:color w:val="000000" w:themeColor="text1"/>
                <w:highlight w:val="none"/>
              </w:rPr>
            </w:pPr>
          </w:p>
        </w:tc>
        <w:tc>
          <w:tcPr>
            <w:tcW w:w="1984" w:type="dxa"/>
            <w:noWrap/>
          </w:tcPr>
          <w:p w14:paraId="4FDE57CE">
            <w:pPr>
              <w:spacing w:before="120" w:after="120" w:line="360" w:lineRule="auto"/>
              <w:jc w:val="center"/>
              <w:rPr>
                <w:rFonts w:ascii="宋体" w:hAnsi="宋体"/>
                <w:color w:val="000000" w:themeColor="text1"/>
                <w:sz w:val="32"/>
                <w:highlight w:val="none"/>
              </w:rPr>
            </w:pPr>
          </w:p>
        </w:tc>
        <w:tc>
          <w:tcPr>
            <w:tcW w:w="1720" w:type="dxa"/>
            <w:noWrap/>
          </w:tcPr>
          <w:p w14:paraId="2EEA8EFF">
            <w:pPr>
              <w:spacing w:before="120" w:after="120" w:line="360" w:lineRule="auto"/>
              <w:jc w:val="center"/>
              <w:rPr>
                <w:rFonts w:ascii="宋体" w:hAnsi="宋体"/>
                <w:color w:val="000000" w:themeColor="text1"/>
                <w:sz w:val="32"/>
                <w:highlight w:val="none"/>
              </w:rPr>
            </w:pPr>
          </w:p>
        </w:tc>
        <w:tc>
          <w:tcPr>
            <w:tcW w:w="2101" w:type="dxa"/>
            <w:noWrap/>
          </w:tcPr>
          <w:p w14:paraId="23F7B025">
            <w:pPr>
              <w:spacing w:before="120" w:after="120" w:line="360" w:lineRule="auto"/>
              <w:jc w:val="center"/>
              <w:rPr>
                <w:rFonts w:ascii="宋体" w:hAnsi="宋体"/>
                <w:color w:val="000000" w:themeColor="text1"/>
                <w:sz w:val="32"/>
                <w:highlight w:val="none"/>
              </w:rPr>
            </w:pPr>
          </w:p>
        </w:tc>
        <w:tc>
          <w:tcPr>
            <w:tcW w:w="1723" w:type="dxa"/>
            <w:noWrap/>
          </w:tcPr>
          <w:p w14:paraId="2AA87012">
            <w:pPr>
              <w:spacing w:before="120" w:after="120" w:line="360" w:lineRule="auto"/>
              <w:jc w:val="center"/>
              <w:rPr>
                <w:rFonts w:ascii="宋体" w:hAnsi="宋体"/>
                <w:color w:val="000000" w:themeColor="text1"/>
                <w:sz w:val="32"/>
                <w:highlight w:val="none"/>
              </w:rPr>
            </w:pPr>
          </w:p>
        </w:tc>
      </w:tr>
      <w:tr w14:paraId="51AE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ign w:val="center"/>
          </w:tcPr>
          <w:p w14:paraId="6CCE1008">
            <w:pPr>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1371" w:type="dxa"/>
            <w:noWrap/>
            <w:vAlign w:val="center"/>
          </w:tcPr>
          <w:p w14:paraId="76CE1A2D">
            <w:pPr>
              <w:jc w:val="center"/>
              <w:rPr>
                <w:rFonts w:ascii="宋体" w:hAnsi="宋体" w:cs="宋体"/>
                <w:color w:val="000000" w:themeColor="text1"/>
                <w:highlight w:val="none"/>
              </w:rPr>
            </w:pPr>
          </w:p>
        </w:tc>
        <w:tc>
          <w:tcPr>
            <w:tcW w:w="1984" w:type="dxa"/>
            <w:noWrap/>
          </w:tcPr>
          <w:p w14:paraId="6A50BA15">
            <w:pPr>
              <w:spacing w:before="120" w:after="120" w:line="360" w:lineRule="auto"/>
              <w:jc w:val="center"/>
              <w:rPr>
                <w:rFonts w:ascii="宋体" w:hAnsi="宋体"/>
                <w:color w:val="000000" w:themeColor="text1"/>
                <w:sz w:val="32"/>
                <w:highlight w:val="none"/>
              </w:rPr>
            </w:pPr>
          </w:p>
        </w:tc>
        <w:tc>
          <w:tcPr>
            <w:tcW w:w="1720" w:type="dxa"/>
            <w:noWrap/>
          </w:tcPr>
          <w:p w14:paraId="7D20E571">
            <w:pPr>
              <w:spacing w:before="120" w:after="120" w:line="360" w:lineRule="auto"/>
              <w:jc w:val="center"/>
              <w:rPr>
                <w:rFonts w:ascii="宋体" w:hAnsi="宋体"/>
                <w:color w:val="000000" w:themeColor="text1"/>
                <w:sz w:val="32"/>
                <w:highlight w:val="none"/>
              </w:rPr>
            </w:pPr>
          </w:p>
        </w:tc>
        <w:tc>
          <w:tcPr>
            <w:tcW w:w="2101" w:type="dxa"/>
            <w:noWrap/>
          </w:tcPr>
          <w:p w14:paraId="05F6C612">
            <w:pPr>
              <w:spacing w:before="120" w:after="120" w:line="360" w:lineRule="auto"/>
              <w:jc w:val="center"/>
              <w:rPr>
                <w:rFonts w:ascii="宋体" w:hAnsi="宋体"/>
                <w:color w:val="000000" w:themeColor="text1"/>
                <w:sz w:val="32"/>
                <w:highlight w:val="none"/>
              </w:rPr>
            </w:pPr>
          </w:p>
        </w:tc>
        <w:tc>
          <w:tcPr>
            <w:tcW w:w="1723" w:type="dxa"/>
            <w:noWrap/>
          </w:tcPr>
          <w:p w14:paraId="4B2BC76D">
            <w:pPr>
              <w:spacing w:before="120" w:after="120" w:line="360" w:lineRule="auto"/>
              <w:jc w:val="center"/>
              <w:rPr>
                <w:rFonts w:ascii="宋体" w:hAnsi="宋体"/>
                <w:color w:val="000000" w:themeColor="text1"/>
                <w:sz w:val="32"/>
                <w:highlight w:val="none"/>
              </w:rPr>
            </w:pPr>
          </w:p>
        </w:tc>
      </w:tr>
      <w:tr w14:paraId="2693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ign w:val="center"/>
          </w:tcPr>
          <w:p w14:paraId="6D688EBA">
            <w:pPr>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1371" w:type="dxa"/>
            <w:noWrap/>
            <w:vAlign w:val="center"/>
          </w:tcPr>
          <w:p w14:paraId="5718CCB5">
            <w:pPr>
              <w:jc w:val="center"/>
              <w:rPr>
                <w:rFonts w:ascii="宋体" w:hAnsi="宋体" w:cs="宋体"/>
                <w:color w:val="000000" w:themeColor="text1"/>
                <w:highlight w:val="none"/>
              </w:rPr>
            </w:pPr>
          </w:p>
        </w:tc>
        <w:tc>
          <w:tcPr>
            <w:tcW w:w="1984" w:type="dxa"/>
            <w:noWrap/>
          </w:tcPr>
          <w:p w14:paraId="30007FDC">
            <w:pPr>
              <w:spacing w:before="120" w:after="120" w:line="360" w:lineRule="auto"/>
              <w:jc w:val="center"/>
              <w:rPr>
                <w:rFonts w:ascii="宋体" w:hAnsi="宋体"/>
                <w:color w:val="000000" w:themeColor="text1"/>
                <w:sz w:val="32"/>
                <w:highlight w:val="none"/>
              </w:rPr>
            </w:pPr>
          </w:p>
        </w:tc>
        <w:tc>
          <w:tcPr>
            <w:tcW w:w="1720" w:type="dxa"/>
            <w:noWrap/>
          </w:tcPr>
          <w:p w14:paraId="0F9557C3">
            <w:pPr>
              <w:spacing w:before="120" w:after="120" w:line="360" w:lineRule="auto"/>
              <w:jc w:val="center"/>
              <w:rPr>
                <w:rFonts w:ascii="宋体" w:hAnsi="宋体"/>
                <w:color w:val="000000" w:themeColor="text1"/>
                <w:sz w:val="32"/>
                <w:highlight w:val="none"/>
              </w:rPr>
            </w:pPr>
          </w:p>
        </w:tc>
        <w:tc>
          <w:tcPr>
            <w:tcW w:w="2101" w:type="dxa"/>
            <w:noWrap/>
          </w:tcPr>
          <w:p w14:paraId="5D839986">
            <w:pPr>
              <w:spacing w:before="120" w:after="120" w:line="360" w:lineRule="auto"/>
              <w:jc w:val="center"/>
              <w:rPr>
                <w:rFonts w:ascii="宋体" w:hAnsi="宋体"/>
                <w:color w:val="000000" w:themeColor="text1"/>
                <w:sz w:val="32"/>
                <w:highlight w:val="none"/>
              </w:rPr>
            </w:pPr>
          </w:p>
        </w:tc>
        <w:tc>
          <w:tcPr>
            <w:tcW w:w="1723" w:type="dxa"/>
            <w:noWrap/>
          </w:tcPr>
          <w:p w14:paraId="43E604DA">
            <w:pPr>
              <w:spacing w:before="120" w:after="120" w:line="360" w:lineRule="auto"/>
              <w:jc w:val="center"/>
              <w:rPr>
                <w:rFonts w:ascii="宋体" w:hAnsi="宋体"/>
                <w:color w:val="000000" w:themeColor="text1"/>
                <w:sz w:val="32"/>
                <w:highlight w:val="none"/>
              </w:rPr>
            </w:pPr>
          </w:p>
        </w:tc>
      </w:tr>
    </w:tbl>
    <w:p w14:paraId="53010611">
      <w:pPr>
        <w:rPr>
          <w:rFonts w:ascii="宋体" w:hAnsi="宋体"/>
          <w:color w:val="000000" w:themeColor="text1"/>
          <w:sz w:val="24"/>
          <w:highlight w:val="none"/>
        </w:rPr>
      </w:pPr>
      <w:r>
        <w:rPr>
          <w:rFonts w:hint="eastAsia" w:ascii="宋体" w:hAnsi="宋体"/>
          <w:color w:val="000000" w:themeColor="text1"/>
          <w:sz w:val="24"/>
          <w:highlight w:val="none"/>
        </w:rPr>
        <w:t>注：供应商所提供的文件与磋商文件中的要求如有任何偏差，都应在“偏离表”中列出。若未在“偏离表”中列出，即使在响应文件其他地方写明与磋商文件要求有所不同，采购人也认同符合磋商文件最佳值的要求。供应商成交后如据此提出疑义，不履行签订合同等下一步工作，采购人有权没收其磋商保证金。</w:t>
      </w:r>
    </w:p>
    <w:p w14:paraId="108B55AE">
      <w:pPr>
        <w:rPr>
          <w:rFonts w:ascii="宋体" w:hAnsi="宋体"/>
          <w:color w:val="000000" w:themeColor="text1"/>
          <w:sz w:val="24"/>
          <w:highlight w:val="none"/>
        </w:rPr>
      </w:pPr>
    </w:p>
    <w:p w14:paraId="76AD7C7B">
      <w:pPr>
        <w:rPr>
          <w:rFonts w:ascii="宋体" w:hAnsi="宋体"/>
          <w:color w:val="000000" w:themeColor="text1"/>
          <w:sz w:val="24"/>
          <w:highlight w:val="none"/>
        </w:rPr>
      </w:pPr>
    </w:p>
    <w:p w14:paraId="00175034">
      <w:pPr>
        <w:rPr>
          <w:rFonts w:ascii="宋体" w:hAnsi="宋体"/>
          <w:color w:val="000000" w:themeColor="text1"/>
          <w:sz w:val="24"/>
          <w:highlight w:val="none"/>
        </w:rPr>
      </w:pPr>
    </w:p>
    <w:p w14:paraId="0C48E97A">
      <w:pPr>
        <w:rPr>
          <w:rFonts w:ascii="宋体" w:hAnsi="宋体"/>
          <w:color w:val="000000" w:themeColor="text1"/>
          <w:sz w:val="24"/>
          <w:highlight w:val="none"/>
        </w:rPr>
      </w:pPr>
    </w:p>
    <w:p w14:paraId="04A15705">
      <w:pPr>
        <w:rPr>
          <w:rFonts w:ascii="宋体" w:hAnsi="宋体"/>
          <w:color w:val="000000" w:themeColor="text1"/>
          <w:sz w:val="24"/>
          <w:highlight w:val="none"/>
        </w:rPr>
      </w:pPr>
      <w:r>
        <w:rPr>
          <w:rFonts w:hint="eastAsia" w:ascii="宋体" w:hAnsi="宋体"/>
          <w:color w:val="000000" w:themeColor="text1"/>
          <w:sz w:val="24"/>
          <w:highlight w:val="none"/>
        </w:rPr>
        <w:t>供应商：                    （公章）</w:t>
      </w:r>
    </w:p>
    <w:p w14:paraId="66A042D2">
      <w:pPr>
        <w:rPr>
          <w:rFonts w:ascii="宋体" w:hAnsi="宋体"/>
          <w:color w:val="000000" w:themeColor="text1"/>
          <w:sz w:val="24"/>
          <w:highlight w:val="none"/>
        </w:rPr>
      </w:pPr>
      <w:r>
        <w:rPr>
          <w:rFonts w:hint="eastAsia" w:ascii="宋体" w:hAnsi="宋体"/>
          <w:color w:val="000000" w:themeColor="text1"/>
          <w:sz w:val="24"/>
          <w:highlight w:val="none"/>
        </w:rPr>
        <w:t>法定代表人或委托代理人：                （签字或盖章）</w:t>
      </w:r>
    </w:p>
    <w:p w14:paraId="18F4E544">
      <w:pPr>
        <w:rPr>
          <w:rFonts w:ascii="宋体" w:hAnsi="宋体"/>
          <w:color w:val="000000" w:themeColor="text1"/>
          <w:sz w:val="24"/>
          <w:highlight w:val="none"/>
        </w:rPr>
      </w:pPr>
      <w:r>
        <w:rPr>
          <w:rFonts w:hint="eastAsia" w:ascii="宋体" w:hAnsi="宋体"/>
          <w:color w:val="000000" w:themeColor="text1"/>
          <w:sz w:val="24"/>
          <w:highlight w:val="none"/>
        </w:rPr>
        <w:t>日    期：    年    月    日</w:t>
      </w:r>
    </w:p>
    <w:p w14:paraId="04EB84C9">
      <w:pPr>
        <w:rPr>
          <w:rFonts w:ascii="宋体" w:hAnsi="宋体"/>
          <w:color w:val="000000" w:themeColor="text1"/>
          <w:sz w:val="24"/>
          <w:highlight w:val="none"/>
        </w:rPr>
      </w:pPr>
      <w:r>
        <w:rPr>
          <w:rFonts w:hint="eastAsia" w:ascii="宋体" w:hAnsi="宋体"/>
          <w:color w:val="000000" w:themeColor="text1"/>
          <w:sz w:val="24"/>
          <w:highlight w:val="none"/>
        </w:rPr>
        <w:br w:type="page"/>
      </w:r>
    </w:p>
    <w:p w14:paraId="1499F613">
      <w:pPr>
        <w:spacing w:before="312" w:beforeLines="100" w:after="156" w:afterLines="50"/>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八、技术部分</w:t>
      </w:r>
    </w:p>
    <w:p w14:paraId="2879E600">
      <w:pPr>
        <w:widowControl/>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技术部分为“暗标”，编制要求以政采云系统要求为准。</w:t>
      </w:r>
    </w:p>
    <w:p w14:paraId="39621716">
      <w:pPr>
        <w:widowControl/>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响应人未按“暗标”要求编制技术标，或其技术标中泄露了身份信息，将作为无效投标处理。</w:t>
      </w:r>
    </w:p>
    <w:p w14:paraId="474B6E1B">
      <w:pPr>
        <w:widowControl/>
        <w:jc w:val="center"/>
        <w:rPr>
          <w:rFonts w:hint="eastAsia" w:ascii="宋体" w:hAnsi="宋体"/>
          <w:color w:val="auto"/>
          <w:szCs w:val="21"/>
          <w:highlight w:val="none"/>
          <w:lang w:eastAsia="zh-CN"/>
        </w:rPr>
      </w:pPr>
    </w:p>
    <w:p w14:paraId="2828D91B">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2"/>
          <w:szCs w:val="22"/>
          <w:highlight w:val="none"/>
          <w:lang w:val="en-US" w:eastAsia="zh-CN" w:bidi="ar"/>
        </w:rPr>
        <w:t>投标文件技术标必须遵守的统一格式和规范</w:t>
      </w:r>
    </w:p>
    <w:p w14:paraId="1162682B">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lang w:val="en-US" w:eastAsia="zh-CN" w:bidi="ar"/>
        </w:rPr>
        <w:t xml:space="preserve">技术标文件（暗标）未按以下“盲评”要求制作的，为无效投标，除下述要求外，不得因暗标格式问题认定为无效投标： </w:t>
      </w:r>
    </w:p>
    <w:p w14:paraId="17090ECB">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lang w:val="en-US" w:eastAsia="zh-CN" w:bidi="ar"/>
        </w:rPr>
        <w:t xml:space="preserve">1.版面要求：A4 纸张大小； </w:t>
      </w:r>
    </w:p>
    <w:p w14:paraId="30AC836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lang w:val="en-US" w:eastAsia="zh-CN" w:bidi="ar"/>
        </w:rPr>
        <w:t xml:space="preserve">2.颜色要求：所有文字、图表均为黑色； </w:t>
      </w:r>
    </w:p>
    <w:p w14:paraId="28E3BD94">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lang w:val="en-US" w:eastAsia="zh-CN" w:bidi="ar"/>
        </w:rPr>
        <w:t xml:space="preserve">3.字体要求：标题及正文部分所用文字均采用“宋体”四号“常规”字；图、表内的字体及字号不作要求；全部使用中文标点符号；所有字体均不得出现加粗、加色、倾斜、下划线等标记； </w:t>
      </w:r>
    </w:p>
    <w:p w14:paraId="6981E815">
      <w:pPr>
        <w:keepNext w:val="0"/>
        <w:keepLines w:val="0"/>
        <w:widowControl/>
        <w:suppressLineNumbers w:val="0"/>
        <w:spacing w:line="360" w:lineRule="auto"/>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 xml:space="preserve">4.排版要求：页边距要求上边距 2.5 厘米，其余均为 2 厘米；不得设置目录；正文行间距为固定值 30 磅；文字内容（含正文标题、正文及表格标题）统一设为左对齐；首行缩进 2 字符，不得有空格；段落前后不设置空行；不得设置页眉、页脚和页码；图、表部分对齐形式统一设为居中对齐； </w:t>
      </w:r>
    </w:p>
    <w:p w14:paraId="0872BD41">
      <w:pPr>
        <w:keepNext w:val="0"/>
        <w:keepLines w:val="0"/>
        <w:widowControl/>
        <w:suppressLineNumbers w:val="0"/>
        <w:spacing w:line="360" w:lineRule="auto"/>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5.其它：除满足上述各项要求外，构成投标文件的“技术暗标”的正文中均不得出现供应商的名称和其它可识别供应商身份的字符、徽标、人员名称以及其他可能被辨别出供应商身份的任何标记。</w:t>
      </w:r>
    </w:p>
    <w:p w14:paraId="66B75FA1">
      <w:pPr>
        <w:keepNext w:val="0"/>
        <w:keepLines w:val="0"/>
        <w:widowControl/>
        <w:suppressLineNumbers w:val="0"/>
        <w:spacing w:line="360" w:lineRule="auto"/>
        <w:jc w:val="left"/>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技术标其他要求</w:t>
      </w:r>
    </w:p>
    <w:p w14:paraId="57AF9FC6">
      <w:pPr>
        <w:keepNext w:val="0"/>
        <w:keepLines w:val="0"/>
        <w:widowControl/>
        <w:suppressLineNumbers w:val="0"/>
        <w:spacing w:line="360" w:lineRule="auto"/>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为减少评标工作量，服务方案要言简意赅、结合实际，技术方案页数不超过100页。对技术方案超过规定页数的（以电子版中计数为准），作废标处理。</w:t>
      </w:r>
    </w:p>
    <w:p w14:paraId="3E9D6CC7">
      <w:pPr>
        <w:widowControl/>
        <w:jc w:val="center"/>
        <w:rPr>
          <w:rFonts w:ascii="宋体" w:hAnsi="宋体"/>
          <w:color w:val="000000" w:themeColor="text1"/>
          <w:szCs w:val="21"/>
          <w:highlight w:val="none"/>
        </w:rPr>
        <w:sectPr>
          <w:pgSz w:w="11906" w:h="16838"/>
          <w:pgMar w:top="1440" w:right="1080" w:bottom="1440" w:left="1080" w:header="851" w:footer="992" w:gutter="0"/>
          <w:cols w:space="0" w:num="1"/>
          <w:docGrid w:type="lines" w:linePitch="312" w:charSpace="0"/>
        </w:sectPr>
      </w:pPr>
      <w:r>
        <w:rPr>
          <w:rFonts w:hint="eastAsia" w:ascii="宋体" w:hAnsi="宋体" w:eastAsia="宋体" w:cs="宋体"/>
          <w:b/>
          <w:bCs/>
          <w:color w:val="auto"/>
          <w:spacing w:val="-1"/>
          <w:sz w:val="21"/>
          <w:szCs w:val="21"/>
          <w:highlight w:val="none"/>
          <w:lang w:val="en-US" w:eastAsia="zh-CN"/>
        </w:rPr>
        <w:t>注：此页只作为技术部分编制要求，无需放入投标文件内。</w:t>
      </w:r>
      <w:r>
        <w:rPr>
          <w:rFonts w:ascii="宋体" w:hAnsi="宋体"/>
          <w:color w:val="000000" w:themeColor="text1"/>
          <w:szCs w:val="21"/>
          <w:highlight w:val="none"/>
        </w:rPr>
        <w:br w:type="page"/>
      </w:r>
    </w:p>
    <w:p w14:paraId="4551C345">
      <w:pPr>
        <w:jc w:val="center"/>
        <w:rPr>
          <w:rFonts w:ascii="宋体" w:hAnsi="宋体"/>
          <w:b/>
          <w:color w:val="000000" w:themeColor="text1"/>
          <w:sz w:val="32"/>
          <w:szCs w:val="32"/>
          <w:highlight w:val="none"/>
        </w:rPr>
      </w:pPr>
      <w:r>
        <w:rPr>
          <w:rFonts w:hint="eastAsia" w:ascii="宋体" w:hAnsi="宋体"/>
          <w:b/>
          <w:color w:val="000000" w:themeColor="text1"/>
          <w:sz w:val="32"/>
          <w:szCs w:val="32"/>
          <w:highlight w:val="none"/>
        </w:rPr>
        <w:t xml:space="preserve"> 九、其他材料</w:t>
      </w:r>
    </w:p>
    <w:p w14:paraId="541CD348">
      <w:pPr>
        <w:spacing w:before="312" w:beforeLines="100"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（一）供应商须知中要求应提供的各类承诺等相关材料，格式自拟</w:t>
      </w:r>
    </w:p>
    <w:p w14:paraId="3FBB17A8">
      <w:pPr>
        <w:spacing w:before="312" w:beforeLines="100"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（二）供应商认为需要提供的其他资料</w:t>
      </w:r>
    </w:p>
    <w:p w14:paraId="3CBE4494">
      <w:pPr>
        <w:widowControl/>
        <w:jc w:val="left"/>
        <w:rPr>
          <w:rFonts w:ascii="宋体" w:hAnsi="宋体"/>
          <w:color w:val="000000" w:themeColor="text1"/>
          <w:szCs w:val="21"/>
          <w:highlight w:val="none"/>
        </w:rPr>
      </w:pPr>
      <w:r>
        <w:rPr>
          <w:rFonts w:ascii="宋体" w:hAnsi="宋体"/>
          <w:color w:val="000000" w:themeColor="text1"/>
          <w:szCs w:val="21"/>
          <w:highlight w:val="none"/>
        </w:rPr>
        <w:br w:type="page"/>
      </w:r>
    </w:p>
    <w:p w14:paraId="5B22CA17">
      <w:pPr>
        <w:widowControl/>
        <w:rPr>
          <w:rFonts w:ascii="宋体" w:hAnsi="宋体"/>
          <w:color w:val="000000" w:themeColor="text1"/>
          <w:sz w:val="32"/>
          <w:szCs w:val="32"/>
          <w:highlight w:val="none"/>
        </w:rPr>
        <w:sectPr>
          <w:pgSz w:w="11906" w:h="16838"/>
          <w:pgMar w:top="1440" w:right="1080" w:bottom="1440" w:left="1080" w:header="851" w:footer="992" w:gutter="0"/>
          <w:cols w:space="0" w:num="1"/>
          <w:docGrid w:type="lines" w:linePitch="312" w:charSpace="0"/>
        </w:sectPr>
      </w:pPr>
    </w:p>
    <w:p w14:paraId="6D5DB6DD">
      <w:pPr>
        <w:textAlignment w:val="baseline"/>
        <w:rPr>
          <w:rFonts w:ascii="宋体" w:hAnsi="宋体" w:cs="宋体"/>
          <w:b/>
          <w:bCs/>
          <w:color w:val="000000" w:themeColor="text1"/>
          <w:sz w:val="32"/>
          <w:szCs w:val="32"/>
          <w:highlight w:val="none"/>
        </w:rPr>
      </w:pPr>
      <w:r>
        <w:rPr>
          <w:rFonts w:hint="eastAsia" w:ascii="宋体" w:hAnsi="宋体" w:cs="宋体"/>
          <w:color w:val="000000" w:themeColor="text1"/>
          <w:highlight w:val="none"/>
        </w:rPr>
        <w:t>附件1中小企业声明函</w:t>
      </w:r>
    </w:p>
    <w:p w14:paraId="1855E384">
      <w:pPr>
        <w:rPr>
          <w:rFonts w:ascii="宋体" w:hAnsi="宋体" w:cs="宋体"/>
          <w:color w:val="000000" w:themeColor="text1"/>
          <w:highlight w:val="none"/>
        </w:rPr>
      </w:pPr>
    </w:p>
    <w:p w14:paraId="25E550E2">
      <w:pPr>
        <w:jc w:val="center"/>
        <w:textAlignment w:val="baseline"/>
        <w:rPr>
          <w:rFonts w:ascii="宋体" w:hAnsi="宋体" w:cs="宋体"/>
          <w:b/>
          <w:bCs/>
          <w:color w:val="000000" w:themeColor="text1"/>
          <w:sz w:val="32"/>
          <w:szCs w:val="32"/>
          <w:highlight w:val="none"/>
        </w:rPr>
      </w:pPr>
      <w:r>
        <w:rPr>
          <w:rFonts w:hint="eastAsia" w:ascii="宋体" w:hAnsi="宋体" w:cs="宋体"/>
          <w:b/>
          <w:bCs/>
          <w:color w:val="000000" w:themeColor="text1"/>
          <w:sz w:val="32"/>
          <w:szCs w:val="32"/>
          <w:highlight w:val="none"/>
        </w:rPr>
        <w:t>中小企业声明函</w:t>
      </w:r>
    </w:p>
    <w:p w14:paraId="00643315">
      <w:pPr>
        <w:pStyle w:val="2"/>
        <w:spacing w:after="120" w:line="360" w:lineRule="auto"/>
        <w:ind w:left="63" w:right="63" w:firstLine="420" w:firstLineChars="200"/>
        <w:jc w:val="both"/>
        <w:rPr>
          <w:rFonts w:ascii="宋体" w:hAnsi="宋体" w:cs="宋体"/>
          <w:color w:val="000000" w:themeColor="text1"/>
          <w:sz w:val="21"/>
          <w:highlight w:val="none"/>
        </w:rPr>
      </w:pPr>
    </w:p>
    <w:p w14:paraId="3B1BD29E">
      <w:pPr>
        <w:widowControl/>
        <w:kinsoku w:val="0"/>
        <w:autoSpaceDE w:val="0"/>
        <w:autoSpaceDN w:val="0"/>
        <w:adjustRightInd w:val="0"/>
        <w:snapToGrid w:val="0"/>
        <w:spacing w:before="74"/>
        <w:ind w:left="481"/>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6"/>
          <w:kern w:val="0"/>
          <w:sz w:val="24"/>
          <w:highlight w:val="none"/>
        </w:rPr>
        <w:t>本公司 (联合体) 郑重声明，根据《政府采购促进中小企业发展管理办法》 (财</w:t>
      </w:r>
      <w:r>
        <w:rPr>
          <w:rFonts w:hint="eastAsia" w:ascii="宋体" w:hAnsi="宋体" w:cs="宋体"/>
          <w:color w:val="000000" w:themeColor="text1"/>
          <w:kern w:val="0"/>
          <w:sz w:val="24"/>
          <w:highlight w:val="none"/>
        </w:rPr>
        <w:t>库</w:t>
      </w:r>
    </w:p>
    <w:p w14:paraId="3D0EDE38">
      <w:pPr>
        <w:widowControl/>
        <w:kinsoku w:val="0"/>
        <w:autoSpaceDE w:val="0"/>
        <w:autoSpaceDN w:val="0"/>
        <w:adjustRightInd w:val="0"/>
        <w:snapToGrid w:val="0"/>
        <w:spacing w:before="186" w:line="372" w:lineRule="auto"/>
        <w:ind w:left="1" w:right="56" w:firstLine="74"/>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4"/>
          <w:kern w:val="0"/>
          <w:sz w:val="24"/>
          <w:highlight w:val="none"/>
        </w:rPr>
        <w:t>﹝ 2020 ﹞ 46 号) 的规定，本公司 (联合体) 参加 (单位名称) 的 (项目名称) 采购活动，</w:t>
      </w:r>
      <w:r>
        <w:rPr>
          <w:rFonts w:hint="eastAsia" w:ascii="宋体" w:hAnsi="宋体" w:cs="宋体"/>
          <w:color w:val="000000" w:themeColor="text1"/>
          <w:spacing w:val="12"/>
          <w:kern w:val="0"/>
          <w:sz w:val="24"/>
          <w:highlight w:val="none"/>
        </w:rPr>
        <w:t>提供的</w:t>
      </w:r>
      <w:r>
        <w:rPr>
          <w:rFonts w:hint="eastAsia" w:ascii="宋体" w:hAnsi="宋体" w:cs="宋体"/>
          <w:color w:val="000000" w:themeColor="text1"/>
          <w:spacing w:val="7"/>
          <w:kern w:val="0"/>
          <w:sz w:val="24"/>
          <w:highlight w:val="none"/>
        </w:rPr>
        <w:t>货</w:t>
      </w:r>
      <w:r>
        <w:rPr>
          <w:rFonts w:hint="eastAsia" w:ascii="宋体" w:hAnsi="宋体" w:cs="宋体"/>
          <w:color w:val="000000" w:themeColor="text1"/>
          <w:spacing w:val="6"/>
          <w:kern w:val="0"/>
          <w:sz w:val="24"/>
          <w:highlight w:val="none"/>
        </w:rPr>
        <w:t>物全部由符合政策要求的中小企业制造。相关企业 (含联合体中的中小企业、签</w:t>
      </w:r>
      <w:r>
        <w:rPr>
          <w:rFonts w:hint="eastAsia" w:ascii="宋体" w:hAnsi="宋体" w:cs="宋体"/>
          <w:color w:val="000000" w:themeColor="text1"/>
          <w:spacing w:val="16"/>
          <w:kern w:val="0"/>
          <w:sz w:val="24"/>
          <w:highlight w:val="none"/>
        </w:rPr>
        <w:t>订</w:t>
      </w:r>
      <w:r>
        <w:rPr>
          <w:rFonts w:hint="eastAsia" w:ascii="宋体" w:hAnsi="宋体" w:cs="宋体"/>
          <w:color w:val="000000" w:themeColor="text1"/>
          <w:spacing w:val="13"/>
          <w:kern w:val="0"/>
          <w:sz w:val="24"/>
          <w:highlight w:val="none"/>
        </w:rPr>
        <w:t>分</w:t>
      </w:r>
      <w:r>
        <w:rPr>
          <w:rFonts w:hint="eastAsia" w:ascii="宋体" w:hAnsi="宋体" w:cs="宋体"/>
          <w:color w:val="000000" w:themeColor="text1"/>
          <w:spacing w:val="8"/>
          <w:kern w:val="0"/>
          <w:sz w:val="24"/>
          <w:highlight w:val="none"/>
        </w:rPr>
        <w:t>包意向协议的中小企业) 的具体情况如下：</w:t>
      </w:r>
    </w:p>
    <w:p w14:paraId="2D26EF41">
      <w:pPr>
        <w:widowControl/>
        <w:kinsoku w:val="0"/>
        <w:autoSpaceDE w:val="0"/>
        <w:autoSpaceDN w:val="0"/>
        <w:adjustRightInd w:val="0"/>
        <w:snapToGrid w:val="0"/>
        <w:spacing w:before="2" w:line="324" w:lineRule="auto"/>
        <w:ind w:right="119" w:firstLine="18"/>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8"/>
          <w:kern w:val="0"/>
          <w:sz w:val="24"/>
          <w:highlight w:val="none"/>
        </w:rPr>
        <w:t xml:space="preserve">1. </w:t>
      </w:r>
      <w:r>
        <w:rPr>
          <w:rFonts w:hint="eastAsia" w:ascii="宋体" w:hAnsi="宋体" w:cs="宋体"/>
          <w:color w:val="000000" w:themeColor="text1"/>
          <w:spacing w:val="8"/>
          <w:kern w:val="0"/>
          <w:sz w:val="24"/>
          <w:highlight w:val="none"/>
          <w:u w:val="single"/>
        </w:rPr>
        <w:t xml:space="preserve">    (标</w:t>
      </w:r>
      <w:r>
        <w:rPr>
          <w:rFonts w:hint="eastAsia" w:ascii="宋体" w:hAnsi="宋体" w:cs="宋体"/>
          <w:color w:val="000000" w:themeColor="text1"/>
          <w:spacing w:val="6"/>
          <w:kern w:val="0"/>
          <w:sz w:val="24"/>
          <w:highlight w:val="none"/>
          <w:u w:val="single"/>
        </w:rPr>
        <w:t>的</w:t>
      </w:r>
      <w:r>
        <w:rPr>
          <w:rFonts w:hint="eastAsia" w:ascii="宋体" w:hAnsi="宋体" w:cs="宋体"/>
          <w:color w:val="000000" w:themeColor="text1"/>
          <w:spacing w:val="4"/>
          <w:kern w:val="0"/>
          <w:sz w:val="24"/>
          <w:highlight w:val="none"/>
          <w:u w:val="single"/>
        </w:rPr>
        <w:t xml:space="preserve">名称) </w:t>
      </w:r>
      <w:r>
        <w:rPr>
          <w:rFonts w:hint="eastAsia" w:ascii="宋体" w:hAnsi="宋体" w:cs="宋体"/>
          <w:color w:val="000000" w:themeColor="text1"/>
          <w:spacing w:val="4"/>
          <w:kern w:val="0"/>
          <w:sz w:val="24"/>
          <w:highlight w:val="none"/>
        </w:rPr>
        <w:t>，属于</w:t>
      </w:r>
      <w:r>
        <w:rPr>
          <w:rFonts w:hint="eastAsia" w:ascii="宋体" w:hAnsi="宋体" w:cs="宋体"/>
          <w:color w:val="000000" w:themeColor="text1"/>
          <w:spacing w:val="4"/>
          <w:kern w:val="0"/>
          <w:sz w:val="24"/>
          <w:highlight w:val="none"/>
          <w:u w:val="single"/>
        </w:rPr>
        <w:t xml:space="preserve">    (采购文件中明确的所属行业) </w:t>
      </w:r>
      <w:r>
        <w:rPr>
          <w:rFonts w:hint="eastAsia" w:ascii="宋体" w:hAnsi="宋体" w:cs="宋体"/>
          <w:color w:val="000000" w:themeColor="text1"/>
          <w:spacing w:val="4"/>
          <w:kern w:val="0"/>
          <w:sz w:val="24"/>
          <w:highlight w:val="none"/>
        </w:rPr>
        <w:t xml:space="preserve">行业；制造商为 </w:t>
      </w:r>
      <w:r>
        <w:rPr>
          <w:rFonts w:hint="eastAsia" w:ascii="宋体" w:hAnsi="宋体" w:cs="宋体"/>
          <w:color w:val="000000" w:themeColor="text1"/>
          <w:spacing w:val="4"/>
          <w:kern w:val="0"/>
          <w:sz w:val="24"/>
          <w:highlight w:val="none"/>
          <w:u w:val="single"/>
        </w:rPr>
        <w:t xml:space="preserve">  (企</w:t>
      </w:r>
      <w:r>
        <w:rPr>
          <w:rFonts w:hint="eastAsia" w:ascii="宋体" w:hAnsi="宋体" w:cs="宋体"/>
          <w:color w:val="000000" w:themeColor="text1"/>
          <w:spacing w:val="16"/>
          <w:kern w:val="0"/>
          <w:sz w:val="24"/>
          <w:highlight w:val="none"/>
          <w:u w:val="single"/>
        </w:rPr>
        <w:t>业</w:t>
      </w:r>
      <w:r>
        <w:rPr>
          <w:rFonts w:hint="eastAsia" w:ascii="宋体" w:hAnsi="宋体" w:cs="宋体"/>
          <w:color w:val="000000" w:themeColor="text1"/>
          <w:spacing w:val="8"/>
          <w:kern w:val="0"/>
          <w:sz w:val="24"/>
          <w:highlight w:val="none"/>
          <w:u w:val="single"/>
        </w:rPr>
        <w:t xml:space="preserve">名称) </w:t>
      </w:r>
      <w:r>
        <w:rPr>
          <w:rFonts w:hint="eastAsia" w:ascii="宋体" w:hAnsi="宋体" w:cs="宋体"/>
          <w:color w:val="000000" w:themeColor="text1"/>
          <w:spacing w:val="8"/>
          <w:kern w:val="0"/>
          <w:sz w:val="24"/>
          <w:highlight w:val="none"/>
        </w:rPr>
        <w:t>，从业人员</w:t>
      </w:r>
      <w:r>
        <w:rPr>
          <w:rFonts w:hint="eastAsia" w:ascii="宋体" w:hAnsi="宋体" w:cs="宋体"/>
          <w:color w:val="000000" w:themeColor="text1"/>
          <w:spacing w:val="8"/>
          <w:kern w:val="0"/>
          <w:sz w:val="24"/>
          <w:highlight w:val="none"/>
          <w:u w:val="single"/>
        </w:rPr>
        <w:t xml:space="preserve">   人</w:t>
      </w:r>
      <w:r>
        <w:rPr>
          <w:rFonts w:hint="eastAsia" w:ascii="宋体" w:hAnsi="宋体" w:cs="宋体"/>
          <w:color w:val="000000" w:themeColor="text1"/>
          <w:spacing w:val="8"/>
          <w:kern w:val="0"/>
          <w:sz w:val="24"/>
          <w:highlight w:val="none"/>
        </w:rPr>
        <w:t>，营业收入为</w:t>
      </w:r>
      <w:r>
        <w:rPr>
          <w:rFonts w:hint="eastAsia" w:ascii="宋体" w:hAnsi="宋体" w:cs="宋体"/>
          <w:color w:val="000000" w:themeColor="text1"/>
          <w:spacing w:val="8"/>
          <w:kern w:val="0"/>
          <w:sz w:val="24"/>
          <w:highlight w:val="none"/>
          <w:u w:val="single"/>
        </w:rPr>
        <w:t xml:space="preserve">    万元</w:t>
      </w:r>
      <w:r>
        <w:rPr>
          <w:rFonts w:hint="eastAsia" w:ascii="宋体" w:hAnsi="宋体" w:cs="宋体"/>
          <w:color w:val="000000" w:themeColor="text1"/>
          <w:spacing w:val="8"/>
          <w:kern w:val="0"/>
          <w:sz w:val="24"/>
          <w:highlight w:val="none"/>
        </w:rPr>
        <w:t>，资产总额为</w:t>
      </w:r>
      <w:r>
        <w:rPr>
          <w:rFonts w:hint="eastAsia" w:ascii="宋体" w:hAnsi="宋体" w:cs="宋体"/>
          <w:color w:val="000000" w:themeColor="text1"/>
          <w:spacing w:val="8"/>
          <w:kern w:val="0"/>
          <w:sz w:val="24"/>
          <w:highlight w:val="none"/>
          <w:u w:val="single"/>
        </w:rPr>
        <w:t xml:space="preserve">    万元</w:t>
      </w:r>
      <w:r>
        <w:rPr>
          <w:rFonts w:hint="eastAsia" w:ascii="宋体" w:hAnsi="宋体" w:cs="宋体"/>
          <w:color w:val="000000" w:themeColor="text1"/>
          <w:spacing w:val="8"/>
          <w:kern w:val="0"/>
          <w:sz w:val="24"/>
          <w:highlight w:val="none"/>
        </w:rPr>
        <w:t>，属于</w:t>
      </w:r>
      <w:r>
        <w:rPr>
          <w:rFonts w:hint="eastAsia" w:ascii="宋体" w:hAnsi="宋体" w:cs="宋体"/>
          <w:color w:val="000000" w:themeColor="text1"/>
          <w:spacing w:val="8"/>
          <w:kern w:val="0"/>
          <w:sz w:val="24"/>
          <w:highlight w:val="none"/>
          <w:u w:val="single"/>
        </w:rPr>
        <w:t xml:space="preserve"> (中型企业、小型企业、微型企业</w:t>
      </w:r>
      <w:r>
        <w:rPr>
          <w:rFonts w:hint="eastAsia" w:ascii="宋体" w:hAnsi="宋体" w:cs="宋体"/>
          <w:color w:val="000000" w:themeColor="text1"/>
          <w:spacing w:val="8"/>
          <w:kern w:val="0"/>
          <w:sz w:val="24"/>
          <w:highlight w:val="none"/>
        </w:rPr>
        <w:t>) ；</w:t>
      </w:r>
    </w:p>
    <w:p w14:paraId="32FFAB25">
      <w:pPr>
        <w:widowControl/>
        <w:kinsoku w:val="0"/>
        <w:autoSpaceDE w:val="0"/>
        <w:autoSpaceDN w:val="0"/>
        <w:adjustRightInd w:val="0"/>
        <w:snapToGrid w:val="0"/>
        <w:spacing w:before="179" w:line="326" w:lineRule="auto"/>
        <w:ind w:right="119" w:firstLine="3"/>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7"/>
          <w:kern w:val="0"/>
          <w:sz w:val="24"/>
          <w:highlight w:val="none"/>
        </w:rPr>
        <w:t>2</w:t>
      </w:r>
      <w:r>
        <w:rPr>
          <w:rFonts w:hint="eastAsia" w:ascii="宋体" w:hAnsi="宋体" w:cs="宋体"/>
          <w:color w:val="000000" w:themeColor="text1"/>
          <w:spacing w:val="5"/>
          <w:kern w:val="0"/>
          <w:sz w:val="24"/>
          <w:highlight w:val="none"/>
        </w:rPr>
        <w:t xml:space="preserve">. </w:t>
      </w:r>
      <w:r>
        <w:rPr>
          <w:rFonts w:hint="eastAsia" w:ascii="宋体" w:hAnsi="宋体" w:cs="宋体"/>
          <w:color w:val="000000" w:themeColor="text1"/>
          <w:spacing w:val="5"/>
          <w:kern w:val="0"/>
          <w:sz w:val="24"/>
          <w:highlight w:val="none"/>
          <w:u w:val="single"/>
        </w:rPr>
        <w:t xml:space="preserve">   (标的名称) </w:t>
      </w:r>
      <w:r>
        <w:rPr>
          <w:rFonts w:hint="eastAsia" w:ascii="宋体" w:hAnsi="宋体" w:cs="宋体"/>
          <w:color w:val="000000" w:themeColor="text1"/>
          <w:spacing w:val="5"/>
          <w:kern w:val="0"/>
          <w:sz w:val="24"/>
          <w:highlight w:val="none"/>
        </w:rPr>
        <w:t xml:space="preserve">，属于 </w:t>
      </w:r>
      <w:r>
        <w:rPr>
          <w:rFonts w:hint="eastAsia" w:ascii="宋体" w:hAnsi="宋体" w:cs="宋体"/>
          <w:color w:val="000000" w:themeColor="text1"/>
          <w:spacing w:val="5"/>
          <w:kern w:val="0"/>
          <w:sz w:val="24"/>
          <w:highlight w:val="none"/>
          <w:u w:val="single"/>
        </w:rPr>
        <w:t xml:space="preserve">     (采购文件中明确的所属行业) </w:t>
      </w:r>
      <w:r>
        <w:rPr>
          <w:rFonts w:hint="eastAsia" w:ascii="宋体" w:hAnsi="宋体" w:cs="宋体"/>
          <w:color w:val="000000" w:themeColor="text1"/>
          <w:spacing w:val="5"/>
          <w:kern w:val="0"/>
          <w:sz w:val="24"/>
          <w:highlight w:val="none"/>
        </w:rPr>
        <w:t>行业；制造商为</w:t>
      </w:r>
      <w:r>
        <w:rPr>
          <w:rFonts w:hint="eastAsia" w:ascii="宋体" w:hAnsi="宋体" w:cs="宋体"/>
          <w:color w:val="000000" w:themeColor="text1"/>
          <w:spacing w:val="5"/>
          <w:kern w:val="0"/>
          <w:sz w:val="24"/>
          <w:highlight w:val="none"/>
          <w:u w:val="single"/>
        </w:rPr>
        <w:t xml:space="preserve">     (企</w:t>
      </w:r>
      <w:r>
        <w:rPr>
          <w:rFonts w:hint="eastAsia" w:ascii="宋体" w:hAnsi="宋体" w:cs="宋体"/>
          <w:color w:val="000000" w:themeColor="text1"/>
          <w:spacing w:val="8"/>
          <w:kern w:val="0"/>
          <w:sz w:val="24"/>
          <w:highlight w:val="none"/>
          <w:u w:val="single"/>
        </w:rPr>
        <w:t xml:space="preserve">业名称) </w:t>
      </w:r>
      <w:r>
        <w:rPr>
          <w:rFonts w:hint="eastAsia" w:ascii="宋体" w:hAnsi="宋体" w:cs="宋体"/>
          <w:color w:val="000000" w:themeColor="text1"/>
          <w:spacing w:val="8"/>
          <w:kern w:val="0"/>
          <w:sz w:val="24"/>
          <w:highlight w:val="none"/>
        </w:rPr>
        <w:t>，从业人员</w:t>
      </w:r>
      <w:r>
        <w:rPr>
          <w:rFonts w:hint="eastAsia" w:ascii="宋体" w:hAnsi="宋体" w:cs="宋体"/>
          <w:color w:val="000000" w:themeColor="text1"/>
          <w:spacing w:val="8"/>
          <w:kern w:val="0"/>
          <w:sz w:val="24"/>
          <w:highlight w:val="none"/>
          <w:u w:val="single"/>
        </w:rPr>
        <w:t xml:space="preserve">    人</w:t>
      </w:r>
      <w:r>
        <w:rPr>
          <w:rFonts w:hint="eastAsia" w:ascii="宋体" w:hAnsi="宋体" w:cs="宋体"/>
          <w:color w:val="000000" w:themeColor="text1"/>
          <w:spacing w:val="8"/>
          <w:kern w:val="0"/>
          <w:sz w:val="24"/>
          <w:highlight w:val="none"/>
        </w:rPr>
        <w:t>，营业收入为</w:t>
      </w:r>
      <w:r>
        <w:rPr>
          <w:rFonts w:hint="eastAsia" w:ascii="宋体" w:hAnsi="宋体" w:cs="宋体"/>
          <w:color w:val="000000" w:themeColor="text1"/>
          <w:spacing w:val="8"/>
          <w:kern w:val="0"/>
          <w:sz w:val="24"/>
          <w:highlight w:val="none"/>
          <w:u w:val="single"/>
        </w:rPr>
        <w:t xml:space="preserve">   万元</w:t>
      </w:r>
      <w:r>
        <w:rPr>
          <w:rFonts w:hint="eastAsia" w:ascii="宋体" w:hAnsi="宋体" w:cs="宋体"/>
          <w:color w:val="000000" w:themeColor="text1"/>
          <w:spacing w:val="8"/>
          <w:kern w:val="0"/>
          <w:sz w:val="24"/>
          <w:highlight w:val="none"/>
        </w:rPr>
        <w:t xml:space="preserve">，资产总额为 </w:t>
      </w:r>
      <w:r>
        <w:rPr>
          <w:rFonts w:hint="eastAsia" w:ascii="宋体" w:hAnsi="宋体" w:cs="宋体"/>
          <w:color w:val="000000" w:themeColor="text1"/>
          <w:spacing w:val="8"/>
          <w:kern w:val="0"/>
          <w:sz w:val="24"/>
          <w:highlight w:val="none"/>
          <w:u w:val="single"/>
        </w:rPr>
        <w:t xml:space="preserve">  万元</w:t>
      </w:r>
      <w:r>
        <w:rPr>
          <w:rFonts w:hint="eastAsia" w:ascii="宋体" w:hAnsi="宋体" w:cs="宋体"/>
          <w:color w:val="000000" w:themeColor="text1"/>
          <w:spacing w:val="8"/>
          <w:kern w:val="0"/>
          <w:sz w:val="24"/>
          <w:highlight w:val="none"/>
        </w:rPr>
        <w:t>，属于</w:t>
      </w:r>
      <w:r>
        <w:rPr>
          <w:rFonts w:hint="eastAsia" w:ascii="宋体" w:hAnsi="宋体" w:cs="宋体"/>
          <w:color w:val="000000" w:themeColor="text1"/>
          <w:spacing w:val="8"/>
          <w:kern w:val="0"/>
          <w:sz w:val="24"/>
          <w:highlight w:val="none"/>
          <w:u w:val="single"/>
        </w:rPr>
        <w:t xml:space="preserve">    (中型</w:t>
      </w:r>
      <w:r>
        <w:rPr>
          <w:rFonts w:hint="eastAsia" w:ascii="宋体" w:hAnsi="宋体" w:cs="宋体"/>
          <w:color w:val="000000" w:themeColor="text1"/>
          <w:spacing w:val="10"/>
          <w:kern w:val="0"/>
          <w:sz w:val="24"/>
          <w:highlight w:val="none"/>
          <w:u w:val="single"/>
        </w:rPr>
        <w:t>企</w:t>
      </w:r>
      <w:r>
        <w:rPr>
          <w:rFonts w:hint="eastAsia" w:ascii="宋体" w:hAnsi="宋体" w:cs="宋体"/>
          <w:color w:val="000000" w:themeColor="text1"/>
          <w:spacing w:val="8"/>
          <w:kern w:val="0"/>
          <w:sz w:val="24"/>
          <w:highlight w:val="none"/>
          <w:u w:val="single"/>
        </w:rPr>
        <w:t xml:space="preserve">业、小型企业、微型企业) </w:t>
      </w:r>
      <w:r>
        <w:rPr>
          <w:rFonts w:hint="eastAsia" w:ascii="宋体" w:hAnsi="宋体" w:cs="宋体"/>
          <w:color w:val="000000" w:themeColor="text1"/>
          <w:spacing w:val="8"/>
          <w:kern w:val="0"/>
          <w:sz w:val="24"/>
          <w:highlight w:val="none"/>
        </w:rPr>
        <w:t>；</w:t>
      </w:r>
    </w:p>
    <w:p w14:paraId="68F596AB">
      <w:pPr>
        <w:widowControl/>
        <w:kinsoku w:val="0"/>
        <w:autoSpaceDE w:val="0"/>
        <w:autoSpaceDN w:val="0"/>
        <w:adjustRightInd w:val="0"/>
        <w:snapToGrid w:val="0"/>
        <w:spacing w:before="179" w:line="371" w:lineRule="exact"/>
        <w:ind w:left="3136"/>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5"/>
          <w:kern w:val="0"/>
          <w:position w:val="3"/>
          <w:sz w:val="24"/>
          <w:highlight w:val="none"/>
        </w:rPr>
        <w:t>……</w:t>
      </w:r>
    </w:p>
    <w:p w14:paraId="4114C585">
      <w:pPr>
        <w:widowControl/>
        <w:kinsoku w:val="0"/>
        <w:autoSpaceDE w:val="0"/>
        <w:autoSpaceDN w:val="0"/>
        <w:adjustRightInd w:val="0"/>
        <w:snapToGrid w:val="0"/>
        <w:spacing w:before="96" w:line="372" w:lineRule="auto"/>
        <w:ind w:right="119" w:firstLine="28"/>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6"/>
          <w:kern w:val="0"/>
          <w:sz w:val="24"/>
          <w:highlight w:val="none"/>
        </w:rPr>
        <w:t>以上企业，不属于大企业的分支机构，不存在控股股东为大企业的情形，也不存在与大</w:t>
      </w:r>
      <w:r>
        <w:rPr>
          <w:rFonts w:hint="eastAsia" w:ascii="宋体" w:hAnsi="宋体" w:cs="宋体"/>
          <w:color w:val="000000" w:themeColor="text1"/>
          <w:spacing w:val="5"/>
          <w:kern w:val="0"/>
          <w:sz w:val="24"/>
          <w:highlight w:val="none"/>
        </w:rPr>
        <w:t>企</w:t>
      </w:r>
      <w:r>
        <w:rPr>
          <w:rFonts w:hint="eastAsia" w:ascii="宋体" w:hAnsi="宋体" w:cs="宋体"/>
          <w:color w:val="000000" w:themeColor="text1"/>
          <w:spacing w:val="15"/>
          <w:kern w:val="0"/>
          <w:sz w:val="24"/>
          <w:highlight w:val="none"/>
        </w:rPr>
        <w:t>业</w:t>
      </w:r>
      <w:r>
        <w:rPr>
          <w:rFonts w:hint="eastAsia" w:ascii="宋体" w:hAnsi="宋体" w:cs="宋体"/>
          <w:color w:val="000000" w:themeColor="text1"/>
          <w:spacing w:val="8"/>
          <w:kern w:val="0"/>
          <w:sz w:val="24"/>
          <w:highlight w:val="none"/>
        </w:rPr>
        <w:t>的负责人为同一人的情形。</w:t>
      </w:r>
    </w:p>
    <w:p w14:paraId="4ED7C65F">
      <w:pPr>
        <w:widowControl/>
        <w:kinsoku w:val="0"/>
        <w:autoSpaceDE w:val="0"/>
        <w:autoSpaceDN w:val="0"/>
        <w:adjustRightInd w:val="0"/>
        <w:snapToGrid w:val="0"/>
        <w:spacing w:before="1"/>
        <w:ind w:left="1"/>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18"/>
          <w:kern w:val="0"/>
          <w:sz w:val="24"/>
          <w:highlight w:val="none"/>
        </w:rPr>
        <w:t>本</w:t>
      </w:r>
      <w:r>
        <w:rPr>
          <w:rFonts w:hint="eastAsia" w:ascii="宋体" w:hAnsi="宋体" w:cs="宋体"/>
          <w:color w:val="000000" w:themeColor="text1"/>
          <w:spacing w:val="11"/>
          <w:kern w:val="0"/>
          <w:sz w:val="24"/>
          <w:highlight w:val="none"/>
        </w:rPr>
        <w:t>企</w:t>
      </w:r>
      <w:r>
        <w:rPr>
          <w:rFonts w:hint="eastAsia" w:ascii="宋体" w:hAnsi="宋体" w:cs="宋体"/>
          <w:color w:val="000000" w:themeColor="text1"/>
          <w:spacing w:val="9"/>
          <w:kern w:val="0"/>
          <w:sz w:val="24"/>
          <w:highlight w:val="none"/>
        </w:rPr>
        <w:t>业对上述声明内容的真实性负责。如有虚假，将依法承担相应责任。</w:t>
      </w:r>
    </w:p>
    <w:p w14:paraId="7EA32E55">
      <w:pPr>
        <w:widowControl/>
        <w:kinsoku w:val="0"/>
        <w:autoSpaceDE w:val="0"/>
        <w:autoSpaceDN w:val="0"/>
        <w:adjustRightInd w:val="0"/>
        <w:snapToGrid w:val="0"/>
        <w:spacing w:line="285" w:lineRule="auto"/>
        <w:jc w:val="left"/>
        <w:textAlignment w:val="baseline"/>
        <w:rPr>
          <w:rFonts w:ascii="宋体" w:hAnsi="宋体" w:cs="宋体"/>
          <w:color w:val="000000" w:themeColor="text1"/>
          <w:kern w:val="0"/>
          <w:sz w:val="24"/>
          <w:highlight w:val="none"/>
        </w:rPr>
      </w:pPr>
    </w:p>
    <w:p w14:paraId="6E546B99">
      <w:pPr>
        <w:widowControl/>
        <w:kinsoku w:val="0"/>
        <w:autoSpaceDE w:val="0"/>
        <w:autoSpaceDN w:val="0"/>
        <w:adjustRightInd w:val="0"/>
        <w:snapToGrid w:val="0"/>
        <w:spacing w:line="285" w:lineRule="auto"/>
        <w:jc w:val="left"/>
        <w:textAlignment w:val="baseline"/>
        <w:rPr>
          <w:rFonts w:ascii="宋体" w:hAnsi="宋体" w:cs="宋体"/>
          <w:color w:val="000000" w:themeColor="text1"/>
          <w:kern w:val="0"/>
          <w:sz w:val="24"/>
          <w:highlight w:val="none"/>
        </w:rPr>
      </w:pPr>
    </w:p>
    <w:p w14:paraId="47AE4F81">
      <w:pPr>
        <w:widowControl/>
        <w:kinsoku w:val="0"/>
        <w:autoSpaceDE w:val="0"/>
        <w:autoSpaceDN w:val="0"/>
        <w:adjustRightInd w:val="0"/>
        <w:snapToGrid w:val="0"/>
        <w:spacing w:before="75" w:line="381" w:lineRule="auto"/>
        <w:ind w:left="5680" w:right="1620" w:hanging="37"/>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2"/>
          <w:kern w:val="0"/>
          <w:sz w:val="24"/>
          <w:highlight w:val="none"/>
        </w:rPr>
        <w:t xml:space="preserve">企业名称 </w:t>
      </w:r>
      <w:r>
        <w:rPr>
          <w:rFonts w:hint="eastAsia" w:ascii="宋体" w:hAnsi="宋体" w:cs="宋体"/>
          <w:color w:val="000000" w:themeColor="text1"/>
          <w:spacing w:val="1"/>
          <w:kern w:val="0"/>
          <w:sz w:val="24"/>
          <w:highlight w:val="none"/>
        </w:rPr>
        <w:t>(盖章) ：</w:t>
      </w:r>
    </w:p>
    <w:p w14:paraId="04B95BB0">
      <w:pPr>
        <w:widowControl/>
        <w:kinsoku w:val="0"/>
        <w:autoSpaceDE w:val="0"/>
        <w:autoSpaceDN w:val="0"/>
        <w:adjustRightInd w:val="0"/>
        <w:snapToGrid w:val="0"/>
        <w:spacing w:before="75" w:line="381" w:lineRule="auto"/>
        <w:ind w:left="5680" w:right="1620" w:hanging="37"/>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11"/>
          <w:kern w:val="0"/>
          <w:sz w:val="24"/>
          <w:highlight w:val="none"/>
        </w:rPr>
        <w:t>日</w:t>
      </w:r>
      <w:r>
        <w:rPr>
          <w:rFonts w:hint="eastAsia" w:ascii="宋体" w:hAnsi="宋体" w:cs="宋体"/>
          <w:color w:val="000000" w:themeColor="text1"/>
          <w:spacing w:val="-10"/>
          <w:kern w:val="0"/>
          <w:sz w:val="24"/>
          <w:highlight w:val="none"/>
        </w:rPr>
        <w:t>期：</w:t>
      </w:r>
    </w:p>
    <w:p w14:paraId="6E017787">
      <w:pPr>
        <w:widowControl/>
        <w:kinsoku w:val="0"/>
        <w:autoSpaceDE w:val="0"/>
        <w:autoSpaceDN w:val="0"/>
        <w:adjustRightInd w:val="0"/>
        <w:snapToGrid w:val="0"/>
        <w:spacing w:before="75"/>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注：</w:t>
      </w:r>
    </w:p>
    <w:p w14:paraId="7C7B2F1A">
      <w:pPr>
        <w:widowControl/>
        <w:kinsoku w:val="0"/>
        <w:autoSpaceDE w:val="0"/>
        <w:autoSpaceDN w:val="0"/>
        <w:adjustRightInd w:val="0"/>
        <w:snapToGrid w:val="0"/>
        <w:spacing w:before="182" w:line="297" w:lineRule="auto"/>
        <w:ind w:left="4" w:right="167" w:firstLine="13"/>
        <w:jc w:val="left"/>
        <w:textAlignment w:val="baseline"/>
        <w:rPr>
          <w:rFonts w:ascii="宋体" w:hAnsi="宋体" w:cs="宋体"/>
          <w:color w:val="000000" w:themeColor="text1"/>
          <w:kern w:val="0"/>
          <w:sz w:val="24"/>
          <w:highlight w:val="none"/>
        </w:rPr>
      </w:pPr>
      <w:r>
        <w:rPr>
          <w:rFonts w:hint="eastAsia" w:ascii="宋体" w:hAnsi="宋体" w:cs="宋体"/>
          <w:color w:val="000000" w:themeColor="text1"/>
          <w:spacing w:val="14"/>
          <w:kern w:val="0"/>
          <w:sz w:val="24"/>
          <w:highlight w:val="none"/>
        </w:rPr>
        <w:t>1. 从</w:t>
      </w:r>
      <w:r>
        <w:rPr>
          <w:rFonts w:hint="eastAsia" w:ascii="宋体" w:hAnsi="宋体" w:cs="宋体"/>
          <w:color w:val="000000" w:themeColor="text1"/>
          <w:spacing w:val="8"/>
          <w:kern w:val="0"/>
          <w:sz w:val="24"/>
          <w:highlight w:val="none"/>
        </w:rPr>
        <w:t>业</w:t>
      </w:r>
      <w:r>
        <w:rPr>
          <w:rFonts w:hint="eastAsia" w:ascii="宋体" w:hAnsi="宋体" w:cs="宋体"/>
          <w:color w:val="000000" w:themeColor="text1"/>
          <w:spacing w:val="7"/>
          <w:kern w:val="0"/>
          <w:sz w:val="24"/>
          <w:highlight w:val="none"/>
        </w:rPr>
        <w:t>人员、营业收入、资产总额填报上一年度数据，无上一年度数据的新成立企业可</w:t>
      </w:r>
      <w:r>
        <w:rPr>
          <w:rFonts w:hint="eastAsia" w:ascii="宋体" w:hAnsi="宋体" w:cs="宋体"/>
          <w:color w:val="000000" w:themeColor="text1"/>
          <w:spacing w:val="4"/>
          <w:kern w:val="0"/>
          <w:sz w:val="24"/>
          <w:highlight w:val="none"/>
        </w:rPr>
        <w:t>不填报。</w:t>
      </w:r>
    </w:p>
    <w:p w14:paraId="56C149D6">
      <w:pPr>
        <w:pStyle w:val="2"/>
        <w:adjustRightInd/>
        <w:snapToGrid w:val="0"/>
        <w:spacing w:line="480" w:lineRule="auto"/>
        <w:ind w:left="63" w:right="63" w:firstLine="422" w:firstLineChars="200"/>
        <w:jc w:val="both"/>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注：1、本次采购项目采购标的对应的中小企业划分标准所属行业为</w:t>
      </w:r>
      <w:r>
        <w:rPr>
          <w:rFonts w:hint="eastAsia" w:ascii="宋体" w:hAnsi="宋体" w:cs="宋体"/>
          <w:b/>
          <w:bCs/>
          <w:color w:val="000000" w:themeColor="text1"/>
          <w:sz w:val="21"/>
          <w:szCs w:val="21"/>
          <w:highlight w:val="none"/>
          <w:u w:val="single"/>
          <w:lang w:val="en-US" w:eastAsia="zh-CN"/>
        </w:rPr>
        <w:t>工业</w:t>
      </w:r>
      <w:r>
        <w:rPr>
          <w:rFonts w:hint="eastAsia" w:ascii="宋体" w:hAnsi="宋体" w:cs="宋体"/>
          <w:b/>
          <w:color w:val="000000" w:themeColor="text1"/>
          <w:sz w:val="21"/>
          <w:szCs w:val="21"/>
          <w:highlight w:val="none"/>
        </w:rPr>
        <w:t>。</w:t>
      </w:r>
    </w:p>
    <w:p w14:paraId="0221BAAF">
      <w:pPr>
        <w:pStyle w:val="2"/>
        <w:adjustRightInd/>
        <w:snapToGrid w:val="0"/>
        <w:spacing w:line="480" w:lineRule="auto"/>
        <w:ind w:left="63" w:right="63" w:firstLine="422" w:firstLineChars="200"/>
        <w:jc w:val="both"/>
        <w:rPr>
          <w:rFonts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2、从业人员、营业收入、资产总额填报上一年度数据，无上一年度数据的新成立企业可不填报。</w:t>
      </w:r>
    </w:p>
    <w:p w14:paraId="66A3C382">
      <w:pPr>
        <w:adjustRightInd w:val="0"/>
        <w:snapToGrid w:val="0"/>
        <w:spacing w:line="360" w:lineRule="auto"/>
        <w:ind w:firstLine="420" w:firstLineChars="200"/>
        <w:rPr>
          <w:rFonts w:ascii="宋体" w:hAnsi="宋体" w:cs="宋体"/>
          <w:bCs/>
          <w:color w:val="000000" w:themeColor="text1"/>
          <w:szCs w:val="21"/>
          <w:highlight w:val="none"/>
        </w:rPr>
      </w:pPr>
    </w:p>
    <w:p w14:paraId="2F2B1A93">
      <w:pPr>
        <w:autoSpaceDE w:val="0"/>
        <w:autoSpaceDN w:val="0"/>
        <w:adjustRightInd w:val="0"/>
        <w:spacing w:line="600" w:lineRule="exact"/>
        <w:rPr>
          <w:rFonts w:ascii="宋体" w:hAnsi="宋体" w:cs="宋体"/>
          <w:b/>
          <w:bCs/>
          <w:color w:val="000000" w:themeColor="text1"/>
          <w:szCs w:val="21"/>
          <w:highlight w:val="none"/>
        </w:rPr>
        <w:sectPr>
          <w:pgSz w:w="11850" w:h="16783"/>
          <w:pgMar w:top="1440" w:right="1080" w:bottom="1440" w:left="1080" w:header="720" w:footer="720" w:gutter="0"/>
          <w:cols w:space="720" w:num="1"/>
        </w:sectPr>
      </w:pPr>
    </w:p>
    <w:p w14:paraId="71AFDF25">
      <w:pPr>
        <w:pStyle w:val="37"/>
        <w:ind w:firstLine="0" w:firstLineChars="0"/>
        <w:outlineLvl w:val="3"/>
        <w:rPr>
          <w:rFonts w:ascii="宋体" w:hAnsi="宋体" w:eastAsia="宋体" w:cs="宋体"/>
          <w:color w:val="000000" w:themeColor="text1"/>
          <w:kern w:val="2"/>
          <w:sz w:val="21"/>
          <w:szCs w:val="24"/>
          <w:highlight w:val="none"/>
        </w:rPr>
      </w:pPr>
      <w:r>
        <w:rPr>
          <w:rFonts w:hint="eastAsia" w:ascii="宋体" w:hAnsi="宋体" w:eastAsia="宋体" w:cs="宋体"/>
          <w:color w:val="000000" w:themeColor="text1"/>
          <w:kern w:val="2"/>
          <w:sz w:val="21"/>
          <w:szCs w:val="24"/>
          <w:highlight w:val="none"/>
        </w:rPr>
        <w:t>附2 残疾人福利性单位声明</w:t>
      </w:r>
    </w:p>
    <w:p w14:paraId="46F2E176">
      <w:pPr>
        <w:spacing w:line="588" w:lineRule="exact"/>
        <w:jc w:val="center"/>
        <w:rPr>
          <w:rFonts w:ascii="宋体" w:hAnsi="宋体" w:cs="宋体"/>
          <w:b/>
          <w:color w:val="000000" w:themeColor="text1"/>
          <w:spacing w:val="6"/>
          <w:sz w:val="32"/>
          <w:szCs w:val="32"/>
          <w:highlight w:val="none"/>
        </w:rPr>
      </w:pPr>
      <w:bookmarkStart w:id="79" w:name="OLE_LINK13"/>
      <w:bookmarkStart w:id="80" w:name="OLE_LINK14"/>
      <w:r>
        <w:rPr>
          <w:rFonts w:hint="eastAsia" w:ascii="宋体" w:hAnsi="宋体" w:cs="宋体"/>
          <w:b/>
          <w:color w:val="000000" w:themeColor="text1"/>
          <w:spacing w:val="6"/>
          <w:sz w:val="32"/>
          <w:szCs w:val="32"/>
          <w:highlight w:val="none"/>
        </w:rPr>
        <w:t>残疾人福利性单位声明函</w:t>
      </w:r>
    </w:p>
    <w:bookmarkEnd w:id="79"/>
    <w:bookmarkEnd w:id="80"/>
    <w:p w14:paraId="683A389E">
      <w:pPr>
        <w:jc w:val="center"/>
        <w:rPr>
          <w:rFonts w:ascii="宋体" w:hAnsi="宋体" w:cs="宋体"/>
          <w:color w:val="000000" w:themeColor="text1"/>
          <w:szCs w:val="21"/>
          <w:highlight w:val="none"/>
          <w:u w:val="single"/>
        </w:rPr>
      </w:pPr>
    </w:p>
    <w:p w14:paraId="78C7516A">
      <w:pPr>
        <w:jc w:val="center"/>
        <w:rPr>
          <w:rFonts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【不属于残疾人福利性单位的无需填写】</w:t>
      </w:r>
    </w:p>
    <w:p w14:paraId="3A591CE8">
      <w:pPr>
        <w:spacing w:line="588" w:lineRule="exact"/>
        <w:rPr>
          <w:rFonts w:ascii="宋体" w:hAnsi="宋体" w:cs="宋体"/>
          <w:b/>
          <w:color w:val="000000" w:themeColor="text1"/>
          <w:spacing w:val="6"/>
          <w:sz w:val="30"/>
          <w:szCs w:val="30"/>
          <w:highlight w:val="none"/>
        </w:rPr>
      </w:pPr>
    </w:p>
    <w:p w14:paraId="41A09C27">
      <w:pPr>
        <w:spacing w:line="588" w:lineRule="exact"/>
        <w:ind w:firstLine="504" w:firstLineChars="200"/>
        <w:rPr>
          <w:rFonts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本单位郑重声明，根据《财政部 民政部 中国残疾人联合会关于促进残疾人就业政府采购政策的通知》（财库</w:t>
      </w:r>
      <w:r>
        <w:rPr>
          <w:rFonts w:hint="eastAsia" w:ascii="宋体" w:hAnsi="宋体" w:cs="宋体"/>
          <w:color w:val="000000" w:themeColor="text1"/>
          <w:sz w:val="24"/>
          <w:highlight w:val="none"/>
        </w:rPr>
        <w:t>〔2017〕 141</w:t>
      </w:r>
      <w:r>
        <w:rPr>
          <w:rFonts w:hint="eastAsia" w:ascii="宋体" w:hAnsi="宋体" w:cs="宋体"/>
          <w:color w:val="000000" w:themeColor="text1"/>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870605">
      <w:pPr>
        <w:spacing w:line="588" w:lineRule="exact"/>
        <w:ind w:firstLine="504" w:firstLineChars="200"/>
        <w:rPr>
          <w:rFonts w:ascii="宋体" w:hAnsi="宋体" w:cs="宋体"/>
          <w:color w:val="000000" w:themeColor="text1"/>
          <w:spacing w:val="6"/>
          <w:sz w:val="24"/>
          <w:highlight w:val="none"/>
        </w:rPr>
      </w:pPr>
      <w:r>
        <w:rPr>
          <w:rFonts w:hint="eastAsia" w:ascii="宋体" w:hAnsi="宋体" w:cs="宋体"/>
          <w:color w:val="000000" w:themeColor="text1"/>
          <w:spacing w:val="6"/>
          <w:sz w:val="24"/>
          <w:highlight w:val="none"/>
        </w:rPr>
        <w:t>本单位对上述声明的真实性负责。如有虚假，将依法承担相应责任。</w:t>
      </w:r>
    </w:p>
    <w:p w14:paraId="239615A8">
      <w:pPr>
        <w:spacing w:line="588" w:lineRule="exact"/>
        <w:ind w:firstLine="504" w:firstLineChars="200"/>
        <w:rPr>
          <w:rFonts w:ascii="宋体" w:hAnsi="宋体" w:cs="宋体"/>
          <w:color w:val="000000" w:themeColor="text1"/>
          <w:spacing w:val="6"/>
          <w:sz w:val="24"/>
          <w:highlight w:val="none"/>
        </w:rPr>
      </w:pPr>
    </w:p>
    <w:p w14:paraId="1EFF4BB1">
      <w:pPr>
        <w:spacing w:line="588" w:lineRule="exact"/>
        <w:ind w:firstLine="504" w:firstLineChars="200"/>
        <w:rPr>
          <w:rFonts w:ascii="宋体" w:hAnsi="宋体" w:cs="宋体"/>
          <w:color w:val="000000" w:themeColor="text1"/>
          <w:spacing w:val="6"/>
          <w:sz w:val="24"/>
          <w:highlight w:val="none"/>
        </w:rPr>
      </w:pPr>
    </w:p>
    <w:p w14:paraId="75B03D69">
      <w:pPr>
        <w:tabs>
          <w:tab w:val="left" w:pos="4860"/>
        </w:tabs>
        <w:spacing w:line="588" w:lineRule="exact"/>
        <w:ind w:right="1560" w:firstLine="504" w:firstLineChars="200"/>
        <w:jc w:val="center"/>
        <w:rPr>
          <w:rFonts w:ascii="宋体" w:hAnsi="宋体" w:cs="宋体"/>
          <w:color w:val="000000" w:themeColor="text1"/>
          <w:spacing w:val="6"/>
          <w:sz w:val="24"/>
          <w:highlight w:val="none"/>
        </w:rPr>
      </w:pPr>
      <w:bookmarkStart w:id="81" w:name="_Toc16061_WPSOffice_Level1"/>
      <w:r>
        <w:rPr>
          <w:rFonts w:hint="eastAsia" w:ascii="宋体" w:hAnsi="宋体" w:cs="宋体"/>
          <w:color w:val="000000" w:themeColor="text1"/>
          <w:spacing w:val="6"/>
          <w:sz w:val="24"/>
          <w:highlight w:val="none"/>
        </w:rPr>
        <w:t>单位名称（盖章）：</w:t>
      </w:r>
      <w:bookmarkEnd w:id="81"/>
    </w:p>
    <w:p w14:paraId="5FB2B2A4">
      <w:pPr>
        <w:tabs>
          <w:tab w:val="left" w:pos="4860"/>
        </w:tabs>
        <w:spacing w:line="588" w:lineRule="exact"/>
        <w:ind w:right="1560" w:firstLine="504" w:firstLineChars="200"/>
        <w:jc w:val="center"/>
        <w:rPr>
          <w:rFonts w:ascii="宋体" w:hAnsi="宋体" w:cs="宋体"/>
          <w:color w:val="000000" w:themeColor="text1"/>
          <w:spacing w:val="6"/>
          <w:sz w:val="24"/>
          <w:highlight w:val="none"/>
        </w:rPr>
      </w:pPr>
      <w:bookmarkStart w:id="82" w:name="_Toc32569_WPSOffice_Level1"/>
      <w:r>
        <w:rPr>
          <w:rFonts w:hint="eastAsia" w:ascii="宋体" w:hAnsi="宋体" w:cs="宋体"/>
          <w:color w:val="000000" w:themeColor="text1"/>
          <w:spacing w:val="6"/>
          <w:sz w:val="24"/>
          <w:highlight w:val="none"/>
        </w:rPr>
        <w:t>日  期：</w:t>
      </w:r>
      <w:bookmarkEnd w:id="82"/>
    </w:p>
    <w:p w14:paraId="19A5D31C">
      <w:pPr>
        <w:pStyle w:val="4"/>
        <w:rPr>
          <w:rFonts w:ascii="宋体" w:hAnsi="宋体" w:cs="宋体"/>
          <w:color w:val="000000" w:themeColor="text1"/>
          <w:sz w:val="24"/>
          <w:szCs w:val="24"/>
          <w:highlight w:val="none"/>
        </w:rPr>
        <w:sectPr>
          <w:pgSz w:w="11850" w:h="16783"/>
          <w:pgMar w:top="1440" w:right="1080" w:bottom="1440" w:left="1080" w:header="720" w:footer="720" w:gutter="0"/>
          <w:cols w:space="720" w:num="1"/>
        </w:sectPr>
      </w:pPr>
    </w:p>
    <w:p w14:paraId="39A7618C">
      <w:pPr>
        <w:pStyle w:val="37"/>
        <w:ind w:firstLine="0" w:firstLineChars="0"/>
        <w:outlineLvl w:val="3"/>
        <w:rPr>
          <w:rFonts w:ascii="宋体" w:hAnsi="宋体" w:eastAsia="宋体" w:cs="宋体"/>
          <w:color w:val="000000" w:themeColor="text1"/>
          <w:kern w:val="2"/>
          <w:sz w:val="21"/>
          <w:szCs w:val="24"/>
          <w:highlight w:val="none"/>
        </w:rPr>
      </w:pPr>
      <w:r>
        <w:rPr>
          <w:rFonts w:hint="eastAsia" w:ascii="宋体" w:hAnsi="宋体" w:eastAsia="宋体" w:cs="宋体"/>
          <w:color w:val="000000" w:themeColor="text1"/>
          <w:kern w:val="2"/>
          <w:sz w:val="21"/>
          <w:szCs w:val="24"/>
          <w:highlight w:val="none"/>
        </w:rPr>
        <w:t>附3 监狱企业的证明文件</w:t>
      </w:r>
    </w:p>
    <w:p w14:paraId="077094D5">
      <w:pPr>
        <w:textAlignment w:val="baseline"/>
        <w:rPr>
          <w:rFonts w:ascii="宋体" w:hAnsi="宋体" w:cs="宋体"/>
          <w:color w:val="000000" w:themeColor="text1"/>
          <w:sz w:val="20"/>
          <w:highlight w:val="none"/>
        </w:rPr>
      </w:pPr>
    </w:p>
    <w:p w14:paraId="51E7016D">
      <w:pPr>
        <w:spacing w:before="312" w:after="312" w:line="360" w:lineRule="auto"/>
        <w:jc w:val="center"/>
        <w:textAlignment w:val="baseline"/>
        <w:rPr>
          <w:rFonts w:ascii="宋体" w:hAnsi="宋体" w:cs="宋体"/>
          <w:b/>
          <w:color w:val="000000" w:themeColor="text1"/>
          <w:spacing w:val="20"/>
          <w:sz w:val="30"/>
          <w:szCs w:val="30"/>
          <w:highlight w:val="none"/>
        </w:rPr>
      </w:pPr>
      <w:r>
        <w:rPr>
          <w:rFonts w:hint="eastAsia" w:ascii="宋体" w:hAnsi="宋体" w:cs="宋体"/>
          <w:b/>
          <w:color w:val="000000" w:themeColor="text1"/>
          <w:spacing w:val="20"/>
          <w:sz w:val="30"/>
          <w:szCs w:val="30"/>
          <w:highlight w:val="none"/>
        </w:rPr>
        <w:t>（如适用填写，不适用无须填写，只填写不适用即可）</w:t>
      </w:r>
    </w:p>
    <w:p w14:paraId="7B6513A2">
      <w:pPr>
        <w:spacing w:before="312" w:after="312" w:line="360" w:lineRule="auto"/>
        <w:jc w:val="center"/>
        <w:textAlignment w:val="baseline"/>
        <w:rPr>
          <w:rFonts w:ascii="宋体" w:hAnsi="宋体" w:cs="宋体"/>
          <w:b/>
          <w:color w:val="000000" w:themeColor="text1"/>
          <w:spacing w:val="20"/>
          <w:sz w:val="30"/>
          <w:szCs w:val="30"/>
          <w:highlight w:val="none"/>
        </w:rPr>
      </w:pPr>
      <w:r>
        <w:rPr>
          <w:rFonts w:hint="eastAsia" w:ascii="宋体" w:hAnsi="宋体" w:cs="宋体"/>
          <w:b/>
          <w:color w:val="000000" w:themeColor="text1"/>
          <w:spacing w:val="20"/>
          <w:sz w:val="30"/>
          <w:szCs w:val="30"/>
          <w:highlight w:val="none"/>
        </w:rPr>
        <w:t>监狱企业的证明文件</w:t>
      </w:r>
    </w:p>
    <w:p w14:paraId="0B9BDED6">
      <w:pPr>
        <w:pStyle w:val="4"/>
        <w:rPr>
          <w:rFonts w:ascii="宋体" w:hAnsi="宋体" w:cs="宋体"/>
          <w:color w:val="000000" w:themeColor="text1"/>
          <w:spacing w:val="20"/>
          <w:sz w:val="30"/>
          <w:szCs w:val="30"/>
          <w:highlight w:val="none"/>
        </w:rPr>
      </w:pPr>
    </w:p>
    <w:p w14:paraId="75E4B466">
      <w:pPr>
        <w:rPr>
          <w:rFonts w:ascii="宋体" w:hAnsi="宋体" w:cs="宋体"/>
          <w:b/>
          <w:color w:val="000000" w:themeColor="text1"/>
          <w:spacing w:val="20"/>
          <w:sz w:val="30"/>
          <w:szCs w:val="30"/>
          <w:highlight w:val="none"/>
        </w:rPr>
      </w:pPr>
    </w:p>
    <w:p w14:paraId="7E5BC029">
      <w:pPr>
        <w:pStyle w:val="4"/>
        <w:rPr>
          <w:rFonts w:ascii="宋体" w:hAnsi="宋体" w:cs="宋体"/>
          <w:color w:val="000000" w:themeColor="text1"/>
          <w:spacing w:val="20"/>
          <w:sz w:val="30"/>
          <w:szCs w:val="30"/>
          <w:highlight w:val="none"/>
        </w:rPr>
      </w:pPr>
    </w:p>
    <w:p w14:paraId="5A037F29">
      <w:pPr>
        <w:rPr>
          <w:rFonts w:ascii="宋体" w:hAnsi="宋体" w:cs="宋体"/>
          <w:b/>
          <w:color w:val="000000" w:themeColor="text1"/>
          <w:spacing w:val="20"/>
          <w:sz w:val="30"/>
          <w:szCs w:val="30"/>
          <w:highlight w:val="none"/>
        </w:rPr>
      </w:pPr>
    </w:p>
    <w:p w14:paraId="3A5EC781">
      <w:pPr>
        <w:pStyle w:val="4"/>
        <w:rPr>
          <w:rFonts w:ascii="宋体" w:hAnsi="宋体" w:cs="宋体"/>
          <w:color w:val="000000" w:themeColor="text1"/>
          <w:highlight w:val="none"/>
        </w:rPr>
      </w:pPr>
    </w:p>
    <w:p w14:paraId="0CB6B57C">
      <w:pPr>
        <w:spacing w:line="440" w:lineRule="exact"/>
        <w:textAlignment w:val="baseline"/>
        <w:rPr>
          <w:rFonts w:ascii="宋体" w:hAnsi="宋体" w:cs="宋体"/>
          <w:color w:val="000000" w:themeColor="text1"/>
          <w:sz w:val="24"/>
          <w:highlight w:val="none"/>
        </w:rPr>
      </w:pPr>
      <w:r>
        <w:rPr>
          <w:rFonts w:hint="eastAsia" w:ascii="宋体" w:hAnsi="宋体" w:cs="宋体"/>
          <w:color w:val="000000" w:themeColor="text1"/>
          <w:sz w:val="24"/>
          <w:highlight w:val="none"/>
        </w:rPr>
        <w:t>说明：监狱企业参加政府采购活动时，应当提供由省级以上监狱管理局、戒毒管理局（含新疆生产建设兵团）出具的属于监狱企业的证明文件并加盖单位公章。</w:t>
      </w:r>
    </w:p>
    <w:p w14:paraId="771836CD">
      <w:pPr>
        <w:rPr>
          <w:rFonts w:ascii="宋体" w:hAnsi="宋体" w:cs="宋体"/>
          <w:color w:val="000000" w:themeColor="text1"/>
          <w:sz w:val="24"/>
          <w:highlight w:val="none"/>
        </w:rPr>
        <w:sectPr>
          <w:pgSz w:w="11850" w:h="16783"/>
          <w:pgMar w:top="1440" w:right="1080" w:bottom="1440" w:left="1080" w:header="720" w:footer="720" w:gutter="0"/>
          <w:cols w:space="720" w:num="1"/>
        </w:sectPr>
      </w:pPr>
    </w:p>
    <w:p w14:paraId="11B5D5B8">
      <w:pPr>
        <w:pageBreakBefore/>
        <w:spacing w:line="415" w:lineRule="auto"/>
        <w:jc w:val="left"/>
        <w:textAlignment w:val="baseline"/>
        <w:rPr>
          <w:rStyle w:val="41"/>
          <w:rFonts w:ascii="宋体" w:hAnsi="宋体" w:cs="宋体"/>
          <w:bCs w:val="0"/>
          <w:color w:val="000000" w:themeColor="text1"/>
          <w:spacing w:val="12"/>
          <w:sz w:val="24"/>
          <w:highlight w:val="none"/>
        </w:rPr>
      </w:pPr>
      <w:bookmarkStart w:id="83" w:name="_Toc11517"/>
      <w:r>
        <w:rPr>
          <w:rStyle w:val="41"/>
          <w:rFonts w:hint="eastAsia" w:ascii="宋体" w:hAnsi="宋体" w:cs="宋体"/>
          <w:bCs w:val="0"/>
          <w:color w:val="000000" w:themeColor="text1"/>
          <w:spacing w:val="12"/>
          <w:sz w:val="24"/>
          <w:highlight w:val="none"/>
        </w:rPr>
        <w:t>中小企业划型标准规定</w:t>
      </w:r>
      <w:bookmarkEnd w:id="83"/>
    </w:p>
    <w:p w14:paraId="1548C9EC">
      <w:pPr>
        <w:rPr>
          <w:rFonts w:ascii="宋体" w:hAnsi="宋体" w:cs="宋体"/>
          <w:color w:val="000000" w:themeColor="text1"/>
          <w:szCs w:val="21"/>
          <w:highlight w:val="none"/>
        </w:rPr>
      </w:pPr>
      <w:r>
        <w:rPr>
          <w:rFonts w:hint="eastAsia" w:ascii="宋体" w:hAnsi="宋体" w:cs="宋体"/>
          <w:color w:val="000000" w:themeColor="text1"/>
          <w:szCs w:val="21"/>
          <w:highlight w:val="none"/>
          <w:shd w:val="clear" w:color="auto" w:fill="FFFFFF"/>
        </w:rPr>
        <w:drawing>
          <wp:inline distT="0" distB="0" distL="114300" distR="114300">
            <wp:extent cx="4286250" cy="1905000"/>
            <wp:effectExtent l="0" t="0" r="0" b="0"/>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13"/>
                    <a:stretch>
                      <a:fillRect/>
                    </a:stretch>
                  </pic:blipFill>
                  <pic:spPr>
                    <a:xfrm>
                      <a:off x="0" y="0"/>
                      <a:ext cx="4286250" cy="1905000"/>
                    </a:xfrm>
                    <a:prstGeom prst="rect">
                      <a:avLst/>
                    </a:prstGeom>
                    <a:noFill/>
                    <a:ln>
                      <a:noFill/>
                    </a:ln>
                  </pic:spPr>
                </pic:pic>
              </a:graphicData>
            </a:graphic>
          </wp:inline>
        </w:drawing>
      </w:r>
    </w:p>
    <w:p w14:paraId="2267EB4E">
      <w:pPr>
        <w:rPr>
          <w:rFonts w:ascii="宋体" w:hAnsi="宋体" w:cs="宋体"/>
          <w:color w:val="000000" w:themeColor="text1"/>
          <w:highlight w:val="none"/>
        </w:rPr>
      </w:pPr>
      <w:r>
        <w:rPr>
          <w:rFonts w:hint="eastAsia" w:ascii="宋体" w:hAnsi="宋体" w:cs="宋体"/>
          <w:color w:val="000000" w:themeColor="text1"/>
          <w:highlight w:val="none"/>
        </w:rPr>
        <w:t>工信部联企业〔2011〕300号</w:t>
      </w:r>
    </w:p>
    <w:p w14:paraId="4D7BFE34">
      <w:pPr>
        <w:widowControl/>
        <w:pBdr>
          <w:top w:val="single" w:color="FF0000" w:sz="18" w:space="30"/>
        </w:pBdr>
        <w:shd w:val="clear" w:color="auto" w:fill="FFFFFF"/>
        <w:spacing w:before="100" w:beforeAutospacing="1" w:after="100" w:afterAutospacing="1" w:line="420" w:lineRule="atLeast"/>
        <w:ind w:left="150"/>
        <w:jc w:val="center"/>
        <w:rPr>
          <w:rFonts w:ascii="宋体" w:hAnsi="宋体" w:cs="宋体"/>
          <w:color w:val="000000" w:themeColor="text1"/>
          <w:sz w:val="24"/>
          <w:highlight w:val="none"/>
        </w:rPr>
      </w:pPr>
      <w:r>
        <w:rPr>
          <w:rFonts w:hint="eastAsia" w:ascii="宋体" w:hAnsi="宋体" w:cs="宋体"/>
          <w:color w:val="000000" w:themeColor="text1"/>
          <w:sz w:val="24"/>
          <w:highlight w:val="none"/>
          <w:shd w:val="clear" w:color="auto" w:fill="FFFFFF"/>
        </w:rPr>
        <w:t>关于印发中小企业划型标准规定的通知</w:t>
      </w:r>
    </w:p>
    <w:p w14:paraId="31154E78">
      <w:pPr>
        <w:pStyle w:val="34"/>
        <w:spacing w:before="452" w:after="150" w:line="560" w:lineRule="atLeast"/>
        <w:ind w:left="150"/>
        <w:rPr>
          <w:rFonts w:cs="宋体"/>
          <w:color w:val="000000" w:themeColor="text1"/>
          <w:highlight w:val="none"/>
          <w:shd w:val="clear" w:color="auto" w:fill="FFFFFF"/>
        </w:rPr>
      </w:pPr>
      <w:r>
        <w:rPr>
          <w:rFonts w:hint="eastAsia" w:cs="宋体"/>
          <w:color w:val="000000" w:themeColor="text1"/>
          <w:highlight w:val="none"/>
          <w:shd w:val="clear" w:color="auto" w:fill="FFFFFF"/>
        </w:rPr>
        <w:t>各省、自治区、直辖市人民政府，国务院各部委、各直属机构及有关单位：</w:t>
      </w:r>
    </w:p>
    <w:p w14:paraId="5FFEA70F">
      <w:pPr>
        <w:pStyle w:val="34"/>
        <w:spacing w:before="452" w:after="150" w:line="560" w:lineRule="atLeast"/>
        <w:ind w:left="150"/>
        <w:rPr>
          <w:rFonts w:cs="宋体"/>
          <w:color w:val="000000" w:themeColor="text1"/>
          <w:highlight w:val="none"/>
        </w:rPr>
      </w:pPr>
      <w:r>
        <w:rPr>
          <w:rFonts w:hint="eastAsia" w:cs="宋体"/>
          <w:color w:val="000000" w:themeColor="text1"/>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561814F">
      <w:pPr>
        <w:pStyle w:val="34"/>
        <w:spacing w:before="452" w:after="150" w:line="560" w:lineRule="atLeast"/>
        <w:ind w:left="150"/>
        <w:jc w:val="right"/>
        <w:rPr>
          <w:rFonts w:cs="宋体"/>
          <w:color w:val="000000" w:themeColor="text1"/>
          <w:highlight w:val="none"/>
          <w:shd w:val="clear" w:color="auto" w:fill="FFFFFF"/>
        </w:rPr>
      </w:pPr>
      <w:r>
        <w:rPr>
          <w:rFonts w:hint="eastAsia" w:cs="宋体"/>
          <w:color w:val="000000" w:themeColor="text1"/>
          <w:highlight w:val="none"/>
          <w:shd w:val="clear" w:color="auto" w:fill="FFFFFF"/>
        </w:rPr>
        <w:t>工业和信息化部</w:t>
      </w:r>
    </w:p>
    <w:p w14:paraId="4A0184B6">
      <w:pPr>
        <w:pStyle w:val="34"/>
        <w:spacing w:before="452" w:after="150" w:line="560" w:lineRule="atLeast"/>
        <w:ind w:left="150"/>
        <w:jc w:val="right"/>
        <w:rPr>
          <w:rFonts w:cs="宋体"/>
          <w:color w:val="000000" w:themeColor="text1"/>
          <w:highlight w:val="none"/>
          <w:shd w:val="clear" w:color="auto" w:fill="FFFFFF"/>
        </w:rPr>
      </w:pPr>
      <w:r>
        <w:rPr>
          <w:rFonts w:hint="eastAsia" w:cs="宋体"/>
          <w:color w:val="000000" w:themeColor="text1"/>
          <w:highlight w:val="none"/>
          <w:shd w:val="clear" w:color="auto" w:fill="FFFFFF"/>
        </w:rPr>
        <w:t>国家统计局</w:t>
      </w:r>
    </w:p>
    <w:p w14:paraId="5A95B618">
      <w:pPr>
        <w:pStyle w:val="34"/>
        <w:spacing w:before="452" w:after="150" w:line="560" w:lineRule="atLeast"/>
        <w:ind w:left="150"/>
        <w:jc w:val="right"/>
        <w:rPr>
          <w:rFonts w:cs="宋体"/>
          <w:color w:val="000000" w:themeColor="text1"/>
          <w:highlight w:val="none"/>
          <w:shd w:val="clear" w:color="auto" w:fill="FFFFFF"/>
        </w:rPr>
      </w:pPr>
      <w:r>
        <w:rPr>
          <w:rFonts w:hint="eastAsia" w:cs="宋体"/>
          <w:color w:val="000000" w:themeColor="text1"/>
          <w:highlight w:val="none"/>
          <w:shd w:val="clear" w:color="auto" w:fill="FFFFFF"/>
        </w:rPr>
        <w:t>国家发展和改革委员会</w:t>
      </w:r>
    </w:p>
    <w:p w14:paraId="3FEF8946">
      <w:pPr>
        <w:pStyle w:val="34"/>
        <w:spacing w:before="452" w:after="150" w:line="560" w:lineRule="atLeast"/>
        <w:ind w:left="150"/>
        <w:jc w:val="right"/>
        <w:rPr>
          <w:rFonts w:cs="宋体"/>
          <w:color w:val="000000" w:themeColor="text1"/>
          <w:highlight w:val="none"/>
          <w:shd w:val="clear" w:color="auto" w:fill="FFFFFF"/>
        </w:rPr>
      </w:pPr>
      <w:r>
        <w:rPr>
          <w:rFonts w:hint="eastAsia" w:cs="宋体"/>
          <w:color w:val="000000" w:themeColor="text1"/>
          <w:highlight w:val="none"/>
          <w:shd w:val="clear" w:color="auto" w:fill="FFFFFF"/>
        </w:rPr>
        <w:t>财政部</w:t>
      </w:r>
    </w:p>
    <w:p w14:paraId="1E06568A">
      <w:pPr>
        <w:pStyle w:val="34"/>
        <w:spacing w:before="452" w:after="150" w:line="560" w:lineRule="atLeast"/>
        <w:ind w:left="150"/>
        <w:jc w:val="right"/>
        <w:rPr>
          <w:rFonts w:cs="宋体"/>
          <w:color w:val="000000" w:themeColor="text1"/>
          <w:highlight w:val="none"/>
        </w:rPr>
      </w:pPr>
      <w:r>
        <w:rPr>
          <w:rFonts w:hint="eastAsia" w:cs="宋体"/>
          <w:color w:val="000000" w:themeColor="text1"/>
          <w:highlight w:val="none"/>
          <w:shd w:val="clear" w:color="auto" w:fill="FFFFFF"/>
        </w:rPr>
        <w:t>二○一一年六月十八日</w:t>
      </w:r>
    </w:p>
    <w:p w14:paraId="2640BFBE">
      <w:pPr>
        <w:pStyle w:val="34"/>
        <w:shd w:val="clear" w:color="auto" w:fill="FFFFFF"/>
        <w:jc w:val="center"/>
        <w:rPr>
          <w:rStyle w:val="41"/>
          <w:rFonts w:cs="宋体"/>
          <w:color w:val="000000" w:themeColor="text1"/>
          <w:sz w:val="21"/>
          <w:szCs w:val="21"/>
          <w:highlight w:val="none"/>
          <w:shd w:val="clear" w:color="auto" w:fill="FFFFFF"/>
        </w:rPr>
      </w:pPr>
      <w:r>
        <w:rPr>
          <w:rStyle w:val="41"/>
          <w:rFonts w:hint="eastAsia" w:cs="宋体"/>
          <w:color w:val="000000" w:themeColor="text1"/>
          <w:highlight w:val="none"/>
          <w:shd w:val="clear" w:color="auto" w:fill="FFFFFF"/>
        </w:rPr>
        <w:br w:type="page"/>
      </w:r>
      <w:r>
        <w:rPr>
          <w:rStyle w:val="41"/>
          <w:rFonts w:hint="eastAsia" w:cs="宋体"/>
          <w:color w:val="000000" w:themeColor="text1"/>
          <w:sz w:val="21"/>
          <w:szCs w:val="21"/>
          <w:highlight w:val="none"/>
          <w:shd w:val="clear" w:color="auto" w:fill="FFFFFF"/>
        </w:rPr>
        <w:t>关于印发中小企业划型标准规定的通知</w:t>
      </w:r>
    </w:p>
    <w:p w14:paraId="2D5C61B1">
      <w:pPr>
        <w:pStyle w:val="34"/>
        <w:shd w:val="clear" w:color="auto" w:fill="FFFFFF"/>
        <w:jc w:val="center"/>
        <w:rPr>
          <w:rFonts w:cs="宋体"/>
          <w:color w:val="000000" w:themeColor="text1"/>
          <w:sz w:val="21"/>
          <w:szCs w:val="21"/>
          <w:highlight w:val="none"/>
        </w:rPr>
      </w:pPr>
      <w:r>
        <w:rPr>
          <w:rFonts w:hint="eastAsia" w:cs="宋体"/>
          <w:color w:val="000000" w:themeColor="text1"/>
          <w:sz w:val="21"/>
          <w:szCs w:val="21"/>
          <w:highlight w:val="none"/>
          <w:shd w:val="clear" w:color="auto" w:fill="FFFFFF"/>
        </w:rPr>
        <w:t>工信部联企业〔2011〕300号</w:t>
      </w:r>
    </w:p>
    <w:p w14:paraId="51F98C35">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各省、自治区、直辖市人民政府，国务院各部委、各直属机构及有关单位：</w:t>
      </w:r>
    </w:p>
    <w:p w14:paraId="3D79CF1A">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57327B7">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工业和信息化部　国家统计局</w:t>
      </w:r>
    </w:p>
    <w:p w14:paraId="07515B6B">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国家发展和改革委员会　财政部</w:t>
      </w:r>
    </w:p>
    <w:p w14:paraId="6A2222C2">
      <w:pPr>
        <w:pStyle w:val="34"/>
        <w:shd w:val="clear" w:color="auto" w:fill="FFFFFF"/>
        <w:rPr>
          <w:rFonts w:cs="宋体"/>
          <w:color w:val="000000" w:themeColor="text1"/>
          <w:sz w:val="21"/>
          <w:szCs w:val="21"/>
          <w:highlight w:val="none"/>
        </w:rPr>
      </w:pPr>
      <w:r>
        <w:rPr>
          <w:rFonts w:hint="eastAsia" w:cs="宋体"/>
          <w:color w:val="000000" w:themeColor="text1"/>
          <w:sz w:val="21"/>
          <w:szCs w:val="21"/>
          <w:highlight w:val="none"/>
          <w:shd w:val="clear" w:color="auto" w:fill="FFFFFF"/>
        </w:rPr>
        <w:t>　　　　　　　　　　　　　　　　　　　　　　　　二○一一年六月十八日</w:t>
      </w:r>
    </w:p>
    <w:p w14:paraId="7221290C">
      <w:pPr>
        <w:pStyle w:val="34"/>
        <w:shd w:val="clear" w:color="auto" w:fill="FFFFFF"/>
        <w:jc w:val="center"/>
        <w:rPr>
          <w:rFonts w:cs="宋体"/>
          <w:color w:val="000000" w:themeColor="text1"/>
          <w:sz w:val="21"/>
          <w:szCs w:val="21"/>
          <w:highlight w:val="none"/>
        </w:rPr>
      </w:pPr>
      <w:r>
        <w:rPr>
          <w:rStyle w:val="41"/>
          <w:rFonts w:hint="eastAsia" w:cs="宋体"/>
          <w:color w:val="000000" w:themeColor="text1"/>
          <w:sz w:val="21"/>
          <w:szCs w:val="21"/>
          <w:highlight w:val="none"/>
          <w:shd w:val="clear" w:color="auto" w:fill="FFFFFF"/>
        </w:rPr>
        <w:t>中小企业划型标准规定</w:t>
      </w:r>
    </w:p>
    <w:p w14:paraId="144239C6">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一、根据《中华人民共和国中小企业促进法》和《国务院关于进一步促进中小企业发展的若干意见》(国发〔2009〕36号)，制定本规定。</w:t>
      </w:r>
    </w:p>
    <w:p w14:paraId="05B3EEC9">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二、中小企业划分为中型、小型、微型三种类型，具体标准根据企业从业人员、营业收入、资产总额等指标，结合行业特点制定。</w:t>
      </w:r>
    </w:p>
    <w:p w14:paraId="694ADE64">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726528">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四、各行业划型标准为：</w:t>
      </w:r>
    </w:p>
    <w:p w14:paraId="2210B895">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0C239F09">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8080B0">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1B4741">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95E7B2E">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FFB9457">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4ED18D">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5EEE6E">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6E03075">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401AA0">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A3C65E">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259A370">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1AA778D">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E74696">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2FC1FB">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CF3B073">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77B1C686">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五、企业类型的划分以统计部门的统计数据为依据。</w:t>
      </w:r>
    </w:p>
    <w:p w14:paraId="756BF70D">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六、本规定适用于在中华人民共和国境内依法设立的各类所有制和各种组织形式的企业。个体工商户和本规定以外的行业，参照本规定进行划型。</w:t>
      </w:r>
    </w:p>
    <w:p w14:paraId="6EC23187">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60EB6AE0">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八、本规定由工业和信息化部、国家统计局会同有关部门根据《国民经济行业分类》修订情况和企业发展变化情况适时修订。</w:t>
      </w:r>
    </w:p>
    <w:p w14:paraId="17D77B71">
      <w:pPr>
        <w:pStyle w:val="34"/>
        <w:shd w:val="clear" w:color="auto" w:fill="FFFFFF"/>
        <w:rPr>
          <w:rFonts w:cs="宋体"/>
          <w:color w:val="000000" w:themeColor="text1"/>
          <w:sz w:val="21"/>
          <w:szCs w:val="21"/>
          <w:highlight w:val="none"/>
          <w:shd w:val="clear" w:color="auto" w:fill="FFFFFF"/>
        </w:rPr>
      </w:pPr>
      <w:r>
        <w:rPr>
          <w:rFonts w:hint="eastAsia" w:cs="宋体"/>
          <w:color w:val="000000" w:themeColor="text1"/>
          <w:sz w:val="21"/>
          <w:szCs w:val="21"/>
          <w:highlight w:val="none"/>
          <w:shd w:val="clear" w:color="auto" w:fill="FFFFFF"/>
        </w:rPr>
        <w:t>　　九、本规定由工业和信息化部、国家统计局会同有关部门负责解释。</w:t>
      </w:r>
    </w:p>
    <w:p w14:paraId="43B39AF0">
      <w:pPr>
        <w:pStyle w:val="34"/>
        <w:shd w:val="clear" w:color="auto" w:fill="FFFFFF"/>
        <w:rPr>
          <w:rFonts w:cs="宋体"/>
          <w:color w:val="000000" w:themeColor="text1"/>
          <w:sz w:val="21"/>
          <w:szCs w:val="21"/>
          <w:highlight w:val="none"/>
        </w:rPr>
      </w:pPr>
      <w:r>
        <w:rPr>
          <w:rFonts w:hint="eastAsia" w:cs="宋体"/>
          <w:color w:val="000000" w:themeColor="text1"/>
          <w:sz w:val="21"/>
          <w:szCs w:val="21"/>
          <w:highlight w:val="none"/>
          <w:shd w:val="clear" w:color="auto" w:fill="FFFFFF"/>
        </w:rPr>
        <w:t>　　十、本规定自发布之日起执行，原国家经贸委、原国家计委、财政部和国家统计局2003年颁布的《中小企业标准暂行规定》同时废止。</w:t>
      </w:r>
    </w:p>
    <w:p w14:paraId="3088518B">
      <w:pPr>
        <w:rPr>
          <w:rFonts w:ascii="宋体" w:hAnsi="宋体" w:cs="宋体"/>
          <w:color w:val="000000" w:themeColor="text1"/>
          <w:highlight w:val="none"/>
        </w:rPr>
        <w:sectPr>
          <w:pgSz w:w="11906" w:h="16838"/>
          <w:pgMar w:top="1440" w:right="1080" w:bottom="1440" w:left="1080" w:header="851" w:footer="992" w:gutter="0"/>
          <w:cols w:space="0" w:num="1"/>
          <w:docGrid w:type="lines" w:linePitch="312" w:charSpace="0"/>
        </w:sectPr>
      </w:pPr>
    </w:p>
    <w:p w14:paraId="64E223FC">
      <w:pPr>
        <w:pStyle w:val="34"/>
        <w:spacing w:line="340" w:lineRule="exact"/>
        <w:jc w:val="center"/>
        <w:textAlignment w:val="baseline"/>
        <w:rPr>
          <w:rFonts w:cs="宋体"/>
          <w:b/>
          <w:color w:val="000000" w:themeColor="text1"/>
          <w:sz w:val="21"/>
          <w:szCs w:val="21"/>
          <w:highlight w:val="none"/>
        </w:rPr>
      </w:pPr>
      <w:r>
        <w:rPr>
          <w:rFonts w:hint="eastAsia" w:cs="宋体"/>
          <w:b/>
          <w:color w:val="000000" w:themeColor="text1"/>
          <w:sz w:val="28"/>
          <w:szCs w:val="28"/>
          <w:highlight w:val="none"/>
        </w:rPr>
        <w:t>《统计上大中小微型企业划分办法（2017）》修订说明</w:t>
      </w:r>
    </w:p>
    <w:p w14:paraId="51A73A27">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一、修订背景</w:t>
      </w:r>
    </w:p>
    <w:p w14:paraId="32E95E22">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2F9CA0F9">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1DDCC9F2">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二、修订主要内容</w:t>
      </w:r>
    </w:p>
    <w:p w14:paraId="08DE5DF7">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182EA8E">
      <w:pPr>
        <w:spacing w:line="40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将交通运输业中包括的“装卸搬运和运输代理业”修改为“多式联运和运输代理业、装卸搬运”。</w:t>
      </w:r>
    </w:p>
    <w:p w14:paraId="49F04315">
      <w:pPr>
        <w:spacing w:line="400" w:lineRule="exact"/>
        <w:ind w:firstLine="452" w:firstLineChars="200"/>
        <w:rPr>
          <w:rFonts w:ascii="宋体" w:hAnsi="宋体" w:cs="宋体"/>
          <w:color w:val="000000" w:themeColor="text1"/>
          <w:spacing w:val="8"/>
          <w:szCs w:val="21"/>
          <w:highlight w:val="none"/>
        </w:rPr>
      </w:pPr>
      <w:r>
        <w:rPr>
          <w:rFonts w:hint="eastAsia" w:ascii="宋体" w:hAnsi="宋体" w:cs="宋体"/>
          <w:color w:val="000000" w:themeColor="text1"/>
          <w:spacing w:val="8"/>
          <w:szCs w:val="21"/>
          <w:highlight w:val="none"/>
        </w:rPr>
        <w:t>仓储业所包括的行业中类，根据《国民经济行业分类》</w:t>
      </w:r>
      <w:r>
        <w:rPr>
          <w:rFonts w:hint="eastAsia" w:ascii="宋体" w:hAnsi="宋体" w:cs="宋体"/>
          <w:color w:val="000000" w:themeColor="text1"/>
          <w:szCs w:val="21"/>
          <w:highlight w:val="none"/>
        </w:rPr>
        <w:t>（GB/T 4754—2017）</w:t>
      </w:r>
      <w:r>
        <w:rPr>
          <w:rFonts w:hint="eastAsia" w:ascii="宋体" w:hAnsi="宋体" w:cs="宋体"/>
          <w:color w:val="000000" w:themeColor="text1"/>
          <w:spacing w:val="8"/>
          <w:szCs w:val="21"/>
          <w:highlight w:val="none"/>
        </w:rPr>
        <w:t>调整为“通用仓储，低温仓储，危险品仓储，谷物、棉花等农产品仓储，中药材仓储和其他仓储业”。</w:t>
      </w:r>
    </w:p>
    <w:p w14:paraId="61B73FB0">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附表</w:t>
      </w:r>
    </w:p>
    <w:p w14:paraId="285A8DC9">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统计上大中小微型企业划分标准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DD8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78B06089">
            <w:pPr>
              <w:spacing w:line="240" w:lineRule="exact"/>
              <w:jc w:val="center"/>
              <w:rPr>
                <w:rFonts w:ascii="宋体" w:hAnsi="宋体" w:cs="宋体"/>
                <w:b/>
                <w:bCs/>
                <w:color w:val="000000" w:themeColor="text1"/>
                <w:sz w:val="18"/>
                <w:szCs w:val="21"/>
                <w:highlight w:val="none"/>
              </w:rPr>
            </w:pPr>
            <w:r>
              <w:rPr>
                <w:rFonts w:hint="eastAsia" w:ascii="宋体" w:hAnsi="宋体" w:cs="宋体"/>
                <w:b/>
                <w:bCs/>
                <w:color w:val="000000" w:themeColor="text1"/>
                <w:sz w:val="18"/>
                <w:szCs w:val="21"/>
                <w:highlight w:val="none"/>
              </w:rPr>
              <w:t>行业名称</w:t>
            </w:r>
          </w:p>
        </w:tc>
        <w:tc>
          <w:tcPr>
            <w:tcW w:w="1369" w:type="dxa"/>
            <w:vAlign w:val="center"/>
          </w:tcPr>
          <w:p w14:paraId="56691B86">
            <w:pP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指标名称</w:t>
            </w:r>
          </w:p>
        </w:tc>
        <w:tc>
          <w:tcPr>
            <w:tcW w:w="709" w:type="dxa"/>
            <w:vAlign w:val="center"/>
          </w:tcPr>
          <w:p w14:paraId="46460448">
            <w:pP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计量</w:t>
            </w:r>
          </w:p>
          <w:p w14:paraId="104EBA17">
            <w:pP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单位</w:t>
            </w:r>
          </w:p>
        </w:tc>
        <w:tc>
          <w:tcPr>
            <w:tcW w:w="1125" w:type="dxa"/>
            <w:vAlign w:val="center"/>
          </w:tcPr>
          <w:p w14:paraId="67ED630A">
            <w:pP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大型</w:t>
            </w:r>
          </w:p>
        </w:tc>
        <w:tc>
          <w:tcPr>
            <w:tcW w:w="1701" w:type="dxa"/>
            <w:vAlign w:val="center"/>
          </w:tcPr>
          <w:p w14:paraId="1B03C5F1">
            <w:pP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中型</w:t>
            </w:r>
          </w:p>
        </w:tc>
        <w:tc>
          <w:tcPr>
            <w:tcW w:w="1426" w:type="dxa"/>
            <w:vAlign w:val="center"/>
          </w:tcPr>
          <w:p w14:paraId="354B75AD">
            <w:pP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小型</w:t>
            </w:r>
          </w:p>
        </w:tc>
        <w:tc>
          <w:tcPr>
            <w:tcW w:w="992" w:type="dxa"/>
            <w:vAlign w:val="center"/>
          </w:tcPr>
          <w:p w14:paraId="02A97521">
            <w:pPr>
              <w:rPr>
                <w:rFonts w:ascii="宋体" w:hAnsi="宋体" w:cs="宋体"/>
                <w:b/>
                <w:bCs/>
                <w:color w:val="000000" w:themeColor="text1"/>
                <w:sz w:val="18"/>
                <w:szCs w:val="18"/>
                <w:highlight w:val="none"/>
              </w:rPr>
            </w:pPr>
            <w:r>
              <w:rPr>
                <w:rFonts w:hint="eastAsia" w:ascii="宋体" w:hAnsi="宋体" w:cs="宋体"/>
                <w:b/>
                <w:bCs/>
                <w:color w:val="000000" w:themeColor="text1"/>
                <w:sz w:val="18"/>
                <w:szCs w:val="18"/>
                <w:highlight w:val="none"/>
              </w:rPr>
              <w:t>微型</w:t>
            </w:r>
          </w:p>
        </w:tc>
      </w:tr>
      <w:tr w14:paraId="64D9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03D9954">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农、林、牧、渔业</w:t>
            </w:r>
          </w:p>
        </w:tc>
        <w:tc>
          <w:tcPr>
            <w:tcW w:w="1369" w:type="dxa"/>
            <w:vAlign w:val="center"/>
          </w:tcPr>
          <w:p w14:paraId="261EE16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5F92C46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42C9696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Y≥20000</w:t>
            </w:r>
          </w:p>
        </w:tc>
        <w:tc>
          <w:tcPr>
            <w:tcW w:w="1701" w:type="dxa"/>
            <w:vAlign w:val="center"/>
          </w:tcPr>
          <w:p w14:paraId="62A2D82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500≤Y＜20000</w:t>
            </w:r>
          </w:p>
        </w:tc>
        <w:tc>
          <w:tcPr>
            <w:tcW w:w="1426" w:type="dxa"/>
            <w:vAlign w:val="center"/>
          </w:tcPr>
          <w:p w14:paraId="607A087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50≤Y＜500</w:t>
            </w:r>
          </w:p>
        </w:tc>
        <w:tc>
          <w:tcPr>
            <w:tcW w:w="992" w:type="dxa"/>
            <w:vAlign w:val="center"/>
          </w:tcPr>
          <w:p w14:paraId="571BF10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Y＜50</w:t>
            </w:r>
          </w:p>
        </w:tc>
      </w:tr>
      <w:tr w14:paraId="0314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33BBAE6">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工业 *</w:t>
            </w:r>
          </w:p>
        </w:tc>
        <w:tc>
          <w:tcPr>
            <w:tcW w:w="1369" w:type="dxa"/>
            <w:vAlign w:val="center"/>
          </w:tcPr>
          <w:p w14:paraId="7CA5B66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12F3CEE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69CB39D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X≥1000</w:t>
            </w:r>
          </w:p>
        </w:tc>
        <w:tc>
          <w:tcPr>
            <w:tcW w:w="1701" w:type="dxa"/>
            <w:vAlign w:val="center"/>
          </w:tcPr>
          <w:p w14:paraId="406DBADC">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300≤X＜1000</w:t>
            </w:r>
          </w:p>
        </w:tc>
        <w:tc>
          <w:tcPr>
            <w:tcW w:w="1426" w:type="dxa"/>
            <w:vAlign w:val="center"/>
          </w:tcPr>
          <w:p w14:paraId="45CC79B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20≤X＜300</w:t>
            </w:r>
          </w:p>
        </w:tc>
        <w:tc>
          <w:tcPr>
            <w:tcW w:w="992" w:type="dxa"/>
            <w:vAlign w:val="center"/>
          </w:tcPr>
          <w:p w14:paraId="25396598">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X＜20</w:t>
            </w:r>
          </w:p>
        </w:tc>
      </w:tr>
      <w:tr w14:paraId="08BD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81825F">
            <w:pPr>
              <w:jc w:val="center"/>
              <w:rPr>
                <w:rFonts w:ascii="宋体" w:hAnsi="宋体" w:cs="宋体"/>
                <w:b/>
                <w:color w:val="000000" w:themeColor="text1"/>
                <w:sz w:val="18"/>
                <w:szCs w:val="18"/>
                <w:highlight w:val="none"/>
              </w:rPr>
            </w:pPr>
          </w:p>
        </w:tc>
        <w:tc>
          <w:tcPr>
            <w:tcW w:w="1369" w:type="dxa"/>
            <w:vAlign w:val="center"/>
          </w:tcPr>
          <w:p w14:paraId="5D1C45C3">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56DD7E2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47C9087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Y≥40000</w:t>
            </w:r>
          </w:p>
        </w:tc>
        <w:tc>
          <w:tcPr>
            <w:tcW w:w="1701" w:type="dxa"/>
            <w:vAlign w:val="center"/>
          </w:tcPr>
          <w:p w14:paraId="34F4DD3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2000≤Y＜40000</w:t>
            </w:r>
          </w:p>
        </w:tc>
        <w:tc>
          <w:tcPr>
            <w:tcW w:w="1426" w:type="dxa"/>
            <w:vAlign w:val="center"/>
          </w:tcPr>
          <w:p w14:paraId="5AB8DEC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300≤Y＜2000</w:t>
            </w:r>
          </w:p>
        </w:tc>
        <w:tc>
          <w:tcPr>
            <w:tcW w:w="992" w:type="dxa"/>
            <w:vAlign w:val="center"/>
          </w:tcPr>
          <w:p w14:paraId="34A5DD6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Y＜300</w:t>
            </w:r>
          </w:p>
        </w:tc>
      </w:tr>
      <w:tr w14:paraId="21D6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9C4F8CD">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建筑业</w:t>
            </w:r>
          </w:p>
        </w:tc>
        <w:tc>
          <w:tcPr>
            <w:tcW w:w="1369" w:type="dxa"/>
            <w:vAlign w:val="center"/>
          </w:tcPr>
          <w:p w14:paraId="384EE71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702A86D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584D8A9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Y≥80000</w:t>
            </w:r>
          </w:p>
        </w:tc>
        <w:tc>
          <w:tcPr>
            <w:tcW w:w="1701" w:type="dxa"/>
            <w:vAlign w:val="center"/>
          </w:tcPr>
          <w:p w14:paraId="65FC468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6000≤Y＜80000</w:t>
            </w:r>
          </w:p>
        </w:tc>
        <w:tc>
          <w:tcPr>
            <w:tcW w:w="1426" w:type="dxa"/>
            <w:vAlign w:val="center"/>
          </w:tcPr>
          <w:p w14:paraId="75E6E20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300≤Y＜6000</w:t>
            </w:r>
          </w:p>
        </w:tc>
        <w:tc>
          <w:tcPr>
            <w:tcW w:w="992" w:type="dxa"/>
            <w:vAlign w:val="center"/>
          </w:tcPr>
          <w:p w14:paraId="4E0B144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Y＜300</w:t>
            </w:r>
          </w:p>
        </w:tc>
      </w:tr>
      <w:tr w14:paraId="0F82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85E3CFA">
            <w:pPr>
              <w:jc w:val="center"/>
              <w:rPr>
                <w:rFonts w:ascii="宋体" w:hAnsi="宋体" w:cs="宋体"/>
                <w:b/>
                <w:color w:val="000000" w:themeColor="text1"/>
                <w:sz w:val="18"/>
                <w:szCs w:val="18"/>
                <w:highlight w:val="none"/>
              </w:rPr>
            </w:pPr>
          </w:p>
        </w:tc>
        <w:tc>
          <w:tcPr>
            <w:tcW w:w="1369" w:type="dxa"/>
            <w:vAlign w:val="center"/>
          </w:tcPr>
          <w:p w14:paraId="16FA71ED">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资产总额(Z)</w:t>
            </w:r>
          </w:p>
        </w:tc>
        <w:tc>
          <w:tcPr>
            <w:tcW w:w="709" w:type="dxa"/>
            <w:vAlign w:val="center"/>
          </w:tcPr>
          <w:p w14:paraId="30F0563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198636F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Z≥80000</w:t>
            </w:r>
          </w:p>
        </w:tc>
        <w:tc>
          <w:tcPr>
            <w:tcW w:w="1701" w:type="dxa"/>
            <w:vAlign w:val="center"/>
          </w:tcPr>
          <w:p w14:paraId="5B873BD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5000≤Z＜80000</w:t>
            </w:r>
          </w:p>
        </w:tc>
        <w:tc>
          <w:tcPr>
            <w:tcW w:w="1426" w:type="dxa"/>
            <w:vAlign w:val="center"/>
          </w:tcPr>
          <w:p w14:paraId="51E42FA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300≤Z＜5000</w:t>
            </w:r>
          </w:p>
        </w:tc>
        <w:tc>
          <w:tcPr>
            <w:tcW w:w="992" w:type="dxa"/>
            <w:vAlign w:val="center"/>
          </w:tcPr>
          <w:p w14:paraId="22FA0A4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Z＜300</w:t>
            </w:r>
          </w:p>
        </w:tc>
      </w:tr>
      <w:tr w14:paraId="4040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6E72565">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批发业</w:t>
            </w:r>
          </w:p>
        </w:tc>
        <w:tc>
          <w:tcPr>
            <w:tcW w:w="1369" w:type="dxa"/>
            <w:vAlign w:val="center"/>
          </w:tcPr>
          <w:p w14:paraId="36FB82F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60A245F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68B1251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X≥200</w:t>
            </w:r>
          </w:p>
        </w:tc>
        <w:tc>
          <w:tcPr>
            <w:tcW w:w="1701" w:type="dxa"/>
            <w:vAlign w:val="center"/>
          </w:tcPr>
          <w:p w14:paraId="5728D3D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20≤X＜200</w:t>
            </w:r>
          </w:p>
        </w:tc>
        <w:tc>
          <w:tcPr>
            <w:tcW w:w="1426" w:type="dxa"/>
            <w:vAlign w:val="center"/>
          </w:tcPr>
          <w:p w14:paraId="463D6F3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5≤X＜20</w:t>
            </w:r>
          </w:p>
        </w:tc>
        <w:tc>
          <w:tcPr>
            <w:tcW w:w="992" w:type="dxa"/>
            <w:vAlign w:val="center"/>
          </w:tcPr>
          <w:p w14:paraId="7E4E166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X＜5</w:t>
            </w:r>
          </w:p>
        </w:tc>
      </w:tr>
      <w:tr w14:paraId="2B38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1671E4">
            <w:pPr>
              <w:jc w:val="center"/>
              <w:rPr>
                <w:rFonts w:ascii="宋体" w:hAnsi="宋体" w:cs="宋体"/>
                <w:b/>
                <w:color w:val="000000" w:themeColor="text1"/>
                <w:sz w:val="18"/>
                <w:szCs w:val="18"/>
                <w:highlight w:val="none"/>
              </w:rPr>
            </w:pPr>
          </w:p>
        </w:tc>
        <w:tc>
          <w:tcPr>
            <w:tcW w:w="1369" w:type="dxa"/>
            <w:vAlign w:val="center"/>
          </w:tcPr>
          <w:p w14:paraId="29A111D5">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040810A8">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7DE96C6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Y≥40000</w:t>
            </w:r>
          </w:p>
        </w:tc>
        <w:tc>
          <w:tcPr>
            <w:tcW w:w="1701" w:type="dxa"/>
            <w:vAlign w:val="center"/>
          </w:tcPr>
          <w:p w14:paraId="543494F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5000≤Y＜40000</w:t>
            </w:r>
          </w:p>
        </w:tc>
        <w:tc>
          <w:tcPr>
            <w:tcW w:w="1426" w:type="dxa"/>
            <w:vAlign w:val="center"/>
          </w:tcPr>
          <w:p w14:paraId="3A64F5B3">
            <w:pPr>
              <w:ind w:left="-1" w:leftChars="-1" w:hanging="1"/>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1000≤Y＜5000</w:t>
            </w:r>
          </w:p>
        </w:tc>
        <w:tc>
          <w:tcPr>
            <w:tcW w:w="992" w:type="dxa"/>
            <w:vAlign w:val="center"/>
          </w:tcPr>
          <w:p w14:paraId="5AC367C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Y＜1000</w:t>
            </w:r>
          </w:p>
        </w:tc>
      </w:tr>
      <w:tr w14:paraId="00FB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D3FD631">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零售业</w:t>
            </w:r>
          </w:p>
        </w:tc>
        <w:tc>
          <w:tcPr>
            <w:tcW w:w="1369" w:type="dxa"/>
            <w:vAlign w:val="center"/>
          </w:tcPr>
          <w:p w14:paraId="4B695E76">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3CCA543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70E526C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X≥300</w:t>
            </w:r>
          </w:p>
        </w:tc>
        <w:tc>
          <w:tcPr>
            <w:tcW w:w="1701" w:type="dxa"/>
            <w:vAlign w:val="center"/>
          </w:tcPr>
          <w:p w14:paraId="4C7F2C4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50≤X＜300</w:t>
            </w:r>
          </w:p>
        </w:tc>
        <w:tc>
          <w:tcPr>
            <w:tcW w:w="1426" w:type="dxa"/>
            <w:vAlign w:val="center"/>
          </w:tcPr>
          <w:p w14:paraId="137413B7">
            <w:pPr>
              <w:ind w:left="-1" w:leftChars="-1" w:hanging="1"/>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10≤X＜50 </w:t>
            </w:r>
          </w:p>
        </w:tc>
        <w:tc>
          <w:tcPr>
            <w:tcW w:w="992" w:type="dxa"/>
            <w:vAlign w:val="center"/>
          </w:tcPr>
          <w:p w14:paraId="36E5935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w:t>
            </w:r>
          </w:p>
        </w:tc>
      </w:tr>
      <w:tr w14:paraId="5634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C131930">
            <w:pPr>
              <w:jc w:val="center"/>
              <w:rPr>
                <w:rFonts w:ascii="宋体" w:hAnsi="宋体" w:cs="宋体"/>
                <w:b/>
                <w:color w:val="000000" w:themeColor="text1"/>
                <w:sz w:val="18"/>
                <w:szCs w:val="18"/>
                <w:highlight w:val="none"/>
              </w:rPr>
            </w:pPr>
          </w:p>
        </w:tc>
        <w:tc>
          <w:tcPr>
            <w:tcW w:w="1369" w:type="dxa"/>
            <w:vAlign w:val="center"/>
          </w:tcPr>
          <w:p w14:paraId="7D979FB5">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63602F0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201E2CE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Y≥20000</w:t>
            </w:r>
          </w:p>
        </w:tc>
        <w:tc>
          <w:tcPr>
            <w:tcW w:w="1701" w:type="dxa"/>
            <w:vAlign w:val="center"/>
          </w:tcPr>
          <w:p w14:paraId="5DD188A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500≤Y＜20000</w:t>
            </w:r>
          </w:p>
        </w:tc>
        <w:tc>
          <w:tcPr>
            <w:tcW w:w="1426" w:type="dxa"/>
            <w:vAlign w:val="center"/>
          </w:tcPr>
          <w:p w14:paraId="0462BB32">
            <w:pPr>
              <w:ind w:left="-1" w:leftChars="-1" w:hanging="1"/>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100≤Y＜500 </w:t>
            </w:r>
          </w:p>
        </w:tc>
        <w:tc>
          <w:tcPr>
            <w:tcW w:w="992" w:type="dxa"/>
            <w:vAlign w:val="center"/>
          </w:tcPr>
          <w:p w14:paraId="6D4B027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w:t>
            </w:r>
          </w:p>
        </w:tc>
      </w:tr>
      <w:tr w14:paraId="23F6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D5D9890">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交通运输业 *</w:t>
            </w:r>
          </w:p>
        </w:tc>
        <w:tc>
          <w:tcPr>
            <w:tcW w:w="1369" w:type="dxa"/>
            <w:vAlign w:val="center"/>
          </w:tcPr>
          <w:p w14:paraId="771C9DA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1E60FF6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72AF1E3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X≥1000</w:t>
            </w:r>
          </w:p>
        </w:tc>
        <w:tc>
          <w:tcPr>
            <w:tcW w:w="1701" w:type="dxa"/>
            <w:vAlign w:val="center"/>
          </w:tcPr>
          <w:p w14:paraId="0B4E788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300≤X＜1000</w:t>
            </w:r>
          </w:p>
        </w:tc>
        <w:tc>
          <w:tcPr>
            <w:tcW w:w="1426" w:type="dxa"/>
            <w:vAlign w:val="center"/>
          </w:tcPr>
          <w:p w14:paraId="2AE77EA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20≤X＜300</w:t>
            </w:r>
          </w:p>
        </w:tc>
        <w:tc>
          <w:tcPr>
            <w:tcW w:w="992" w:type="dxa"/>
            <w:vAlign w:val="center"/>
          </w:tcPr>
          <w:p w14:paraId="08E1045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X＜20</w:t>
            </w:r>
          </w:p>
        </w:tc>
      </w:tr>
      <w:tr w14:paraId="7A34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0D2318B">
            <w:pPr>
              <w:jc w:val="center"/>
              <w:rPr>
                <w:rFonts w:ascii="宋体" w:hAnsi="宋体" w:cs="宋体"/>
                <w:b/>
                <w:color w:val="000000" w:themeColor="text1"/>
                <w:sz w:val="18"/>
                <w:szCs w:val="18"/>
                <w:highlight w:val="none"/>
              </w:rPr>
            </w:pPr>
          </w:p>
        </w:tc>
        <w:tc>
          <w:tcPr>
            <w:tcW w:w="1369" w:type="dxa"/>
            <w:vAlign w:val="center"/>
          </w:tcPr>
          <w:p w14:paraId="3AE8EC13">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2C1F6B6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59EC351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Y≥30000</w:t>
            </w:r>
          </w:p>
        </w:tc>
        <w:tc>
          <w:tcPr>
            <w:tcW w:w="1701" w:type="dxa"/>
            <w:vAlign w:val="center"/>
          </w:tcPr>
          <w:p w14:paraId="5FEE41B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3000≤Y＜30000</w:t>
            </w:r>
          </w:p>
        </w:tc>
        <w:tc>
          <w:tcPr>
            <w:tcW w:w="1426" w:type="dxa"/>
            <w:vAlign w:val="center"/>
          </w:tcPr>
          <w:p w14:paraId="557D07F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200≤Y＜3000</w:t>
            </w:r>
          </w:p>
        </w:tc>
        <w:tc>
          <w:tcPr>
            <w:tcW w:w="992" w:type="dxa"/>
            <w:vAlign w:val="center"/>
          </w:tcPr>
          <w:p w14:paraId="1CB92D1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Y＜200</w:t>
            </w:r>
          </w:p>
        </w:tc>
      </w:tr>
      <w:tr w14:paraId="0C96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A11812A">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仓储业*</w:t>
            </w:r>
          </w:p>
        </w:tc>
        <w:tc>
          <w:tcPr>
            <w:tcW w:w="1369" w:type="dxa"/>
            <w:vAlign w:val="center"/>
          </w:tcPr>
          <w:p w14:paraId="651E6F0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057232F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08B6EF7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X≥200</w:t>
            </w:r>
          </w:p>
        </w:tc>
        <w:tc>
          <w:tcPr>
            <w:tcW w:w="1701" w:type="dxa"/>
            <w:vAlign w:val="center"/>
          </w:tcPr>
          <w:p w14:paraId="7A5EF7FC">
            <w:pPr>
              <w:ind w:left="1" w:leftChars="-51" w:hanging="108" w:hangingChars="60"/>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100≤X＜200</w:t>
            </w:r>
          </w:p>
        </w:tc>
        <w:tc>
          <w:tcPr>
            <w:tcW w:w="1426" w:type="dxa"/>
            <w:vAlign w:val="center"/>
          </w:tcPr>
          <w:p w14:paraId="45E76AB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20≤X＜100</w:t>
            </w:r>
          </w:p>
        </w:tc>
        <w:tc>
          <w:tcPr>
            <w:tcW w:w="992" w:type="dxa"/>
            <w:vAlign w:val="center"/>
          </w:tcPr>
          <w:p w14:paraId="32F4CF7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X＜20</w:t>
            </w:r>
          </w:p>
        </w:tc>
      </w:tr>
      <w:tr w14:paraId="0272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732F35">
            <w:pPr>
              <w:jc w:val="center"/>
              <w:rPr>
                <w:rFonts w:ascii="宋体" w:hAnsi="宋体" w:cs="宋体"/>
                <w:b/>
                <w:color w:val="000000" w:themeColor="text1"/>
                <w:sz w:val="18"/>
                <w:szCs w:val="18"/>
                <w:highlight w:val="none"/>
              </w:rPr>
            </w:pPr>
          </w:p>
        </w:tc>
        <w:tc>
          <w:tcPr>
            <w:tcW w:w="1369" w:type="dxa"/>
            <w:vAlign w:val="center"/>
          </w:tcPr>
          <w:p w14:paraId="54DD601D">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0B72742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65A1EC3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Y≥30000</w:t>
            </w:r>
          </w:p>
        </w:tc>
        <w:tc>
          <w:tcPr>
            <w:tcW w:w="1701" w:type="dxa"/>
            <w:vAlign w:val="center"/>
          </w:tcPr>
          <w:p w14:paraId="33747AD3">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1000≤Y＜30000</w:t>
            </w:r>
          </w:p>
        </w:tc>
        <w:tc>
          <w:tcPr>
            <w:tcW w:w="1426" w:type="dxa"/>
            <w:vAlign w:val="center"/>
          </w:tcPr>
          <w:p w14:paraId="7D4B702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100≤Y＜1000</w:t>
            </w:r>
          </w:p>
        </w:tc>
        <w:tc>
          <w:tcPr>
            <w:tcW w:w="992" w:type="dxa"/>
            <w:vAlign w:val="center"/>
          </w:tcPr>
          <w:p w14:paraId="394585A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w:t>
            </w:r>
          </w:p>
        </w:tc>
      </w:tr>
      <w:tr w14:paraId="4D97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69C5B6A">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邮政业</w:t>
            </w:r>
          </w:p>
        </w:tc>
        <w:tc>
          <w:tcPr>
            <w:tcW w:w="1369" w:type="dxa"/>
            <w:vAlign w:val="center"/>
          </w:tcPr>
          <w:p w14:paraId="16D45A4C">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1577B4A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3CEB597C">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X≥1000</w:t>
            </w:r>
          </w:p>
        </w:tc>
        <w:tc>
          <w:tcPr>
            <w:tcW w:w="1701" w:type="dxa"/>
            <w:vAlign w:val="center"/>
          </w:tcPr>
          <w:p w14:paraId="7F95FF3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300≤X＜1000</w:t>
            </w:r>
          </w:p>
        </w:tc>
        <w:tc>
          <w:tcPr>
            <w:tcW w:w="1426" w:type="dxa"/>
            <w:vAlign w:val="center"/>
          </w:tcPr>
          <w:p w14:paraId="5C01965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20≤X＜300</w:t>
            </w:r>
          </w:p>
        </w:tc>
        <w:tc>
          <w:tcPr>
            <w:tcW w:w="992" w:type="dxa"/>
            <w:vAlign w:val="center"/>
          </w:tcPr>
          <w:p w14:paraId="1ED18CF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X＜20</w:t>
            </w:r>
          </w:p>
        </w:tc>
      </w:tr>
      <w:tr w14:paraId="73F5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E74B9F1">
            <w:pPr>
              <w:jc w:val="center"/>
              <w:rPr>
                <w:rFonts w:ascii="宋体" w:hAnsi="宋体" w:cs="宋体"/>
                <w:b/>
                <w:color w:val="000000" w:themeColor="text1"/>
                <w:sz w:val="18"/>
                <w:szCs w:val="18"/>
                <w:highlight w:val="none"/>
              </w:rPr>
            </w:pPr>
          </w:p>
        </w:tc>
        <w:tc>
          <w:tcPr>
            <w:tcW w:w="1369" w:type="dxa"/>
            <w:vAlign w:val="center"/>
          </w:tcPr>
          <w:p w14:paraId="3FD402CD">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42C7B65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37F581F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Y≥30000</w:t>
            </w:r>
          </w:p>
        </w:tc>
        <w:tc>
          <w:tcPr>
            <w:tcW w:w="1701" w:type="dxa"/>
            <w:vAlign w:val="center"/>
          </w:tcPr>
          <w:p w14:paraId="4EA69FC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2000≤Y＜30000</w:t>
            </w:r>
          </w:p>
        </w:tc>
        <w:tc>
          <w:tcPr>
            <w:tcW w:w="1426" w:type="dxa"/>
            <w:vAlign w:val="center"/>
          </w:tcPr>
          <w:p w14:paraId="309BFD68">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100≤Y＜2000</w:t>
            </w:r>
          </w:p>
        </w:tc>
        <w:tc>
          <w:tcPr>
            <w:tcW w:w="992" w:type="dxa"/>
            <w:vAlign w:val="center"/>
          </w:tcPr>
          <w:p w14:paraId="3827CB7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w:t>
            </w:r>
          </w:p>
        </w:tc>
      </w:tr>
      <w:tr w14:paraId="5119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5F7CB5">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住宿业</w:t>
            </w:r>
          </w:p>
        </w:tc>
        <w:tc>
          <w:tcPr>
            <w:tcW w:w="1369" w:type="dxa"/>
            <w:vAlign w:val="center"/>
          </w:tcPr>
          <w:p w14:paraId="533D5F9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7EF27B9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34E1EEF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X≥300</w:t>
            </w:r>
          </w:p>
        </w:tc>
        <w:tc>
          <w:tcPr>
            <w:tcW w:w="1701" w:type="dxa"/>
            <w:vAlign w:val="center"/>
          </w:tcPr>
          <w:p w14:paraId="26F33C27">
            <w:pPr>
              <w:ind w:left="1" w:leftChars="-51" w:hanging="108" w:hangingChars="60"/>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100≤X＜300 </w:t>
            </w:r>
          </w:p>
        </w:tc>
        <w:tc>
          <w:tcPr>
            <w:tcW w:w="1426" w:type="dxa"/>
            <w:vAlign w:val="center"/>
          </w:tcPr>
          <w:p w14:paraId="2E3A2BC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10≤X＜100</w:t>
            </w:r>
          </w:p>
        </w:tc>
        <w:tc>
          <w:tcPr>
            <w:tcW w:w="992" w:type="dxa"/>
            <w:vAlign w:val="center"/>
          </w:tcPr>
          <w:p w14:paraId="51643D7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w:t>
            </w:r>
          </w:p>
        </w:tc>
      </w:tr>
      <w:tr w14:paraId="38CD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BC5DD4">
            <w:pPr>
              <w:jc w:val="center"/>
              <w:rPr>
                <w:rFonts w:ascii="宋体" w:hAnsi="宋体" w:cs="宋体"/>
                <w:b/>
                <w:color w:val="000000" w:themeColor="text1"/>
                <w:sz w:val="18"/>
                <w:szCs w:val="18"/>
                <w:highlight w:val="none"/>
              </w:rPr>
            </w:pPr>
          </w:p>
        </w:tc>
        <w:tc>
          <w:tcPr>
            <w:tcW w:w="1369" w:type="dxa"/>
            <w:vAlign w:val="center"/>
          </w:tcPr>
          <w:p w14:paraId="1DE9764F">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19D8ECDC">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687CFF1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Y≥10000</w:t>
            </w:r>
          </w:p>
        </w:tc>
        <w:tc>
          <w:tcPr>
            <w:tcW w:w="1701" w:type="dxa"/>
            <w:vAlign w:val="center"/>
          </w:tcPr>
          <w:p w14:paraId="7A1753E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2000≤Y＜10000</w:t>
            </w:r>
          </w:p>
        </w:tc>
        <w:tc>
          <w:tcPr>
            <w:tcW w:w="1426" w:type="dxa"/>
            <w:vAlign w:val="center"/>
          </w:tcPr>
          <w:p w14:paraId="06D2BEC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100≤Y＜2000</w:t>
            </w:r>
          </w:p>
        </w:tc>
        <w:tc>
          <w:tcPr>
            <w:tcW w:w="992" w:type="dxa"/>
            <w:vAlign w:val="center"/>
          </w:tcPr>
          <w:p w14:paraId="69D894A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w:t>
            </w:r>
          </w:p>
        </w:tc>
      </w:tr>
      <w:tr w14:paraId="64F3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0824D8">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餐饮业</w:t>
            </w:r>
          </w:p>
        </w:tc>
        <w:tc>
          <w:tcPr>
            <w:tcW w:w="1369" w:type="dxa"/>
            <w:vAlign w:val="center"/>
          </w:tcPr>
          <w:p w14:paraId="62902E8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37500996">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1CE2182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X≥300</w:t>
            </w:r>
          </w:p>
        </w:tc>
        <w:tc>
          <w:tcPr>
            <w:tcW w:w="1701" w:type="dxa"/>
            <w:vAlign w:val="center"/>
          </w:tcPr>
          <w:p w14:paraId="23E29E7D">
            <w:pPr>
              <w:ind w:left="1" w:leftChars="-51" w:hanging="108" w:hangingChars="60"/>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100≤X＜300 </w:t>
            </w:r>
          </w:p>
        </w:tc>
        <w:tc>
          <w:tcPr>
            <w:tcW w:w="1426" w:type="dxa"/>
            <w:vAlign w:val="center"/>
          </w:tcPr>
          <w:p w14:paraId="2FD393F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10≤X＜100</w:t>
            </w:r>
          </w:p>
        </w:tc>
        <w:tc>
          <w:tcPr>
            <w:tcW w:w="992" w:type="dxa"/>
            <w:vAlign w:val="center"/>
          </w:tcPr>
          <w:p w14:paraId="0FE5307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w:t>
            </w:r>
          </w:p>
        </w:tc>
      </w:tr>
      <w:tr w14:paraId="2B83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4E5253A">
            <w:pPr>
              <w:jc w:val="center"/>
              <w:rPr>
                <w:rFonts w:ascii="宋体" w:hAnsi="宋体" w:cs="宋体"/>
                <w:b/>
                <w:color w:val="000000" w:themeColor="text1"/>
                <w:sz w:val="18"/>
                <w:szCs w:val="18"/>
                <w:highlight w:val="none"/>
              </w:rPr>
            </w:pPr>
          </w:p>
        </w:tc>
        <w:tc>
          <w:tcPr>
            <w:tcW w:w="1369" w:type="dxa"/>
            <w:vAlign w:val="center"/>
          </w:tcPr>
          <w:p w14:paraId="567A76AF">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3D04B90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641E299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Y≥10000</w:t>
            </w:r>
          </w:p>
        </w:tc>
        <w:tc>
          <w:tcPr>
            <w:tcW w:w="1701" w:type="dxa"/>
            <w:vAlign w:val="center"/>
          </w:tcPr>
          <w:p w14:paraId="355479A8">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2000≤Y＜10000</w:t>
            </w:r>
          </w:p>
        </w:tc>
        <w:tc>
          <w:tcPr>
            <w:tcW w:w="1426" w:type="dxa"/>
            <w:vAlign w:val="center"/>
          </w:tcPr>
          <w:p w14:paraId="75EB521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100≤Y＜2000</w:t>
            </w:r>
          </w:p>
        </w:tc>
        <w:tc>
          <w:tcPr>
            <w:tcW w:w="992" w:type="dxa"/>
            <w:vAlign w:val="center"/>
          </w:tcPr>
          <w:p w14:paraId="6CFC629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w:t>
            </w:r>
          </w:p>
        </w:tc>
      </w:tr>
      <w:tr w14:paraId="7597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274DE7">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信息传输业*</w:t>
            </w:r>
          </w:p>
        </w:tc>
        <w:tc>
          <w:tcPr>
            <w:tcW w:w="1369" w:type="dxa"/>
            <w:vAlign w:val="center"/>
          </w:tcPr>
          <w:p w14:paraId="02B6C21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277645F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26E8140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X≥2000</w:t>
            </w:r>
          </w:p>
        </w:tc>
        <w:tc>
          <w:tcPr>
            <w:tcW w:w="1701" w:type="dxa"/>
            <w:vAlign w:val="center"/>
          </w:tcPr>
          <w:p w14:paraId="5B4013E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100≤X＜2000</w:t>
            </w:r>
          </w:p>
        </w:tc>
        <w:tc>
          <w:tcPr>
            <w:tcW w:w="1426" w:type="dxa"/>
            <w:vAlign w:val="center"/>
          </w:tcPr>
          <w:p w14:paraId="7466EFAA">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10≤X＜100</w:t>
            </w:r>
          </w:p>
        </w:tc>
        <w:tc>
          <w:tcPr>
            <w:tcW w:w="992" w:type="dxa"/>
            <w:vAlign w:val="center"/>
          </w:tcPr>
          <w:p w14:paraId="3DA60AE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w:t>
            </w:r>
          </w:p>
        </w:tc>
      </w:tr>
      <w:tr w14:paraId="3ABA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B5B957">
            <w:pPr>
              <w:jc w:val="center"/>
              <w:rPr>
                <w:rFonts w:ascii="宋体" w:hAnsi="宋体" w:cs="宋体"/>
                <w:b/>
                <w:color w:val="000000" w:themeColor="text1"/>
                <w:sz w:val="18"/>
                <w:szCs w:val="18"/>
                <w:highlight w:val="none"/>
              </w:rPr>
            </w:pPr>
          </w:p>
        </w:tc>
        <w:tc>
          <w:tcPr>
            <w:tcW w:w="1369" w:type="dxa"/>
            <w:vAlign w:val="center"/>
          </w:tcPr>
          <w:p w14:paraId="0467A8F5">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60D53E9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30A6408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Y≥100000</w:t>
            </w:r>
          </w:p>
        </w:tc>
        <w:tc>
          <w:tcPr>
            <w:tcW w:w="1701" w:type="dxa"/>
            <w:vAlign w:val="center"/>
          </w:tcPr>
          <w:p w14:paraId="2A8D0CB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1000≤Y＜100000</w:t>
            </w:r>
          </w:p>
        </w:tc>
        <w:tc>
          <w:tcPr>
            <w:tcW w:w="1426" w:type="dxa"/>
            <w:vAlign w:val="center"/>
          </w:tcPr>
          <w:p w14:paraId="724003A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100≤Y＜1000</w:t>
            </w:r>
          </w:p>
        </w:tc>
        <w:tc>
          <w:tcPr>
            <w:tcW w:w="992" w:type="dxa"/>
            <w:vAlign w:val="center"/>
          </w:tcPr>
          <w:p w14:paraId="4F75BB5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w:t>
            </w:r>
          </w:p>
        </w:tc>
      </w:tr>
      <w:tr w14:paraId="36A4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67CA8FF">
            <w:pPr>
              <w:spacing w:line="240" w:lineRule="exact"/>
              <w:jc w:val="center"/>
              <w:rPr>
                <w:rFonts w:ascii="宋体" w:hAnsi="宋体" w:cs="宋体"/>
                <w:b/>
                <w:color w:val="000000" w:themeColor="text1"/>
                <w:spacing w:val="-12"/>
                <w:sz w:val="18"/>
                <w:szCs w:val="18"/>
                <w:highlight w:val="none"/>
              </w:rPr>
            </w:pPr>
            <w:r>
              <w:rPr>
                <w:rFonts w:hint="eastAsia" w:ascii="宋体" w:hAnsi="宋体" w:cs="宋体"/>
                <w:b/>
                <w:color w:val="000000" w:themeColor="text1"/>
                <w:spacing w:val="-12"/>
                <w:sz w:val="18"/>
                <w:szCs w:val="18"/>
                <w:highlight w:val="none"/>
              </w:rPr>
              <w:t>软件和信息技术服</w:t>
            </w:r>
            <w:r>
              <w:rPr>
                <w:rFonts w:hint="eastAsia" w:ascii="宋体" w:hAnsi="宋体" w:cs="宋体"/>
                <w:b/>
                <w:color w:val="000000" w:themeColor="text1"/>
                <w:sz w:val="18"/>
                <w:szCs w:val="18"/>
                <w:highlight w:val="none"/>
              </w:rPr>
              <w:t>务业</w:t>
            </w:r>
          </w:p>
        </w:tc>
        <w:tc>
          <w:tcPr>
            <w:tcW w:w="1369" w:type="dxa"/>
            <w:vAlign w:val="center"/>
          </w:tcPr>
          <w:p w14:paraId="66ED3CB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71D41DD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792D1A26">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X≥300</w:t>
            </w:r>
          </w:p>
        </w:tc>
        <w:tc>
          <w:tcPr>
            <w:tcW w:w="1701" w:type="dxa"/>
            <w:vAlign w:val="center"/>
          </w:tcPr>
          <w:p w14:paraId="14FBFA41">
            <w:pPr>
              <w:ind w:left="1" w:leftChars="-51" w:hanging="108" w:hangingChars="60"/>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100≤X＜300 </w:t>
            </w:r>
          </w:p>
        </w:tc>
        <w:tc>
          <w:tcPr>
            <w:tcW w:w="1426" w:type="dxa"/>
            <w:vAlign w:val="center"/>
          </w:tcPr>
          <w:p w14:paraId="24D017D6">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10≤X＜100</w:t>
            </w:r>
          </w:p>
        </w:tc>
        <w:tc>
          <w:tcPr>
            <w:tcW w:w="992" w:type="dxa"/>
            <w:vAlign w:val="center"/>
          </w:tcPr>
          <w:p w14:paraId="52E6D63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w:t>
            </w:r>
          </w:p>
        </w:tc>
      </w:tr>
      <w:tr w14:paraId="70E7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FC639BE">
            <w:pPr>
              <w:jc w:val="center"/>
              <w:rPr>
                <w:rFonts w:ascii="宋体" w:hAnsi="宋体" w:cs="宋体"/>
                <w:b/>
                <w:color w:val="000000" w:themeColor="text1"/>
                <w:spacing w:val="-12"/>
                <w:sz w:val="18"/>
                <w:szCs w:val="18"/>
                <w:highlight w:val="none"/>
              </w:rPr>
            </w:pPr>
          </w:p>
        </w:tc>
        <w:tc>
          <w:tcPr>
            <w:tcW w:w="1369" w:type="dxa"/>
            <w:vAlign w:val="center"/>
          </w:tcPr>
          <w:p w14:paraId="4B135C9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53EB70C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2E09A91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Y≥10000</w:t>
            </w:r>
          </w:p>
        </w:tc>
        <w:tc>
          <w:tcPr>
            <w:tcW w:w="1701" w:type="dxa"/>
            <w:vAlign w:val="center"/>
          </w:tcPr>
          <w:p w14:paraId="066870F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1000≤Y＜10000</w:t>
            </w:r>
          </w:p>
        </w:tc>
        <w:tc>
          <w:tcPr>
            <w:tcW w:w="1426" w:type="dxa"/>
            <w:vAlign w:val="center"/>
          </w:tcPr>
          <w:p w14:paraId="6474EDA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50≤Y＜1000</w:t>
            </w:r>
          </w:p>
        </w:tc>
        <w:tc>
          <w:tcPr>
            <w:tcW w:w="992" w:type="dxa"/>
            <w:vAlign w:val="center"/>
          </w:tcPr>
          <w:p w14:paraId="52795B1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Y＜50</w:t>
            </w:r>
          </w:p>
        </w:tc>
      </w:tr>
      <w:tr w14:paraId="66C3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FC49907">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房地产开发经营</w:t>
            </w:r>
          </w:p>
        </w:tc>
        <w:tc>
          <w:tcPr>
            <w:tcW w:w="1369" w:type="dxa"/>
            <w:vAlign w:val="center"/>
          </w:tcPr>
          <w:p w14:paraId="4A95EDD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0329E5F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613A651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Y≥200000</w:t>
            </w:r>
          </w:p>
        </w:tc>
        <w:tc>
          <w:tcPr>
            <w:tcW w:w="1701" w:type="dxa"/>
            <w:vAlign w:val="center"/>
          </w:tcPr>
          <w:p w14:paraId="1CFCB4A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1000≤Y＜200000</w:t>
            </w:r>
          </w:p>
        </w:tc>
        <w:tc>
          <w:tcPr>
            <w:tcW w:w="1426" w:type="dxa"/>
            <w:vAlign w:val="center"/>
          </w:tcPr>
          <w:p w14:paraId="04F5116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100≤Y＜1000</w:t>
            </w:r>
          </w:p>
        </w:tc>
        <w:tc>
          <w:tcPr>
            <w:tcW w:w="992" w:type="dxa"/>
            <w:vAlign w:val="center"/>
          </w:tcPr>
          <w:p w14:paraId="49CA5F6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Y＜100</w:t>
            </w:r>
          </w:p>
        </w:tc>
      </w:tr>
      <w:tr w14:paraId="56AD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9CF5B19">
            <w:pPr>
              <w:jc w:val="center"/>
              <w:rPr>
                <w:rFonts w:ascii="宋体" w:hAnsi="宋体" w:cs="宋体"/>
                <w:b/>
                <w:color w:val="000000" w:themeColor="text1"/>
                <w:sz w:val="18"/>
                <w:szCs w:val="18"/>
                <w:highlight w:val="none"/>
              </w:rPr>
            </w:pPr>
          </w:p>
        </w:tc>
        <w:tc>
          <w:tcPr>
            <w:tcW w:w="1369" w:type="dxa"/>
            <w:vAlign w:val="center"/>
          </w:tcPr>
          <w:p w14:paraId="569CDD77">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资产总额(Z)</w:t>
            </w:r>
          </w:p>
        </w:tc>
        <w:tc>
          <w:tcPr>
            <w:tcW w:w="709" w:type="dxa"/>
            <w:vAlign w:val="center"/>
          </w:tcPr>
          <w:p w14:paraId="6C0BACA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17109D9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Z≥10000</w:t>
            </w:r>
          </w:p>
        </w:tc>
        <w:tc>
          <w:tcPr>
            <w:tcW w:w="1701" w:type="dxa"/>
            <w:vAlign w:val="center"/>
          </w:tcPr>
          <w:p w14:paraId="403D3686">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5000≤Z＜10000</w:t>
            </w:r>
          </w:p>
        </w:tc>
        <w:tc>
          <w:tcPr>
            <w:tcW w:w="1426" w:type="dxa"/>
            <w:vAlign w:val="center"/>
          </w:tcPr>
          <w:p w14:paraId="4A6E0F5B">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2000≤Z＜5000   </w:t>
            </w:r>
          </w:p>
        </w:tc>
        <w:tc>
          <w:tcPr>
            <w:tcW w:w="992" w:type="dxa"/>
            <w:vAlign w:val="center"/>
          </w:tcPr>
          <w:p w14:paraId="6B9D43A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Z＜2000</w:t>
            </w:r>
          </w:p>
        </w:tc>
      </w:tr>
      <w:tr w14:paraId="1601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6B12E1">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物业管理</w:t>
            </w:r>
          </w:p>
        </w:tc>
        <w:tc>
          <w:tcPr>
            <w:tcW w:w="1369" w:type="dxa"/>
            <w:vAlign w:val="center"/>
          </w:tcPr>
          <w:p w14:paraId="33950BC2">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0C8B74E6">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179773C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X≥1000</w:t>
            </w:r>
          </w:p>
        </w:tc>
        <w:tc>
          <w:tcPr>
            <w:tcW w:w="1701" w:type="dxa"/>
            <w:vAlign w:val="center"/>
          </w:tcPr>
          <w:p w14:paraId="0DF6FA6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300≤X＜1000</w:t>
            </w:r>
          </w:p>
        </w:tc>
        <w:tc>
          <w:tcPr>
            <w:tcW w:w="1426" w:type="dxa"/>
            <w:vAlign w:val="center"/>
          </w:tcPr>
          <w:p w14:paraId="2F55D1E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100≤X＜300 </w:t>
            </w:r>
          </w:p>
        </w:tc>
        <w:tc>
          <w:tcPr>
            <w:tcW w:w="992" w:type="dxa"/>
            <w:vAlign w:val="center"/>
          </w:tcPr>
          <w:p w14:paraId="01FA976C">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X＜100</w:t>
            </w:r>
          </w:p>
        </w:tc>
      </w:tr>
      <w:tr w14:paraId="3860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1A50687">
            <w:pPr>
              <w:jc w:val="center"/>
              <w:rPr>
                <w:rFonts w:ascii="宋体" w:hAnsi="宋体" w:cs="宋体"/>
                <w:b/>
                <w:color w:val="000000" w:themeColor="text1"/>
                <w:sz w:val="18"/>
                <w:szCs w:val="18"/>
                <w:highlight w:val="none"/>
              </w:rPr>
            </w:pPr>
          </w:p>
        </w:tc>
        <w:tc>
          <w:tcPr>
            <w:tcW w:w="1369" w:type="dxa"/>
            <w:vAlign w:val="center"/>
          </w:tcPr>
          <w:p w14:paraId="41869516">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营业收入(Y)</w:t>
            </w:r>
          </w:p>
        </w:tc>
        <w:tc>
          <w:tcPr>
            <w:tcW w:w="709" w:type="dxa"/>
            <w:vAlign w:val="center"/>
          </w:tcPr>
          <w:p w14:paraId="01A346BF">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6FD75E64">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Y≥5000</w:t>
            </w:r>
          </w:p>
        </w:tc>
        <w:tc>
          <w:tcPr>
            <w:tcW w:w="1701" w:type="dxa"/>
            <w:vAlign w:val="center"/>
          </w:tcPr>
          <w:p w14:paraId="225C860C">
            <w:pPr>
              <w:ind w:left="1" w:leftChars="-51" w:hanging="108" w:hangingChars="60"/>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1000≤Y＜5000 </w:t>
            </w:r>
          </w:p>
        </w:tc>
        <w:tc>
          <w:tcPr>
            <w:tcW w:w="1426" w:type="dxa"/>
            <w:vAlign w:val="center"/>
          </w:tcPr>
          <w:p w14:paraId="3D55210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500≤Y＜1000</w:t>
            </w:r>
          </w:p>
        </w:tc>
        <w:tc>
          <w:tcPr>
            <w:tcW w:w="992" w:type="dxa"/>
            <w:vAlign w:val="center"/>
          </w:tcPr>
          <w:p w14:paraId="094A9F3D">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Y＜500</w:t>
            </w:r>
          </w:p>
        </w:tc>
      </w:tr>
      <w:tr w14:paraId="2D30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45CF794">
            <w:pPr>
              <w:spacing w:line="240" w:lineRule="exact"/>
              <w:jc w:val="cente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租赁和商务服务业</w:t>
            </w:r>
          </w:p>
        </w:tc>
        <w:tc>
          <w:tcPr>
            <w:tcW w:w="1369" w:type="dxa"/>
            <w:vAlign w:val="center"/>
          </w:tcPr>
          <w:p w14:paraId="687D626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53557015">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5FD59309">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X≥300</w:t>
            </w:r>
          </w:p>
        </w:tc>
        <w:tc>
          <w:tcPr>
            <w:tcW w:w="1701" w:type="dxa"/>
            <w:vAlign w:val="center"/>
          </w:tcPr>
          <w:p w14:paraId="7D1C2AFA">
            <w:pPr>
              <w:ind w:left="1" w:leftChars="-51" w:hanging="108" w:hangingChars="60"/>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100≤X＜300 </w:t>
            </w:r>
          </w:p>
        </w:tc>
        <w:tc>
          <w:tcPr>
            <w:tcW w:w="1426" w:type="dxa"/>
            <w:vAlign w:val="center"/>
          </w:tcPr>
          <w:p w14:paraId="19ED5668">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10≤X＜100</w:t>
            </w:r>
          </w:p>
        </w:tc>
        <w:tc>
          <w:tcPr>
            <w:tcW w:w="992" w:type="dxa"/>
            <w:vAlign w:val="center"/>
          </w:tcPr>
          <w:p w14:paraId="1D12800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w:t>
            </w:r>
          </w:p>
        </w:tc>
      </w:tr>
      <w:tr w14:paraId="0BBB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1A3E05B">
            <w:pPr>
              <w:jc w:val="center"/>
              <w:rPr>
                <w:rFonts w:ascii="宋体" w:hAnsi="宋体" w:cs="宋体"/>
                <w:b/>
                <w:color w:val="000000" w:themeColor="text1"/>
                <w:sz w:val="18"/>
                <w:szCs w:val="18"/>
                <w:highlight w:val="none"/>
              </w:rPr>
            </w:pPr>
          </w:p>
        </w:tc>
        <w:tc>
          <w:tcPr>
            <w:tcW w:w="1369" w:type="dxa"/>
            <w:vAlign w:val="center"/>
          </w:tcPr>
          <w:p w14:paraId="39D83812">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资产总额(Z)</w:t>
            </w:r>
          </w:p>
        </w:tc>
        <w:tc>
          <w:tcPr>
            <w:tcW w:w="709" w:type="dxa"/>
            <w:vAlign w:val="center"/>
          </w:tcPr>
          <w:p w14:paraId="1A84730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万元</w:t>
            </w:r>
          </w:p>
        </w:tc>
        <w:tc>
          <w:tcPr>
            <w:tcW w:w="1125" w:type="dxa"/>
            <w:vAlign w:val="center"/>
          </w:tcPr>
          <w:p w14:paraId="5E57F2D0">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Z≥120000</w:t>
            </w:r>
          </w:p>
        </w:tc>
        <w:tc>
          <w:tcPr>
            <w:tcW w:w="1701" w:type="dxa"/>
            <w:vAlign w:val="center"/>
          </w:tcPr>
          <w:p w14:paraId="098E248E">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8000≤Z＜120000</w:t>
            </w:r>
          </w:p>
        </w:tc>
        <w:tc>
          <w:tcPr>
            <w:tcW w:w="1426" w:type="dxa"/>
            <w:vAlign w:val="center"/>
          </w:tcPr>
          <w:p w14:paraId="287FBBB1">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100≤Z＜8000</w:t>
            </w:r>
          </w:p>
        </w:tc>
        <w:tc>
          <w:tcPr>
            <w:tcW w:w="992" w:type="dxa"/>
            <w:vAlign w:val="center"/>
          </w:tcPr>
          <w:p w14:paraId="746E1EC7">
            <w:pPr>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Z＜100</w:t>
            </w:r>
          </w:p>
        </w:tc>
      </w:tr>
      <w:tr w14:paraId="4D32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3" w:type="dxa"/>
            <w:vAlign w:val="center"/>
          </w:tcPr>
          <w:p w14:paraId="6CCCC575">
            <w:pPr>
              <w:spacing w:line="240" w:lineRule="exact"/>
              <w:jc w:val="center"/>
              <w:rPr>
                <w:rFonts w:ascii="宋体" w:hAnsi="宋体" w:cs="宋体"/>
                <w:b/>
                <w:color w:val="000000" w:themeColor="text1"/>
                <w:szCs w:val="21"/>
                <w:highlight w:val="none"/>
              </w:rPr>
            </w:pPr>
            <w:r>
              <w:rPr>
                <w:rFonts w:hint="eastAsia" w:ascii="宋体" w:hAnsi="宋体" w:cs="宋体"/>
                <w:b/>
                <w:color w:val="000000" w:themeColor="text1"/>
                <w:sz w:val="18"/>
                <w:szCs w:val="18"/>
                <w:highlight w:val="none"/>
              </w:rPr>
              <w:t>其他未列明行业*</w:t>
            </w:r>
          </w:p>
        </w:tc>
        <w:tc>
          <w:tcPr>
            <w:tcW w:w="1369" w:type="dxa"/>
            <w:vAlign w:val="center"/>
          </w:tcPr>
          <w:p w14:paraId="542F856C">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从业人员(X)</w:t>
            </w:r>
          </w:p>
        </w:tc>
        <w:tc>
          <w:tcPr>
            <w:tcW w:w="709" w:type="dxa"/>
            <w:vAlign w:val="center"/>
          </w:tcPr>
          <w:p w14:paraId="3ADDE39A">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人</w:t>
            </w:r>
          </w:p>
        </w:tc>
        <w:tc>
          <w:tcPr>
            <w:tcW w:w="1125" w:type="dxa"/>
            <w:vAlign w:val="center"/>
          </w:tcPr>
          <w:p w14:paraId="7DA522CF">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X≥300</w:t>
            </w:r>
          </w:p>
        </w:tc>
        <w:tc>
          <w:tcPr>
            <w:tcW w:w="1701" w:type="dxa"/>
            <w:vAlign w:val="center"/>
          </w:tcPr>
          <w:p w14:paraId="3A949679">
            <w:pPr>
              <w:spacing w:line="240" w:lineRule="exact"/>
              <w:ind w:left="1" w:leftChars="-51" w:hanging="108" w:hangingChars="60"/>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100≤X＜300 </w:t>
            </w:r>
          </w:p>
        </w:tc>
        <w:tc>
          <w:tcPr>
            <w:tcW w:w="1426" w:type="dxa"/>
            <w:vAlign w:val="center"/>
          </w:tcPr>
          <w:p w14:paraId="0BF3849B">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 xml:space="preserve"> 10≤X＜100</w:t>
            </w:r>
          </w:p>
        </w:tc>
        <w:tc>
          <w:tcPr>
            <w:tcW w:w="992" w:type="dxa"/>
            <w:vAlign w:val="center"/>
          </w:tcPr>
          <w:p w14:paraId="54A720A0">
            <w:pPr>
              <w:spacing w:line="240" w:lineRule="exact"/>
              <w:rPr>
                <w:rFonts w:ascii="宋体" w:hAnsi="宋体" w:cs="宋体"/>
                <w:b/>
                <w:color w:val="000000" w:themeColor="text1"/>
                <w:sz w:val="18"/>
                <w:szCs w:val="18"/>
                <w:highlight w:val="none"/>
              </w:rPr>
            </w:pPr>
            <w:r>
              <w:rPr>
                <w:rFonts w:hint="eastAsia" w:ascii="宋体" w:hAnsi="宋体" w:cs="宋体"/>
                <w:b/>
                <w:color w:val="000000" w:themeColor="text1"/>
                <w:sz w:val="18"/>
                <w:szCs w:val="18"/>
                <w:highlight w:val="none"/>
              </w:rPr>
              <w:t>X＜10</w:t>
            </w:r>
          </w:p>
        </w:tc>
      </w:tr>
    </w:tbl>
    <w:p w14:paraId="65ACDA53">
      <w:pPr>
        <w:spacing w:line="400" w:lineRule="exact"/>
        <w:rPr>
          <w:rFonts w:ascii="宋体" w:hAnsi="宋体" w:cs="宋体"/>
          <w:color w:val="000000" w:themeColor="text1"/>
          <w:spacing w:val="8"/>
          <w:szCs w:val="21"/>
          <w:highlight w:val="none"/>
        </w:rPr>
      </w:pPr>
      <w:r>
        <w:rPr>
          <w:rFonts w:hint="eastAsia" w:ascii="宋体" w:hAnsi="宋体" w:cs="宋体"/>
          <w:color w:val="000000" w:themeColor="text1"/>
          <w:spacing w:val="8"/>
          <w:szCs w:val="21"/>
          <w:highlight w:val="none"/>
        </w:rPr>
        <w:t>说明：</w:t>
      </w:r>
    </w:p>
    <w:p w14:paraId="54407302">
      <w:pPr>
        <w:spacing w:line="400" w:lineRule="exact"/>
        <w:rPr>
          <w:rFonts w:ascii="宋体" w:hAnsi="宋体" w:cs="宋体"/>
          <w:color w:val="000000" w:themeColor="text1"/>
          <w:spacing w:val="8"/>
          <w:szCs w:val="21"/>
          <w:highlight w:val="none"/>
        </w:rPr>
      </w:pPr>
      <w:r>
        <w:rPr>
          <w:rFonts w:hint="eastAsia" w:ascii="宋体" w:hAnsi="宋体" w:cs="宋体"/>
          <w:color w:val="000000" w:themeColor="text1"/>
          <w:spacing w:val="8"/>
          <w:szCs w:val="21"/>
          <w:highlight w:val="none"/>
        </w:rPr>
        <w:t>　　1.大型、中型和小型企业须同时满足所列指标的下限，否则下划一档；微型企业只须满足所列指标中的一项即可。</w:t>
      </w:r>
    </w:p>
    <w:p w14:paraId="264AFB05">
      <w:pPr>
        <w:spacing w:line="400" w:lineRule="exact"/>
        <w:ind w:firstLine="452"/>
        <w:rPr>
          <w:rFonts w:ascii="宋体" w:hAnsi="宋体" w:cs="宋体"/>
          <w:color w:val="000000" w:themeColor="text1"/>
          <w:spacing w:val="8"/>
          <w:szCs w:val="21"/>
          <w:highlight w:val="none"/>
        </w:rPr>
      </w:pPr>
      <w:r>
        <w:rPr>
          <w:rFonts w:hint="eastAsia" w:ascii="宋体" w:hAnsi="宋体" w:cs="宋体"/>
          <w:color w:val="000000" w:themeColor="text1"/>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D065B52">
      <w:pPr>
        <w:spacing w:line="400" w:lineRule="exact"/>
        <w:ind w:firstLine="452"/>
        <w:rPr>
          <w:rFonts w:ascii="宋体" w:hAnsi="宋体" w:cs="宋体"/>
          <w:color w:val="000000" w:themeColor="text1"/>
          <w:spacing w:val="8"/>
          <w:szCs w:val="21"/>
          <w:highlight w:val="none"/>
        </w:rPr>
      </w:pPr>
      <w:r>
        <w:rPr>
          <w:rFonts w:hint="eastAsia" w:ascii="宋体" w:hAnsi="宋体" w:cs="宋体"/>
          <w:color w:val="000000" w:themeColor="text1"/>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7B401EA">
      <w:pPr>
        <w:rPr>
          <w:rFonts w:ascii="宋体" w:hAnsi="宋体" w:cs="宋体"/>
          <w:color w:val="000000" w:themeColor="text1"/>
          <w:spacing w:val="8"/>
          <w:szCs w:val="21"/>
          <w:highlight w:val="none"/>
        </w:rPr>
      </w:pPr>
      <w:r>
        <w:rPr>
          <w:rFonts w:hint="eastAsia" w:ascii="宋体" w:hAnsi="宋体" w:cs="宋体"/>
          <w:color w:val="000000" w:themeColor="text1"/>
          <w:spacing w:val="8"/>
          <w:szCs w:val="21"/>
          <w:highlight w:val="none"/>
        </w:rPr>
        <w:br w:type="page"/>
      </w:r>
    </w:p>
    <w:p w14:paraId="6AE6DD8E">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line="360" w:lineRule="atLeast"/>
        <w:ind w:left="0" w:right="0" w:firstLine="0"/>
        <w:jc w:val="center"/>
        <w:rPr>
          <w:rFonts w:hint="eastAsia" w:ascii="微软雅黑" w:hAnsi="微软雅黑" w:eastAsia="微软雅黑" w:cs="微软雅黑"/>
          <w:b/>
          <w:bCs/>
          <w:i w:val="0"/>
          <w:iCs w:val="0"/>
          <w:caps w:val="0"/>
          <w:color w:val="auto"/>
          <w:spacing w:val="0"/>
          <w:kern w:val="0"/>
          <w:sz w:val="52"/>
          <w:szCs w:val="52"/>
          <w:highlight w:val="none"/>
          <w:shd w:val="clear" w:fill="F8F8F8"/>
          <w:lang w:val="en-US" w:eastAsia="zh-CN" w:bidi="ar"/>
        </w:rPr>
      </w:pPr>
      <w:r>
        <w:rPr>
          <w:rFonts w:hint="eastAsia" w:ascii="微软雅黑" w:hAnsi="微软雅黑" w:eastAsia="微软雅黑" w:cs="微软雅黑"/>
          <w:b/>
          <w:bCs/>
          <w:i w:val="0"/>
          <w:iCs w:val="0"/>
          <w:caps w:val="0"/>
          <w:color w:val="auto"/>
          <w:spacing w:val="0"/>
          <w:kern w:val="0"/>
          <w:sz w:val="52"/>
          <w:szCs w:val="52"/>
          <w:highlight w:val="none"/>
          <w:shd w:val="clear" w:fill="F8F8F8"/>
          <w:lang w:val="en-US" w:eastAsia="zh-CN" w:bidi="ar"/>
        </w:rPr>
        <w:t>国务院办公厅关于在政府采购中实施本国产品标准及相关政策的通知</w:t>
      </w:r>
    </w:p>
    <w:p w14:paraId="619F171B">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lang w:val="en-US" w:eastAsia="zh-CN"/>
        </w:rPr>
        <w:t>国办发〔2025〕34号收起</w:t>
      </w:r>
    </w:p>
    <w:p w14:paraId="49D930A3">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各省、自治区、直辖市人民政府，国务院各部委、各直属机构：</w:t>
      </w:r>
    </w:p>
    <w:p w14:paraId="216ABD9F">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AEAE7B9">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一、本国产品标准</w:t>
      </w:r>
    </w:p>
    <w:p w14:paraId="0F0916D9">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本国产品应当符合以下条件：</w:t>
      </w:r>
    </w:p>
    <w:p w14:paraId="4139198C">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（一）在中国境内生产</w:t>
      </w:r>
    </w:p>
    <w:p w14:paraId="6723CF1B">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产品应当在中国境内生产，即在中华人民共和国关境内实现从原材料、组件到产品的属性改变。</w:t>
      </w:r>
    </w:p>
    <w:p w14:paraId="24A41B27">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属性改变是指经过制造、加工或者组装等工序，产生完全不同于原材料、组件的新产品，并具有新的名称和特征（用途）。属性改变不包括以下细微操作：</w:t>
      </w:r>
    </w:p>
    <w:p w14:paraId="5FDC6C9A">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1.为确保产品在运输或者储存期间保持某种状态而进行的操作；</w:t>
      </w:r>
    </w:p>
    <w:p w14:paraId="057C629F">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2.为产品运输或者销售进行的包装或者展示；</w:t>
      </w:r>
    </w:p>
    <w:p w14:paraId="4CE5C8CD">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3.在产品或者其包装上粘贴或者印刷品牌、标志、标识以及其他用于区别的标记；</w:t>
      </w:r>
    </w:p>
    <w:p w14:paraId="73FF7AC1">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4.简单的上漆、磨光和分装；</w:t>
      </w:r>
    </w:p>
    <w:p w14:paraId="3FF25A0D">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5.其他不属于属性改变的情形。</w:t>
      </w:r>
    </w:p>
    <w:p w14:paraId="09042BC8">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（二）在中国境内生产的组件成本占比达到规定比例</w:t>
      </w:r>
    </w:p>
    <w:p w14:paraId="236B7411">
      <w:pPr>
        <w:spacing w:line="400" w:lineRule="exact"/>
        <w:ind w:firstLine="452"/>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产品在中国境内生产的组件成本占比应当达到规定比例，计算公式为：</w:t>
      </w:r>
    </w:p>
    <w:p w14:paraId="69A0B02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color w:val="auto"/>
          <w:highlight w:val="none"/>
        </w:rPr>
      </w:pPr>
      <w:r>
        <w:rPr>
          <w:rFonts w:hint="eastAsia" w:ascii="微软雅黑" w:hAnsi="微软雅黑" w:eastAsia="微软雅黑" w:cs="微软雅黑"/>
          <w:i w:val="0"/>
          <w:iCs w:val="0"/>
          <w:caps w:val="0"/>
          <w:color w:val="auto"/>
          <w:spacing w:val="0"/>
          <w:sz w:val="21"/>
          <w:szCs w:val="21"/>
          <w:highlight w:val="none"/>
        </w:rPr>
        <w:drawing>
          <wp:inline distT="0" distB="0" distL="114300" distR="114300">
            <wp:extent cx="4829175" cy="76200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024ED63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16851A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（三）特定产品的关键组件、关键工序符合相关要求</w:t>
      </w:r>
    </w:p>
    <w:p w14:paraId="734D0B1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对特定产品，在符合本通知第一条第（一）项和第（二）项条件的基础上，应当符合财政部会同有关行业主管部门确定的其关键组件、关键工序在中国境内生产、完成等要求。</w:t>
      </w:r>
    </w:p>
    <w:p w14:paraId="1487698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736E30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二、本国产品标准的适用范围</w:t>
      </w:r>
    </w:p>
    <w:p w14:paraId="445B594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BA495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三、对本国产品的支持政策</w:t>
      </w:r>
    </w:p>
    <w:p w14:paraId="2E69F24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政府采购活动中既有本国产品又有非本国产品参与竞争的，依法对本国产品给予价格评审优惠，对本国产品的报价给予20%的价格扣除，用扣除后的价格参与评审。</w:t>
      </w:r>
    </w:p>
    <w:p w14:paraId="0B2A157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B8DEED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四、政策执行要求</w:t>
      </w:r>
    </w:p>
    <w:p w14:paraId="16BD067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（一）产品在中国境内生产的组件成本核算规则。产品在中国境内生产的组件成本，按照《中国境内生产的组件成本核算基本规则》（见附件1）计算。</w:t>
      </w:r>
    </w:p>
    <w:p w14:paraId="783190C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91AF5C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采购人、采购代理机构应当随中标、成交结果同时公告中标、成交供应商提供的《声明函》或有关证明文件。</w:t>
      </w:r>
    </w:p>
    <w:p w14:paraId="526F2C7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643FF59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（四）中华人民共和国缔结或者共同参加的国际条约、协定对政府采购中本国产品政策另有规定的，按照有关条约、协定执行。</w:t>
      </w:r>
    </w:p>
    <w:p w14:paraId="11B0EA4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五、争议处理</w:t>
      </w:r>
    </w:p>
    <w:p w14:paraId="2075A89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A7C951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（一）政府采购投诉处理、监督检查中，对产品或组件是否在中国境内生产存在争议的，按照以下原则处理：</w:t>
      </w:r>
    </w:p>
    <w:p w14:paraId="2EDD9C2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BAC8C4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801E7E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43B9108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DC1E18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21300D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本通知自2026年1月1日起施行。</w:t>
      </w:r>
    </w:p>
    <w:p w14:paraId="0F73AB6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w:t>
      </w:r>
    </w:p>
    <w:p w14:paraId="42F67AE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附件：1.中国境内生产的组件成本核算基本规则</w:t>
      </w:r>
    </w:p>
    <w:p w14:paraId="08CAC70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2.关于符合本国产品标准的声明函</w:t>
      </w:r>
    </w:p>
    <w:p w14:paraId="1E46CB6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国务院办公厅　        </w:t>
      </w:r>
    </w:p>
    <w:p w14:paraId="66B395F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2025年9月28日         </w:t>
      </w:r>
    </w:p>
    <w:p w14:paraId="59030FE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（此件公开发布）</w:t>
      </w:r>
    </w:p>
    <w:p w14:paraId="6D93942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auto"/>
          <w:highlight w:val="none"/>
        </w:rPr>
      </w:pPr>
      <w:r>
        <w:rPr>
          <w:rFonts w:hint="eastAsia" w:ascii="微软雅黑" w:hAnsi="微软雅黑" w:eastAsia="微软雅黑" w:cs="微软雅黑"/>
          <w:i w:val="0"/>
          <w:iCs w:val="0"/>
          <w:caps w:val="0"/>
          <w:color w:val="auto"/>
          <w:spacing w:val="0"/>
          <w:sz w:val="21"/>
          <w:szCs w:val="21"/>
          <w:highlight w:val="none"/>
        </w:rPr>
        <w:t> </w:t>
      </w:r>
    </w:p>
    <w:p w14:paraId="19F2AC2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auto"/>
          <w:highlight w:val="none"/>
        </w:rPr>
      </w:pPr>
      <w:r>
        <w:rPr>
          <w:rFonts w:hint="eastAsia" w:ascii="微软雅黑" w:hAnsi="微软雅黑" w:eastAsia="微软雅黑" w:cs="微软雅黑"/>
          <w:i w:val="0"/>
          <w:iCs w:val="0"/>
          <w:caps w:val="0"/>
          <w:color w:val="auto"/>
          <w:spacing w:val="0"/>
          <w:sz w:val="21"/>
          <w:szCs w:val="21"/>
          <w:highlight w:val="none"/>
        </w:rPr>
        <w:t> </w:t>
      </w:r>
    </w:p>
    <w:p w14:paraId="689AAC0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6D5C8AB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48A1F66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p>
    <w:p w14:paraId="0453CB7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r>
        <w:rPr>
          <w:rFonts w:hint="eastAsia" w:ascii="宋体" w:hAnsi="宋体" w:eastAsia="宋体" w:cs="宋体"/>
          <w:b/>
          <w:bCs/>
          <w:color w:val="auto"/>
          <w:spacing w:val="8"/>
          <w:kern w:val="2"/>
          <w:sz w:val="21"/>
          <w:szCs w:val="21"/>
          <w:highlight w:val="none"/>
          <w:lang w:val="en-US" w:eastAsia="zh-CN" w:bidi="ar-SA"/>
        </w:rPr>
        <w:t>附件1</w:t>
      </w:r>
    </w:p>
    <w:p w14:paraId="4CDEF34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r>
        <w:rPr>
          <w:rFonts w:hint="eastAsia" w:ascii="宋体" w:hAnsi="宋体" w:eastAsia="宋体" w:cs="宋体"/>
          <w:b/>
          <w:bCs/>
          <w:color w:val="auto"/>
          <w:spacing w:val="8"/>
          <w:kern w:val="2"/>
          <w:sz w:val="21"/>
          <w:szCs w:val="21"/>
          <w:highlight w:val="none"/>
          <w:lang w:val="en-US" w:eastAsia="zh-CN" w:bidi="ar-SA"/>
        </w:rPr>
        <w:t> </w:t>
      </w:r>
    </w:p>
    <w:p w14:paraId="50572BE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center"/>
        <w:rPr>
          <w:rFonts w:hint="eastAsia" w:ascii="宋体" w:hAnsi="宋体" w:eastAsia="宋体" w:cs="宋体"/>
          <w:b/>
          <w:bCs/>
          <w:color w:val="auto"/>
          <w:spacing w:val="8"/>
          <w:kern w:val="2"/>
          <w:sz w:val="21"/>
          <w:szCs w:val="21"/>
          <w:highlight w:val="none"/>
          <w:lang w:val="en-US" w:eastAsia="zh-CN" w:bidi="ar-SA"/>
        </w:rPr>
      </w:pPr>
      <w:r>
        <w:rPr>
          <w:rFonts w:hint="eastAsia" w:ascii="宋体" w:hAnsi="宋体" w:eastAsia="宋体" w:cs="宋体"/>
          <w:b/>
          <w:bCs/>
          <w:color w:val="auto"/>
          <w:spacing w:val="8"/>
          <w:kern w:val="2"/>
          <w:sz w:val="21"/>
          <w:szCs w:val="21"/>
          <w:highlight w:val="none"/>
          <w:lang w:val="en-US" w:eastAsia="zh-CN" w:bidi="ar-SA"/>
        </w:rPr>
        <w:t>中国境内生产的组件成本核算基本规则</w:t>
      </w:r>
    </w:p>
    <w:p w14:paraId="3B8E5FA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rPr>
          <w:color w:val="auto"/>
          <w:highlight w:val="none"/>
        </w:rPr>
      </w:pPr>
      <w:r>
        <w:rPr>
          <w:rFonts w:hint="eastAsia" w:ascii="微软雅黑" w:hAnsi="微软雅黑" w:eastAsia="微软雅黑" w:cs="微软雅黑"/>
          <w:i w:val="0"/>
          <w:iCs w:val="0"/>
          <w:caps w:val="0"/>
          <w:color w:val="auto"/>
          <w:spacing w:val="0"/>
          <w:sz w:val="21"/>
          <w:szCs w:val="21"/>
          <w:highlight w:val="none"/>
        </w:rPr>
        <w:t> </w:t>
      </w:r>
    </w:p>
    <w:p w14:paraId="07114A1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B90E90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一、产品的一级组件是指直接组成产品的组件。产品的二级组件是指直接组成产品一级组件的组件。一级组件不可分解的，视同二级组件。</w:t>
      </w:r>
    </w:p>
    <w:p w14:paraId="57B196F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二、二级组件在中国境内生产的，其全部成本计入中国境内生产的组件成本；二级组件不在中国境内生产的，其成本不计入中国境内生产的组件成本。</w:t>
      </w:r>
    </w:p>
    <w:p w14:paraId="31B0A9A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三、产品总成本和组件成本以相关会计核算数据、采购合同、进货记录等为基础进行计算。</w:t>
      </w:r>
    </w:p>
    <w:p w14:paraId="2359960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auto"/>
          <w:highlight w:val="none"/>
        </w:rPr>
      </w:pPr>
      <w:r>
        <w:rPr>
          <w:rFonts w:hint="eastAsia" w:ascii="宋体" w:hAnsi="宋体" w:eastAsia="宋体" w:cs="宋体"/>
          <w:color w:val="auto"/>
          <w:spacing w:val="8"/>
          <w:kern w:val="2"/>
          <w:sz w:val="21"/>
          <w:szCs w:val="21"/>
          <w:highlight w:val="none"/>
          <w:lang w:val="en-US" w:eastAsia="zh-CN" w:bidi="ar-SA"/>
        </w:rPr>
        <w:t>四、需要对成本核算规则予以进一步明确的其他有关事项，由财政部会同有关部门另行规定。</w:t>
      </w:r>
    </w:p>
    <w:p w14:paraId="7BAEEDF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auto"/>
          <w:highlight w:val="none"/>
        </w:rPr>
      </w:pPr>
      <w:r>
        <w:rPr>
          <w:rFonts w:hint="eastAsia" w:ascii="微软雅黑" w:hAnsi="微软雅黑" w:eastAsia="微软雅黑" w:cs="微软雅黑"/>
          <w:i w:val="0"/>
          <w:iCs w:val="0"/>
          <w:caps w:val="0"/>
          <w:color w:val="auto"/>
          <w:spacing w:val="0"/>
          <w:sz w:val="21"/>
          <w:szCs w:val="21"/>
          <w:highlight w:val="none"/>
        </w:rPr>
        <w:t> </w:t>
      </w:r>
    </w:p>
    <w:p w14:paraId="6B767AA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auto"/>
          <w:highlight w:val="none"/>
        </w:rPr>
      </w:pPr>
      <w:r>
        <w:rPr>
          <w:rFonts w:hint="eastAsia" w:ascii="微软雅黑" w:hAnsi="微软雅黑" w:eastAsia="微软雅黑" w:cs="微软雅黑"/>
          <w:i w:val="0"/>
          <w:iCs w:val="0"/>
          <w:caps w:val="0"/>
          <w:color w:val="auto"/>
          <w:spacing w:val="0"/>
          <w:sz w:val="21"/>
          <w:szCs w:val="21"/>
          <w:highlight w:val="none"/>
        </w:rPr>
        <w:t> </w:t>
      </w:r>
    </w:p>
    <w:p w14:paraId="4DA9178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0396DBB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1BD37E0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030BD7F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5711BB5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29E89F2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096B6239">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both"/>
        <w:rPr>
          <w:rStyle w:val="41"/>
          <w:rFonts w:hint="eastAsia" w:ascii="微软雅黑" w:hAnsi="微软雅黑" w:eastAsia="微软雅黑" w:cs="微软雅黑"/>
          <w:b/>
          <w:bCs/>
          <w:i w:val="0"/>
          <w:iCs w:val="0"/>
          <w:caps w:val="0"/>
          <w:color w:val="auto"/>
          <w:spacing w:val="0"/>
          <w:sz w:val="21"/>
          <w:szCs w:val="21"/>
          <w:highlight w:val="none"/>
        </w:rPr>
      </w:pPr>
    </w:p>
    <w:p w14:paraId="0FD3560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p>
    <w:p w14:paraId="33345BB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p>
    <w:p w14:paraId="62B503D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p>
    <w:p w14:paraId="1F30393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p>
    <w:p w14:paraId="1BEB62A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p>
    <w:p w14:paraId="1400A02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b/>
          <w:bCs/>
          <w:color w:val="auto"/>
          <w:spacing w:val="8"/>
          <w:kern w:val="2"/>
          <w:sz w:val="21"/>
          <w:szCs w:val="21"/>
          <w:highlight w:val="none"/>
          <w:lang w:val="en-US" w:eastAsia="zh-CN" w:bidi="ar-SA"/>
        </w:rPr>
      </w:pPr>
      <w:r>
        <w:rPr>
          <w:rFonts w:hint="eastAsia" w:ascii="宋体" w:hAnsi="宋体" w:eastAsia="宋体" w:cs="宋体"/>
          <w:b/>
          <w:bCs/>
          <w:color w:val="auto"/>
          <w:spacing w:val="8"/>
          <w:kern w:val="2"/>
          <w:sz w:val="21"/>
          <w:szCs w:val="21"/>
          <w:highlight w:val="none"/>
          <w:lang w:val="en-US" w:eastAsia="zh-CN" w:bidi="ar-SA"/>
        </w:rPr>
        <w:t>附件2</w:t>
      </w:r>
    </w:p>
    <w:p w14:paraId="2C8EA57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center"/>
        <w:rPr>
          <w:rFonts w:hint="eastAsia" w:ascii="宋体" w:hAnsi="宋体" w:eastAsia="宋体" w:cs="宋体"/>
          <w:b/>
          <w:bCs/>
          <w:color w:val="auto"/>
          <w:spacing w:val="8"/>
          <w:kern w:val="2"/>
          <w:sz w:val="21"/>
          <w:szCs w:val="21"/>
          <w:highlight w:val="none"/>
          <w:lang w:val="en-US" w:eastAsia="zh-CN" w:bidi="ar-SA"/>
        </w:rPr>
      </w:pPr>
      <w:r>
        <w:rPr>
          <w:rFonts w:hint="eastAsia" w:ascii="宋体" w:hAnsi="宋体" w:eastAsia="宋体" w:cs="宋体"/>
          <w:b/>
          <w:bCs/>
          <w:color w:val="auto"/>
          <w:spacing w:val="8"/>
          <w:kern w:val="2"/>
          <w:sz w:val="21"/>
          <w:szCs w:val="21"/>
          <w:highlight w:val="none"/>
          <w:lang w:val="en-US" w:eastAsia="zh-CN" w:bidi="ar-SA"/>
        </w:rPr>
        <w:t> </w:t>
      </w:r>
    </w:p>
    <w:p w14:paraId="1ADF5F4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center"/>
        <w:rPr>
          <w:rFonts w:hint="eastAsia" w:ascii="宋体" w:hAnsi="宋体" w:eastAsia="宋体" w:cs="宋体"/>
          <w:b/>
          <w:bCs/>
          <w:color w:val="auto"/>
          <w:spacing w:val="8"/>
          <w:kern w:val="2"/>
          <w:sz w:val="21"/>
          <w:szCs w:val="21"/>
          <w:highlight w:val="none"/>
          <w:lang w:val="en-US" w:eastAsia="zh-CN" w:bidi="ar-SA"/>
        </w:rPr>
      </w:pPr>
      <w:r>
        <w:rPr>
          <w:rFonts w:hint="eastAsia" w:ascii="宋体" w:hAnsi="宋体" w:eastAsia="宋体" w:cs="宋体"/>
          <w:b/>
          <w:bCs/>
          <w:color w:val="auto"/>
          <w:spacing w:val="8"/>
          <w:kern w:val="2"/>
          <w:sz w:val="21"/>
          <w:szCs w:val="21"/>
          <w:highlight w:val="none"/>
          <w:lang w:val="en-US" w:eastAsia="zh-CN" w:bidi="ar-SA"/>
        </w:rPr>
        <w:t>关于符合本国产品标准的声明函</w:t>
      </w:r>
    </w:p>
    <w:p w14:paraId="75B8B6F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auto"/>
          <w:highlight w:val="none"/>
        </w:rPr>
      </w:pPr>
      <w:r>
        <w:rPr>
          <w:rFonts w:hint="eastAsia" w:ascii="微软雅黑" w:hAnsi="微软雅黑" w:eastAsia="微软雅黑" w:cs="微软雅黑"/>
          <w:i w:val="0"/>
          <w:iCs w:val="0"/>
          <w:caps w:val="0"/>
          <w:color w:val="auto"/>
          <w:spacing w:val="0"/>
          <w:sz w:val="21"/>
          <w:szCs w:val="21"/>
          <w:highlight w:val="none"/>
        </w:rPr>
        <w:t> </w:t>
      </w:r>
    </w:p>
    <w:p w14:paraId="282EAF1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4EF7FC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5104508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14F822A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w:t>
      </w:r>
    </w:p>
    <w:p w14:paraId="4E61A3A6">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本公司（单位）对上述声明内容的真实性负责。如有虚假，愿承担相应法律责任。</w:t>
      </w:r>
    </w:p>
    <w:p w14:paraId="0D9E9A9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w:t>
      </w:r>
    </w:p>
    <w:p w14:paraId="4A7DCAC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公司（单位）名称（盖章）：　        </w:t>
      </w:r>
    </w:p>
    <w:p w14:paraId="1A92B10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日期：　     年　  月　  日         </w:t>
      </w:r>
    </w:p>
    <w:p w14:paraId="06191BE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__________________</w:t>
      </w:r>
    </w:p>
    <w:p w14:paraId="10B77A6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1.产品如有型号，请在“产品名称”栏一并填写。</w:t>
      </w:r>
    </w:p>
    <w:p w14:paraId="686BA23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2.生产厂名与厂址应与生产厂营业执照载明的相关信息保持一致。</w:t>
      </w:r>
    </w:p>
    <w:p w14:paraId="1017383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3.该产品的中国境内生产的组件成本占比相关要求实施前，“规定比例”栏可不填，下同。</w:t>
      </w:r>
    </w:p>
    <w:p w14:paraId="6185ECA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4.该产品的关键组件要求实施前，“关键组件”栏可不填，下同。</w:t>
      </w:r>
    </w:p>
    <w:p w14:paraId="2B40D1D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5.该产品的关键工序要求实施前，“关键工序”栏可不填，下同。</w:t>
      </w:r>
    </w:p>
    <w:p w14:paraId="4C043282">
      <w:pPr>
        <w:rPr>
          <w:rFonts w:ascii="宋体" w:hAnsi="宋体" w:eastAsia="宋体" w:cs="宋体"/>
          <w:color w:val="auto"/>
          <w:highlight w:val="none"/>
        </w:rPr>
      </w:pPr>
    </w:p>
    <w:p w14:paraId="42FC6FB5">
      <w:pPr>
        <w:rPr>
          <w:color w:val="auto"/>
          <w:highlight w:val="none"/>
        </w:rPr>
      </w:pPr>
      <w:r>
        <w:rPr>
          <w:color w:val="auto"/>
          <w:highlight w:val="none"/>
        </w:rPr>
        <w:br w:type="page"/>
      </w:r>
    </w:p>
    <w:p w14:paraId="2B19CA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center"/>
        <w:rPr>
          <w:rFonts w:ascii="微软雅黑" w:hAnsi="微软雅黑" w:eastAsia="微软雅黑" w:cs="微软雅黑"/>
          <w:b/>
          <w:bCs/>
          <w:i w:val="0"/>
          <w:iCs w:val="0"/>
          <w:caps w:val="0"/>
          <w:color w:val="auto"/>
          <w:spacing w:val="0"/>
          <w:sz w:val="40"/>
          <w:szCs w:val="40"/>
          <w:highlight w:val="none"/>
        </w:rPr>
      </w:pPr>
      <w:r>
        <w:rPr>
          <w:rFonts w:hint="eastAsia" w:ascii="微软雅黑" w:hAnsi="微软雅黑" w:eastAsia="微软雅黑" w:cs="微软雅黑"/>
          <w:b/>
          <w:bCs/>
          <w:i w:val="0"/>
          <w:iCs w:val="0"/>
          <w:caps w:val="0"/>
          <w:color w:val="auto"/>
          <w:spacing w:val="0"/>
          <w:kern w:val="0"/>
          <w:sz w:val="40"/>
          <w:szCs w:val="40"/>
          <w:highlight w:val="none"/>
          <w:shd w:val="clear" w:fill="FFFFFF"/>
          <w:lang w:val="en-US" w:eastAsia="zh-CN" w:bidi="ar"/>
        </w:rPr>
        <w:t>关于推动解决政府采购异常低价问题的通知</w:t>
      </w:r>
    </w:p>
    <w:p w14:paraId="0F58D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0" w:afterAutospacing="0" w:line="300" w:lineRule="atLeast"/>
        <w:ind w:left="0" w:right="0" w:firstLine="0"/>
        <w:jc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kern w:val="0"/>
          <w:sz w:val="21"/>
          <w:szCs w:val="21"/>
          <w:highlight w:val="none"/>
          <w:shd w:val="clear" w:fill="FFFFFF"/>
          <w:lang w:val="en-US" w:eastAsia="zh-CN" w:bidi="ar"/>
        </w:rPr>
        <w:t>财库〔2026〕2号</w:t>
      </w:r>
    </w:p>
    <w:p w14:paraId="09073E1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各中央预算单位，各省、自治区、直辖市、计划单列市财政厅（局），新疆生产建设兵团财政局： </w:t>
      </w:r>
    </w:p>
    <w:p w14:paraId="17F8D5A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为整治政府采购领域内卷式竞争，形成优质优价、良性竞争的市场秩序，现就推动解决政府采购异常低价问题有关事项通知如下： </w:t>
      </w:r>
    </w:p>
    <w:p w14:paraId="5F202E7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一、加强政府采购需求管理 </w:t>
      </w:r>
    </w:p>
    <w:p w14:paraId="063EF34D">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w:t>
      </w:r>
    </w:p>
    <w:p w14:paraId="3EC97C82">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 </w:t>
      </w:r>
    </w:p>
    <w:p w14:paraId="6F8A780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14:paraId="495794F8">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二、强化政府采购异常低价审查 </w:t>
      </w:r>
    </w:p>
    <w:p w14:paraId="5B90584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（一）采购人应当在采购文件中明确，政府采购评审中出现下列情形之一的，评审委员会应当启动异常低价投标（响应）审查程序： </w:t>
      </w:r>
    </w:p>
    <w:p w14:paraId="64A78C4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1.投标（响应）报价低于全部通过符合性审查供应商投标（响应）报价平均值50%的，即投标（响应）报价&lt;全部通过符合性审查供应商投标（响应）报价平均值×50%； </w:t>
      </w:r>
    </w:p>
    <w:p w14:paraId="6A53E41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2.投标（响应）报价低于通过符合性审查的次低报价供应商投标（响应）报价50%的，即投标（响应）报价&lt;通过符合性审查的次低报价供应商投标（响应）报价×50%； </w:t>
      </w:r>
    </w:p>
    <w:p w14:paraId="225148B3">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3.投标（响应）报价低于采购项目最高限价45%的，即投标（响应）报价&lt;采购项目最高限价×45%； </w:t>
      </w:r>
    </w:p>
    <w:p w14:paraId="1695B41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4.评审委员会基于专业判断，认为供应商报价过低，有可能影响产品质量或者不能诚信履约的其他情形。 </w:t>
      </w:r>
    </w:p>
    <w:p w14:paraId="08FD0E4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采购人可以结合具体项目实际情况，提高上述第1项至第3项中启动异常低价投标（响应）审查的数值标准，但是最高不得超过65%。 </w:t>
      </w:r>
    </w:p>
    <w:p w14:paraId="3E13D74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相关法律法规对供应商报价有规定的，从其规定。 </w:t>
      </w:r>
    </w:p>
    <w:p w14:paraId="080EFB54">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5C3EFDE">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7A55023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2F4297B">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异常低价投标（响应）审查的启动原因、审查意见和审查结果应当在评审报告中记录，并随供应商提供的相关书面说明及证明材料，以及评审委员会有关互联网浏览、查询历史一并归档。 </w:t>
      </w:r>
    </w:p>
    <w:p w14:paraId="11E67B0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5DEB2A45">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三、加强政府采购履约验收管理 </w:t>
      </w:r>
    </w:p>
    <w:p w14:paraId="008CE8D0">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w:t>
      </w:r>
    </w:p>
    <w:p w14:paraId="4A7AF947">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 </w:t>
      </w:r>
    </w:p>
    <w:p w14:paraId="19B8AF21">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　　本通知自2026年2月1日起施行。 </w:t>
      </w:r>
    </w:p>
    <w:p w14:paraId="6BE58CCF">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right"/>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财政部</w:t>
      </w:r>
    </w:p>
    <w:p w14:paraId="46C1048C">
      <w:pPr>
        <w:pStyle w:val="3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right"/>
        <w:rPr>
          <w:rFonts w:hint="eastAsia" w:ascii="宋体" w:hAnsi="宋体" w:eastAsia="宋体" w:cs="宋体"/>
          <w:color w:val="auto"/>
          <w:spacing w:val="8"/>
          <w:kern w:val="2"/>
          <w:sz w:val="21"/>
          <w:szCs w:val="21"/>
          <w:highlight w:val="none"/>
          <w:lang w:val="en-US" w:eastAsia="zh-CN" w:bidi="ar-SA"/>
        </w:rPr>
      </w:pPr>
      <w:r>
        <w:rPr>
          <w:rFonts w:hint="eastAsia" w:ascii="宋体" w:hAnsi="宋体" w:eastAsia="宋体" w:cs="宋体"/>
          <w:color w:val="auto"/>
          <w:spacing w:val="8"/>
          <w:kern w:val="2"/>
          <w:sz w:val="21"/>
          <w:szCs w:val="21"/>
          <w:highlight w:val="none"/>
          <w:lang w:val="en-US" w:eastAsia="zh-CN" w:bidi="ar-SA"/>
        </w:rPr>
        <w:t>2026年1月14日</w:t>
      </w:r>
    </w:p>
    <w:p w14:paraId="01EB28B8">
      <w:pPr>
        <w:spacing w:line="400" w:lineRule="exact"/>
        <w:ind w:firstLine="452"/>
        <w:rPr>
          <w:rFonts w:ascii="宋体" w:hAnsi="宋体" w:cs="宋体"/>
          <w:color w:val="000000" w:themeColor="text1"/>
          <w:spacing w:val="8"/>
          <w:szCs w:val="21"/>
          <w:highlight w:val="none"/>
        </w:rPr>
      </w:pPr>
    </w:p>
    <w:sectPr>
      <w:pgSz w:w="11906" w:h="16838"/>
      <w:pgMar w:top="1134" w:right="1418" w:bottom="1134"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9084CA-2A89-402E-901E-7E490E9632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2" w:fontKey="{C8BA7D8B-4DB3-44C6-A3CB-D3A4D90C7607}"/>
  </w:font>
  <w:font w:name="仿宋">
    <w:panose1 w:val="02010609060101010101"/>
    <w:charset w:val="86"/>
    <w:family w:val="modern"/>
    <w:pitch w:val="default"/>
    <w:sig w:usb0="800002BF" w:usb1="38CF7CFA" w:usb2="00000016" w:usb3="00000000" w:csb0="00040001" w:csb1="00000000"/>
    <w:embedRegular r:id="rId3" w:fontKey="{101CB778-F593-4016-AA49-2C67349CD3F9}"/>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embedRegular r:id="rId4" w:fontKey="{1986097B-6C12-449A-B1C1-204CFB6D4AF3}"/>
  </w:font>
  <w:font w:name="方正小标宋简体">
    <w:altName w:val="黑体"/>
    <w:panose1 w:val="00000000000000000000"/>
    <w:charset w:val="86"/>
    <w:family w:val="auto"/>
    <w:pitch w:val="default"/>
    <w:sig w:usb0="00000000" w:usb1="00000000" w:usb2="00000000" w:usb3="00000000" w:csb0="00040000" w:csb1="00000000"/>
    <w:embedRegular r:id="rId5" w:fontKey="{5B3C94E7-B03F-44FA-9DF6-F6F96E1705D7}"/>
  </w:font>
  <w:font w:name="Wingdings 2">
    <w:panose1 w:val="05020102010507070707"/>
    <w:charset w:val="02"/>
    <w:family w:val="roman"/>
    <w:pitch w:val="default"/>
    <w:sig w:usb0="00000000" w:usb1="00000000" w:usb2="00000000" w:usb3="00000000" w:csb0="80000000" w:csb1="00000000"/>
    <w:embedRegular r:id="rId6" w:fontKey="{71560182-C877-4DD3-BAC7-A7778D6A8499}"/>
  </w:font>
  <w:font w:name="WPSEMBED1">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F7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EE38B">
    <w:pPr>
      <w:pStyle w:val="25"/>
      <w:framePr w:wrap="around" w:vAnchor="text" w:hAnchor="margin" w:xAlign="center" w:y="1"/>
      <w:rPr>
        <w:rStyle w:val="42"/>
      </w:rPr>
    </w:pPr>
    <w:r>
      <w:fldChar w:fldCharType="begin"/>
    </w:r>
    <w:r>
      <w:rPr>
        <w:rStyle w:val="42"/>
      </w:rPr>
      <w:instrText xml:space="preserve">PAGE  </w:instrText>
    </w:r>
    <w:r>
      <w:fldChar w:fldCharType="separate"/>
    </w:r>
    <w:r>
      <w:rPr>
        <w:rStyle w:val="42"/>
      </w:rPr>
      <w:t>78</w:t>
    </w:r>
    <w:r>
      <w:fldChar w:fldCharType="end"/>
    </w:r>
  </w:p>
  <w:p w14:paraId="6B95E130">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FAB88">
    <w:pPr>
      <w:pStyle w:val="25"/>
      <w:tabs>
        <w:tab w:val="left" w:pos="6795"/>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763D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8DFBC">
    <w:pPr>
      <w:pStyle w:val="2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254D4675">
                <w:pPr>
                  <w:pStyle w:val="25"/>
                </w:pPr>
                <w:r>
                  <w:fldChar w:fldCharType="begin"/>
                </w:r>
                <w:r>
                  <w:instrText xml:space="preserve"> PAGE  \* MERGEFORMAT </w:instrText>
                </w:r>
                <w:r>
                  <w:fldChar w:fldCharType="separate"/>
                </w:r>
                <w:r>
                  <w:t>38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CCCE">
    <w:pPr>
      <w:pStyle w:val="25"/>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2321A48E">
                <w:pPr>
                  <w:pStyle w:val="25"/>
                </w:pPr>
                <w:r>
                  <w:fldChar w:fldCharType="begin"/>
                </w:r>
                <w:r>
                  <w:instrText xml:space="preserve"> PAGE  \* MERGEFORMAT </w:instrText>
                </w:r>
                <w:r>
                  <w:fldChar w:fldCharType="separate"/>
                </w:r>
                <w:r>
                  <w:t>67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E5B96">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FCB3">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1619">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9E3ED"/>
    <w:multiLevelType w:val="multilevel"/>
    <w:tmpl w:val="AD19E3ED"/>
    <w:lvl w:ilvl="0" w:tentative="0">
      <w:start w:val="1"/>
      <w:numFmt w:val="chineseCounting"/>
      <w:pStyle w:val="3"/>
      <w:suff w:val="nothing"/>
      <w:lvlText w:val="第%1章 "/>
      <w:lvlJc w:val="left"/>
      <w:pPr>
        <w:ind w:left="0" w:firstLine="402"/>
      </w:pPr>
      <w:rPr>
        <w:rFonts w:hint="eastAsia"/>
        <w:sz w:val="44"/>
        <w:szCs w:val="44"/>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8730B7B"/>
    <w:multiLevelType w:val="singleLevel"/>
    <w:tmpl w:val="D8730B7B"/>
    <w:lvl w:ilvl="0" w:tentative="0">
      <w:start w:val="1"/>
      <w:numFmt w:val="chineseCounting"/>
      <w:suff w:val="nothing"/>
      <w:lvlText w:val="%1、"/>
      <w:lvlJc w:val="left"/>
      <w:rPr>
        <w:rFonts w:hint="eastAsia"/>
      </w:rPr>
    </w:lvl>
  </w:abstractNum>
  <w:abstractNum w:abstractNumId="2">
    <w:nsid w:val="15099E39"/>
    <w:multiLevelType w:val="singleLevel"/>
    <w:tmpl w:val="15099E39"/>
    <w:lvl w:ilvl="0" w:tentative="0">
      <w:start w:val="7"/>
      <w:numFmt w:val="chineseCounting"/>
      <w:suff w:val="nothing"/>
      <w:lvlText w:val="%1、"/>
      <w:lvlJc w:val="left"/>
      <w:rPr>
        <w:rFonts w:hint="eastAsia"/>
      </w:rPr>
    </w:lvl>
  </w:abstractNum>
  <w:abstractNum w:abstractNumId="3">
    <w:nsid w:val="349D8517"/>
    <w:multiLevelType w:val="singleLevel"/>
    <w:tmpl w:val="349D8517"/>
    <w:lvl w:ilvl="0" w:tentative="0">
      <w:start w:val="1"/>
      <w:numFmt w:val="decimal"/>
      <w:suff w:val="nothing"/>
      <w:lvlText w:val="%1、"/>
      <w:lvlJc w:val="left"/>
    </w:lvl>
  </w:abstractNum>
  <w:abstractNum w:abstractNumId="4">
    <w:nsid w:val="4EEB5ED9"/>
    <w:multiLevelType w:val="singleLevel"/>
    <w:tmpl w:val="4EEB5ED9"/>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g1NmJjMjFiNTQ1OTkyZmQxZWRhNmFjMmJmZjRlMDYifQ=="/>
  </w:docVars>
  <w:rsids>
    <w:rsidRoot w:val="00172A27"/>
    <w:rsid w:val="0000127A"/>
    <w:rsid w:val="000046E4"/>
    <w:rsid w:val="0000600D"/>
    <w:rsid w:val="00010974"/>
    <w:rsid w:val="00010D74"/>
    <w:rsid w:val="00011097"/>
    <w:rsid w:val="000125FF"/>
    <w:rsid w:val="00014BD2"/>
    <w:rsid w:val="000151D0"/>
    <w:rsid w:val="0002006B"/>
    <w:rsid w:val="000200E6"/>
    <w:rsid w:val="000219C1"/>
    <w:rsid w:val="000222C3"/>
    <w:rsid w:val="0003050C"/>
    <w:rsid w:val="00032252"/>
    <w:rsid w:val="00032C03"/>
    <w:rsid w:val="00032CE7"/>
    <w:rsid w:val="00033098"/>
    <w:rsid w:val="0003309A"/>
    <w:rsid w:val="000344EB"/>
    <w:rsid w:val="00037005"/>
    <w:rsid w:val="00037FA1"/>
    <w:rsid w:val="00040207"/>
    <w:rsid w:val="00040C2A"/>
    <w:rsid w:val="000415BC"/>
    <w:rsid w:val="00041A17"/>
    <w:rsid w:val="0004360F"/>
    <w:rsid w:val="000436B4"/>
    <w:rsid w:val="00044E26"/>
    <w:rsid w:val="00045457"/>
    <w:rsid w:val="00046B26"/>
    <w:rsid w:val="0005142E"/>
    <w:rsid w:val="00053CE3"/>
    <w:rsid w:val="00053D32"/>
    <w:rsid w:val="000564DD"/>
    <w:rsid w:val="000571DB"/>
    <w:rsid w:val="00060D3F"/>
    <w:rsid w:val="00061102"/>
    <w:rsid w:val="00062204"/>
    <w:rsid w:val="00062361"/>
    <w:rsid w:val="00062603"/>
    <w:rsid w:val="000640F9"/>
    <w:rsid w:val="000646A3"/>
    <w:rsid w:val="00066E42"/>
    <w:rsid w:val="00072E30"/>
    <w:rsid w:val="000749B0"/>
    <w:rsid w:val="00083EEE"/>
    <w:rsid w:val="00084F26"/>
    <w:rsid w:val="000861E8"/>
    <w:rsid w:val="00086E4F"/>
    <w:rsid w:val="00086FA6"/>
    <w:rsid w:val="0009068A"/>
    <w:rsid w:val="00092B68"/>
    <w:rsid w:val="00095698"/>
    <w:rsid w:val="00095CE3"/>
    <w:rsid w:val="000966F1"/>
    <w:rsid w:val="000A06E4"/>
    <w:rsid w:val="000A0823"/>
    <w:rsid w:val="000A229C"/>
    <w:rsid w:val="000A4704"/>
    <w:rsid w:val="000A610B"/>
    <w:rsid w:val="000A7E4A"/>
    <w:rsid w:val="000B00B7"/>
    <w:rsid w:val="000B07E4"/>
    <w:rsid w:val="000B19CA"/>
    <w:rsid w:val="000B552C"/>
    <w:rsid w:val="000C4DBE"/>
    <w:rsid w:val="000C5BCA"/>
    <w:rsid w:val="000D1CD0"/>
    <w:rsid w:val="000D78B7"/>
    <w:rsid w:val="000E0C7D"/>
    <w:rsid w:val="000E110B"/>
    <w:rsid w:val="000E15BE"/>
    <w:rsid w:val="000E1BA4"/>
    <w:rsid w:val="000E1D72"/>
    <w:rsid w:val="000E2328"/>
    <w:rsid w:val="000E344B"/>
    <w:rsid w:val="000E5FEC"/>
    <w:rsid w:val="000F25C5"/>
    <w:rsid w:val="000F298B"/>
    <w:rsid w:val="000F356D"/>
    <w:rsid w:val="000F3915"/>
    <w:rsid w:val="000F3A51"/>
    <w:rsid w:val="000F6D32"/>
    <w:rsid w:val="000F71F0"/>
    <w:rsid w:val="000F72C9"/>
    <w:rsid w:val="000F78AE"/>
    <w:rsid w:val="000F7D3F"/>
    <w:rsid w:val="00100761"/>
    <w:rsid w:val="00101FFF"/>
    <w:rsid w:val="0010598A"/>
    <w:rsid w:val="00111685"/>
    <w:rsid w:val="00120AAE"/>
    <w:rsid w:val="00121240"/>
    <w:rsid w:val="00122ED0"/>
    <w:rsid w:val="00123224"/>
    <w:rsid w:val="0012586A"/>
    <w:rsid w:val="00130B36"/>
    <w:rsid w:val="00133DC7"/>
    <w:rsid w:val="001347DE"/>
    <w:rsid w:val="00136E66"/>
    <w:rsid w:val="00140E32"/>
    <w:rsid w:val="00142E14"/>
    <w:rsid w:val="001438F5"/>
    <w:rsid w:val="00146C4A"/>
    <w:rsid w:val="00147B57"/>
    <w:rsid w:val="001512A3"/>
    <w:rsid w:val="00152F88"/>
    <w:rsid w:val="00154C6F"/>
    <w:rsid w:val="00156533"/>
    <w:rsid w:val="00164525"/>
    <w:rsid w:val="001658AF"/>
    <w:rsid w:val="0016618E"/>
    <w:rsid w:val="00166ED5"/>
    <w:rsid w:val="00171BE9"/>
    <w:rsid w:val="00172280"/>
    <w:rsid w:val="00172A27"/>
    <w:rsid w:val="00172BD7"/>
    <w:rsid w:val="001744F6"/>
    <w:rsid w:val="001750C6"/>
    <w:rsid w:val="001757BF"/>
    <w:rsid w:val="001773FD"/>
    <w:rsid w:val="00180575"/>
    <w:rsid w:val="001814BE"/>
    <w:rsid w:val="0018334D"/>
    <w:rsid w:val="00187B23"/>
    <w:rsid w:val="001911C0"/>
    <w:rsid w:val="001917B7"/>
    <w:rsid w:val="0019241A"/>
    <w:rsid w:val="001938E2"/>
    <w:rsid w:val="00194F75"/>
    <w:rsid w:val="001954E3"/>
    <w:rsid w:val="001956F2"/>
    <w:rsid w:val="001973FE"/>
    <w:rsid w:val="001978B0"/>
    <w:rsid w:val="001A2289"/>
    <w:rsid w:val="001A38B0"/>
    <w:rsid w:val="001A79FC"/>
    <w:rsid w:val="001B0C35"/>
    <w:rsid w:val="001C0CD6"/>
    <w:rsid w:val="001C3EB4"/>
    <w:rsid w:val="001C3FBD"/>
    <w:rsid w:val="001C637E"/>
    <w:rsid w:val="001C6389"/>
    <w:rsid w:val="001C63E2"/>
    <w:rsid w:val="001C6661"/>
    <w:rsid w:val="001C6A8E"/>
    <w:rsid w:val="001C79CF"/>
    <w:rsid w:val="001C7D41"/>
    <w:rsid w:val="001D0872"/>
    <w:rsid w:val="001E0039"/>
    <w:rsid w:val="001F17CC"/>
    <w:rsid w:val="001F6242"/>
    <w:rsid w:val="001F730E"/>
    <w:rsid w:val="00200766"/>
    <w:rsid w:val="00201459"/>
    <w:rsid w:val="0020305C"/>
    <w:rsid w:val="00205EF2"/>
    <w:rsid w:val="002063A9"/>
    <w:rsid w:val="00207973"/>
    <w:rsid w:val="00210F33"/>
    <w:rsid w:val="00214CEF"/>
    <w:rsid w:val="0021505B"/>
    <w:rsid w:val="002161A6"/>
    <w:rsid w:val="00223FFF"/>
    <w:rsid w:val="00230623"/>
    <w:rsid w:val="00232D94"/>
    <w:rsid w:val="00234676"/>
    <w:rsid w:val="0023649E"/>
    <w:rsid w:val="00236C97"/>
    <w:rsid w:val="00240005"/>
    <w:rsid w:val="002408AE"/>
    <w:rsid w:val="00241875"/>
    <w:rsid w:val="00242A12"/>
    <w:rsid w:val="00243E6F"/>
    <w:rsid w:val="00243ECD"/>
    <w:rsid w:val="0024446A"/>
    <w:rsid w:val="00244E2B"/>
    <w:rsid w:val="002463D2"/>
    <w:rsid w:val="002463EA"/>
    <w:rsid w:val="0025010E"/>
    <w:rsid w:val="0025226A"/>
    <w:rsid w:val="002525C0"/>
    <w:rsid w:val="00254358"/>
    <w:rsid w:val="00256EA4"/>
    <w:rsid w:val="00257000"/>
    <w:rsid w:val="0025786E"/>
    <w:rsid w:val="00257AB2"/>
    <w:rsid w:val="00262786"/>
    <w:rsid w:val="00264C27"/>
    <w:rsid w:val="00264D2F"/>
    <w:rsid w:val="0026522F"/>
    <w:rsid w:val="002655ED"/>
    <w:rsid w:val="00271B79"/>
    <w:rsid w:val="00272443"/>
    <w:rsid w:val="002743CF"/>
    <w:rsid w:val="0028075C"/>
    <w:rsid w:val="00280E35"/>
    <w:rsid w:val="002811A6"/>
    <w:rsid w:val="00281AB3"/>
    <w:rsid w:val="00281EE0"/>
    <w:rsid w:val="00282923"/>
    <w:rsid w:val="00284F56"/>
    <w:rsid w:val="00285842"/>
    <w:rsid w:val="0029040E"/>
    <w:rsid w:val="002917A1"/>
    <w:rsid w:val="0029530E"/>
    <w:rsid w:val="002957B4"/>
    <w:rsid w:val="00297BE1"/>
    <w:rsid w:val="002A1243"/>
    <w:rsid w:val="002A1919"/>
    <w:rsid w:val="002A20B3"/>
    <w:rsid w:val="002A4FB2"/>
    <w:rsid w:val="002A5282"/>
    <w:rsid w:val="002B1B49"/>
    <w:rsid w:val="002B287F"/>
    <w:rsid w:val="002B7F6A"/>
    <w:rsid w:val="002C2564"/>
    <w:rsid w:val="002C3178"/>
    <w:rsid w:val="002C475E"/>
    <w:rsid w:val="002C498C"/>
    <w:rsid w:val="002C5518"/>
    <w:rsid w:val="002C5B9D"/>
    <w:rsid w:val="002C5EC5"/>
    <w:rsid w:val="002C683F"/>
    <w:rsid w:val="002C6F70"/>
    <w:rsid w:val="002C79EA"/>
    <w:rsid w:val="002D111D"/>
    <w:rsid w:val="002D42EE"/>
    <w:rsid w:val="002D44D5"/>
    <w:rsid w:val="002D4F24"/>
    <w:rsid w:val="002D4FCA"/>
    <w:rsid w:val="002D753F"/>
    <w:rsid w:val="002E0E2F"/>
    <w:rsid w:val="002E0FBF"/>
    <w:rsid w:val="002E28C1"/>
    <w:rsid w:val="002E5716"/>
    <w:rsid w:val="002E66D1"/>
    <w:rsid w:val="002E6F98"/>
    <w:rsid w:val="002E7AB6"/>
    <w:rsid w:val="002F01D8"/>
    <w:rsid w:val="002F1666"/>
    <w:rsid w:val="002F1BEE"/>
    <w:rsid w:val="002F24F3"/>
    <w:rsid w:val="002F31EE"/>
    <w:rsid w:val="002F5131"/>
    <w:rsid w:val="003002CF"/>
    <w:rsid w:val="00303816"/>
    <w:rsid w:val="00310DC8"/>
    <w:rsid w:val="00312F84"/>
    <w:rsid w:val="003140DB"/>
    <w:rsid w:val="00314317"/>
    <w:rsid w:val="00314675"/>
    <w:rsid w:val="003222A6"/>
    <w:rsid w:val="0032292E"/>
    <w:rsid w:val="00322954"/>
    <w:rsid w:val="003240E9"/>
    <w:rsid w:val="003241E0"/>
    <w:rsid w:val="00324FEC"/>
    <w:rsid w:val="00326E0F"/>
    <w:rsid w:val="00327DE2"/>
    <w:rsid w:val="003314F2"/>
    <w:rsid w:val="00331D2C"/>
    <w:rsid w:val="00331E05"/>
    <w:rsid w:val="003347D4"/>
    <w:rsid w:val="00334C25"/>
    <w:rsid w:val="00336574"/>
    <w:rsid w:val="00336F09"/>
    <w:rsid w:val="00336F44"/>
    <w:rsid w:val="003376E8"/>
    <w:rsid w:val="00337E81"/>
    <w:rsid w:val="00340DC7"/>
    <w:rsid w:val="003413E9"/>
    <w:rsid w:val="00341F1C"/>
    <w:rsid w:val="00342B02"/>
    <w:rsid w:val="00344971"/>
    <w:rsid w:val="003458D6"/>
    <w:rsid w:val="00346898"/>
    <w:rsid w:val="00347869"/>
    <w:rsid w:val="00353706"/>
    <w:rsid w:val="00355EF8"/>
    <w:rsid w:val="0036070C"/>
    <w:rsid w:val="00361FD0"/>
    <w:rsid w:val="00362424"/>
    <w:rsid w:val="0036346B"/>
    <w:rsid w:val="0036418B"/>
    <w:rsid w:val="00367CD5"/>
    <w:rsid w:val="00370680"/>
    <w:rsid w:val="00370E65"/>
    <w:rsid w:val="0037143C"/>
    <w:rsid w:val="003724EA"/>
    <w:rsid w:val="00372C9F"/>
    <w:rsid w:val="00380A6E"/>
    <w:rsid w:val="00385443"/>
    <w:rsid w:val="003924D0"/>
    <w:rsid w:val="00394DBB"/>
    <w:rsid w:val="0039595B"/>
    <w:rsid w:val="003959BD"/>
    <w:rsid w:val="00395CE3"/>
    <w:rsid w:val="003973A5"/>
    <w:rsid w:val="003A19F7"/>
    <w:rsid w:val="003A4871"/>
    <w:rsid w:val="003A641E"/>
    <w:rsid w:val="003A70B4"/>
    <w:rsid w:val="003A716A"/>
    <w:rsid w:val="003A7351"/>
    <w:rsid w:val="003B0D5F"/>
    <w:rsid w:val="003B1CB2"/>
    <w:rsid w:val="003B5F2C"/>
    <w:rsid w:val="003B62CB"/>
    <w:rsid w:val="003B6338"/>
    <w:rsid w:val="003C0736"/>
    <w:rsid w:val="003C0B59"/>
    <w:rsid w:val="003C0EF7"/>
    <w:rsid w:val="003C3A4F"/>
    <w:rsid w:val="003D0F5E"/>
    <w:rsid w:val="003D1E87"/>
    <w:rsid w:val="003D2A8A"/>
    <w:rsid w:val="003D3D8D"/>
    <w:rsid w:val="003D5C8D"/>
    <w:rsid w:val="003D60CD"/>
    <w:rsid w:val="003D6932"/>
    <w:rsid w:val="003E6E6E"/>
    <w:rsid w:val="003F1678"/>
    <w:rsid w:val="003F2733"/>
    <w:rsid w:val="003F5AFB"/>
    <w:rsid w:val="003F5F4E"/>
    <w:rsid w:val="003F6DBE"/>
    <w:rsid w:val="003F7741"/>
    <w:rsid w:val="003F7C23"/>
    <w:rsid w:val="0040153E"/>
    <w:rsid w:val="004021B2"/>
    <w:rsid w:val="00402E72"/>
    <w:rsid w:val="00403E3E"/>
    <w:rsid w:val="0041110E"/>
    <w:rsid w:val="00415A68"/>
    <w:rsid w:val="00415D1F"/>
    <w:rsid w:val="004170BB"/>
    <w:rsid w:val="0042161D"/>
    <w:rsid w:val="00423BD6"/>
    <w:rsid w:val="00425789"/>
    <w:rsid w:val="0042746A"/>
    <w:rsid w:val="0043473E"/>
    <w:rsid w:val="00434D03"/>
    <w:rsid w:val="00444F0E"/>
    <w:rsid w:val="00445DE0"/>
    <w:rsid w:val="00446170"/>
    <w:rsid w:val="00447102"/>
    <w:rsid w:val="00447C5D"/>
    <w:rsid w:val="00451945"/>
    <w:rsid w:val="00452707"/>
    <w:rsid w:val="00452DE7"/>
    <w:rsid w:val="00452E1D"/>
    <w:rsid w:val="004534E6"/>
    <w:rsid w:val="00454A50"/>
    <w:rsid w:val="00454ED7"/>
    <w:rsid w:val="004563EE"/>
    <w:rsid w:val="00456700"/>
    <w:rsid w:val="0046176F"/>
    <w:rsid w:val="00461B11"/>
    <w:rsid w:val="00461B7E"/>
    <w:rsid w:val="00464AC0"/>
    <w:rsid w:val="00464F95"/>
    <w:rsid w:val="00465F61"/>
    <w:rsid w:val="00467FB4"/>
    <w:rsid w:val="00472D21"/>
    <w:rsid w:val="00473E3D"/>
    <w:rsid w:val="00473E4C"/>
    <w:rsid w:val="00480632"/>
    <w:rsid w:val="00481882"/>
    <w:rsid w:val="00483C7D"/>
    <w:rsid w:val="00484827"/>
    <w:rsid w:val="0049052E"/>
    <w:rsid w:val="0049531E"/>
    <w:rsid w:val="004967B7"/>
    <w:rsid w:val="00496F27"/>
    <w:rsid w:val="004975DD"/>
    <w:rsid w:val="004A0005"/>
    <w:rsid w:val="004A312F"/>
    <w:rsid w:val="004A31A2"/>
    <w:rsid w:val="004A345A"/>
    <w:rsid w:val="004A6C98"/>
    <w:rsid w:val="004B0339"/>
    <w:rsid w:val="004B0348"/>
    <w:rsid w:val="004B156D"/>
    <w:rsid w:val="004B38DC"/>
    <w:rsid w:val="004B54F7"/>
    <w:rsid w:val="004B5AF8"/>
    <w:rsid w:val="004C30B9"/>
    <w:rsid w:val="004D09E0"/>
    <w:rsid w:val="004D4C79"/>
    <w:rsid w:val="004D59BD"/>
    <w:rsid w:val="004D5ADB"/>
    <w:rsid w:val="004E3942"/>
    <w:rsid w:val="004E44D2"/>
    <w:rsid w:val="004E59C6"/>
    <w:rsid w:val="004E5DC7"/>
    <w:rsid w:val="004F21C9"/>
    <w:rsid w:val="004F60B2"/>
    <w:rsid w:val="004F7EC7"/>
    <w:rsid w:val="00505D12"/>
    <w:rsid w:val="00510425"/>
    <w:rsid w:val="00510663"/>
    <w:rsid w:val="00511016"/>
    <w:rsid w:val="0051316F"/>
    <w:rsid w:val="00520007"/>
    <w:rsid w:val="00520999"/>
    <w:rsid w:val="00520B7E"/>
    <w:rsid w:val="00521380"/>
    <w:rsid w:val="00525007"/>
    <w:rsid w:val="00530EB2"/>
    <w:rsid w:val="005334CE"/>
    <w:rsid w:val="0053564B"/>
    <w:rsid w:val="005363BC"/>
    <w:rsid w:val="0053721E"/>
    <w:rsid w:val="0053728E"/>
    <w:rsid w:val="0053732E"/>
    <w:rsid w:val="0053785D"/>
    <w:rsid w:val="00540C7E"/>
    <w:rsid w:val="005419BD"/>
    <w:rsid w:val="00542B73"/>
    <w:rsid w:val="005435D2"/>
    <w:rsid w:val="00544E6C"/>
    <w:rsid w:val="00547AF6"/>
    <w:rsid w:val="00552127"/>
    <w:rsid w:val="00553434"/>
    <w:rsid w:val="00556C93"/>
    <w:rsid w:val="00557E3D"/>
    <w:rsid w:val="00560A95"/>
    <w:rsid w:val="00562CC7"/>
    <w:rsid w:val="005633AA"/>
    <w:rsid w:val="00565E79"/>
    <w:rsid w:val="00566101"/>
    <w:rsid w:val="00566D3D"/>
    <w:rsid w:val="00571145"/>
    <w:rsid w:val="00573200"/>
    <w:rsid w:val="0057386B"/>
    <w:rsid w:val="00574BAE"/>
    <w:rsid w:val="00575F89"/>
    <w:rsid w:val="00576290"/>
    <w:rsid w:val="005770EC"/>
    <w:rsid w:val="005776DC"/>
    <w:rsid w:val="005805C7"/>
    <w:rsid w:val="005845EA"/>
    <w:rsid w:val="005950BE"/>
    <w:rsid w:val="00595675"/>
    <w:rsid w:val="00595FC1"/>
    <w:rsid w:val="005A0060"/>
    <w:rsid w:val="005A3FC1"/>
    <w:rsid w:val="005B05D4"/>
    <w:rsid w:val="005B1161"/>
    <w:rsid w:val="005B2960"/>
    <w:rsid w:val="005B48BD"/>
    <w:rsid w:val="005B4D7D"/>
    <w:rsid w:val="005B5AA7"/>
    <w:rsid w:val="005B5D27"/>
    <w:rsid w:val="005C0B67"/>
    <w:rsid w:val="005C0C44"/>
    <w:rsid w:val="005C0CC4"/>
    <w:rsid w:val="005C1192"/>
    <w:rsid w:val="005C1441"/>
    <w:rsid w:val="005C51D2"/>
    <w:rsid w:val="005C5FA8"/>
    <w:rsid w:val="005D1DE0"/>
    <w:rsid w:val="005D664F"/>
    <w:rsid w:val="005D7472"/>
    <w:rsid w:val="005E1BA1"/>
    <w:rsid w:val="005E2B57"/>
    <w:rsid w:val="005E7453"/>
    <w:rsid w:val="005E7A30"/>
    <w:rsid w:val="005F488B"/>
    <w:rsid w:val="005F5E5A"/>
    <w:rsid w:val="00602673"/>
    <w:rsid w:val="006029B0"/>
    <w:rsid w:val="00602CCE"/>
    <w:rsid w:val="006047E6"/>
    <w:rsid w:val="006061A0"/>
    <w:rsid w:val="006104BC"/>
    <w:rsid w:val="0061446A"/>
    <w:rsid w:val="0061632D"/>
    <w:rsid w:val="0062056D"/>
    <w:rsid w:val="00620996"/>
    <w:rsid w:val="0062106A"/>
    <w:rsid w:val="00625060"/>
    <w:rsid w:val="00631A85"/>
    <w:rsid w:val="0063502A"/>
    <w:rsid w:val="0063572B"/>
    <w:rsid w:val="00640427"/>
    <w:rsid w:val="006424B9"/>
    <w:rsid w:val="00644077"/>
    <w:rsid w:val="00647514"/>
    <w:rsid w:val="00651C95"/>
    <w:rsid w:val="00652185"/>
    <w:rsid w:val="00653C1B"/>
    <w:rsid w:val="00654977"/>
    <w:rsid w:val="00660D36"/>
    <w:rsid w:val="00663A43"/>
    <w:rsid w:val="00667818"/>
    <w:rsid w:val="00667BB8"/>
    <w:rsid w:val="00673ACF"/>
    <w:rsid w:val="00673BB9"/>
    <w:rsid w:val="0067516A"/>
    <w:rsid w:val="00675A3F"/>
    <w:rsid w:val="00676039"/>
    <w:rsid w:val="006952DB"/>
    <w:rsid w:val="00696688"/>
    <w:rsid w:val="006A04D6"/>
    <w:rsid w:val="006A0E43"/>
    <w:rsid w:val="006A430A"/>
    <w:rsid w:val="006A4760"/>
    <w:rsid w:val="006A4D72"/>
    <w:rsid w:val="006A6D80"/>
    <w:rsid w:val="006B0604"/>
    <w:rsid w:val="006B1C14"/>
    <w:rsid w:val="006B1D53"/>
    <w:rsid w:val="006B26D0"/>
    <w:rsid w:val="006B4B65"/>
    <w:rsid w:val="006C200B"/>
    <w:rsid w:val="006C6228"/>
    <w:rsid w:val="006D047A"/>
    <w:rsid w:val="006D2B07"/>
    <w:rsid w:val="006D388F"/>
    <w:rsid w:val="006D6F27"/>
    <w:rsid w:val="006E1A93"/>
    <w:rsid w:val="006E2DFF"/>
    <w:rsid w:val="006E363E"/>
    <w:rsid w:val="006E389F"/>
    <w:rsid w:val="006E73DC"/>
    <w:rsid w:val="006E74AD"/>
    <w:rsid w:val="006F0B27"/>
    <w:rsid w:val="006F12FE"/>
    <w:rsid w:val="006F33AC"/>
    <w:rsid w:val="006F415F"/>
    <w:rsid w:val="006F41ED"/>
    <w:rsid w:val="006F4A3A"/>
    <w:rsid w:val="006F4D08"/>
    <w:rsid w:val="006F4EF7"/>
    <w:rsid w:val="006F4FC6"/>
    <w:rsid w:val="00700AC4"/>
    <w:rsid w:val="0070226B"/>
    <w:rsid w:val="00703987"/>
    <w:rsid w:val="00705DE9"/>
    <w:rsid w:val="007073DD"/>
    <w:rsid w:val="00707815"/>
    <w:rsid w:val="00712848"/>
    <w:rsid w:val="007140CB"/>
    <w:rsid w:val="00714BD3"/>
    <w:rsid w:val="007163BB"/>
    <w:rsid w:val="007203AE"/>
    <w:rsid w:val="00724326"/>
    <w:rsid w:val="00730F37"/>
    <w:rsid w:val="00732238"/>
    <w:rsid w:val="007346EF"/>
    <w:rsid w:val="00734724"/>
    <w:rsid w:val="00736D1C"/>
    <w:rsid w:val="007404F7"/>
    <w:rsid w:val="00740C29"/>
    <w:rsid w:val="007426A7"/>
    <w:rsid w:val="00742AEF"/>
    <w:rsid w:val="00742F53"/>
    <w:rsid w:val="00744D03"/>
    <w:rsid w:val="0074541E"/>
    <w:rsid w:val="007465C3"/>
    <w:rsid w:val="00746A82"/>
    <w:rsid w:val="00746C36"/>
    <w:rsid w:val="00747644"/>
    <w:rsid w:val="00752BD1"/>
    <w:rsid w:val="00753235"/>
    <w:rsid w:val="00757508"/>
    <w:rsid w:val="0076018B"/>
    <w:rsid w:val="00762605"/>
    <w:rsid w:val="007627FF"/>
    <w:rsid w:val="007649EA"/>
    <w:rsid w:val="00764A13"/>
    <w:rsid w:val="00764E62"/>
    <w:rsid w:val="00765277"/>
    <w:rsid w:val="007665A0"/>
    <w:rsid w:val="00767B18"/>
    <w:rsid w:val="007708FA"/>
    <w:rsid w:val="00771C9B"/>
    <w:rsid w:val="00771F3A"/>
    <w:rsid w:val="00771FD8"/>
    <w:rsid w:val="00776161"/>
    <w:rsid w:val="0077723D"/>
    <w:rsid w:val="0077737A"/>
    <w:rsid w:val="00785625"/>
    <w:rsid w:val="00785F2C"/>
    <w:rsid w:val="00787F11"/>
    <w:rsid w:val="00793B30"/>
    <w:rsid w:val="007976C2"/>
    <w:rsid w:val="007A1955"/>
    <w:rsid w:val="007A1EC3"/>
    <w:rsid w:val="007A30A1"/>
    <w:rsid w:val="007A3521"/>
    <w:rsid w:val="007A5E83"/>
    <w:rsid w:val="007A735C"/>
    <w:rsid w:val="007A7DC7"/>
    <w:rsid w:val="007B0DF2"/>
    <w:rsid w:val="007B2946"/>
    <w:rsid w:val="007B30BA"/>
    <w:rsid w:val="007B38A8"/>
    <w:rsid w:val="007B3C5B"/>
    <w:rsid w:val="007B4F46"/>
    <w:rsid w:val="007B5345"/>
    <w:rsid w:val="007B6253"/>
    <w:rsid w:val="007B7A7E"/>
    <w:rsid w:val="007C061A"/>
    <w:rsid w:val="007C0951"/>
    <w:rsid w:val="007C0A72"/>
    <w:rsid w:val="007C3467"/>
    <w:rsid w:val="007C5197"/>
    <w:rsid w:val="007C5AF8"/>
    <w:rsid w:val="007C7807"/>
    <w:rsid w:val="007D6A56"/>
    <w:rsid w:val="007D762A"/>
    <w:rsid w:val="007E143A"/>
    <w:rsid w:val="007E2A71"/>
    <w:rsid w:val="007E3F53"/>
    <w:rsid w:val="007E621D"/>
    <w:rsid w:val="007E6E8B"/>
    <w:rsid w:val="007F1091"/>
    <w:rsid w:val="007F4157"/>
    <w:rsid w:val="007F4B9A"/>
    <w:rsid w:val="007F625E"/>
    <w:rsid w:val="007F7ADC"/>
    <w:rsid w:val="00804273"/>
    <w:rsid w:val="00804350"/>
    <w:rsid w:val="00805746"/>
    <w:rsid w:val="00807B92"/>
    <w:rsid w:val="008120CA"/>
    <w:rsid w:val="00815EB1"/>
    <w:rsid w:val="00815FE5"/>
    <w:rsid w:val="00821210"/>
    <w:rsid w:val="00821E08"/>
    <w:rsid w:val="0082520D"/>
    <w:rsid w:val="00825B2C"/>
    <w:rsid w:val="00826945"/>
    <w:rsid w:val="008327B7"/>
    <w:rsid w:val="00832F8D"/>
    <w:rsid w:val="008336F1"/>
    <w:rsid w:val="00834C59"/>
    <w:rsid w:val="008351E3"/>
    <w:rsid w:val="0083645A"/>
    <w:rsid w:val="008438E2"/>
    <w:rsid w:val="00847219"/>
    <w:rsid w:val="00850C3E"/>
    <w:rsid w:val="008520B7"/>
    <w:rsid w:val="00852EDB"/>
    <w:rsid w:val="008530B1"/>
    <w:rsid w:val="00860261"/>
    <w:rsid w:val="0086044D"/>
    <w:rsid w:val="00861DC5"/>
    <w:rsid w:val="00862BDF"/>
    <w:rsid w:val="008630B1"/>
    <w:rsid w:val="008631BC"/>
    <w:rsid w:val="00864703"/>
    <w:rsid w:val="00865289"/>
    <w:rsid w:val="00866AD7"/>
    <w:rsid w:val="00873FA1"/>
    <w:rsid w:val="0087483B"/>
    <w:rsid w:val="00876568"/>
    <w:rsid w:val="008804BF"/>
    <w:rsid w:val="0088162D"/>
    <w:rsid w:val="008843F8"/>
    <w:rsid w:val="008850FB"/>
    <w:rsid w:val="00891F1E"/>
    <w:rsid w:val="00893E68"/>
    <w:rsid w:val="00894AE7"/>
    <w:rsid w:val="00897565"/>
    <w:rsid w:val="008978A7"/>
    <w:rsid w:val="008A1CE2"/>
    <w:rsid w:val="008A49DD"/>
    <w:rsid w:val="008A536B"/>
    <w:rsid w:val="008B0B9D"/>
    <w:rsid w:val="008B3ADB"/>
    <w:rsid w:val="008B46B0"/>
    <w:rsid w:val="008B50D4"/>
    <w:rsid w:val="008B564C"/>
    <w:rsid w:val="008B6AE9"/>
    <w:rsid w:val="008C050F"/>
    <w:rsid w:val="008C06D2"/>
    <w:rsid w:val="008C2D53"/>
    <w:rsid w:val="008C4CC7"/>
    <w:rsid w:val="008D2B44"/>
    <w:rsid w:val="008D318B"/>
    <w:rsid w:val="008D36CB"/>
    <w:rsid w:val="008D7919"/>
    <w:rsid w:val="008D7C00"/>
    <w:rsid w:val="008E03F8"/>
    <w:rsid w:val="008E0793"/>
    <w:rsid w:val="008E1158"/>
    <w:rsid w:val="008E4F42"/>
    <w:rsid w:val="008E56F9"/>
    <w:rsid w:val="008E57C9"/>
    <w:rsid w:val="008E5D9C"/>
    <w:rsid w:val="008E68A0"/>
    <w:rsid w:val="008F05A1"/>
    <w:rsid w:val="008F0CF4"/>
    <w:rsid w:val="008F1D34"/>
    <w:rsid w:val="008F5FEA"/>
    <w:rsid w:val="008F6539"/>
    <w:rsid w:val="008F6FC6"/>
    <w:rsid w:val="0090131C"/>
    <w:rsid w:val="00902206"/>
    <w:rsid w:val="00902904"/>
    <w:rsid w:val="00903AAF"/>
    <w:rsid w:val="00903FC9"/>
    <w:rsid w:val="00906EB6"/>
    <w:rsid w:val="00907215"/>
    <w:rsid w:val="00907371"/>
    <w:rsid w:val="00907AF1"/>
    <w:rsid w:val="00907E25"/>
    <w:rsid w:val="00910EF4"/>
    <w:rsid w:val="009126C5"/>
    <w:rsid w:val="00912873"/>
    <w:rsid w:val="00912B2A"/>
    <w:rsid w:val="00915121"/>
    <w:rsid w:val="0091653E"/>
    <w:rsid w:val="009177A7"/>
    <w:rsid w:val="00917E16"/>
    <w:rsid w:val="009205C8"/>
    <w:rsid w:val="00921EDE"/>
    <w:rsid w:val="00922BE7"/>
    <w:rsid w:val="00923FFC"/>
    <w:rsid w:val="00924EC9"/>
    <w:rsid w:val="0092572F"/>
    <w:rsid w:val="009258BB"/>
    <w:rsid w:val="00930335"/>
    <w:rsid w:val="0093141F"/>
    <w:rsid w:val="009346D7"/>
    <w:rsid w:val="00940704"/>
    <w:rsid w:val="00942BF8"/>
    <w:rsid w:val="009435E7"/>
    <w:rsid w:val="009468AD"/>
    <w:rsid w:val="009505E3"/>
    <w:rsid w:val="009516E4"/>
    <w:rsid w:val="00953C51"/>
    <w:rsid w:val="009554BA"/>
    <w:rsid w:val="00955BF6"/>
    <w:rsid w:val="00955CF3"/>
    <w:rsid w:val="00956580"/>
    <w:rsid w:val="0096100F"/>
    <w:rsid w:val="00961423"/>
    <w:rsid w:val="00963144"/>
    <w:rsid w:val="00963675"/>
    <w:rsid w:val="00963A93"/>
    <w:rsid w:val="00970F2D"/>
    <w:rsid w:val="00971A88"/>
    <w:rsid w:val="009725B3"/>
    <w:rsid w:val="0097276B"/>
    <w:rsid w:val="00972FD2"/>
    <w:rsid w:val="00973249"/>
    <w:rsid w:val="009777D7"/>
    <w:rsid w:val="0098088F"/>
    <w:rsid w:val="009809A6"/>
    <w:rsid w:val="0098250F"/>
    <w:rsid w:val="00982786"/>
    <w:rsid w:val="00983F15"/>
    <w:rsid w:val="00985E20"/>
    <w:rsid w:val="00986022"/>
    <w:rsid w:val="009860C8"/>
    <w:rsid w:val="00987992"/>
    <w:rsid w:val="00992E59"/>
    <w:rsid w:val="00992E7D"/>
    <w:rsid w:val="00993ECF"/>
    <w:rsid w:val="00995996"/>
    <w:rsid w:val="00996520"/>
    <w:rsid w:val="00996957"/>
    <w:rsid w:val="00997399"/>
    <w:rsid w:val="009A1B14"/>
    <w:rsid w:val="009A7A2C"/>
    <w:rsid w:val="009B0197"/>
    <w:rsid w:val="009B0B48"/>
    <w:rsid w:val="009B192F"/>
    <w:rsid w:val="009B200E"/>
    <w:rsid w:val="009B2E25"/>
    <w:rsid w:val="009B2E8F"/>
    <w:rsid w:val="009B3907"/>
    <w:rsid w:val="009B3CB1"/>
    <w:rsid w:val="009B4254"/>
    <w:rsid w:val="009B58B8"/>
    <w:rsid w:val="009B61F7"/>
    <w:rsid w:val="009B66D5"/>
    <w:rsid w:val="009B6934"/>
    <w:rsid w:val="009C0B2E"/>
    <w:rsid w:val="009C1217"/>
    <w:rsid w:val="009C298D"/>
    <w:rsid w:val="009C3F41"/>
    <w:rsid w:val="009C470A"/>
    <w:rsid w:val="009C4868"/>
    <w:rsid w:val="009C57D5"/>
    <w:rsid w:val="009C59BE"/>
    <w:rsid w:val="009C6AE2"/>
    <w:rsid w:val="009D0288"/>
    <w:rsid w:val="009D0B23"/>
    <w:rsid w:val="009D16B5"/>
    <w:rsid w:val="009D75C0"/>
    <w:rsid w:val="009E03DB"/>
    <w:rsid w:val="009E0F96"/>
    <w:rsid w:val="009E2CD5"/>
    <w:rsid w:val="009E4681"/>
    <w:rsid w:val="009E7A9E"/>
    <w:rsid w:val="009F01CD"/>
    <w:rsid w:val="009F18A2"/>
    <w:rsid w:val="009F32E8"/>
    <w:rsid w:val="009F392D"/>
    <w:rsid w:val="009F3A14"/>
    <w:rsid w:val="009F4B28"/>
    <w:rsid w:val="009F7104"/>
    <w:rsid w:val="00A024AD"/>
    <w:rsid w:val="00A02F15"/>
    <w:rsid w:val="00A043DC"/>
    <w:rsid w:val="00A05879"/>
    <w:rsid w:val="00A06763"/>
    <w:rsid w:val="00A07AED"/>
    <w:rsid w:val="00A11026"/>
    <w:rsid w:val="00A14157"/>
    <w:rsid w:val="00A15AC5"/>
    <w:rsid w:val="00A177AC"/>
    <w:rsid w:val="00A21B83"/>
    <w:rsid w:val="00A22829"/>
    <w:rsid w:val="00A228DB"/>
    <w:rsid w:val="00A22A54"/>
    <w:rsid w:val="00A23075"/>
    <w:rsid w:val="00A24893"/>
    <w:rsid w:val="00A24D82"/>
    <w:rsid w:val="00A331DB"/>
    <w:rsid w:val="00A3563D"/>
    <w:rsid w:val="00A37D57"/>
    <w:rsid w:val="00A409D0"/>
    <w:rsid w:val="00A40D55"/>
    <w:rsid w:val="00A440CE"/>
    <w:rsid w:val="00A44CA4"/>
    <w:rsid w:val="00A50026"/>
    <w:rsid w:val="00A5115F"/>
    <w:rsid w:val="00A51EA9"/>
    <w:rsid w:val="00A5226E"/>
    <w:rsid w:val="00A535B4"/>
    <w:rsid w:val="00A548CE"/>
    <w:rsid w:val="00A5497D"/>
    <w:rsid w:val="00A57F2A"/>
    <w:rsid w:val="00A60BA5"/>
    <w:rsid w:val="00A61A4B"/>
    <w:rsid w:val="00A64586"/>
    <w:rsid w:val="00A67703"/>
    <w:rsid w:val="00A709B4"/>
    <w:rsid w:val="00A7119C"/>
    <w:rsid w:val="00A73D87"/>
    <w:rsid w:val="00A75C53"/>
    <w:rsid w:val="00A76B1E"/>
    <w:rsid w:val="00A76BD4"/>
    <w:rsid w:val="00A76F0C"/>
    <w:rsid w:val="00A76F1E"/>
    <w:rsid w:val="00A778F1"/>
    <w:rsid w:val="00A77982"/>
    <w:rsid w:val="00A81616"/>
    <w:rsid w:val="00A83C62"/>
    <w:rsid w:val="00A83D7D"/>
    <w:rsid w:val="00A8429E"/>
    <w:rsid w:val="00A86CFA"/>
    <w:rsid w:val="00A8775C"/>
    <w:rsid w:val="00A87EE8"/>
    <w:rsid w:val="00A939C6"/>
    <w:rsid w:val="00A94329"/>
    <w:rsid w:val="00A94D95"/>
    <w:rsid w:val="00A96269"/>
    <w:rsid w:val="00A963A8"/>
    <w:rsid w:val="00A96949"/>
    <w:rsid w:val="00AA1C0D"/>
    <w:rsid w:val="00AA2A16"/>
    <w:rsid w:val="00AA4133"/>
    <w:rsid w:val="00AA47DA"/>
    <w:rsid w:val="00AA5598"/>
    <w:rsid w:val="00AB15F6"/>
    <w:rsid w:val="00AB657A"/>
    <w:rsid w:val="00AC1224"/>
    <w:rsid w:val="00AC1A8A"/>
    <w:rsid w:val="00AC21DC"/>
    <w:rsid w:val="00AC3F01"/>
    <w:rsid w:val="00AC63AB"/>
    <w:rsid w:val="00AD3514"/>
    <w:rsid w:val="00AE1CE2"/>
    <w:rsid w:val="00AE2804"/>
    <w:rsid w:val="00AE3E39"/>
    <w:rsid w:val="00AE625E"/>
    <w:rsid w:val="00AE6806"/>
    <w:rsid w:val="00AF0513"/>
    <w:rsid w:val="00AF3017"/>
    <w:rsid w:val="00AF3A84"/>
    <w:rsid w:val="00B00E20"/>
    <w:rsid w:val="00B01811"/>
    <w:rsid w:val="00B03DA4"/>
    <w:rsid w:val="00B06FB8"/>
    <w:rsid w:val="00B07AB4"/>
    <w:rsid w:val="00B12537"/>
    <w:rsid w:val="00B128B2"/>
    <w:rsid w:val="00B15364"/>
    <w:rsid w:val="00B15666"/>
    <w:rsid w:val="00B15C63"/>
    <w:rsid w:val="00B16B70"/>
    <w:rsid w:val="00B20C98"/>
    <w:rsid w:val="00B243DE"/>
    <w:rsid w:val="00B245D0"/>
    <w:rsid w:val="00B247B9"/>
    <w:rsid w:val="00B26751"/>
    <w:rsid w:val="00B316A1"/>
    <w:rsid w:val="00B318F8"/>
    <w:rsid w:val="00B335EC"/>
    <w:rsid w:val="00B33986"/>
    <w:rsid w:val="00B33DF2"/>
    <w:rsid w:val="00B33E5E"/>
    <w:rsid w:val="00B35F3A"/>
    <w:rsid w:val="00B411E2"/>
    <w:rsid w:val="00B419CD"/>
    <w:rsid w:val="00B42A62"/>
    <w:rsid w:val="00B43FB8"/>
    <w:rsid w:val="00B45064"/>
    <w:rsid w:val="00B45737"/>
    <w:rsid w:val="00B45D79"/>
    <w:rsid w:val="00B46533"/>
    <w:rsid w:val="00B46B1C"/>
    <w:rsid w:val="00B47F96"/>
    <w:rsid w:val="00B50234"/>
    <w:rsid w:val="00B51FCA"/>
    <w:rsid w:val="00B55348"/>
    <w:rsid w:val="00B5561A"/>
    <w:rsid w:val="00B56A26"/>
    <w:rsid w:val="00B5714C"/>
    <w:rsid w:val="00B578C6"/>
    <w:rsid w:val="00B66ADE"/>
    <w:rsid w:val="00B742DC"/>
    <w:rsid w:val="00B76994"/>
    <w:rsid w:val="00B76B72"/>
    <w:rsid w:val="00B778ED"/>
    <w:rsid w:val="00B81629"/>
    <w:rsid w:val="00B82D27"/>
    <w:rsid w:val="00B8387B"/>
    <w:rsid w:val="00B9035B"/>
    <w:rsid w:val="00B913F8"/>
    <w:rsid w:val="00B923FA"/>
    <w:rsid w:val="00B92F48"/>
    <w:rsid w:val="00B93910"/>
    <w:rsid w:val="00B961CE"/>
    <w:rsid w:val="00B962D8"/>
    <w:rsid w:val="00BA0272"/>
    <w:rsid w:val="00BA0D4A"/>
    <w:rsid w:val="00BA0EE9"/>
    <w:rsid w:val="00BA10C9"/>
    <w:rsid w:val="00BA3180"/>
    <w:rsid w:val="00BA4231"/>
    <w:rsid w:val="00BA517A"/>
    <w:rsid w:val="00BB073D"/>
    <w:rsid w:val="00BB1027"/>
    <w:rsid w:val="00BB2F4A"/>
    <w:rsid w:val="00BB448D"/>
    <w:rsid w:val="00BB461C"/>
    <w:rsid w:val="00BB4CA9"/>
    <w:rsid w:val="00BB618E"/>
    <w:rsid w:val="00BB737B"/>
    <w:rsid w:val="00BC07DF"/>
    <w:rsid w:val="00BC3166"/>
    <w:rsid w:val="00BC31CF"/>
    <w:rsid w:val="00BC4AE6"/>
    <w:rsid w:val="00BC7092"/>
    <w:rsid w:val="00BC70CB"/>
    <w:rsid w:val="00BD11FF"/>
    <w:rsid w:val="00BD63D0"/>
    <w:rsid w:val="00BD659D"/>
    <w:rsid w:val="00BE1CB7"/>
    <w:rsid w:val="00BE2FD2"/>
    <w:rsid w:val="00BF10A9"/>
    <w:rsid w:val="00BF14F2"/>
    <w:rsid w:val="00BF2FE1"/>
    <w:rsid w:val="00BF4406"/>
    <w:rsid w:val="00C0042A"/>
    <w:rsid w:val="00C00E85"/>
    <w:rsid w:val="00C011FF"/>
    <w:rsid w:val="00C01363"/>
    <w:rsid w:val="00C03BD0"/>
    <w:rsid w:val="00C06C9C"/>
    <w:rsid w:val="00C10748"/>
    <w:rsid w:val="00C10E8C"/>
    <w:rsid w:val="00C12B9D"/>
    <w:rsid w:val="00C1614A"/>
    <w:rsid w:val="00C2092D"/>
    <w:rsid w:val="00C21CE6"/>
    <w:rsid w:val="00C234EE"/>
    <w:rsid w:val="00C27B69"/>
    <w:rsid w:val="00C301DB"/>
    <w:rsid w:val="00C306B2"/>
    <w:rsid w:val="00C3095E"/>
    <w:rsid w:val="00C30EE1"/>
    <w:rsid w:val="00C31217"/>
    <w:rsid w:val="00C3148B"/>
    <w:rsid w:val="00C316E8"/>
    <w:rsid w:val="00C31D5C"/>
    <w:rsid w:val="00C33003"/>
    <w:rsid w:val="00C3316F"/>
    <w:rsid w:val="00C33725"/>
    <w:rsid w:val="00C3403A"/>
    <w:rsid w:val="00C34CFC"/>
    <w:rsid w:val="00C36A07"/>
    <w:rsid w:val="00C36CBD"/>
    <w:rsid w:val="00C37790"/>
    <w:rsid w:val="00C379E8"/>
    <w:rsid w:val="00C41DC1"/>
    <w:rsid w:val="00C4627B"/>
    <w:rsid w:val="00C46D93"/>
    <w:rsid w:val="00C50641"/>
    <w:rsid w:val="00C515B7"/>
    <w:rsid w:val="00C51C12"/>
    <w:rsid w:val="00C52137"/>
    <w:rsid w:val="00C53CBE"/>
    <w:rsid w:val="00C54304"/>
    <w:rsid w:val="00C5458B"/>
    <w:rsid w:val="00C551AA"/>
    <w:rsid w:val="00C5543D"/>
    <w:rsid w:val="00C562C7"/>
    <w:rsid w:val="00C60068"/>
    <w:rsid w:val="00C632AA"/>
    <w:rsid w:val="00C64004"/>
    <w:rsid w:val="00C64CA6"/>
    <w:rsid w:val="00C71236"/>
    <w:rsid w:val="00C72CC7"/>
    <w:rsid w:val="00C73FCE"/>
    <w:rsid w:val="00C748A9"/>
    <w:rsid w:val="00C84C5B"/>
    <w:rsid w:val="00C84DE6"/>
    <w:rsid w:val="00C85E47"/>
    <w:rsid w:val="00C871D9"/>
    <w:rsid w:val="00C91105"/>
    <w:rsid w:val="00C914F2"/>
    <w:rsid w:val="00C92E14"/>
    <w:rsid w:val="00C94683"/>
    <w:rsid w:val="00CA022A"/>
    <w:rsid w:val="00CA13E9"/>
    <w:rsid w:val="00CA1FE2"/>
    <w:rsid w:val="00CA5D4C"/>
    <w:rsid w:val="00CA6CBF"/>
    <w:rsid w:val="00CA74B3"/>
    <w:rsid w:val="00CA7887"/>
    <w:rsid w:val="00CA79FD"/>
    <w:rsid w:val="00CB10AD"/>
    <w:rsid w:val="00CB4A5E"/>
    <w:rsid w:val="00CB4BAD"/>
    <w:rsid w:val="00CB57C9"/>
    <w:rsid w:val="00CC0659"/>
    <w:rsid w:val="00CC7161"/>
    <w:rsid w:val="00CD08D9"/>
    <w:rsid w:val="00CD2AD8"/>
    <w:rsid w:val="00CD2D3F"/>
    <w:rsid w:val="00CD327B"/>
    <w:rsid w:val="00CD4110"/>
    <w:rsid w:val="00CD4213"/>
    <w:rsid w:val="00CD7B16"/>
    <w:rsid w:val="00CE4804"/>
    <w:rsid w:val="00CE7144"/>
    <w:rsid w:val="00CF073E"/>
    <w:rsid w:val="00CF55E3"/>
    <w:rsid w:val="00CF71FD"/>
    <w:rsid w:val="00CF789F"/>
    <w:rsid w:val="00CF7B5B"/>
    <w:rsid w:val="00D02C1F"/>
    <w:rsid w:val="00D0342A"/>
    <w:rsid w:val="00D03C8C"/>
    <w:rsid w:val="00D0415F"/>
    <w:rsid w:val="00D070D0"/>
    <w:rsid w:val="00D07AE3"/>
    <w:rsid w:val="00D1441D"/>
    <w:rsid w:val="00D17FDF"/>
    <w:rsid w:val="00D216AC"/>
    <w:rsid w:val="00D21802"/>
    <w:rsid w:val="00D2197E"/>
    <w:rsid w:val="00D23A93"/>
    <w:rsid w:val="00D23FB1"/>
    <w:rsid w:val="00D24566"/>
    <w:rsid w:val="00D27647"/>
    <w:rsid w:val="00D27652"/>
    <w:rsid w:val="00D31347"/>
    <w:rsid w:val="00D31429"/>
    <w:rsid w:val="00D3273B"/>
    <w:rsid w:val="00D36A0C"/>
    <w:rsid w:val="00D45717"/>
    <w:rsid w:val="00D46E69"/>
    <w:rsid w:val="00D51ED8"/>
    <w:rsid w:val="00D53EEF"/>
    <w:rsid w:val="00D603CD"/>
    <w:rsid w:val="00D608D6"/>
    <w:rsid w:val="00D62272"/>
    <w:rsid w:val="00D6298D"/>
    <w:rsid w:val="00D650CE"/>
    <w:rsid w:val="00D67DAE"/>
    <w:rsid w:val="00D67F43"/>
    <w:rsid w:val="00D7334C"/>
    <w:rsid w:val="00D74A6B"/>
    <w:rsid w:val="00D74D4F"/>
    <w:rsid w:val="00D7560C"/>
    <w:rsid w:val="00D80319"/>
    <w:rsid w:val="00D83826"/>
    <w:rsid w:val="00D846B6"/>
    <w:rsid w:val="00D86EF4"/>
    <w:rsid w:val="00D9122A"/>
    <w:rsid w:val="00D92655"/>
    <w:rsid w:val="00D9284E"/>
    <w:rsid w:val="00D931FF"/>
    <w:rsid w:val="00D96DA8"/>
    <w:rsid w:val="00D97520"/>
    <w:rsid w:val="00DA0D44"/>
    <w:rsid w:val="00DA16DE"/>
    <w:rsid w:val="00DA179F"/>
    <w:rsid w:val="00DA1A15"/>
    <w:rsid w:val="00DA207C"/>
    <w:rsid w:val="00DA327F"/>
    <w:rsid w:val="00DA40FA"/>
    <w:rsid w:val="00DA44DB"/>
    <w:rsid w:val="00DA4DE7"/>
    <w:rsid w:val="00DA7BAE"/>
    <w:rsid w:val="00DA7DDA"/>
    <w:rsid w:val="00DA7F47"/>
    <w:rsid w:val="00DB039D"/>
    <w:rsid w:val="00DB1B89"/>
    <w:rsid w:val="00DB40D7"/>
    <w:rsid w:val="00DB7CC4"/>
    <w:rsid w:val="00DC007D"/>
    <w:rsid w:val="00DC264E"/>
    <w:rsid w:val="00DC3B06"/>
    <w:rsid w:val="00DD0AC2"/>
    <w:rsid w:val="00DD2191"/>
    <w:rsid w:val="00DD4AD1"/>
    <w:rsid w:val="00DD6882"/>
    <w:rsid w:val="00DD6E10"/>
    <w:rsid w:val="00DE199F"/>
    <w:rsid w:val="00DE4ACB"/>
    <w:rsid w:val="00DE73DC"/>
    <w:rsid w:val="00DF085E"/>
    <w:rsid w:val="00DF10E5"/>
    <w:rsid w:val="00DF1C8B"/>
    <w:rsid w:val="00DF6897"/>
    <w:rsid w:val="00DF7439"/>
    <w:rsid w:val="00E013A8"/>
    <w:rsid w:val="00E03D30"/>
    <w:rsid w:val="00E073A3"/>
    <w:rsid w:val="00E078B4"/>
    <w:rsid w:val="00E126EA"/>
    <w:rsid w:val="00E137FF"/>
    <w:rsid w:val="00E13C9F"/>
    <w:rsid w:val="00E14B4E"/>
    <w:rsid w:val="00E1746D"/>
    <w:rsid w:val="00E204E7"/>
    <w:rsid w:val="00E21BCA"/>
    <w:rsid w:val="00E26537"/>
    <w:rsid w:val="00E26DE7"/>
    <w:rsid w:val="00E26E98"/>
    <w:rsid w:val="00E26FDB"/>
    <w:rsid w:val="00E316C5"/>
    <w:rsid w:val="00E31F4D"/>
    <w:rsid w:val="00E33670"/>
    <w:rsid w:val="00E35434"/>
    <w:rsid w:val="00E37075"/>
    <w:rsid w:val="00E40734"/>
    <w:rsid w:val="00E42402"/>
    <w:rsid w:val="00E4337D"/>
    <w:rsid w:val="00E43DA8"/>
    <w:rsid w:val="00E448F8"/>
    <w:rsid w:val="00E473FC"/>
    <w:rsid w:val="00E47CEA"/>
    <w:rsid w:val="00E514E2"/>
    <w:rsid w:val="00E52CE7"/>
    <w:rsid w:val="00E54DC9"/>
    <w:rsid w:val="00E56C2F"/>
    <w:rsid w:val="00E57E57"/>
    <w:rsid w:val="00E60514"/>
    <w:rsid w:val="00E60909"/>
    <w:rsid w:val="00E63310"/>
    <w:rsid w:val="00E6644A"/>
    <w:rsid w:val="00E71B77"/>
    <w:rsid w:val="00E71FCE"/>
    <w:rsid w:val="00E725AD"/>
    <w:rsid w:val="00E81EB8"/>
    <w:rsid w:val="00E82425"/>
    <w:rsid w:val="00E825AC"/>
    <w:rsid w:val="00E85105"/>
    <w:rsid w:val="00E852AB"/>
    <w:rsid w:val="00E85E30"/>
    <w:rsid w:val="00E86878"/>
    <w:rsid w:val="00E868C6"/>
    <w:rsid w:val="00E873CD"/>
    <w:rsid w:val="00E874DC"/>
    <w:rsid w:val="00E90DD3"/>
    <w:rsid w:val="00E917F2"/>
    <w:rsid w:val="00E951D5"/>
    <w:rsid w:val="00EA1718"/>
    <w:rsid w:val="00EA2A82"/>
    <w:rsid w:val="00EA31CF"/>
    <w:rsid w:val="00EA4F20"/>
    <w:rsid w:val="00EA732C"/>
    <w:rsid w:val="00EB2990"/>
    <w:rsid w:val="00EB3686"/>
    <w:rsid w:val="00EC0F6F"/>
    <w:rsid w:val="00EC1E2B"/>
    <w:rsid w:val="00EC22F8"/>
    <w:rsid w:val="00EC2649"/>
    <w:rsid w:val="00EC31E7"/>
    <w:rsid w:val="00EC36EE"/>
    <w:rsid w:val="00EC4EB5"/>
    <w:rsid w:val="00EC5EF5"/>
    <w:rsid w:val="00ED096A"/>
    <w:rsid w:val="00ED26D4"/>
    <w:rsid w:val="00ED2F02"/>
    <w:rsid w:val="00ED58BF"/>
    <w:rsid w:val="00EE250D"/>
    <w:rsid w:val="00EE2F5B"/>
    <w:rsid w:val="00EE589A"/>
    <w:rsid w:val="00EE7084"/>
    <w:rsid w:val="00EE71EB"/>
    <w:rsid w:val="00EF028B"/>
    <w:rsid w:val="00EF19F0"/>
    <w:rsid w:val="00EF4260"/>
    <w:rsid w:val="00EF7EEC"/>
    <w:rsid w:val="00F02CCF"/>
    <w:rsid w:val="00F033E8"/>
    <w:rsid w:val="00F10C67"/>
    <w:rsid w:val="00F13D2A"/>
    <w:rsid w:val="00F14EF2"/>
    <w:rsid w:val="00F1664C"/>
    <w:rsid w:val="00F17363"/>
    <w:rsid w:val="00F175B0"/>
    <w:rsid w:val="00F17C17"/>
    <w:rsid w:val="00F21638"/>
    <w:rsid w:val="00F2184B"/>
    <w:rsid w:val="00F2441D"/>
    <w:rsid w:val="00F27B77"/>
    <w:rsid w:val="00F30161"/>
    <w:rsid w:val="00F31AD5"/>
    <w:rsid w:val="00F33491"/>
    <w:rsid w:val="00F3381A"/>
    <w:rsid w:val="00F33E68"/>
    <w:rsid w:val="00F34317"/>
    <w:rsid w:val="00F35157"/>
    <w:rsid w:val="00F3649E"/>
    <w:rsid w:val="00F4111A"/>
    <w:rsid w:val="00F414C6"/>
    <w:rsid w:val="00F41CB0"/>
    <w:rsid w:val="00F425D3"/>
    <w:rsid w:val="00F50BB8"/>
    <w:rsid w:val="00F5131E"/>
    <w:rsid w:val="00F514CD"/>
    <w:rsid w:val="00F528AF"/>
    <w:rsid w:val="00F53183"/>
    <w:rsid w:val="00F53421"/>
    <w:rsid w:val="00F539B1"/>
    <w:rsid w:val="00F5463C"/>
    <w:rsid w:val="00F606DA"/>
    <w:rsid w:val="00F60C63"/>
    <w:rsid w:val="00F60F9A"/>
    <w:rsid w:val="00F62438"/>
    <w:rsid w:val="00F62573"/>
    <w:rsid w:val="00F63E00"/>
    <w:rsid w:val="00F64043"/>
    <w:rsid w:val="00F67449"/>
    <w:rsid w:val="00F71E45"/>
    <w:rsid w:val="00F72630"/>
    <w:rsid w:val="00F72F3A"/>
    <w:rsid w:val="00F731A3"/>
    <w:rsid w:val="00F73B3C"/>
    <w:rsid w:val="00F7471F"/>
    <w:rsid w:val="00F76223"/>
    <w:rsid w:val="00F77548"/>
    <w:rsid w:val="00F80DC0"/>
    <w:rsid w:val="00F852E2"/>
    <w:rsid w:val="00F86A31"/>
    <w:rsid w:val="00F879BD"/>
    <w:rsid w:val="00F87B10"/>
    <w:rsid w:val="00F87D77"/>
    <w:rsid w:val="00F923F2"/>
    <w:rsid w:val="00F937D0"/>
    <w:rsid w:val="00F940BE"/>
    <w:rsid w:val="00F94649"/>
    <w:rsid w:val="00FA0F7B"/>
    <w:rsid w:val="00FA22B1"/>
    <w:rsid w:val="00FA3A0C"/>
    <w:rsid w:val="00FA5C37"/>
    <w:rsid w:val="00FA7705"/>
    <w:rsid w:val="00FB11CA"/>
    <w:rsid w:val="00FB167F"/>
    <w:rsid w:val="00FB1DE5"/>
    <w:rsid w:val="00FB5DE2"/>
    <w:rsid w:val="00FB62B5"/>
    <w:rsid w:val="00FB6E4F"/>
    <w:rsid w:val="00FB72FE"/>
    <w:rsid w:val="00FC23C2"/>
    <w:rsid w:val="00FC4C36"/>
    <w:rsid w:val="00FC56FD"/>
    <w:rsid w:val="00FC5B83"/>
    <w:rsid w:val="00FC7A87"/>
    <w:rsid w:val="00FD16A1"/>
    <w:rsid w:val="00FD21F2"/>
    <w:rsid w:val="00FD3CBA"/>
    <w:rsid w:val="00FD6967"/>
    <w:rsid w:val="00FD6BF1"/>
    <w:rsid w:val="00FD6C6E"/>
    <w:rsid w:val="00FE016D"/>
    <w:rsid w:val="00FE5A40"/>
    <w:rsid w:val="00FE604D"/>
    <w:rsid w:val="00FF0186"/>
    <w:rsid w:val="00FF0D70"/>
    <w:rsid w:val="00FF3CC8"/>
    <w:rsid w:val="00FF3E51"/>
    <w:rsid w:val="00FF4566"/>
    <w:rsid w:val="00FF58C3"/>
    <w:rsid w:val="00FF6F22"/>
    <w:rsid w:val="019A6790"/>
    <w:rsid w:val="01EC2FA7"/>
    <w:rsid w:val="01EF572E"/>
    <w:rsid w:val="02230955"/>
    <w:rsid w:val="02317214"/>
    <w:rsid w:val="027C37A3"/>
    <w:rsid w:val="02A1024F"/>
    <w:rsid w:val="02B349AE"/>
    <w:rsid w:val="02B96468"/>
    <w:rsid w:val="02DC3F04"/>
    <w:rsid w:val="03232A32"/>
    <w:rsid w:val="03340C72"/>
    <w:rsid w:val="03D60954"/>
    <w:rsid w:val="03E034D9"/>
    <w:rsid w:val="042E0790"/>
    <w:rsid w:val="04455E19"/>
    <w:rsid w:val="04B35E34"/>
    <w:rsid w:val="04BB40EE"/>
    <w:rsid w:val="04D01847"/>
    <w:rsid w:val="06466CB5"/>
    <w:rsid w:val="06693CB2"/>
    <w:rsid w:val="06A9757C"/>
    <w:rsid w:val="06C32529"/>
    <w:rsid w:val="07C40FCD"/>
    <w:rsid w:val="07DF6F14"/>
    <w:rsid w:val="08006F3A"/>
    <w:rsid w:val="081027DD"/>
    <w:rsid w:val="081D62BA"/>
    <w:rsid w:val="081F6F62"/>
    <w:rsid w:val="084762C4"/>
    <w:rsid w:val="087C5C4E"/>
    <w:rsid w:val="08E104C7"/>
    <w:rsid w:val="08E853C6"/>
    <w:rsid w:val="097048DB"/>
    <w:rsid w:val="09774712"/>
    <w:rsid w:val="09872E32"/>
    <w:rsid w:val="09BE4364"/>
    <w:rsid w:val="09EE0493"/>
    <w:rsid w:val="09F63D7D"/>
    <w:rsid w:val="0A64312D"/>
    <w:rsid w:val="0AAF7417"/>
    <w:rsid w:val="0B6B051B"/>
    <w:rsid w:val="0BE739A0"/>
    <w:rsid w:val="0BF16C73"/>
    <w:rsid w:val="0C087B18"/>
    <w:rsid w:val="0C3703FE"/>
    <w:rsid w:val="0CEB1914"/>
    <w:rsid w:val="0CFD33F5"/>
    <w:rsid w:val="0D15610F"/>
    <w:rsid w:val="0D162709"/>
    <w:rsid w:val="0D9A52C8"/>
    <w:rsid w:val="0DB112C2"/>
    <w:rsid w:val="0E007979"/>
    <w:rsid w:val="0E1704E7"/>
    <w:rsid w:val="0E76520D"/>
    <w:rsid w:val="0E833B53"/>
    <w:rsid w:val="0F2B249C"/>
    <w:rsid w:val="0F5B0B5D"/>
    <w:rsid w:val="0FAE5604"/>
    <w:rsid w:val="0FAE57C5"/>
    <w:rsid w:val="100B2C10"/>
    <w:rsid w:val="102A51E9"/>
    <w:rsid w:val="10674138"/>
    <w:rsid w:val="107443D8"/>
    <w:rsid w:val="10883B86"/>
    <w:rsid w:val="10A46ADD"/>
    <w:rsid w:val="10B931DE"/>
    <w:rsid w:val="10E15034"/>
    <w:rsid w:val="10E66B9E"/>
    <w:rsid w:val="10FF6CE8"/>
    <w:rsid w:val="111C78C7"/>
    <w:rsid w:val="11760352"/>
    <w:rsid w:val="12105979"/>
    <w:rsid w:val="1215424B"/>
    <w:rsid w:val="123C28D4"/>
    <w:rsid w:val="123F688A"/>
    <w:rsid w:val="12413D84"/>
    <w:rsid w:val="12940358"/>
    <w:rsid w:val="12AD7E5A"/>
    <w:rsid w:val="12BC0EF8"/>
    <w:rsid w:val="132311FD"/>
    <w:rsid w:val="13491142"/>
    <w:rsid w:val="13A670D4"/>
    <w:rsid w:val="14387B61"/>
    <w:rsid w:val="14424A3B"/>
    <w:rsid w:val="14964FC5"/>
    <w:rsid w:val="14FA6062"/>
    <w:rsid w:val="152C0D1B"/>
    <w:rsid w:val="15706BFC"/>
    <w:rsid w:val="159C3C03"/>
    <w:rsid w:val="15AB4BE4"/>
    <w:rsid w:val="163D4862"/>
    <w:rsid w:val="168E3310"/>
    <w:rsid w:val="16930926"/>
    <w:rsid w:val="16DC051F"/>
    <w:rsid w:val="17145D71"/>
    <w:rsid w:val="17543053"/>
    <w:rsid w:val="177B7447"/>
    <w:rsid w:val="17985ABB"/>
    <w:rsid w:val="17C2750F"/>
    <w:rsid w:val="18046093"/>
    <w:rsid w:val="18047D2E"/>
    <w:rsid w:val="18890233"/>
    <w:rsid w:val="18A46E1B"/>
    <w:rsid w:val="18A60DE5"/>
    <w:rsid w:val="18E70E8B"/>
    <w:rsid w:val="191E2903"/>
    <w:rsid w:val="1951728A"/>
    <w:rsid w:val="195A6DE8"/>
    <w:rsid w:val="197A466A"/>
    <w:rsid w:val="1A233E92"/>
    <w:rsid w:val="1AB06439"/>
    <w:rsid w:val="1ACA4C0E"/>
    <w:rsid w:val="1B6B3DF4"/>
    <w:rsid w:val="1B7C0790"/>
    <w:rsid w:val="1BC75FA2"/>
    <w:rsid w:val="1BE0460E"/>
    <w:rsid w:val="1C4104FA"/>
    <w:rsid w:val="1C827801"/>
    <w:rsid w:val="1D15529F"/>
    <w:rsid w:val="1D1912A7"/>
    <w:rsid w:val="1D3E0E44"/>
    <w:rsid w:val="1D77736C"/>
    <w:rsid w:val="1E416B22"/>
    <w:rsid w:val="1E6F19BB"/>
    <w:rsid w:val="20512D78"/>
    <w:rsid w:val="20606345"/>
    <w:rsid w:val="207440D1"/>
    <w:rsid w:val="2075087F"/>
    <w:rsid w:val="20DA7945"/>
    <w:rsid w:val="20E17A31"/>
    <w:rsid w:val="21456E7D"/>
    <w:rsid w:val="214B077B"/>
    <w:rsid w:val="214E74AD"/>
    <w:rsid w:val="218E2416"/>
    <w:rsid w:val="21A77C5D"/>
    <w:rsid w:val="2252529B"/>
    <w:rsid w:val="22773AF3"/>
    <w:rsid w:val="232A707C"/>
    <w:rsid w:val="23AE0B4E"/>
    <w:rsid w:val="23FB0842"/>
    <w:rsid w:val="243F212F"/>
    <w:rsid w:val="24825984"/>
    <w:rsid w:val="24BE6141"/>
    <w:rsid w:val="24D53184"/>
    <w:rsid w:val="25161C10"/>
    <w:rsid w:val="253D0E7A"/>
    <w:rsid w:val="25446DA5"/>
    <w:rsid w:val="25A02777"/>
    <w:rsid w:val="25D0124F"/>
    <w:rsid w:val="266D3002"/>
    <w:rsid w:val="26D86EA1"/>
    <w:rsid w:val="26F5369A"/>
    <w:rsid w:val="277850CE"/>
    <w:rsid w:val="277946F4"/>
    <w:rsid w:val="2785329C"/>
    <w:rsid w:val="281F6A91"/>
    <w:rsid w:val="287C689F"/>
    <w:rsid w:val="28A6668A"/>
    <w:rsid w:val="28ED298C"/>
    <w:rsid w:val="28FC49FE"/>
    <w:rsid w:val="294619D0"/>
    <w:rsid w:val="2A1B6E60"/>
    <w:rsid w:val="2A570191"/>
    <w:rsid w:val="2A8F792B"/>
    <w:rsid w:val="2B1020EE"/>
    <w:rsid w:val="2B157704"/>
    <w:rsid w:val="2B22254D"/>
    <w:rsid w:val="2B900466"/>
    <w:rsid w:val="2BC2153F"/>
    <w:rsid w:val="2BF85DDD"/>
    <w:rsid w:val="2C4A2A9F"/>
    <w:rsid w:val="2CA13467"/>
    <w:rsid w:val="2CEE4744"/>
    <w:rsid w:val="2D8C63A3"/>
    <w:rsid w:val="2DCC2C44"/>
    <w:rsid w:val="2E2D51BE"/>
    <w:rsid w:val="2E3329B8"/>
    <w:rsid w:val="2F2E25E2"/>
    <w:rsid w:val="2FAA0AFC"/>
    <w:rsid w:val="2FC91031"/>
    <w:rsid w:val="302F0099"/>
    <w:rsid w:val="30E94F09"/>
    <w:rsid w:val="3116629E"/>
    <w:rsid w:val="31894E52"/>
    <w:rsid w:val="31CE10C4"/>
    <w:rsid w:val="324167FF"/>
    <w:rsid w:val="32D6426E"/>
    <w:rsid w:val="32EB00CB"/>
    <w:rsid w:val="3373650A"/>
    <w:rsid w:val="33BC1AD3"/>
    <w:rsid w:val="33BF2903"/>
    <w:rsid w:val="343B642D"/>
    <w:rsid w:val="345D2848"/>
    <w:rsid w:val="349B585B"/>
    <w:rsid w:val="34BF09AF"/>
    <w:rsid w:val="34E40873"/>
    <w:rsid w:val="35025F25"/>
    <w:rsid w:val="35397B62"/>
    <w:rsid w:val="35DB18E9"/>
    <w:rsid w:val="3664227A"/>
    <w:rsid w:val="36993EA6"/>
    <w:rsid w:val="36E65199"/>
    <w:rsid w:val="37023232"/>
    <w:rsid w:val="37197DF1"/>
    <w:rsid w:val="376261CE"/>
    <w:rsid w:val="37DC063C"/>
    <w:rsid w:val="38172653"/>
    <w:rsid w:val="38467A93"/>
    <w:rsid w:val="389D76B7"/>
    <w:rsid w:val="389E280E"/>
    <w:rsid w:val="38A30A45"/>
    <w:rsid w:val="38BD5DB1"/>
    <w:rsid w:val="38FC32A6"/>
    <w:rsid w:val="39315375"/>
    <w:rsid w:val="395064D7"/>
    <w:rsid w:val="39916502"/>
    <w:rsid w:val="39CE564E"/>
    <w:rsid w:val="3A5848E7"/>
    <w:rsid w:val="3A716474"/>
    <w:rsid w:val="3A9B5E78"/>
    <w:rsid w:val="3AA80595"/>
    <w:rsid w:val="3AAE2D52"/>
    <w:rsid w:val="3AFD61EB"/>
    <w:rsid w:val="3B605EC0"/>
    <w:rsid w:val="3B946BCC"/>
    <w:rsid w:val="3BD1628B"/>
    <w:rsid w:val="3C235D62"/>
    <w:rsid w:val="3C574020"/>
    <w:rsid w:val="3D123B38"/>
    <w:rsid w:val="3D477F05"/>
    <w:rsid w:val="3E0B6E71"/>
    <w:rsid w:val="3E55633E"/>
    <w:rsid w:val="3E671575"/>
    <w:rsid w:val="3EF70367"/>
    <w:rsid w:val="3F3763DE"/>
    <w:rsid w:val="3F5B1501"/>
    <w:rsid w:val="3F8B693A"/>
    <w:rsid w:val="3FFA17C6"/>
    <w:rsid w:val="40247A79"/>
    <w:rsid w:val="402856D7"/>
    <w:rsid w:val="403F1053"/>
    <w:rsid w:val="40907B01"/>
    <w:rsid w:val="41344930"/>
    <w:rsid w:val="41E40104"/>
    <w:rsid w:val="42497F67"/>
    <w:rsid w:val="425828A0"/>
    <w:rsid w:val="42EB4E93"/>
    <w:rsid w:val="43236A0A"/>
    <w:rsid w:val="434B7979"/>
    <w:rsid w:val="43543068"/>
    <w:rsid w:val="435B4AD2"/>
    <w:rsid w:val="43A74F98"/>
    <w:rsid w:val="44006D4C"/>
    <w:rsid w:val="44352E99"/>
    <w:rsid w:val="44A97FB6"/>
    <w:rsid w:val="45102FBE"/>
    <w:rsid w:val="45175EB5"/>
    <w:rsid w:val="45686D7A"/>
    <w:rsid w:val="462642D9"/>
    <w:rsid w:val="46EC04F8"/>
    <w:rsid w:val="46F60F4A"/>
    <w:rsid w:val="476A23A3"/>
    <w:rsid w:val="479A7C12"/>
    <w:rsid w:val="484667E8"/>
    <w:rsid w:val="48CA72AA"/>
    <w:rsid w:val="49351245"/>
    <w:rsid w:val="494B0A69"/>
    <w:rsid w:val="49971F00"/>
    <w:rsid w:val="49F35B75"/>
    <w:rsid w:val="4A183041"/>
    <w:rsid w:val="4A1D4C50"/>
    <w:rsid w:val="4A7450B6"/>
    <w:rsid w:val="4AA46319"/>
    <w:rsid w:val="4B014DF9"/>
    <w:rsid w:val="4B2D3436"/>
    <w:rsid w:val="4B6B71A0"/>
    <w:rsid w:val="4B84756E"/>
    <w:rsid w:val="4BA674D4"/>
    <w:rsid w:val="4BCD7E5B"/>
    <w:rsid w:val="4BE36DE6"/>
    <w:rsid w:val="4BE551A5"/>
    <w:rsid w:val="4BE807F1"/>
    <w:rsid w:val="4CB9218D"/>
    <w:rsid w:val="4CC72AFC"/>
    <w:rsid w:val="4CD64F61"/>
    <w:rsid w:val="4D2F0520"/>
    <w:rsid w:val="4D98140C"/>
    <w:rsid w:val="4DC360A2"/>
    <w:rsid w:val="4DE85206"/>
    <w:rsid w:val="4E524648"/>
    <w:rsid w:val="4EC56BC8"/>
    <w:rsid w:val="4ED47616"/>
    <w:rsid w:val="4EDD2163"/>
    <w:rsid w:val="4F5622C7"/>
    <w:rsid w:val="4F7769ED"/>
    <w:rsid w:val="4F7A20A8"/>
    <w:rsid w:val="4F8F72F9"/>
    <w:rsid w:val="4FBE4498"/>
    <w:rsid w:val="4FD514C7"/>
    <w:rsid w:val="4FF26A8A"/>
    <w:rsid w:val="4FFD3683"/>
    <w:rsid w:val="4FFE5E70"/>
    <w:rsid w:val="50260035"/>
    <w:rsid w:val="50436AA2"/>
    <w:rsid w:val="507D0B25"/>
    <w:rsid w:val="50B746F8"/>
    <w:rsid w:val="51045B07"/>
    <w:rsid w:val="51CB46D7"/>
    <w:rsid w:val="51CC4711"/>
    <w:rsid w:val="51EE4E78"/>
    <w:rsid w:val="5237602E"/>
    <w:rsid w:val="52495D62"/>
    <w:rsid w:val="52686CFA"/>
    <w:rsid w:val="536D62FF"/>
    <w:rsid w:val="53874D93"/>
    <w:rsid w:val="538E6B22"/>
    <w:rsid w:val="53B86B6C"/>
    <w:rsid w:val="53DF072C"/>
    <w:rsid w:val="53F36F74"/>
    <w:rsid w:val="540E2C58"/>
    <w:rsid w:val="54166797"/>
    <w:rsid w:val="543071D9"/>
    <w:rsid w:val="543750FF"/>
    <w:rsid w:val="54384DB4"/>
    <w:rsid w:val="543C792C"/>
    <w:rsid w:val="545C1D7C"/>
    <w:rsid w:val="54E65AEA"/>
    <w:rsid w:val="5515395A"/>
    <w:rsid w:val="556D1D67"/>
    <w:rsid w:val="558A07DF"/>
    <w:rsid w:val="55F1544B"/>
    <w:rsid w:val="55FC63A8"/>
    <w:rsid w:val="56262642"/>
    <w:rsid w:val="56571A99"/>
    <w:rsid w:val="566C7823"/>
    <w:rsid w:val="56A47A0A"/>
    <w:rsid w:val="57816951"/>
    <w:rsid w:val="57BA2E30"/>
    <w:rsid w:val="5806097D"/>
    <w:rsid w:val="58867E70"/>
    <w:rsid w:val="589A319D"/>
    <w:rsid w:val="58F27A61"/>
    <w:rsid w:val="592A2449"/>
    <w:rsid w:val="59305585"/>
    <w:rsid w:val="59DE4FE1"/>
    <w:rsid w:val="59E015BE"/>
    <w:rsid w:val="5A5E3DFF"/>
    <w:rsid w:val="5ACF3183"/>
    <w:rsid w:val="5B3C50E0"/>
    <w:rsid w:val="5B61411C"/>
    <w:rsid w:val="5B9F7F3B"/>
    <w:rsid w:val="5BA40BE5"/>
    <w:rsid w:val="5BA8278F"/>
    <w:rsid w:val="5BAC75A3"/>
    <w:rsid w:val="5BE07737"/>
    <w:rsid w:val="5BF172E7"/>
    <w:rsid w:val="5BFB631F"/>
    <w:rsid w:val="5C183C23"/>
    <w:rsid w:val="5C492169"/>
    <w:rsid w:val="5D30277E"/>
    <w:rsid w:val="5D5B0A0B"/>
    <w:rsid w:val="5D9805B3"/>
    <w:rsid w:val="5DD348AC"/>
    <w:rsid w:val="5DFB1693"/>
    <w:rsid w:val="5E4105E7"/>
    <w:rsid w:val="5E7471C5"/>
    <w:rsid w:val="5E891EF8"/>
    <w:rsid w:val="5F083FC2"/>
    <w:rsid w:val="5F0D47A6"/>
    <w:rsid w:val="5F1F5556"/>
    <w:rsid w:val="5F24793A"/>
    <w:rsid w:val="5F441788"/>
    <w:rsid w:val="5F51305B"/>
    <w:rsid w:val="5F607404"/>
    <w:rsid w:val="5F9674A7"/>
    <w:rsid w:val="6022031E"/>
    <w:rsid w:val="602D0A71"/>
    <w:rsid w:val="6042451C"/>
    <w:rsid w:val="609E0422"/>
    <w:rsid w:val="61011383"/>
    <w:rsid w:val="61665A4D"/>
    <w:rsid w:val="61C84EF5"/>
    <w:rsid w:val="62AE1AC1"/>
    <w:rsid w:val="62B15989"/>
    <w:rsid w:val="62E25B42"/>
    <w:rsid w:val="62F67840"/>
    <w:rsid w:val="62FB2F72"/>
    <w:rsid w:val="633C08FC"/>
    <w:rsid w:val="63597017"/>
    <w:rsid w:val="63C67212"/>
    <w:rsid w:val="63F44A83"/>
    <w:rsid w:val="63FE4122"/>
    <w:rsid w:val="64012005"/>
    <w:rsid w:val="64155AA4"/>
    <w:rsid w:val="642826DF"/>
    <w:rsid w:val="64577284"/>
    <w:rsid w:val="64B74DAD"/>
    <w:rsid w:val="650E70C3"/>
    <w:rsid w:val="653528A1"/>
    <w:rsid w:val="659832B3"/>
    <w:rsid w:val="65CE5344"/>
    <w:rsid w:val="65DA0385"/>
    <w:rsid w:val="66275276"/>
    <w:rsid w:val="6638413B"/>
    <w:rsid w:val="6674153C"/>
    <w:rsid w:val="66BB54C7"/>
    <w:rsid w:val="66BE0674"/>
    <w:rsid w:val="66CD04D8"/>
    <w:rsid w:val="66E31E89"/>
    <w:rsid w:val="671007F1"/>
    <w:rsid w:val="673320BA"/>
    <w:rsid w:val="675C73F2"/>
    <w:rsid w:val="676F0F89"/>
    <w:rsid w:val="67C718D1"/>
    <w:rsid w:val="682C46C7"/>
    <w:rsid w:val="682C7077"/>
    <w:rsid w:val="685731D2"/>
    <w:rsid w:val="68643573"/>
    <w:rsid w:val="68B97ED7"/>
    <w:rsid w:val="68EC14C9"/>
    <w:rsid w:val="68F16ADF"/>
    <w:rsid w:val="68F2342A"/>
    <w:rsid w:val="69135A28"/>
    <w:rsid w:val="69261FE1"/>
    <w:rsid w:val="696E592C"/>
    <w:rsid w:val="69B018C1"/>
    <w:rsid w:val="69B15C14"/>
    <w:rsid w:val="69BC6CFF"/>
    <w:rsid w:val="6A0E0D52"/>
    <w:rsid w:val="6A8111ED"/>
    <w:rsid w:val="6AD71D05"/>
    <w:rsid w:val="6B0625F5"/>
    <w:rsid w:val="6B1116BB"/>
    <w:rsid w:val="6B401666"/>
    <w:rsid w:val="6B75365C"/>
    <w:rsid w:val="6B7B5D96"/>
    <w:rsid w:val="6BD548F4"/>
    <w:rsid w:val="6BDD77EF"/>
    <w:rsid w:val="6BDF4B7D"/>
    <w:rsid w:val="6BE20233"/>
    <w:rsid w:val="6BF63529"/>
    <w:rsid w:val="6C2B48B6"/>
    <w:rsid w:val="6C376686"/>
    <w:rsid w:val="6C3968C7"/>
    <w:rsid w:val="6C4869DC"/>
    <w:rsid w:val="6C5D740D"/>
    <w:rsid w:val="6C77622D"/>
    <w:rsid w:val="6C7A646F"/>
    <w:rsid w:val="6C7F3CDD"/>
    <w:rsid w:val="6CEC03EE"/>
    <w:rsid w:val="6CED5810"/>
    <w:rsid w:val="6D033285"/>
    <w:rsid w:val="6D312C6E"/>
    <w:rsid w:val="6D5744EA"/>
    <w:rsid w:val="6D7E0B27"/>
    <w:rsid w:val="6DB05CB4"/>
    <w:rsid w:val="6DB94F60"/>
    <w:rsid w:val="6DD644F6"/>
    <w:rsid w:val="6DE65B54"/>
    <w:rsid w:val="6DFF1C9E"/>
    <w:rsid w:val="6E144C91"/>
    <w:rsid w:val="6E564D49"/>
    <w:rsid w:val="6E5A0AA4"/>
    <w:rsid w:val="6E774F4B"/>
    <w:rsid w:val="6E95022C"/>
    <w:rsid w:val="6F6A79F5"/>
    <w:rsid w:val="6F9B1553"/>
    <w:rsid w:val="6FAA5C3A"/>
    <w:rsid w:val="6FBB7993"/>
    <w:rsid w:val="6FD9651F"/>
    <w:rsid w:val="70132790"/>
    <w:rsid w:val="7053087D"/>
    <w:rsid w:val="70641996"/>
    <w:rsid w:val="70E60810"/>
    <w:rsid w:val="70F74EAF"/>
    <w:rsid w:val="71182072"/>
    <w:rsid w:val="71C50B09"/>
    <w:rsid w:val="72036618"/>
    <w:rsid w:val="72A02D9E"/>
    <w:rsid w:val="72A66B8C"/>
    <w:rsid w:val="731B5CA7"/>
    <w:rsid w:val="73243F55"/>
    <w:rsid w:val="7329156C"/>
    <w:rsid w:val="735859AD"/>
    <w:rsid w:val="737E1F98"/>
    <w:rsid w:val="738B5D82"/>
    <w:rsid w:val="73CE57CC"/>
    <w:rsid w:val="73F26AA6"/>
    <w:rsid w:val="743C45B0"/>
    <w:rsid w:val="74EA7D17"/>
    <w:rsid w:val="754104C0"/>
    <w:rsid w:val="75546277"/>
    <w:rsid w:val="755F2C22"/>
    <w:rsid w:val="759F04BE"/>
    <w:rsid w:val="75A634FC"/>
    <w:rsid w:val="75BB607F"/>
    <w:rsid w:val="75E11C91"/>
    <w:rsid w:val="76C26ECB"/>
    <w:rsid w:val="76D27AF8"/>
    <w:rsid w:val="76FD2F00"/>
    <w:rsid w:val="7727446A"/>
    <w:rsid w:val="77383246"/>
    <w:rsid w:val="780768A2"/>
    <w:rsid w:val="78DD1E86"/>
    <w:rsid w:val="79144124"/>
    <w:rsid w:val="796E767C"/>
    <w:rsid w:val="79707849"/>
    <w:rsid w:val="797A07C3"/>
    <w:rsid w:val="799E680F"/>
    <w:rsid w:val="79BC4EE7"/>
    <w:rsid w:val="79F3642F"/>
    <w:rsid w:val="7A0635C0"/>
    <w:rsid w:val="7A0D74F1"/>
    <w:rsid w:val="7A1C6AC0"/>
    <w:rsid w:val="7A2715CF"/>
    <w:rsid w:val="7B2F4F94"/>
    <w:rsid w:val="7B33614A"/>
    <w:rsid w:val="7B5971BC"/>
    <w:rsid w:val="7C0E5EFB"/>
    <w:rsid w:val="7C5E3E59"/>
    <w:rsid w:val="7C852194"/>
    <w:rsid w:val="7CA26617"/>
    <w:rsid w:val="7CC75E49"/>
    <w:rsid w:val="7CF76237"/>
    <w:rsid w:val="7D2E7EC7"/>
    <w:rsid w:val="7D562013"/>
    <w:rsid w:val="7D7004C3"/>
    <w:rsid w:val="7D83519D"/>
    <w:rsid w:val="7D987C19"/>
    <w:rsid w:val="7DCD2671"/>
    <w:rsid w:val="7DEA4DB5"/>
    <w:rsid w:val="7E375583"/>
    <w:rsid w:val="7E7B0DF9"/>
    <w:rsid w:val="7E9A7436"/>
    <w:rsid w:val="7EAA17B2"/>
    <w:rsid w:val="7EB16E12"/>
    <w:rsid w:val="7ED06D3F"/>
    <w:rsid w:val="7EE822DB"/>
    <w:rsid w:val="7F025CA3"/>
    <w:rsid w:val="7F1015D2"/>
    <w:rsid w:val="7F1C3412"/>
    <w:rsid w:val="7F2D1560"/>
    <w:rsid w:val="7F346B96"/>
    <w:rsid w:val="7F3B065C"/>
    <w:rsid w:val="7F806956"/>
    <w:rsid w:val="7FB77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autoRedefine/>
    <w:qFormat/>
    <w:uiPriority w:val="0"/>
    <w:pPr>
      <w:keepNext/>
      <w:keepLines/>
      <w:numPr>
        <w:ilvl w:val="0"/>
        <w:numId w:val="1"/>
      </w:numPr>
      <w:spacing w:line="360" w:lineRule="auto"/>
      <w:jc w:val="center"/>
      <w:outlineLvl w:val="0"/>
    </w:pPr>
    <w:rPr>
      <w:rFonts w:ascii="Calibri" w:hAnsi="Calibri"/>
      <w:b/>
      <w:bCs/>
      <w:kern w:val="44"/>
      <w:sz w:val="44"/>
      <w:szCs w:val="44"/>
    </w:rPr>
  </w:style>
  <w:style w:type="paragraph" w:styleId="4">
    <w:name w:val="heading 2"/>
    <w:basedOn w:val="1"/>
    <w:next w:val="1"/>
    <w:link w:val="107"/>
    <w:autoRedefine/>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64"/>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1"/>
    <w:autoRedefine/>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67"/>
    <w:autoRedefine/>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9"/>
    <w:autoRedefine/>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86"/>
    <w:autoRedefine/>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50"/>
    <w:autoRedefine/>
    <w:qFormat/>
    <w:uiPriority w:val="0"/>
    <w:pPr>
      <w:keepNext/>
      <w:keepLines/>
      <w:spacing w:before="240" w:after="64" w:line="317" w:lineRule="auto"/>
      <w:outlineLvl w:val="8"/>
    </w:pPr>
    <w:rPr>
      <w:rFonts w:ascii="Cambria" w:hAnsi="Cambria"/>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9"/>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autoRedefine/>
    <w:qFormat/>
    <w:uiPriority w:val="0"/>
    <w:pPr>
      <w:adjustRightInd w:val="0"/>
      <w:spacing w:line="360" w:lineRule="atLeast"/>
      <w:ind w:firstLine="482"/>
      <w:textAlignment w:val="baseline"/>
    </w:pPr>
    <w:rPr>
      <w:kern w:val="0"/>
      <w:sz w:val="24"/>
      <w:szCs w:val="20"/>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77"/>
    <w:autoRedefine/>
    <w:qFormat/>
    <w:uiPriority w:val="0"/>
    <w:pPr>
      <w:shd w:val="clear" w:color="auto" w:fill="000080"/>
    </w:pPr>
    <w:rPr>
      <w:kern w:val="0"/>
      <w:sz w:val="20"/>
      <w:shd w:val="clear" w:color="auto" w:fill="000080"/>
    </w:rPr>
  </w:style>
  <w:style w:type="paragraph" w:styleId="16">
    <w:name w:val="annotation text"/>
    <w:basedOn w:val="1"/>
    <w:link w:val="72"/>
    <w:autoRedefine/>
    <w:qFormat/>
    <w:uiPriority w:val="0"/>
    <w:pPr>
      <w:jc w:val="left"/>
    </w:pPr>
  </w:style>
  <w:style w:type="paragraph" w:styleId="17">
    <w:name w:val="Body Text Indent"/>
    <w:basedOn w:val="1"/>
    <w:autoRedefine/>
    <w:qFormat/>
    <w:uiPriority w:val="0"/>
    <w:pPr>
      <w:ind w:firstLine="830" w:firstLineChars="352"/>
    </w:pPr>
    <w:rPr>
      <w:rFonts w:ascii="仿宋_GB2312" w:eastAsia="仿宋_GB2312"/>
      <w:kern w:val="0"/>
      <w:sz w:val="32"/>
      <w:szCs w:val="20"/>
    </w:rPr>
  </w:style>
  <w:style w:type="paragraph" w:styleId="18">
    <w:name w:val="index 4"/>
    <w:basedOn w:val="1"/>
    <w:next w:val="1"/>
    <w:autoRedefine/>
    <w:qFormat/>
    <w:uiPriority w:val="0"/>
    <w:pPr>
      <w:ind w:left="600" w:leftChars="600"/>
    </w:pPr>
  </w:style>
  <w:style w:type="paragraph" w:styleId="19">
    <w:name w:val="toc 5"/>
    <w:basedOn w:val="1"/>
    <w:next w:val="1"/>
    <w:autoRedefine/>
    <w:qFormat/>
    <w:uiPriority w:val="0"/>
    <w:pPr>
      <w:tabs>
        <w:tab w:val="right" w:leader="dot" w:pos="8296"/>
      </w:tabs>
      <w:ind w:left="1050" w:leftChars="500"/>
    </w:pPr>
    <w:rPr>
      <w:rFonts w:ascii="Calibri" w:hAnsi="Calibri"/>
      <w:szCs w:val="22"/>
    </w:rPr>
  </w:style>
  <w:style w:type="paragraph" w:styleId="20">
    <w:name w:val="toc 3"/>
    <w:basedOn w:val="1"/>
    <w:next w:val="1"/>
    <w:autoRedefine/>
    <w:qFormat/>
    <w:uiPriority w:val="0"/>
    <w:pPr>
      <w:ind w:left="840" w:leftChars="400"/>
    </w:pPr>
    <w:rPr>
      <w:rFonts w:ascii="Calibri" w:hAnsi="Calibri"/>
      <w:szCs w:val="22"/>
    </w:rPr>
  </w:style>
  <w:style w:type="paragraph" w:styleId="21">
    <w:name w:val="Plain Text"/>
    <w:basedOn w:val="1"/>
    <w:autoRedefine/>
    <w:qFormat/>
    <w:uiPriority w:val="0"/>
    <w:pPr>
      <w:spacing w:beforeLines="50" w:line="360" w:lineRule="auto"/>
    </w:pPr>
    <w:rPr>
      <w:rFonts w:ascii="宋体" w:hAnsi="Courier New" w:eastAsia="Times New Roman"/>
      <w:kern w:val="0"/>
    </w:rPr>
  </w:style>
  <w:style w:type="paragraph" w:styleId="22">
    <w:name w:val="toc 8"/>
    <w:basedOn w:val="1"/>
    <w:next w:val="1"/>
    <w:autoRedefine/>
    <w:qFormat/>
    <w:uiPriority w:val="0"/>
    <w:pPr>
      <w:ind w:left="2940" w:leftChars="1400"/>
    </w:pPr>
    <w:rPr>
      <w:rFonts w:ascii="Calibri" w:hAnsi="Calibri"/>
      <w:szCs w:val="22"/>
    </w:rPr>
  </w:style>
  <w:style w:type="paragraph" w:styleId="23">
    <w:name w:val="Date"/>
    <w:basedOn w:val="1"/>
    <w:next w:val="1"/>
    <w:link w:val="87"/>
    <w:autoRedefine/>
    <w:qFormat/>
    <w:uiPriority w:val="0"/>
    <w:pPr>
      <w:ind w:left="100" w:leftChars="2500"/>
    </w:pPr>
    <w:rPr>
      <w:rFonts w:ascii="宋体"/>
      <w:kern w:val="0"/>
      <w:sz w:val="28"/>
      <w:szCs w:val="20"/>
    </w:rPr>
  </w:style>
  <w:style w:type="paragraph" w:styleId="24">
    <w:name w:val="Balloon Text"/>
    <w:basedOn w:val="1"/>
    <w:link w:val="80"/>
    <w:autoRedefine/>
    <w:qFormat/>
    <w:uiPriority w:val="0"/>
    <w:rPr>
      <w:rFonts w:ascii="宋体"/>
      <w:kern w:val="0"/>
      <w:sz w:val="18"/>
      <w:szCs w:val="18"/>
    </w:rPr>
  </w:style>
  <w:style w:type="paragraph" w:styleId="25">
    <w:name w:val="footer"/>
    <w:basedOn w:val="1"/>
    <w:link w:val="73"/>
    <w:autoRedefine/>
    <w:qFormat/>
    <w:uiPriority w:val="0"/>
    <w:pPr>
      <w:tabs>
        <w:tab w:val="center" w:pos="4153"/>
        <w:tab w:val="right" w:pos="8306"/>
      </w:tabs>
      <w:snapToGrid w:val="0"/>
      <w:jc w:val="left"/>
    </w:pPr>
    <w:rPr>
      <w:sz w:val="18"/>
      <w:szCs w:val="18"/>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pPr>
      <w:tabs>
        <w:tab w:val="right" w:leader="dot" w:pos="8296"/>
      </w:tabs>
    </w:pPr>
    <w:rPr>
      <w:rFonts w:ascii="宋体" w:eastAsia="楷体_GB2312" w:cs="TimesNewRomanPSMT"/>
      <w:b/>
      <w:kern w:val="0"/>
      <w:sz w:val="28"/>
      <w:szCs w:val="20"/>
    </w:rPr>
  </w:style>
  <w:style w:type="paragraph" w:styleId="28">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29">
    <w:name w:val="Subtitle"/>
    <w:basedOn w:val="1"/>
    <w:next w:val="1"/>
    <w:link w:val="84"/>
    <w:autoRedefine/>
    <w:qFormat/>
    <w:uiPriority w:val="0"/>
    <w:pPr>
      <w:spacing w:before="240" w:after="60" w:line="312" w:lineRule="auto"/>
      <w:jc w:val="center"/>
      <w:outlineLvl w:val="1"/>
    </w:pPr>
    <w:rPr>
      <w:rFonts w:ascii="Cambria" w:hAnsi="Cambria"/>
      <w:b/>
      <w:bCs/>
      <w:kern w:val="28"/>
      <w:sz w:val="32"/>
      <w:szCs w:val="32"/>
    </w:rPr>
  </w:style>
  <w:style w:type="paragraph" w:styleId="30">
    <w:name w:val="toc 6"/>
    <w:basedOn w:val="1"/>
    <w:next w:val="1"/>
    <w:autoRedefine/>
    <w:qFormat/>
    <w:uiPriority w:val="0"/>
    <w:pPr>
      <w:ind w:left="2100" w:leftChars="1000"/>
    </w:pPr>
    <w:rPr>
      <w:rFonts w:ascii="Calibri" w:hAnsi="Calibri"/>
      <w:szCs w:val="22"/>
    </w:rPr>
  </w:style>
  <w:style w:type="paragraph" w:styleId="31">
    <w:name w:val="Body Text Indent 3"/>
    <w:basedOn w:val="1"/>
    <w:link w:val="102"/>
    <w:autoRedefine/>
    <w:qFormat/>
    <w:uiPriority w:val="0"/>
    <w:pPr>
      <w:spacing w:after="120"/>
      <w:ind w:left="420" w:leftChars="200"/>
    </w:pPr>
    <w:rPr>
      <w:sz w:val="16"/>
      <w:szCs w:val="16"/>
    </w:rPr>
  </w:style>
  <w:style w:type="paragraph" w:styleId="32">
    <w:name w:val="toc 2"/>
    <w:basedOn w:val="1"/>
    <w:next w:val="1"/>
    <w:autoRedefine/>
    <w:qFormat/>
    <w:uiPriority w:val="0"/>
    <w:pPr>
      <w:ind w:left="420" w:leftChars="200"/>
    </w:pPr>
    <w:rPr>
      <w:rFonts w:ascii="宋体"/>
      <w:b/>
      <w:sz w:val="28"/>
      <w:szCs w:val="20"/>
    </w:rPr>
  </w:style>
  <w:style w:type="paragraph" w:styleId="33">
    <w:name w:val="toc 9"/>
    <w:basedOn w:val="1"/>
    <w:next w:val="1"/>
    <w:autoRedefine/>
    <w:qFormat/>
    <w:uiPriority w:val="0"/>
    <w:pPr>
      <w:ind w:left="3360" w:leftChars="1600"/>
    </w:pPr>
    <w:rPr>
      <w:rFonts w:ascii="Calibri" w:hAnsi="Calibri"/>
      <w:szCs w:val="22"/>
    </w:rPr>
  </w:style>
  <w:style w:type="paragraph" w:styleId="34">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5">
    <w:name w:val="Title"/>
    <w:basedOn w:val="1"/>
    <w:next w:val="1"/>
    <w:link w:val="66"/>
    <w:autoRedefine/>
    <w:qFormat/>
    <w:uiPriority w:val="0"/>
    <w:pPr>
      <w:spacing w:before="240" w:after="60"/>
      <w:jc w:val="center"/>
      <w:outlineLvl w:val="0"/>
    </w:pPr>
    <w:rPr>
      <w:rFonts w:ascii="Cambria" w:hAnsi="Cambria"/>
      <w:b/>
      <w:bCs/>
      <w:sz w:val="32"/>
      <w:szCs w:val="32"/>
    </w:rPr>
  </w:style>
  <w:style w:type="paragraph" w:styleId="36">
    <w:name w:val="annotation subject"/>
    <w:basedOn w:val="16"/>
    <w:next w:val="16"/>
    <w:link w:val="58"/>
    <w:autoRedefine/>
    <w:qFormat/>
    <w:uiPriority w:val="0"/>
    <w:rPr>
      <w:rFonts w:ascii="宋体"/>
      <w:b/>
      <w:bCs/>
      <w:kern w:val="0"/>
      <w:sz w:val="28"/>
      <w:szCs w:val="20"/>
    </w:rPr>
  </w:style>
  <w:style w:type="paragraph" w:styleId="37">
    <w:name w:val="Body Text First Indent 2"/>
    <w:basedOn w:val="17"/>
    <w:next w:val="1"/>
    <w:autoRedefine/>
    <w:qFormat/>
    <w:uiPriority w:val="0"/>
    <w:pPr>
      <w:ind w:firstLine="420" w:firstLineChars="200"/>
    </w:p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bCs/>
    </w:rPr>
  </w:style>
  <w:style w:type="character" w:styleId="42">
    <w:name w:val="page number"/>
    <w:basedOn w:val="40"/>
    <w:autoRedefine/>
    <w:qFormat/>
    <w:uiPriority w:val="0"/>
  </w:style>
  <w:style w:type="character" w:styleId="43">
    <w:name w:val="FollowedHyperlink"/>
    <w:basedOn w:val="40"/>
    <w:autoRedefine/>
    <w:qFormat/>
    <w:uiPriority w:val="0"/>
    <w:rPr>
      <w:color w:val="333333"/>
      <w:u w:val="none"/>
    </w:rPr>
  </w:style>
  <w:style w:type="character" w:styleId="44">
    <w:name w:val="Emphasis"/>
    <w:autoRedefine/>
    <w:qFormat/>
    <w:uiPriority w:val="0"/>
    <w:rPr>
      <w:i/>
      <w:iCs/>
    </w:rPr>
  </w:style>
  <w:style w:type="character" w:styleId="45">
    <w:name w:val="Hyperlink"/>
    <w:basedOn w:val="40"/>
    <w:autoRedefine/>
    <w:qFormat/>
    <w:uiPriority w:val="0"/>
    <w:rPr>
      <w:color w:val="333333"/>
      <w:u w:val="none"/>
    </w:rPr>
  </w:style>
  <w:style w:type="character" w:styleId="46">
    <w:name w:val="annotation reference"/>
    <w:autoRedefine/>
    <w:qFormat/>
    <w:uiPriority w:val="0"/>
    <w:rPr>
      <w:rFonts w:cs="Times New Roman"/>
      <w:sz w:val="21"/>
      <w:szCs w:val="21"/>
    </w:rPr>
  </w:style>
  <w:style w:type="paragraph" w:customStyle="1" w:styleId="4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8">
    <w:name w:val="列出段落1"/>
    <w:basedOn w:val="1"/>
    <w:autoRedefine/>
    <w:qFormat/>
    <w:uiPriority w:val="0"/>
    <w:pPr>
      <w:ind w:firstLine="420"/>
    </w:pPr>
    <w:rPr>
      <w:szCs w:val="20"/>
    </w:rPr>
  </w:style>
  <w:style w:type="paragraph" w:customStyle="1" w:styleId="49">
    <w:name w:val="正文正"/>
    <w:basedOn w:val="1"/>
    <w:autoRedefine/>
    <w:qFormat/>
    <w:uiPriority w:val="0"/>
    <w:pPr>
      <w:spacing w:line="560" w:lineRule="exact"/>
      <w:ind w:firstLine="561"/>
    </w:pPr>
    <w:rPr>
      <w:rFonts w:eastAsia="仿宋_GB2312"/>
      <w:sz w:val="28"/>
    </w:rPr>
  </w:style>
  <w:style w:type="character" w:customStyle="1" w:styleId="50">
    <w:name w:val="标题 9 Char"/>
    <w:link w:val="11"/>
    <w:autoRedefine/>
    <w:qFormat/>
    <w:uiPriority w:val="0"/>
    <w:rPr>
      <w:rFonts w:ascii="Cambria" w:hAnsi="Cambria" w:eastAsia="宋体"/>
      <w:kern w:val="2"/>
      <w:sz w:val="21"/>
      <w:szCs w:val="21"/>
      <w:lang w:val="en-US" w:eastAsia="zh-CN" w:bidi="ar-SA"/>
    </w:rPr>
  </w:style>
  <w:style w:type="character" w:customStyle="1" w:styleId="51">
    <w:name w:val="textcontents"/>
    <w:autoRedefine/>
    <w:qFormat/>
    <w:uiPriority w:val="0"/>
    <w:rPr>
      <w:rFonts w:cs="Times New Roman"/>
    </w:rPr>
  </w:style>
  <w:style w:type="character" w:customStyle="1" w:styleId="52">
    <w:name w:val="标题 2 Char"/>
    <w:autoRedefine/>
    <w:qFormat/>
    <w:uiPriority w:val="0"/>
    <w:rPr>
      <w:rFonts w:ascii="Cambria" w:hAnsi="Cambria" w:eastAsia="宋体"/>
      <w:b/>
      <w:bCs/>
      <w:kern w:val="2"/>
      <w:sz w:val="32"/>
      <w:szCs w:val="32"/>
      <w:lang w:val="en-US" w:eastAsia="zh-CN" w:bidi="ar-SA"/>
    </w:rPr>
  </w:style>
  <w:style w:type="character" w:customStyle="1" w:styleId="53">
    <w:name w:val="标题 4 Char"/>
    <w:link w:val="6"/>
    <w:autoRedefine/>
    <w:qFormat/>
    <w:uiPriority w:val="0"/>
    <w:rPr>
      <w:rFonts w:ascii="Arial" w:hAnsi="Arial" w:eastAsia="黑体"/>
      <w:b/>
      <w:bCs/>
      <w:kern w:val="2"/>
      <w:sz w:val="28"/>
      <w:szCs w:val="28"/>
      <w:lang w:val="en-US" w:eastAsia="zh-CN" w:bidi="ar-SA"/>
    </w:rPr>
  </w:style>
  <w:style w:type="character" w:customStyle="1" w:styleId="54">
    <w:name w:val="引用 Char"/>
    <w:link w:val="55"/>
    <w:autoRedefine/>
    <w:qFormat/>
    <w:uiPriority w:val="0"/>
    <w:rPr>
      <w:i/>
      <w:iCs/>
      <w:color w:val="000000"/>
      <w:kern w:val="2"/>
      <w:sz w:val="21"/>
      <w:szCs w:val="22"/>
      <w:lang w:bidi="ar-SA"/>
    </w:rPr>
  </w:style>
  <w:style w:type="paragraph" w:styleId="55">
    <w:name w:val="Quote"/>
    <w:basedOn w:val="1"/>
    <w:next w:val="1"/>
    <w:link w:val="54"/>
    <w:autoRedefine/>
    <w:qFormat/>
    <w:uiPriority w:val="0"/>
    <w:rPr>
      <w:i/>
      <w:iCs/>
      <w:color w:val="000000"/>
      <w:szCs w:val="22"/>
    </w:rPr>
  </w:style>
  <w:style w:type="character" w:customStyle="1" w:styleId="56">
    <w:name w:val="标题5 Char Char"/>
    <w:link w:val="57"/>
    <w:autoRedefine/>
    <w:qFormat/>
    <w:uiPriority w:val="0"/>
    <w:rPr>
      <w:rFonts w:ascii="Arial" w:hAnsi="Arial"/>
      <w:b/>
      <w:bCs/>
      <w:sz w:val="24"/>
      <w:szCs w:val="32"/>
      <w:lang w:bidi="ar-SA"/>
    </w:rPr>
  </w:style>
  <w:style w:type="paragraph" w:customStyle="1" w:styleId="57">
    <w:name w:val="标题5"/>
    <w:basedOn w:val="5"/>
    <w:link w:val="56"/>
    <w:autoRedefine/>
    <w:qFormat/>
    <w:uiPriority w:val="0"/>
    <w:pPr>
      <w:spacing w:line="413" w:lineRule="auto"/>
    </w:pPr>
    <w:rPr>
      <w:rFonts w:ascii="Arial" w:hAnsi="Arial"/>
      <w:kern w:val="0"/>
      <w:sz w:val="24"/>
    </w:rPr>
  </w:style>
  <w:style w:type="character" w:customStyle="1" w:styleId="58">
    <w:name w:val="批注主题 Char"/>
    <w:link w:val="36"/>
    <w:autoRedefine/>
    <w:qFormat/>
    <w:uiPriority w:val="0"/>
    <w:rPr>
      <w:rFonts w:ascii="宋体"/>
      <w:b/>
      <w:bCs/>
      <w:sz w:val="28"/>
      <w:lang w:bidi="ar-SA"/>
    </w:rPr>
  </w:style>
  <w:style w:type="character" w:customStyle="1" w:styleId="59">
    <w:name w:val="标题 7 Char"/>
    <w:link w:val="9"/>
    <w:autoRedefine/>
    <w:qFormat/>
    <w:uiPriority w:val="0"/>
    <w:rPr>
      <w:rFonts w:ascii="Calibri" w:hAnsi="Calibri" w:eastAsia="宋体"/>
      <w:b/>
      <w:bCs/>
      <w:kern w:val="2"/>
      <w:sz w:val="24"/>
      <w:szCs w:val="24"/>
      <w:lang w:val="en-US" w:eastAsia="zh-CN" w:bidi="ar-SA"/>
    </w:rPr>
  </w:style>
  <w:style w:type="character" w:customStyle="1" w:styleId="60">
    <w:name w:val="文档结构图 Char1"/>
    <w:autoRedefine/>
    <w:qFormat/>
    <w:uiPriority w:val="0"/>
    <w:rPr>
      <w:rFonts w:ascii="宋体"/>
      <w:kern w:val="2"/>
      <w:sz w:val="18"/>
      <w:szCs w:val="18"/>
    </w:rPr>
  </w:style>
  <w:style w:type="character" w:customStyle="1" w:styleId="61">
    <w:name w:val="标题 5 Char"/>
    <w:link w:val="7"/>
    <w:autoRedefine/>
    <w:qFormat/>
    <w:uiPriority w:val="0"/>
    <w:rPr>
      <w:rFonts w:ascii="Calibri" w:hAnsi="Calibri" w:eastAsia="宋体"/>
      <w:b/>
      <w:bCs/>
      <w:kern w:val="2"/>
      <w:sz w:val="28"/>
      <w:szCs w:val="28"/>
      <w:lang w:val="en-US" w:eastAsia="zh-CN" w:bidi="ar-SA"/>
    </w:rPr>
  </w:style>
  <w:style w:type="character" w:customStyle="1" w:styleId="62">
    <w:name w:val="正文文本 Char1"/>
    <w:autoRedefine/>
    <w:qFormat/>
    <w:uiPriority w:val="0"/>
    <w:rPr>
      <w:kern w:val="2"/>
      <w:sz w:val="21"/>
      <w:szCs w:val="22"/>
    </w:rPr>
  </w:style>
  <w:style w:type="character" w:customStyle="1" w:styleId="63">
    <w:name w:val="日期 Char1"/>
    <w:autoRedefine/>
    <w:qFormat/>
    <w:uiPriority w:val="0"/>
    <w:rPr>
      <w:kern w:val="2"/>
      <w:sz w:val="21"/>
      <w:szCs w:val="22"/>
    </w:rPr>
  </w:style>
  <w:style w:type="character" w:customStyle="1" w:styleId="64">
    <w:name w:val="标题 3 Char"/>
    <w:basedOn w:val="40"/>
    <w:link w:val="5"/>
    <w:autoRedefine/>
    <w:qFormat/>
    <w:uiPriority w:val="0"/>
    <w:rPr>
      <w:rFonts w:eastAsia="宋体"/>
      <w:b/>
      <w:bCs/>
      <w:kern w:val="2"/>
      <w:sz w:val="32"/>
      <w:szCs w:val="32"/>
      <w:lang w:val="en-US" w:eastAsia="zh-CN" w:bidi="ar-SA"/>
    </w:rPr>
  </w:style>
  <w:style w:type="character" w:customStyle="1" w:styleId="65">
    <w:name w:val="不明显参考1"/>
    <w:autoRedefine/>
    <w:qFormat/>
    <w:uiPriority w:val="0"/>
    <w:rPr>
      <w:smallCaps/>
      <w:color w:val="C0504D"/>
      <w:u w:val="single"/>
    </w:rPr>
  </w:style>
  <w:style w:type="character" w:customStyle="1" w:styleId="66">
    <w:name w:val="标题 Char"/>
    <w:link w:val="35"/>
    <w:autoRedefine/>
    <w:qFormat/>
    <w:uiPriority w:val="0"/>
    <w:rPr>
      <w:rFonts w:ascii="Cambria" w:hAnsi="Cambria"/>
      <w:b/>
      <w:bCs/>
      <w:kern w:val="2"/>
      <w:sz w:val="32"/>
      <w:szCs w:val="32"/>
      <w:lang w:bidi="ar-SA"/>
    </w:rPr>
  </w:style>
  <w:style w:type="character" w:customStyle="1" w:styleId="67">
    <w:name w:val="标题 6 Char"/>
    <w:link w:val="8"/>
    <w:autoRedefine/>
    <w:qFormat/>
    <w:uiPriority w:val="0"/>
    <w:rPr>
      <w:rFonts w:ascii="Cambria" w:hAnsi="Cambria" w:eastAsia="宋体"/>
      <w:b/>
      <w:bCs/>
      <w:kern w:val="2"/>
      <w:sz w:val="24"/>
      <w:szCs w:val="24"/>
      <w:lang w:val="en-US" w:eastAsia="zh-CN" w:bidi="ar-SA"/>
    </w:rPr>
  </w:style>
  <w:style w:type="character" w:customStyle="1" w:styleId="68">
    <w:name w:val="明显参考1"/>
    <w:autoRedefine/>
    <w:qFormat/>
    <w:uiPriority w:val="0"/>
    <w:rPr>
      <w:b/>
      <w:bCs/>
      <w:smallCaps/>
      <w:color w:val="C0504D"/>
      <w:spacing w:val="5"/>
      <w:u w:val="single"/>
    </w:rPr>
  </w:style>
  <w:style w:type="character" w:customStyle="1" w:styleId="69">
    <w:name w:val="批注文字 Char Char"/>
    <w:autoRedefine/>
    <w:qFormat/>
    <w:uiPriority w:val="0"/>
    <w:rPr>
      <w:rFonts w:ascii="宋体" w:hAnsi="Times New Roman" w:eastAsia="宋体" w:cs="Times New Roman"/>
      <w:sz w:val="28"/>
      <w:szCs w:val="20"/>
    </w:rPr>
  </w:style>
  <w:style w:type="character" w:customStyle="1" w:styleId="70">
    <w:name w:val="标题4 Char Char"/>
    <w:link w:val="71"/>
    <w:autoRedefine/>
    <w:qFormat/>
    <w:uiPriority w:val="0"/>
    <w:rPr>
      <w:rFonts w:ascii="Arial" w:hAnsi="Arial"/>
      <w:b/>
      <w:bCs/>
      <w:sz w:val="24"/>
      <w:szCs w:val="32"/>
      <w:lang w:bidi="ar-SA"/>
    </w:rPr>
  </w:style>
  <w:style w:type="paragraph" w:customStyle="1" w:styleId="71">
    <w:name w:val="标题4"/>
    <w:basedOn w:val="4"/>
    <w:next w:val="18"/>
    <w:link w:val="70"/>
    <w:autoRedefine/>
    <w:qFormat/>
    <w:uiPriority w:val="0"/>
    <w:rPr>
      <w:rFonts w:ascii="Arial" w:hAnsi="Arial"/>
      <w:kern w:val="0"/>
      <w:sz w:val="24"/>
    </w:rPr>
  </w:style>
  <w:style w:type="character" w:customStyle="1" w:styleId="72">
    <w:name w:val="批注文字 Char"/>
    <w:basedOn w:val="40"/>
    <w:link w:val="16"/>
    <w:autoRedefine/>
    <w:qFormat/>
    <w:uiPriority w:val="0"/>
    <w:rPr>
      <w:rFonts w:eastAsia="宋体"/>
      <w:kern w:val="2"/>
      <w:sz w:val="21"/>
      <w:szCs w:val="24"/>
      <w:lang w:val="en-US" w:eastAsia="zh-CN" w:bidi="ar-SA"/>
    </w:rPr>
  </w:style>
  <w:style w:type="character" w:customStyle="1" w:styleId="73">
    <w:name w:val="页脚 Char"/>
    <w:link w:val="25"/>
    <w:autoRedefine/>
    <w:qFormat/>
    <w:uiPriority w:val="0"/>
    <w:rPr>
      <w:rFonts w:eastAsia="宋体"/>
      <w:kern w:val="2"/>
      <w:sz w:val="18"/>
      <w:szCs w:val="18"/>
      <w:lang w:val="en-US" w:eastAsia="zh-CN" w:bidi="ar-SA"/>
    </w:rPr>
  </w:style>
  <w:style w:type="character" w:customStyle="1" w:styleId="74">
    <w:name w:val="批注主题 Char1"/>
    <w:autoRedefine/>
    <w:qFormat/>
    <w:uiPriority w:val="0"/>
    <w:rPr>
      <w:b/>
      <w:bCs/>
      <w:kern w:val="2"/>
      <w:sz w:val="21"/>
      <w:szCs w:val="22"/>
    </w:rPr>
  </w:style>
  <w:style w:type="character" w:customStyle="1" w:styleId="75">
    <w:name w:val="不明显强调1"/>
    <w:autoRedefine/>
    <w:qFormat/>
    <w:uiPriority w:val="0"/>
    <w:rPr>
      <w:i/>
      <w:iCs/>
      <w:color w:val="808080"/>
    </w:rPr>
  </w:style>
  <w:style w:type="character" w:customStyle="1" w:styleId="76">
    <w:name w:val="书籍标题1"/>
    <w:autoRedefine/>
    <w:qFormat/>
    <w:uiPriority w:val="0"/>
    <w:rPr>
      <w:b/>
      <w:bCs/>
      <w:smallCaps/>
      <w:spacing w:val="5"/>
    </w:rPr>
  </w:style>
  <w:style w:type="character" w:customStyle="1" w:styleId="77">
    <w:name w:val="文档结构图 Char"/>
    <w:link w:val="15"/>
    <w:autoRedefine/>
    <w:qFormat/>
    <w:uiPriority w:val="0"/>
    <w:rPr>
      <w:szCs w:val="24"/>
      <w:shd w:val="clear" w:color="auto" w:fill="000080"/>
      <w:lang w:bidi="ar-SA"/>
    </w:rPr>
  </w:style>
  <w:style w:type="character" w:customStyle="1" w:styleId="78">
    <w:name w:val="批注框文本 Char1"/>
    <w:autoRedefine/>
    <w:qFormat/>
    <w:uiPriority w:val="0"/>
    <w:rPr>
      <w:kern w:val="2"/>
      <w:sz w:val="18"/>
      <w:szCs w:val="18"/>
    </w:rPr>
  </w:style>
  <w:style w:type="character" w:customStyle="1" w:styleId="79">
    <w:name w:val="正文文本 Char"/>
    <w:link w:val="2"/>
    <w:autoRedefine/>
    <w:qFormat/>
    <w:uiPriority w:val="0"/>
    <w:rPr>
      <w:lang w:bidi="ar-SA"/>
    </w:rPr>
  </w:style>
  <w:style w:type="character" w:customStyle="1" w:styleId="80">
    <w:name w:val="批注框文本 Char"/>
    <w:link w:val="24"/>
    <w:autoRedefine/>
    <w:qFormat/>
    <w:uiPriority w:val="0"/>
    <w:rPr>
      <w:rFonts w:ascii="宋体"/>
      <w:sz w:val="18"/>
      <w:szCs w:val="18"/>
      <w:lang w:bidi="ar-SA"/>
    </w:rPr>
  </w:style>
  <w:style w:type="character" w:customStyle="1" w:styleId="81">
    <w:name w:val="标题 1 Char"/>
    <w:link w:val="3"/>
    <w:autoRedefine/>
    <w:qFormat/>
    <w:uiPriority w:val="0"/>
    <w:rPr>
      <w:rFonts w:ascii="Calibri" w:hAnsi="Calibri" w:eastAsia="宋体"/>
      <w:b/>
      <w:bCs/>
      <w:kern w:val="44"/>
      <w:sz w:val="44"/>
      <w:szCs w:val="44"/>
      <w:lang w:val="en-US" w:eastAsia="zh-CN" w:bidi="ar-SA"/>
    </w:rPr>
  </w:style>
  <w:style w:type="character" w:customStyle="1" w:styleId="82">
    <w:name w:val="明显强调1"/>
    <w:autoRedefine/>
    <w:qFormat/>
    <w:uiPriority w:val="0"/>
    <w:rPr>
      <w:b/>
      <w:bCs/>
      <w:i/>
      <w:iCs/>
      <w:color w:val="4F81BD"/>
    </w:rPr>
  </w:style>
  <w:style w:type="character" w:customStyle="1" w:styleId="83">
    <w:name w:val="Char Char9"/>
    <w:autoRedefine/>
    <w:qFormat/>
    <w:uiPriority w:val="0"/>
    <w:rPr>
      <w:kern w:val="2"/>
      <w:sz w:val="21"/>
      <w:szCs w:val="22"/>
    </w:rPr>
  </w:style>
  <w:style w:type="character" w:customStyle="1" w:styleId="84">
    <w:name w:val="副标题 Char"/>
    <w:link w:val="29"/>
    <w:autoRedefine/>
    <w:qFormat/>
    <w:uiPriority w:val="0"/>
    <w:rPr>
      <w:rFonts w:ascii="Cambria" w:hAnsi="Cambria"/>
      <w:b/>
      <w:bCs/>
      <w:kern w:val="28"/>
      <w:sz w:val="32"/>
      <w:szCs w:val="32"/>
      <w:lang w:bidi="ar-SA"/>
    </w:rPr>
  </w:style>
  <w:style w:type="character" w:customStyle="1" w:styleId="85">
    <w:name w:val="Char Char16"/>
    <w:autoRedefine/>
    <w:qFormat/>
    <w:uiPriority w:val="0"/>
    <w:rPr>
      <w:b/>
      <w:bCs/>
      <w:kern w:val="2"/>
      <w:sz w:val="32"/>
      <w:szCs w:val="32"/>
    </w:rPr>
  </w:style>
  <w:style w:type="character" w:customStyle="1" w:styleId="86">
    <w:name w:val="标题 8 Char"/>
    <w:link w:val="10"/>
    <w:autoRedefine/>
    <w:qFormat/>
    <w:uiPriority w:val="0"/>
    <w:rPr>
      <w:rFonts w:ascii="Cambria" w:hAnsi="Cambria" w:eastAsia="宋体"/>
      <w:kern w:val="2"/>
      <w:sz w:val="24"/>
      <w:szCs w:val="24"/>
      <w:lang w:val="en-US" w:eastAsia="zh-CN" w:bidi="ar-SA"/>
    </w:rPr>
  </w:style>
  <w:style w:type="character" w:customStyle="1" w:styleId="87">
    <w:name w:val="日期 Char"/>
    <w:link w:val="23"/>
    <w:autoRedefine/>
    <w:qFormat/>
    <w:uiPriority w:val="0"/>
    <w:rPr>
      <w:rFonts w:ascii="宋体"/>
      <w:sz w:val="28"/>
      <w:lang w:bidi="ar-SA"/>
    </w:rPr>
  </w:style>
  <w:style w:type="character" w:customStyle="1" w:styleId="88">
    <w:name w:val="明显引用 Char"/>
    <w:link w:val="89"/>
    <w:autoRedefine/>
    <w:qFormat/>
    <w:uiPriority w:val="0"/>
    <w:rPr>
      <w:b/>
      <w:bCs/>
      <w:i/>
      <w:iCs/>
      <w:color w:val="4F81BD"/>
      <w:kern w:val="2"/>
      <w:sz w:val="21"/>
      <w:szCs w:val="22"/>
      <w:lang w:bidi="ar-SA"/>
    </w:rPr>
  </w:style>
  <w:style w:type="paragraph" w:styleId="89">
    <w:name w:val="Intense Quote"/>
    <w:basedOn w:val="1"/>
    <w:next w:val="1"/>
    <w:link w:val="88"/>
    <w:autoRedefine/>
    <w:qFormat/>
    <w:uiPriority w:val="0"/>
    <w:pPr>
      <w:pBdr>
        <w:bottom w:val="single" w:color="4F81BD" w:sz="4" w:space="4"/>
      </w:pBdr>
      <w:spacing w:before="200" w:after="280"/>
      <w:ind w:left="936" w:right="936"/>
    </w:pPr>
    <w:rPr>
      <w:b/>
      <w:bCs/>
      <w:i/>
      <w:iCs/>
      <w:color w:val="4F81BD"/>
      <w:szCs w:val="22"/>
    </w:rPr>
  </w:style>
  <w:style w:type="paragraph" w:styleId="90">
    <w:name w:val="List Paragraph"/>
    <w:basedOn w:val="1"/>
    <w:autoRedefine/>
    <w:qFormat/>
    <w:uiPriority w:val="34"/>
    <w:pPr>
      <w:ind w:firstLine="420" w:firstLineChars="200"/>
    </w:pPr>
    <w:rPr>
      <w:rFonts w:ascii="Calibri" w:hAnsi="Calibri"/>
      <w:szCs w:val="22"/>
    </w:rPr>
  </w:style>
  <w:style w:type="paragraph" w:customStyle="1" w:styleId="91">
    <w:name w:val="默认段落字体 Para Char Char Char Char Char Char Char Char Char1 Char Char Char Char Char Char Char"/>
    <w:basedOn w:val="15"/>
    <w:autoRedefine/>
    <w:qFormat/>
    <w:uiPriority w:val="0"/>
    <w:rPr>
      <w:rFonts w:ascii="Tahoma" w:hAnsi="Tahoma" w:cs="Tahoma"/>
      <w:kern w:val="2"/>
      <w:sz w:val="24"/>
      <w:shd w:val="clear" w:color="auto" w:fill="auto"/>
    </w:rPr>
  </w:style>
  <w:style w:type="paragraph" w:customStyle="1" w:styleId="9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3">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94">
    <w:name w:val="TOC 标题1"/>
    <w:basedOn w:val="3"/>
    <w:next w:val="1"/>
    <w:autoRedefine/>
    <w:qFormat/>
    <w:uiPriority w:val="0"/>
    <w:pPr>
      <w:outlineLvl w:val="9"/>
    </w:pPr>
  </w:style>
  <w:style w:type="paragraph" w:customStyle="1" w:styleId="9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kern w:val="0"/>
      <w:sz w:val="28"/>
      <w:szCs w:val="20"/>
    </w:rPr>
  </w:style>
  <w:style w:type="paragraph" w:styleId="9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8">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9">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0">
    <w:name w:val="列出段落2"/>
    <w:basedOn w:val="1"/>
    <w:autoRedefine/>
    <w:qFormat/>
    <w:uiPriority w:val="0"/>
    <w:pPr>
      <w:ind w:firstLine="420"/>
    </w:pPr>
    <w:rPr>
      <w:szCs w:val="20"/>
    </w:rPr>
  </w:style>
  <w:style w:type="paragraph" w:customStyle="1" w:styleId="101">
    <w:name w:val="列出段落3"/>
    <w:basedOn w:val="1"/>
    <w:autoRedefine/>
    <w:qFormat/>
    <w:uiPriority w:val="0"/>
    <w:pPr>
      <w:ind w:firstLine="420"/>
    </w:pPr>
    <w:rPr>
      <w:szCs w:val="20"/>
    </w:rPr>
  </w:style>
  <w:style w:type="character" w:customStyle="1" w:styleId="102">
    <w:name w:val="正文文本缩进 3 Char"/>
    <w:basedOn w:val="40"/>
    <w:link w:val="31"/>
    <w:autoRedefine/>
    <w:qFormat/>
    <w:uiPriority w:val="0"/>
    <w:rPr>
      <w:kern w:val="2"/>
      <w:sz w:val="16"/>
      <w:szCs w:val="16"/>
    </w:rPr>
  </w:style>
  <w:style w:type="character" w:customStyle="1" w:styleId="103">
    <w:name w:val="layui-laypage-curr"/>
    <w:basedOn w:val="40"/>
    <w:autoRedefine/>
    <w:qFormat/>
    <w:uiPriority w:val="0"/>
  </w:style>
  <w:style w:type="character" w:customStyle="1" w:styleId="104">
    <w:name w:val="bsharetext"/>
    <w:basedOn w:val="40"/>
    <w:autoRedefine/>
    <w:qFormat/>
    <w:uiPriority w:val="0"/>
  </w:style>
  <w:style w:type="paragraph" w:customStyle="1" w:styleId="105">
    <w:name w:val="_Style 3"/>
    <w:basedOn w:val="1"/>
    <w:next w:val="1"/>
    <w:autoRedefine/>
    <w:qFormat/>
    <w:uiPriority w:val="0"/>
    <w:pPr>
      <w:pBdr>
        <w:top w:val="single" w:color="auto" w:sz="6" w:space="1"/>
      </w:pBdr>
      <w:jc w:val="center"/>
    </w:pPr>
    <w:rPr>
      <w:rFonts w:ascii="Arial"/>
      <w:vanish/>
      <w:sz w:val="16"/>
    </w:rPr>
  </w:style>
  <w:style w:type="paragraph" w:customStyle="1" w:styleId="106">
    <w:name w:val="Table Paragraph"/>
    <w:basedOn w:val="1"/>
    <w:autoRedefine/>
    <w:qFormat/>
    <w:uiPriority w:val="1"/>
    <w:rPr>
      <w:rFonts w:ascii="宋体" w:hAnsi="宋体" w:cs="宋体"/>
    </w:rPr>
  </w:style>
  <w:style w:type="character" w:customStyle="1" w:styleId="107">
    <w:name w:val="标题 2 Char1"/>
    <w:link w:val="4"/>
    <w:autoRedefine/>
    <w:qFormat/>
    <w:locked/>
    <w:uiPriority w:val="0"/>
    <w:rPr>
      <w:rFonts w:ascii="Arial" w:hAnsi="Arial" w:eastAsia="黑体" w:cs="Times New Roman"/>
      <w:b/>
      <w:bCs/>
      <w:kern w:val="2"/>
      <w:sz w:val="32"/>
      <w:szCs w:val="32"/>
      <w:lang w:val="en-US" w:eastAsia="zh-CN" w:bidi="ar-SA"/>
    </w:rPr>
  </w:style>
  <w:style w:type="character" w:customStyle="1" w:styleId="108">
    <w:name w:val="font61"/>
    <w:basedOn w:val="40"/>
    <w:autoRedefine/>
    <w:qFormat/>
    <w:uiPriority w:val="0"/>
    <w:rPr>
      <w:rFonts w:ascii="宋体" w:hAnsi="宋体" w:eastAsia="宋体" w:cs="宋体"/>
      <w:b/>
      <w:bCs/>
      <w:color w:val="000000"/>
      <w:sz w:val="30"/>
      <w:szCs w:val="30"/>
      <w:u w:val="none"/>
    </w:rPr>
  </w:style>
  <w:style w:type="character" w:customStyle="1" w:styleId="109">
    <w:name w:val="font71"/>
    <w:basedOn w:val="40"/>
    <w:autoRedefine/>
    <w:qFormat/>
    <w:uiPriority w:val="0"/>
    <w:rPr>
      <w:rFonts w:ascii="宋体" w:hAnsi="宋体" w:eastAsia="宋体" w:cs="宋体"/>
      <w:color w:val="000000"/>
      <w:sz w:val="22"/>
      <w:szCs w:val="22"/>
      <w:u w:val="none"/>
    </w:rPr>
  </w:style>
  <w:style w:type="paragraph" w:customStyle="1" w:styleId="110">
    <w:name w:val="正文_3_0"/>
    <w:next w:val="1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
    <w:name w:val="正文首行缩进 22"/>
    <w:basedOn w:val="112"/>
    <w:qFormat/>
    <w:uiPriority w:val="0"/>
    <w:pPr>
      <w:ind w:firstLine="420" w:firstLineChars="200"/>
    </w:pPr>
  </w:style>
  <w:style w:type="paragraph" w:customStyle="1" w:styleId="112">
    <w:name w:val="正文文本缩进2"/>
    <w:basedOn w:val="113"/>
    <w:qFormat/>
    <w:uiPriority w:val="0"/>
    <w:pPr>
      <w:spacing w:after="120"/>
      <w:ind w:left="420" w:leftChars="200"/>
    </w:pPr>
  </w:style>
  <w:style w:type="paragraph" w:customStyle="1" w:styleId="113">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4">
    <w:name w:val="NormalCharacter"/>
    <w:qFormat/>
    <w:uiPriority w:val="0"/>
    <w:rPr>
      <w:rFonts w:ascii="Calibri" w:hAnsi="Calibri" w:eastAsia="宋体" w:cs="Times New Roman"/>
      <w:sz w:val="21"/>
      <w:szCs w:val="21"/>
      <w:lang w:val="en-US" w:eastAsia="zh-CN" w:bidi="ar-SA"/>
    </w:rPr>
  </w:style>
  <w:style w:type="paragraph" w:customStyle="1" w:styleId="11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8D2334-6C22-4DAA-A3F7-4137F3217E6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16445</Words>
  <Characters>18096</Characters>
  <Lines>311</Lines>
  <Paragraphs>87</Paragraphs>
  <TotalTime>35</TotalTime>
  <ScaleCrop>false</ScaleCrop>
  <LinksUpToDate>false</LinksUpToDate>
  <CharactersWithSpaces>18321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2020-11-13T14:00:00Z</dcterms:created>
  <dc:creator>Administrator</dc:creator>
  <cp:lastModifiedBy>Flower⋯☆Thorn</cp:lastModifiedBy>
  <cp:lastPrinted>2024-09-29T06:34:00Z</cp:lastPrinted>
  <dcterms:modified xsi:type="dcterms:W3CDTF">2026-05-09T05:48:49Z</dcterms:modified>
  <dc:title>第二章  投标人须知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144EDD394A9749A5956BFC16C02387AC_13</vt:lpwstr>
  </property>
  <property fmtid="{D5CDD505-2E9C-101B-9397-08002B2CF9AE}" pid="4" name="KSOTemplateDocerSaveRecord">
    <vt:lpwstr>eyJoZGlkIjoiYTVmNTU2MWZiNDZkYjNhZWQ2YTU2M2U4MzE5ZGU3OTciLCJ1c2VySWQiOiIxMjgyNDQ3Njg0In0=</vt:lpwstr>
  </property>
</Properties>
</file>